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36" w:rsidRPr="00AD4405" w:rsidRDefault="001E7C80" w:rsidP="005653F2">
      <w:pPr>
        <w:jc w:val="center"/>
        <w:rPr>
          <w:rFonts w:ascii="Arial Rounded MT Bold" w:hAnsi="Arial Rounded MT Bold"/>
          <w:b/>
          <w:color w:val="1F497D"/>
          <w:sz w:val="72"/>
          <w:szCs w:val="72"/>
          <w:u w:val="single"/>
        </w:rPr>
      </w:pPr>
      <w:r w:rsidRPr="001E7C80">
        <w:rPr>
          <w:noProof/>
          <w:lang w:val="en-US" w:eastAsia="zh-TW"/>
        </w:rPr>
        <w:pict>
          <v:rect id="_x0000_s1030" style="position:absolute;left:0;text-align:left;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30">
              <w:txbxContent>
                <w:p w:rsidR="00EE70FC" w:rsidRPr="00D90A69" w:rsidRDefault="00EE70FC" w:rsidP="00D90A69">
                  <w:pPr>
                    <w:rPr>
                      <w:szCs w:val="96"/>
                    </w:rPr>
                  </w:pPr>
                </w:p>
              </w:txbxContent>
            </v:textbox>
            <w10:wrap anchorx="page" anchory="page"/>
          </v:rect>
        </w:pict>
      </w:r>
      <w:r w:rsidR="00465436" w:rsidRPr="00AD4405">
        <w:rPr>
          <w:b/>
          <w:color w:val="1F497D"/>
          <w:sz w:val="72"/>
          <w:szCs w:val="72"/>
          <w:u w:val="single"/>
        </w:rPr>
        <w:t>СПИДИ</w:t>
      </w:r>
      <w:r w:rsidR="00465436" w:rsidRPr="00AD4405">
        <w:rPr>
          <w:rFonts w:ascii="Arial Rounded MT Bold" w:hAnsi="Arial Rounded MT Bold"/>
          <w:b/>
          <w:color w:val="1F497D"/>
          <w:sz w:val="72"/>
          <w:szCs w:val="72"/>
          <w:u w:val="single"/>
        </w:rPr>
        <w:t xml:space="preserve"> </w:t>
      </w:r>
      <w:r w:rsidR="00D70BF4">
        <w:rPr>
          <w:b/>
          <w:color w:val="1F497D"/>
          <w:sz w:val="72"/>
          <w:szCs w:val="72"/>
          <w:u w:val="single"/>
        </w:rPr>
        <w:t>Е</w:t>
      </w:r>
      <w:r w:rsidR="00465436" w:rsidRPr="00AD4405">
        <w:rPr>
          <w:b/>
          <w:color w:val="1F497D"/>
          <w:sz w:val="72"/>
          <w:szCs w:val="72"/>
          <w:u w:val="single"/>
        </w:rPr>
        <w:t>АД</w:t>
      </w:r>
    </w:p>
    <w:p w:rsidR="00465436" w:rsidRDefault="00465436" w:rsidP="00AD4405">
      <w:pPr>
        <w:jc w:val="center"/>
      </w:pPr>
    </w:p>
    <w:p w:rsidR="003508CF" w:rsidRDefault="003508CF" w:rsidP="00AD4405">
      <w:pPr>
        <w:jc w:val="center"/>
      </w:pPr>
    </w:p>
    <w:p w:rsidR="005653F2" w:rsidRDefault="003508CF" w:rsidP="00AD4405">
      <w:pPr>
        <w:jc w:val="center"/>
        <w:rPr>
          <w:rFonts w:cs="Aharoni"/>
        </w:rPr>
      </w:pPr>
      <w:r w:rsidRPr="007C017A">
        <w:rPr>
          <w:rFonts w:cs="Aharoni"/>
        </w:rPr>
        <w:t>ПРОСПЕКТ ЗА ДОПУСКАНЕ ДО ТЪРГОВИЯ НА РЕГУЛИРАН ПАЗАР</w:t>
      </w:r>
    </w:p>
    <w:p w:rsidR="00465436" w:rsidRPr="007C017A" w:rsidRDefault="003508CF" w:rsidP="00AD4405">
      <w:pPr>
        <w:jc w:val="center"/>
        <w:rPr>
          <w:rFonts w:ascii="Calibri" w:hAnsi="Calibri" w:cs="Aharoni"/>
        </w:rPr>
      </w:pPr>
      <w:r w:rsidRPr="007C017A">
        <w:rPr>
          <w:rFonts w:cs="Aharoni"/>
        </w:rPr>
        <w:t>НА ЕМИСИЯ АКЦИИ</w:t>
      </w:r>
    </w:p>
    <w:p w:rsidR="00465436" w:rsidRDefault="00465436" w:rsidP="00AD4405">
      <w:pPr>
        <w:jc w:val="center"/>
      </w:pPr>
    </w:p>
    <w:p w:rsidR="003508CF" w:rsidRDefault="003508CF" w:rsidP="00AD4405">
      <w:pPr>
        <w:jc w:val="center"/>
      </w:pPr>
    </w:p>
    <w:p w:rsidR="00465436" w:rsidRPr="008E0B4E" w:rsidRDefault="00465436" w:rsidP="00AD4405">
      <w:pPr>
        <w:pBdr>
          <w:bottom w:val="single" w:sz="4" w:space="1" w:color="auto"/>
        </w:pBdr>
        <w:jc w:val="center"/>
        <w:rPr>
          <w:rFonts w:ascii="Agency FB" w:eastAsia="BatangChe" w:hAnsi="Agency FB"/>
          <w:b/>
          <w:sz w:val="44"/>
          <w:szCs w:val="44"/>
        </w:rPr>
      </w:pPr>
      <w:r w:rsidRPr="008E0B4E">
        <w:rPr>
          <w:rFonts w:ascii="BatangChe" w:eastAsia="BatangChe" w:hAnsi="BatangChe"/>
          <w:b/>
          <w:sz w:val="44"/>
          <w:szCs w:val="44"/>
        </w:rPr>
        <w:t>РЕГИСТРАЦИОНЕН</w:t>
      </w:r>
      <w:r w:rsidRPr="008E0B4E">
        <w:rPr>
          <w:rFonts w:ascii="Agency FB" w:eastAsia="BatangChe" w:hAnsi="Agency FB"/>
          <w:b/>
          <w:sz w:val="44"/>
          <w:szCs w:val="44"/>
        </w:rPr>
        <w:t xml:space="preserve"> </w:t>
      </w:r>
      <w:r w:rsidRPr="008E0B4E">
        <w:rPr>
          <w:rFonts w:ascii="BatangChe" w:eastAsia="BatangChe" w:hAnsi="BatangChe"/>
          <w:b/>
          <w:sz w:val="44"/>
          <w:szCs w:val="44"/>
        </w:rPr>
        <w:t>ДОКУМЕНТ</w:t>
      </w:r>
    </w:p>
    <w:p w:rsidR="00465436" w:rsidRPr="00AB3FF9" w:rsidRDefault="00465436" w:rsidP="00942CE6"/>
    <w:p w:rsidR="00465436" w:rsidRDefault="00465436" w:rsidP="00942CE6"/>
    <w:p w:rsidR="00D81F2F" w:rsidRPr="004E43BE" w:rsidRDefault="004E43BE" w:rsidP="00942CE6">
      <w:r>
        <w:t xml:space="preserve">Този проспект е за допускане до търговия на регулиран пазар на 1 482 200 акции с номинална стойност от 1 (един) лев, издадени от </w:t>
      </w:r>
      <w:r w:rsidR="00D70BF4">
        <w:t>„СПИДИ” ЕАД</w:t>
      </w:r>
      <w:r>
        <w:t>.</w:t>
      </w:r>
    </w:p>
    <w:p w:rsidR="00D81F2F" w:rsidRPr="004E43BE" w:rsidRDefault="00D81F2F" w:rsidP="00942CE6"/>
    <w:p w:rsidR="00C41E66" w:rsidRPr="00EA1CC6" w:rsidRDefault="00EA1CC6" w:rsidP="00942CE6">
      <w:r w:rsidRPr="00EA1CC6">
        <w:t xml:space="preserve">Регистрационният </w:t>
      </w:r>
      <w:r w:rsidR="00FC3657" w:rsidRPr="00EA1CC6">
        <w:t xml:space="preserve">документ съдържа цялата информация за </w:t>
      </w:r>
      <w:r w:rsidR="00D70BF4">
        <w:t>„СПИДИ” ЕАД</w:t>
      </w:r>
      <w:r w:rsidR="00FC3657" w:rsidRPr="00EA1CC6">
        <w:t>,</w:t>
      </w:r>
      <w:r w:rsidR="00C41E66" w:rsidRPr="00EA1CC6">
        <w:t xml:space="preserve"> </w:t>
      </w:r>
      <w:r w:rsidR="00FC3657" w:rsidRPr="00EA1CC6">
        <w:t>необходима за вземане на инвестиционно решение, включително основните рискове, свързани с емитента и</w:t>
      </w:r>
      <w:r w:rsidR="00C41E66" w:rsidRPr="00EA1CC6">
        <w:t xml:space="preserve"> </w:t>
      </w:r>
      <w:r w:rsidRPr="00EA1CC6">
        <w:t>неговата дейност</w:t>
      </w:r>
      <w:r w:rsidR="00FC3657" w:rsidRPr="00EA1CC6">
        <w:t xml:space="preserve"> и е в интерес на инвеститорите да се запознаят с регистрационния документ и с</w:t>
      </w:r>
      <w:r w:rsidR="00C41E66" w:rsidRPr="00EA1CC6">
        <w:t xml:space="preserve"> </w:t>
      </w:r>
      <w:r w:rsidR="00FC3657" w:rsidRPr="00EA1CC6">
        <w:t>документа за предлаганите ценни книжа, преди да вземат решение да инвестират.</w:t>
      </w:r>
    </w:p>
    <w:p w:rsidR="00CD7CF5" w:rsidRPr="003F0294" w:rsidRDefault="003F0294" w:rsidP="00942CE6">
      <w:pPr>
        <w:rPr>
          <w:lang w:eastAsia="bg-BG"/>
        </w:rPr>
      </w:pPr>
      <w:r>
        <w:rPr>
          <w:lang w:eastAsia="bg-BG"/>
        </w:rPr>
        <w:tab/>
      </w:r>
      <w:r>
        <w:rPr>
          <w:lang w:eastAsia="bg-BG"/>
        </w:rPr>
        <w:tab/>
      </w:r>
      <w:r>
        <w:rPr>
          <w:lang w:eastAsia="bg-BG"/>
        </w:rPr>
        <w:tab/>
      </w:r>
      <w:r>
        <w:rPr>
          <w:lang w:eastAsia="bg-BG"/>
        </w:rPr>
        <w:tab/>
      </w:r>
      <w:r>
        <w:rPr>
          <w:lang w:eastAsia="bg-BG"/>
        </w:rPr>
        <w:tab/>
        <w:t>_____________________</w:t>
      </w:r>
    </w:p>
    <w:p w:rsidR="00D81F2F" w:rsidRDefault="00D81F2F" w:rsidP="00942CE6"/>
    <w:p w:rsidR="00AD1EF6" w:rsidRPr="004D224A" w:rsidRDefault="00FF1959" w:rsidP="00942CE6">
      <w:r>
        <w:t>Членовет</w:t>
      </w:r>
      <w:r>
        <w:rPr>
          <w:lang w:val="en-US"/>
        </w:rPr>
        <w:t>e</w:t>
      </w:r>
      <w:r w:rsidR="00AD1EF6">
        <w:t xml:space="preserve"> на Съвета на директорите на </w:t>
      </w:r>
      <w:r w:rsidR="00D70BF4">
        <w:t>„СПИДИ” ЕАД</w:t>
      </w:r>
      <w:r w:rsidR="00AD1EF6">
        <w:t xml:space="preserve"> отговарят солидарно за вредите, причинени от </w:t>
      </w:r>
      <w:r w:rsidR="00AD1EF6" w:rsidRPr="00AD1EF6">
        <w:t>неверни, заблуждаващи или непълни данни в Регистрационния документ.</w:t>
      </w:r>
      <w:r w:rsidR="00AD1EF6">
        <w:t xml:space="preserve"> </w:t>
      </w:r>
      <w:r w:rsidR="00AD1EF6" w:rsidRPr="00AD1EF6">
        <w:t>Съставителите на финансовите отчети на Дружеството отговарят солидарно с лицата по</w:t>
      </w:r>
      <w:r w:rsidR="00AD1EF6">
        <w:t xml:space="preserve"> </w:t>
      </w:r>
      <w:r w:rsidR="00AD1EF6" w:rsidRPr="00AD1EF6">
        <w:t>предходното изречение за вреди, причинени от неверни, заблуждаващи или непълни данни във</w:t>
      </w:r>
      <w:r w:rsidR="00AD1EF6">
        <w:t xml:space="preserve"> </w:t>
      </w:r>
      <w:r w:rsidR="00AD1EF6" w:rsidRPr="00AD1EF6">
        <w:t>финансовите отчети на Дружеството, а одиторите – за вредите, причинени в одитираните от тях</w:t>
      </w:r>
      <w:r w:rsidR="00AD1EF6">
        <w:t xml:space="preserve"> </w:t>
      </w:r>
      <w:r w:rsidR="00AD1EF6" w:rsidRPr="00AD1EF6">
        <w:t>финансови отчети.</w:t>
      </w:r>
      <w:r w:rsidR="004D224A" w:rsidRPr="004D224A">
        <w:t xml:space="preserve"> </w:t>
      </w:r>
      <w:r w:rsidR="004D224A" w:rsidRPr="00F01051">
        <w:t xml:space="preserve">В </w:t>
      </w:r>
      <w:r w:rsidR="004D224A" w:rsidRPr="004D224A">
        <w:t>изпълнение на чл. 81, ал. 5 от ЗППЦК точните данни за тези лица са посочени в раздел I, т. 1, 3, и 4 и раздел II</w:t>
      </w:r>
    </w:p>
    <w:p w:rsidR="00AD1EF6" w:rsidRPr="00AD1EF6" w:rsidRDefault="00AD1EF6" w:rsidP="00942CE6"/>
    <w:p w:rsidR="00D81F2F" w:rsidRPr="00D81F2F" w:rsidRDefault="00D81F2F" w:rsidP="00D90A69">
      <w:pPr>
        <w:tabs>
          <w:tab w:val="left" w:pos="2913"/>
        </w:tabs>
        <w:rPr>
          <w:lang w:eastAsia="bg-BG"/>
        </w:rPr>
      </w:pPr>
    </w:p>
    <w:p w:rsidR="00AD4405" w:rsidRPr="00AD4405" w:rsidRDefault="00AD4405" w:rsidP="00AD4405">
      <w:pPr>
        <w:pBdr>
          <w:top w:val="single" w:sz="4" w:space="1" w:color="auto"/>
          <w:bottom w:val="single" w:sz="4" w:space="1" w:color="auto"/>
        </w:pBdr>
        <w:rPr>
          <w:b/>
          <w:sz w:val="16"/>
          <w:szCs w:val="16"/>
          <w:lang w:val="en-US" w:eastAsia="bg-BG"/>
        </w:rPr>
      </w:pPr>
    </w:p>
    <w:p w:rsidR="00D81F2F" w:rsidRDefault="00D81F2F" w:rsidP="00AD4405">
      <w:pPr>
        <w:pBdr>
          <w:top w:val="single" w:sz="4" w:space="1" w:color="auto"/>
          <w:bottom w:val="single" w:sz="4" w:space="1" w:color="auto"/>
        </w:pBdr>
        <w:rPr>
          <w:b/>
          <w:lang w:val="en-US" w:eastAsia="bg-BG"/>
        </w:rPr>
      </w:pPr>
      <w:r w:rsidRPr="00AD4405">
        <w:rPr>
          <w:b/>
          <w:lang w:eastAsia="bg-BG"/>
        </w:rPr>
        <w:t>КОМИСИЯТА ЗА ФИНАНСОВ НАДЗОР Е ПОТВЪРДИЛА ПРОСПЕКТА С РЕШЕНИЕ № ________ ОТ __________ г., КОЕТО НЕ Е ПРЕПОРЪКА ЗА ИНВЕСТИРАНЕ В ПРЕДЛАГАНИТЕ АКЦИИ. КОМИСИЯТА ЗА ФИНАНСОВ НАДЗОР НЕ НОСИ ОТГОВОРНОСТ ЗА ВЕРНОСТТА И ПЪЛНОТАТА НА СЪДЪРЖАЩИТЕ СЕ В ПРОСПЕКТА ДАННИ</w:t>
      </w:r>
    </w:p>
    <w:p w:rsidR="00AD4405" w:rsidRPr="00AD4405" w:rsidRDefault="00AD4405" w:rsidP="00AD4405">
      <w:pPr>
        <w:pBdr>
          <w:top w:val="single" w:sz="4" w:space="1" w:color="auto"/>
          <w:bottom w:val="single" w:sz="4" w:space="1" w:color="auto"/>
        </w:pBdr>
        <w:rPr>
          <w:b/>
          <w:sz w:val="16"/>
          <w:szCs w:val="16"/>
          <w:lang w:val="en-US" w:eastAsia="bg-BG"/>
        </w:rPr>
      </w:pPr>
    </w:p>
    <w:p w:rsidR="00D81F2F" w:rsidRPr="00D81F2F" w:rsidRDefault="00D81F2F" w:rsidP="00942CE6">
      <w:pPr>
        <w:rPr>
          <w:lang w:eastAsia="bg-BG"/>
        </w:rPr>
      </w:pPr>
    </w:p>
    <w:p w:rsidR="00D81F2F" w:rsidRDefault="00D81F2F" w:rsidP="00D90A69">
      <w:pPr>
        <w:tabs>
          <w:tab w:val="left" w:pos="1674"/>
        </w:tabs>
      </w:pPr>
    </w:p>
    <w:p w:rsidR="00CD7CF5" w:rsidRPr="00922B34" w:rsidRDefault="00130C5A" w:rsidP="009D49A0">
      <w:pPr>
        <w:jc w:val="center"/>
      </w:pPr>
      <w:r>
        <w:rPr>
          <w:b/>
        </w:rPr>
        <w:t>2</w:t>
      </w:r>
      <w:r w:rsidR="006A0EAB" w:rsidRPr="006A0EAB">
        <w:rPr>
          <w:b/>
          <w:lang w:val="en-US"/>
        </w:rPr>
        <w:t xml:space="preserve">1 </w:t>
      </w:r>
      <w:r w:rsidR="00922B34" w:rsidRPr="006A0EAB">
        <w:rPr>
          <w:b/>
        </w:rPr>
        <w:t>Май 2012</w:t>
      </w:r>
      <w:r w:rsidR="00A31EC5">
        <w:br w:type="page"/>
      </w:r>
    </w:p>
    <w:p w:rsidR="008E2ED8" w:rsidRDefault="008E2ED8" w:rsidP="00942CE6"/>
    <w:p w:rsidR="00CD7CF5" w:rsidRDefault="0063412D" w:rsidP="00942CE6">
      <w:r>
        <w:t>Инвеститорите могат да получат копие от настоящия проспект на следн</w:t>
      </w:r>
      <w:r w:rsidR="008E2ED8">
        <w:t>я</w:t>
      </w:r>
      <w:r>
        <w:t xml:space="preserve"> адрес:</w:t>
      </w:r>
    </w:p>
    <w:tbl>
      <w:tblPr>
        <w:tblW w:w="0" w:type="auto"/>
        <w:tblInd w:w="108" w:type="dxa"/>
        <w:tblBorders>
          <w:top w:val="single" w:sz="12" w:space="0" w:color="000000"/>
          <w:bottom w:val="single" w:sz="12" w:space="0" w:color="000000"/>
        </w:tblBorders>
        <w:tblLook w:val="04A0"/>
      </w:tblPr>
      <w:tblGrid>
        <w:gridCol w:w="2694"/>
        <w:gridCol w:w="7053"/>
      </w:tblGrid>
      <w:tr w:rsidR="008E2ED8" w:rsidRPr="005A6D82" w:rsidTr="004D07A0">
        <w:tc>
          <w:tcPr>
            <w:tcW w:w="2694" w:type="dxa"/>
            <w:tcBorders>
              <w:bottom w:val="single" w:sz="6" w:space="0" w:color="000000"/>
              <w:right w:val="single" w:sz="6" w:space="0" w:color="000000"/>
            </w:tcBorders>
            <w:shd w:val="clear" w:color="auto" w:fill="auto"/>
          </w:tcPr>
          <w:p w:rsidR="008E2ED8" w:rsidRPr="005A6D82" w:rsidRDefault="008E2ED8" w:rsidP="00942CE6"/>
        </w:tc>
        <w:tc>
          <w:tcPr>
            <w:tcW w:w="7053" w:type="dxa"/>
            <w:tcBorders>
              <w:bottom w:val="single" w:sz="6" w:space="0" w:color="000000"/>
            </w:tcBorders>
            <w:shd w:val="clear" w:color="auto" w:fill="auto"/>
          </w:tcPr>
          <w:p w:rsidR="008E2ED8" w:rsidRPr="005A6D82" w:rsidRDefault="008E2ED8" w:rsidP="008E2ED8">
            <w:pPr>
              <w:jc w:val="center"/>
            </w:pPr>
            <w:r>
              <w:rPr>
                <w:noProof/>
                <w:lang w:eastAsia="bg-BG"/>
              </w:rPr>
              <w:drawing>
                <wp:inline distT="0" distB="0" distL="0" distR="0">
                  <wp:extent cx="1913890" cy="3511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13890" cy="351155"/>
                          </a:xfrm>
                          <a:prstGeom prst="rect">
                            <a:avLst/>
                          </a:prstGeom>
                          <a:noFill/>
                          <a:ln w="9525">
                            <a:noFill/>
                            <a:miter lim="800000"/>
                            <a:headEnd/>
                            <a:tailEnd/>
                          </a:ln>
                        </pic:spPr>
                      </pic:pic>
                    </a:graphicData>
                  </a:graphic>
                </wp:inline>
              </w:drawing>
            </w:r>
          </w:p>
        </w:tc>
      </w:tr>
      <w:tr w:rsidR="008E2ED8" w:rsidRPr="005A6D82" w:rsidTr="004D07A0">
        <w:tc>
          <w:tcPr>
            <w:tcW w:w="2694" w:type="dxa"/>
            <w:tcBorders>
              <w:right w:val="single" w:sz="6" w:space="0" w:color="000000"/>
            </w:tcBorders>
            <w:shd w:val="clear" w:color="auto" w:fill="auto"/>
          </w:tcPr>
          <w:p w:rsidR="008E2ED8" w:rsidRPr="005A6D82" w:rsidRDefault="008E2ED8" w:rsidP="00942CE6"/>
        </w:tc>
        <w:tc>
          <w:tcPr>
            <w:tcW w:w="7053" w:type="dxa"/>
            <w:shd w:val="clear" w:color="auto" w:fill="auto"/>
          </w:tcPr>
          <w:p w:rsidR="008E2ED8" w:rsidRPr="005A6D82" w:rsidRDefault="008E2ED8" w:rsidP="00942CE6"/>
        </w:tc>
      </w:tr>
      <w:tr w:rsidR="008E2ED8" w:rsidRPr="005A6D82" w:rsidTr="004D07A0">
        <w:tc>
          <w:tcPr>
            <w:tcW w:w="2694" w:type="dxa"/>
            <w:tcBorders>
              <w:right w:val="single" w:sz="6" w:space="0" w:color="000000"/>
            </w:tcBorders>
            <w:shd w:val="clear" w:color="auto" w:fill="auto"/>
          </w:tcPr>
          <w:p w:rsidR="008E2ED8" w:rsidRPr="005A6D82" w:rsidRDefault="008E2ED8" w:rsidP="00942CE6">
            <w:r w:rsidRPr="005A6D82">
              <w:t>Адрес:</w:t>
            </w:r>
          </w:p>
        </w:tc>
        <w:tc>
          <w:tcPr>
            <w:tcW w:w="7053" w:type="dxa"/>
            <w:shd w:val="clear" w:color="auto" w:fill="auto"/>
          </w:tcPr>
          <w:p w:rsidR="008E2ED8" w:rsidRPr="005A6D82" w:rsidRDefault="007817E4" w:rsidP="00942CE6">
            <w:r w:rsidRPr="007817E4">
              <w:t>гр. София, ул. Самоковско шосе №1</w:t>
            </w:r>
          </w:p>
        </w:tc>
      </w:tr>
      <w:tr w:rsidR="008E2ED8" w:rsidRPr="005A6D82" w:rsidTr="004D07A0">
        <w:tc>
          <w:tcPr>
            <w:tcW w:w="2694" w:type="dxa"/>
            <w:tcBorders>
              <w:right w:val="single" w:sz="6" w:space="0" w:color="000000"/>
            </w:tcBorders>
            <w:shd w:val="clear" w:color="auto" w:fill="auto"/>
          </w:tcPr>
          <w:p w:rsidR="008E2ED8" w:rsidRPr="005A6D82" w:rsidRDefault="008E2ED8" w:rsidP="00942CE6">
            <w:r w:rsidRPr="005A6D82">
              <w:t>Телефон:</w:t>
            </w:r>
          </w:p>
        </w:tc>
        <w:tc>
          <w:tcPr>
            <w:tcW w:w="7053" w:type="dxa"/>
            <w:shd w:val="clear" w:color="auto" w:fill="auto"/>
          </w:tcPr>
          <w:p w:rsidR="008E2ED8" w:rsidRPr="005A6D82" w:rsidRDefault="007817E4" w:rsidP="00942CE6">
            <w:r w:rsidRPr="007817E4">
              <w:t>02 8173 999</w:t>
            </w:r>
          </w:p>
        </w:tc>
      </w:tr>
      <w:tr w:rsidR="008E2ED8" w:rsidRPr="005A6D82" w:rsidTr="004D07A0">
        <w:tc>
          <w:tcPr>
            <w:tcW w:w="2694" w:type="dxa"/>
            <w:tcBorders>
              <w:right w:val="single" w:sz="6" w:space="0" w:color="000000"/>
            </w:tcBorders>
            <w:shd w:val="clear" w:color="auto" w:fill="auto"/>
          </w:tcPr>
          <w:p w:rsidR="008E2ED8" w:rsidRPr="005A6D82" w:rsidRDefault="008E2ED8" w:rsidP="00942CE6">
            <w:r w:rsidRPr="005A6D82">
              <w:t>Лице за контакти:</w:t>
            </w:r>
          </w:p>
        </w:tc>
        <w:tc>
          <w:tcPr>
            <w:tcW w:w="7053" w:type="dxa"/>
            <w:shd w:val="clear" w:color="auto" w:fill="auto"/>
          </w:tcPr>
          <w:p w:rsidR="008E2ED8" w:rsidRPr="005A6D82" w:rsidRDefault="007817E4" w:rsidP="00942CE6">
            <w:r>
              <w:t>Ана Бонева</w:t>
            </w:r>
          </w:p>
        </w:tc>
      </w:tr>
    </w:tbl>
    <w:p w:rsidR="003F0294" w:rsidRDefault="003F0294" w:rsidP="00942CE6"/>
    <w:p w:rsidR="003A2628" w:rsidRPr="003A2628" w:rsidRDefault="003A2628" w:rsidP="00942CE6">
      <w:r w:rsidRPr="003A2628">
        <w:t>Информация за Дружеството може да бъде получена и от страниците в Интернет на:</w:t>
      </w:r>
    </w:p>
    <w:p w:rsidR="003A2628" w:rsidRPr="003A2628" w:rsidRDefault="003A2628" w:rsidP="00942CE6">
      <w:r w:rsidRPr="003A2628">
        <w:t>„Българска фондова борса – София” АД, гр. София, ул. „Три уши“ № 10, тел.: +359 (2) 937 09 34;</w:t>
      </w:r>
      <w:r>
        <w:t xml:space="preserve"> </w:t>
      </w:r>
      <w:r w:rsidRPr="003A2628">
        <w:t>www.bse-sofia.bg;</w:t>
      </w:r>
    </w:p>
    <w:p w:rsidR="003A2628" w:rsidRDefault="003A2628" w:rsidP="00942CE6">
      <w:r w:rsidRPr="003A2628">
        <w:t>Комисия за финансов надзор, гр. София, ул. „Шар планина“ № 33, тел. централа: +359 (2) 940</w:t>
      </w:r>
      <w:r>
        <w:t xml:space="preserve"> </w:t>
      </w:r>
      <w:r w:rsidRPr="003A2628">
        <w:t>49 99; www.fsc.bg.</w:t>
      </w:r>
    </w:p>
    <w:p w:rsidR="003A2628" w:rsidRDefault="003A2628" w:rsidP="00942CE6"/>
    <w:p w:rsidR="00A31EC5" w:rsidRPr="00BE280E" w:rsidRDefault="00BE280E" w:rsidP="00942CE6">
      <w:r w:rsidRPr="00BE280E">
        <w:t>Инвестирането в акции е свързано с определени рискове. В интерес на инвеститорите е да се запознаят с този</w:t>
      </w:r>
      <w:r>
        <w:t xml:space="preserve"> </w:t>
      </w:r>
      <w:r w:rsidRPr="00BE280E">
        <w:t>Проспект</w:t>
      </w:r>
      <w:r>
        <w:t xml:space="preserve"> и особено</w:t>
      </w:r>
      <w:r w:rsidRPr="00BE280E">
        <w:t xml:space="preserve"> </w:t>
      </w:r>
      <w:r>
        <w:t>с</w:t>
      </w:r>
      <w:r w:rsidRPr="00BE280E">
        <w:t xml:space="preserve"> раздел “Рискови Фактори</w:t>
      </w:r>
      <w:r w:rsidRPr="007817E4">
        <w:t xml:space="preserve">” на стр </w:t>
      </w:r>
      <w:r w:rsidR="001E7C80" w:rsidRPr="007817E4">
        <w:fldChar w:fldCharType="begin"/>
      </w:r>
      <w:r w:rsidR="007817E4" w:rsidRPr="007817E4">
        <w:instrText xml:space="preserve"> PAGEREF _Ref324171571 \h </w:instrText>
      </w:r>
      <w:r w:rsidR="001E7C80" w:rsidRPr="007817E4">
        <w:fldChar w:fldCharType="separate"/>
      </w:r>
      <w:r w:rsidR="00E802DD">
        <w:rPr>
          <w:noProof/>
        </w:rPr>
        <w:t>9</w:t>
      </w:r>
      <w:r w:rsidR="001E7C80" w:rsidRPr="007817E4">
        <w:fldChar w:fldCharType="end"/>
      </w:r>
      <w:r w:rsidR="007817E4" w:rsidRPr="007817E4">
        <w:t xml:space="preserve"> </w:t>
      </w:r>
      <w:r w:rsidRPr="007817E4">
        <w:t>от Проспекта, преди да вземат инвестиционно решение.</w:t>
      </w:r>
    </w:p>
    <w:p w:rsidR="003A2628" w:rsidRDefault="003A2628" w:rsidP="00942CE6"/>
    <w:p w:rsidR="003A2628" w:rsidRDefault="003A2628" w:rsidP="00942CE6"/>
    <w:p w:rsidR="003A2628" w:rsidRDefault="003A2628" w:rsidP="00942CE6"/>
    <w:p w:rsidR="003A2628" w:rsidRDefault="003A2628" w:rsidP="00942CE6"/>
    <w:p w:rsidR="003A2628" w:rsidRDefault="003A2628" w:rsidP="00942CE6"/>
    <w:p w:rsidR="00F349A8" w:rsidRDefault="00EA1CC6" w:rsidP="00F349A8">
      <w:pPr>
        <w:rPr>
          <w:b/>
          <w:sz w:val="32"/>
          <w:szCs w:val="32"/>
        </w:rPr>
      </w:pPr>
      <w:r>
        <w:br w:type="page"/>
      </w:r>
      <w:r w:rsidR="0010403B" w:rsidRPr="0010403B">
        <w:rPr>
          <w:b/>
          <w:sz w:val="32"/>
          <w:szCs w:val="32"/>
        </w:rPr>
        <w:t>СЪДЪРЖАНИЕ</w:t>
      </w:r>
    </w:p>
    <w:sdt>
      <w:sdtPr>
        <w:rPr>
          <w:rFonts w:ascii="Times New Roman" w:eastAsia="Times New Roman" w:hAnsi="Times New Roman" w:cs="Times New Roman"/>
          <w:b w:val="0"/>
          <w:bCs w:val="0"/>
          <w:color w:val="auto"/>
          <w:sz w:val="24"/>
          <w:szCs w:val="24"/>
          <w:lang w:val="bg-BG"/>
        </w:rPr>
        <w:id w:val="110251656"/>
        <w:docPartObj>
          <w:docPartGallery w:val="Table of Contents"/>
          <w:docPartUnique/>
        </w:docPartObj>
      </w:sdtPr>
      <w:sdtContent>
        <w:p w:rsidR="00F349A8" w:rsidRDefault="00F349A8" w:rsidP="00ED0D9E">
          <w:pPr>
            <w:pStyle w:val="TOCHeading"/>
            <w:outlineLvl w:val="2"/>
          </w:pPr>
        </w:p>
        <w:p w:rsidR="00ED0D9E" w:rsidRDefault="001E7C80">
          <w:pPr>
            <w:pStyle w:val="TOC1"/>
            <w:tabs>
              <w:tab w:val="left" w:pos="440"/>
              <w:tab w:val="right" w:leader="dot" w:pos="9771"/>
            </w:tabs>
            <w:rPr>
              <w:rFonts w:asciiTheme="minorHAnsi" w:eastAsiaTheme="minorEastAsia" w:hAnsiTheme="minorHAnsi" w:cstheme="minorBidi"/>
              <w:noProof/>
              <w:sz w:val="22"/>
              <w:szCs w:val="22"/>
              <w:lang w:eastAsia="bg-BG"/>
            </w:rPr>
          </w:pPr>
          <w:r>
            <w:fldChar w:fldCharType="begin"/>
          </w:r>
          <w:r w:rsidR="00F349A8">
            <w:instrText xml:space="preserve"> TOC \o "1-3" \h \z \u </w:instrText>
          </w:r>
          <w:r>
            <w:fldChar w:fldCharType="separate"/>
          </w:r>
          <w:hyperlink w:anchor="_Toc324380051" w:history="1">
            <w:r w:rsidR="00ED0D9E" w:rsidRPr="00F21BF1">
              <w:rPr>
                <w:rStyle w:val="Hyperlink"/>
                <w:smallCaps/>
                <w:noProof/>
              </w:rPr>
              <w:t>1.</w:t>
            </w:r>
            <w:r w:rsidR="00ED0D9E">
              <w:rPr>
                <w:rFonts w:asciiTheme="minorHAnsi" w:eastAsiaTheme="minorEastAsia" w:hAnsiTheme="minorHAnsi" w:cstheme="minorBidi"/>
                <w:noProof/>
                <w:sz w:val="22"/>
                <w:szCs w:val="22"/>
                <w:lang w:eastAsia="bg-BG"/>
              </w:rPr>
              <w:tab/>
            </w:r>
            <w:r w:rsidR="00ED0D9E" w:rsidRPr="00F21BF1">
              <w:rPr>
                <w:rStyle w:val="Hyperlink"/>
                <w:smallCaps/>
                <w:noProof/>
              </w:rPr>
              <w:t>Данни за членовете на управителните и на контролните органи, прокуристите, консултантите, одиторите на „СПИДИ” ЕАД. Отговорност за изготвяне на регистрационния документ</w:t>
            </w:r>
            <w:r w:rsidR="00ED0D9E">
              <w:rPr>
                <w:noProof/>
                <w:webHidden/>
              </w:rPr>
              <w:tab/>
            </w:r>
            <w:r>
              <w:rPr>
                <w:rStyle w:val="Hyperlink"/>
                <w:noProof/>
              </w:rPr>
              <w:fldChar w:fldCharType="begin"/>
            </w:r>
            <w:r w:rsidR="00ED0D9E">
              <w:rPr>
                <w:noProof/>
                <w:webHidden/>
              </w:rPr>
              <w:instrText xml:space="preserve"> PAGEREF _Toc324380051 \h </w:instrText>
            </w:r>
            <w:r>
              <w:rPr>
                <w:rStyle w:val="Hyperlink"/>
                <w:noProof/>
              </w:rPr>
            </w:r>
            <w:r>
              <w:rPr>
                <w:rStyle w:val="Hyperlink"/>
                <w:noProof/>
              </w:rPr>
              <w:fldChar w:fldCharType="separate"/>
            </w:r>
            <w:r w:rsidR="00394B64">
              <w:rPr>
                <w:noProof/>
                <w:webHidden/>
              </w:rPr>
              <w:t>6</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52" w:history="1">
            <w:r w:rsidR="00ED0D9E" w:rsidRPr="00F21BF1">
              <w:rPr>
                <w:rStyle w:val="Hyperlink"/>
                <w:i/>
                <w:smallCaps/>
                <w:noProof/>
              </w:rPr>
              <w:t>1.1.</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Данни за членовете на Съвета на директорите на Дружеството</w:t>
            </w:r>
            <w:r w:rsidR="00ED0D9E">
              <w:rPr>
                <w:noProof/>
                <w:webHidden/>
              </w:rPr>
              <w:tab/>
            </w:r>
            <w:r>
              <w:rPr>
                <w:rStyle w:val="Hyperlink"/>
                <w:noProof/>
              </w:rPr>
              <w:fldChar w:fldCharType="begin"/>
            </w:r>
            <w:r w:rsidR="00ED0D9E">
              <w:rPr>
                <w:noProof/>
                <w:webHidden/>
              </w:rPr>
              <w:instrText xml:space="preserve"> PAGEREF _Toc324380052 \h </w:instrText>
            </w:r>
            <w:r>
              <w:rPr>
                <w:rStyle w:val="Hyperlink"/>
                <w:noProof/>
              </w:rPr>
            </w:r>
            <w:r>
              <w:rPr>
                <w:rStyle w:val="Hyperlink"/>
                <w:noProof/>
              </w:rPr>
              <w:fldChar w:fldCharType="separate"/>
            </w:r>
            <w:r w:rsidR="00394B64">
              <w:rPr>
                <w:noProof/>
                <w:webHidden/>
              </w:rPr>
              <w:t>6</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53" w:history="1">
            <w:r w:rsidR="00ED0D9E" w:rsidRPr="00F21BF1">
              <w:rPr>
                <w:rStyle w:val="Hyperlink"/>
                <w:i/>
                <w:smallCaps/>
                <w:noProof/>
              </w:rPr>
              <w:t>1.2.</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Основните банки, инвестиционни посредници, партньори и консултанти.</w:t>
            </w:r>
            <w:r w:rsidR="00ED0D9E">
              <w:rPr>
                <w:noProof/>
                <w:webHidden/>
              </w:rPr>
              <w:tab/>
            </w:r>
            <w:r>
              <w:rPr>
                <w:rStyle w:val="Hyperlink"/>
                <w:noProof/>
              </w:rPr>
              <w:fldChar w:fldCharType="begin"/>
            </w:r>
            <w:r w:rsidR="00ED0D9E">
              <w:rPr>
                <w:noProof/>
                <w:webHidden/>
              </w:rPr>
              <w:instrText xml:space="preserve"> PAGEREF _Toc324380053 \h </w:instrText>
            </w:r>
            <w:r>
              <w:rPr>
                <w:rStyle w:val="Hyperlink"/>
                <w:noProof/>
              </w:rPr>
            </w:r>
            <w:r>
              <w:rPr>
                <w:rStyle w:val="Hyperlink"/>
                <w:noProof/>
              </w:rPr>
              <w:fldChar w:fldCharType="separate"/>
            </w:r>
            <w:r w:rsidR="00394B64">
              <w:rPr>
                <w:noProof/>
                <w:webHidden/>
              </w:rPr>
              <w:t>6</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54" w:history="1">
            <w:r w:rsidR="00ED0D9E" w:rsidRPr="00F21BF1">
              <w:rPr>
                <w:rStyle w:val="Hyperlink"/>
                <w:i/>
                <w:smallCaps/>
                <w:noProof/>
              </w:rPr>
              <w:t>1.3.</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Лица, отговорни за изготвянето на регистрационния документ</w:t>
            </w:r>
            <w:r w:rsidR="00ED0D9E">
              <w:rPr>
                <w:noProof/>
                <w:webHidden/>
              </w:rPr>
              <w:tab/>
            </w:r>
            <w:r>
              <w:rPr>
                <w:rStyle w:val="Hyperlink"/>
                <w:noProof/>
              </w:rPr>
              <w:fldChar w:fldCharType="begin"/>
            </w:r>
            <w:r w:rsidR="00ED0D9E">
              <w:rPr>
                <w:noProof/>
                <w:webHidden/>
              </w:rPr>
              <w:instrText xml:space="preserve"> PAGEREF _Toc324380054 \h </w:instrText>
            </w:r>
            <w:r>
              <w:rPr>
                <w:rStyle w:val="Hyperlink"/>
                <w:noProof/>
              </w:rPr>
            </w:r>
            <w:r>
              <w:rPr>
                <w:rStyle w:val="Hyperlink"/>
                <w:noProof/>
              </w:rPr>
              <w:fldChar w:fldCharType="separate"/>
            </w:r>
            <w:r w:rsidR="00394B64">
              <w:rPr>
                <w:noProof/>
                <w:webHidden/>
              </w:rPr>
              <w:t>6</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55" w:history="1">
            <w:r w:rsidR="00ED0D9E" w:rsidRPr="00F21BF1">
              <w:rPr>
                <w:rStyle w:val="Hyperlink"/>
                <w:i/>
                <w:smallCaps/>
                <w:noProof/>
              </w:rPr>
              <w:t>1.4.</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Oдитори.</w:t>
            </w:r>
            <w:r w:rsidR="00ED0D9E">
              <w:rPr>
                <w:noProof/>
                <w:webHidden/>
              </w:rPr>
              <w:tab/>
            </w:r>
            <w:r>
              <w:rPr>
                <w:rStyle w:val="Hyperlink"/>
                <w:noProof/>
              </w:rPr>
              <w:fldChar w:fldCharType="begin"/>
            </w:r>
            <w:r w:rsidR="00ED0D9E">
              <w:rPr>
                <w:noProof/>
                <w:webHidden/>
              </w:rPr>
              <w:instrText xml:space="preserve"> PAGEREF _Toc324380055 \h </w:instrText>
            </w:r>
            <w:r>
              <w:rPr>
                <w:rStyle w:val="Hyperlink"/>
                <w:noProof/>
              </w:rPr>
            </w:r>
            <w:r>
              <w:rPr>
                <w:rStyle w:val="Hyperlink"/>
                <w:noProof/>
              </w:rPr>
              <w:fldChar w:fldCharType="separate"/>
            </w:r>
            <w:r w:rsidR="00394B64">
              <w:rPr>
                <w:noProof/>
                <w:webHidden/>
              </w:rPr>
              <w:t>7</w:t>
            </w:r>
            <w:r>
              <w:rPr>
                <w:rStyle w:val="Hyperlink"/>
                <w:noProof/>
              </w:rPr>
              <w:fldChar w:fldCharType="end"/>
            </w:r>
          </w:hyperlink>
        </w:p>
        <w:p w:rsidR="00ED0D9E" w:rsidRDefault="001E7C80">
          <w:pPr>
            <w:pStyle w:val="TOC1"/>
            <w:tabs>
              <w:tab w:val="left" w:pos="440"/>
              <w:tab w:val="right" w:leader="dot" w:pos="9771"/>
            </w:tabs>
            <w:rPr>
              <w:rFonts w:asciiTheme="minorHAnsi" w:eastAsiaTheme="minorEastAsia" w:hAnsiTheme="minorHAnsi" w:cstheme="minorBidi"/>
              <w:noProof/>
              <w:sz w:val="22"/>
              <w:szCs w:val="22"/>
              <w:lang w:eastAsia="bg-BG"/>
            </w:rPr>
          </w:pPr>
          <w:hyperlink w:anchor="_Toc324380056" w:history="1">
            <w:r w:rsidR="00ED0D9E" w:rsidRPr="00F21BF1">
              <w:rPr>
                <w:rStyle w:val="Hyperlink"/>
                <w:smallCaps/>
                <w:noProof/>
              </w:rPr>
              <w:t>2.</w:t>
            </w:r>
            <w:r w:rsidR="00ED0D9E">
              <w:rPr>
                <w:rFonts w:asciiTheme="minorHAnsi" w:eastAsiaTheme="minorEastAsia" w:hAnsiTheme="minorHAnsi" w:cstheme="minorBidi"/>
                <w:noProof/>
                <w:sz w:val="22"/>
                <w:szCs w:val="22"/>
                <w:lang w:eastAsia="bg-BG"/>
              </w:rPr>
              <w:tab/>
            </w:r>
            <w:r w:rsidR="00ED0D9E" w:rsidRPr="00F21BF1">
              <w:rPr>
                <w:rStyle w:val="Hyperlink"/>
                <w:smallCaps/>
                <w:noProof/>
              </w:rPr>
              <w:t>Систематизирана финансова информация</w:t>
            </w:r>
            <w:r w:rsidR="00ED0D9E">
              <w:rPr>
                <w:noProof/>
                <w:webHidden/>
              </w:rPr>
              <w:tab/>
            </w:r>
            <w:r>
              <w:rPr>
                <w:rStyle w:val="Hyperlink"/>
                <w:noProof/>
              </w:rPr>
              <w:fldChar w:fldCharType="begin"/>
            </w:r>
            <w:r w:rsidR="00ED0D9E">
              <w:rPr>
                <w:noProof/>
                <w:webHidden/>
              </w:rPr>
              <w:instrText xml:space="preserve"> PAGEREF _Toc324380056 \h </w:instrText>
            </w:r>
            <w:r>
              <w:rPr>
                <w:rStyle w:val="Hyperlink"/>
                <w:noProof/>
              </w:rPr>
            </w:r>
            <w:r>
              <w:rPr>
                <w:rStyle w:val="Hyperlink"/>
                <w:noProof/>
              </w:rPr>
              <w:fldChar w:fldCharType="separate"/>
            </w:r>
            <w:r w:rsidR="00394B64">
              <w:rPr>
                <w:noProof/>
                <w:webHidden/>
              </w:rPr>
              <w:t>8</w:t>
            </w:r>
            <w:r>
              <w:rPr>
                <w:rStyle w:val="Hyperlink"/>
                <w:noProof/>
              </w:rPr>
              <w:fldChar w:fldCharType="end"/>
            </w:r>
          </w:hyperlink>
        </w:p>
        <w:p w:rsidR="00ED0D9E" w:rsidRDefault="001E7C80">
          <w:pPr>
            <w:pStyle w:val="TOC1"/>
            <w:tabs>
              <w:tab w:val="left" w:pos="440"/>
              <w:tab w:val="right" w:leader="dot" w:pos="9771"/>
            </w:tabs>
            <w:rPr>
              <w:rFonts w:asciiTheme="minorHAnsi" w:eastAsiaTheme="minorEastAsia" w:hAnsiTheme="minorHAnsi" w:cstheme="minorBidi"/>
              <w:noProof/>
              <w:sz w:val="22"/>
              <w:szCs w:val="22"/>
              <w:lang w:eastAsia="bg-BG"/>
            </w:rPr>
          </w:pPr>
          <w:hyperlink w:anchor="_Toc324380057" w:history="1">
            <w:r w:rsidR="00ED0D9E" w:rsidRPr="00F21BF1">
              <w:rPr>
                <w:rStyle w:val="Hyperlink"/>
                <w:smallCaps/>
                <w:noProof/>
              </w:rPr>
              <w:t>3.</w:t>
            </w:r>
            <w:r w:rsidR="00ED0D9E">
              <w:rPr>
                <w:rFonts w:asciiTheme="minorHAnsi" w:eastAsiaTheme="minorEastAsia" w:hAnsiTheme="minorHAnsi" w:cstheme="minorBidi"/>
                <w:noProof/>
                <w:sz w:val="22"/>
                <w:szCs w:val="22"/>
                <w:lang w:eastAsia="bg-BG"/>
              </w:rPr>
              <w:tab/>
            </w:r>
            <w:r w:rsidR="00ED0D9E" w:rsidRPr="00F21BF1">
              <w:rPr>
                <w:rStyle w:val="Hyperlink"/>
                <w:smallCaps/>
                <w:noProof/>
              </w:rPr>
              <w:t>Рискови фактори</w:t>
            </w:r>
            <w:r w:rsidR="00ED0D9E">
              <w:rPr>
                <w:noProof/>
                <w:webHidden/>
              </w:rPr>
              <w:tab/>
            </w:r>
            <w:r>
              <w:rPr>
                <w:rStyle w:val="Hyperlink"/>
                <w:noProof/>
              </w:rPr>
              <w:fldChar w:fldCharType="begin"/>
            </w:r>
            <w:r w:rsidR="00ED0D9E">
              <w:rPr>
                <w:noProof/>
                <w:webHidden/>
              </w:rPr>
              <w:instrText xml:space="preserve"> PAGEREF _Toc324380057 \h </w:instrText>
            </w:r>
            <w:r>
              <w:rPr>
                <w:rStyle w:val="Hyperlink"/>
                <w:noProof/>
              </w:rPr>
            </w:r>
            <w:r>
              <w:rPr>
                <w:rStyle w:val="Hyperlink"/>
                <w:noProof/>
              </w:rPr>
              <w:fldChar w:fldCharType="separate"/>
            </w:r>
            <w:r w:rsidR="00394B64">
              <w:rPr>
                <w:noProof/>
                <w:webHidden/>
              </w:rPr>
              <w:t>9</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58" w:history="1">
            <w:r w:rsidR="00ED0D9E" w:rsidRPr="00F21BF1">
              <w:rPr>
                <w:rStyle w:val="Hyperlink"/>
                <w:i/>
                <w:smallCaps/>
                <w:noProof/>
              </w:rPr>
              <w:t>3.1.</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Макроикономически риск</w:t>
            </w:r>
            <w:r w:rsidR="00ED0D9E">
              <w:rPr>
                <w:noProof/>
                <w:webHidden/>
              </w:rPr>
              <w:tab/>
            </w:r>
            <w:r>
              <w:rPr>
                <w:rStyle w:val="Hyperlink"/>
                <w:noProof/>
              </w:rPr>
              <w:fldChar w:fldCharType="begin"/>
            </w:r>
            <w:r w:rsidR="00ED0D9E">
              <w:rPr>
                <w:noProof/>
                <w:webHidden/>
              </w:rPr>
              <w:instrText xml:space="preserve"> PAGEREF _Toc324380058 \h </w:instrText>
            </w:r>
            <w:r>
              <w:rPr>
                <w:rStyle w:val="Hyperlink"/>
                <w:noProof/>
              </w:rPr>
            </w:r>
            <w:r>
              <w:rPr>
                <w:rStyle w:val="Hyperlink"/>
                <w:noProof/>
              </w:rPr>
              <w:fldChar w:fldCharType="separate"/>
            </w:r>
            <w:r w:rsidR="00394B64">
              <w:rPr>
                <w:noProof/>
                <w:webHidden/>
              </w:rPr>
              <w:t>9</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59" w:history="1">
            <w:r w:rsidR="00ED0D9E" w:rsidRPr="00F21BF1">
              <w:rPr>
                <w:rStyle w:val="Hyperlink"/>
                <w:i/>
                <w:smallCaps/>
                <w:noProof/>
              </w:rPr>
              <w:t>3.1.1.</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Регулаторен риск</w:t>
            </w:r>
            <w:r w:rsidR="00ED0D9E">
              <w:rPr>
                <w:noProof/>
                <w:webHidden/>
              </w:rPr>
              <w:tab/>
            </w:r>
            <w:r>
              <w:rPr>
                <w:rStyle w:val="Hyperlink"/>
                <w:noProof/>
              </w:rPr>
              <w:fldChar w:fldCharType="begin"/>
            </w:r>
            <w:r w:rsidR="00ED0D9E">
              <w:rPr>
                <w:noProof/>
                <w:webHidden/>
              </w:rPr>
              <w:instrText xml:space="preserve"> PAGEREF _Toc324380059 \h </w:instrText>
            </w:r>
            <w:r>
              <w:rPr>
                <w:rStyle w:val="Hyperlink"/>
                <w:noProof/>
              </w:rPr>
            </w:r>
            <w:r>
              <w:rPr>
                <w:rStyle w:val="Hyperlink"/>
                <w:noProof/>
              </w:rPr>
              <w:fldChar w:fldCharType="separate"/>
            </w:r>
            <w:r w:rsidR="00394B64">
              <w:rPr>
                <w:noProof/>
                <w:webHidden/>
              </w:rPr>
              <w:t>9</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60" w:history="1">
            <w:r w:rsidR="00ED0D9E" w:rsidRPr="00F21BF1">
              <w:rPr>
                <w:rStyle w:val="Hyperlink"/>
                <w:i/>
                <w:smallCaps/>
                <w:noProof/>
              </w:rPr>
              <w:t>3.1.2.</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Лихвен и кредитен риск</w:t>
            </w:r>
            <w:r w:rsidR="00ED0D9E">
              <w:rPr>
                <w:noProof/>
                <w:webHidden/>
              </w:rPr>
              <w:tab/>
            </w:r>
            <w:r>
              <w:rPr>
                <w:rStyle w:val="Hyperlink"/>
                <w:noProof/>
              </w:rPr>
              <w:fldChar w:fldCharType="begin"/>
            </w:r>
            <w:r w:rsidR="00ED0D9E">
              <w:rPr>
                <w:noProof/>
                <w:webHidden/>
              </w:rPr>
              <w:instrText xml:space="preserve"> PAGEREF _Toc324380060 \h </w:instrText>
            </w:r>
            <w:r>
              <w:rPr>
                <w:rStyle w:val="Hyperlink"/>
                <w:noProof/>
              </w:rPr>
            </w:r>
            <w:r>
              <w:rPr>
                <w:rStyle w:val="Hyperlink"/>
                <w:noProof/>
              </w:rPr>
              <w:fldChar w:fldCharType="separate"/>
            </w:r>
            <w:r w:rsidR="00394B64">
              <w:rPr>
                <w:noProof/>
                <w:webHidden/>
              </w:rPr>
              <w:t>10</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61" w:history="1">
            <w:r w:rsidR="00ED0D9E" w:rsidRPr="00F21BF1">
              <w:rPr>
                <w:rStyle w:val="Hyperlink"/>
                <w:i/>
                <w:smallCaps/>
                <w:noProof/>
              </w:rPr>
              <w:t>3.1.3.</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Инфлационен риск</w:t>
            </w:r>
            <w:r w:rsidR="00ED0D9E">
              <w:rPr>
                <w:noProof/>
                <w:webHidden/>
              </w:rPr>
              <w:tab/>
            </w:r>
            <w:r>
              <w:rPr>
                <w:rStyle w:val="Hyperlink"/>
                <w:noProof/>
              </w:rPr>
              <w:fldChar w:fldCharType="begin"/>
            </w:r>
            <w:r w:rsidR="00ED0D9E">
              <w:rPr>
                <w:noProof/>
                <w:webHidden/>
              </w:rPr>
              <w:instrText xml:space="preserve"> PAGEREF _Toc324380061 \h </w:instrText>
            </w:r>
            <w:r>
              <w:rPr>
                <w:rStyle w:val="Hyperlink"/>
                <w:noProof/>
              </w:rPr>
            </w:r>
            <w:r>
              <w:rPr>
                <w:rStyle w:val="Hyperlink"/>
                <w:noProof/>
              </w:rPr>
              <w:fldChar w:fldCharType="separate"/>
            </w:r>
            <w:r w:rsidR="00394B64">
              <w:rPr>
                <w:noProof/>
                <w:webHidden/>
              </w:rPr>
              <w:t>10</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62" w:history="1">
            <w:r w:rsidR="00ED0D9E" w:rsidRPr="00F21BF1">
              <w:rPr>
                <w:rStyle w:val="Hyperlink"/>
                <w:i/>
                <w:smallCaps/>
                <w:noProof/>
              </w:rPr>
              <w:t>3.1.4.</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Валутен риск</w:t>
            </w:r>
            <w:r w:rsidR="00ED0D9E">
              <w:rPr>
                <w:noProof/>
                <w:webHidden/>
              </w:rPr>
              <w:tab/>
            </w:r>
            <w:r>
              <w:rPr>
                <w:rStyle w:val="Hyperlink"/>
                <w:noProof/>
              </w:rPr>
              <w:fldChar w:fldCharType="begin"/>
            </w:r>
            <w:r w:rsidR="00ED0D9E">
              <w:rPr>
                <w:noProof/>
                <w:webHidden/>
              </w:rPr>
              <w:instrText xml:space="preserve"> PAGEREF _Toc324380062 \h </w:instrText>
            </w:r>
            <w:r>
              <w:rPr>
                <w:rStyle w:val="Hyperlink"/>
                <w:noProof/>
              </w:rPr>
            </w:r>
            <w:r>
              <w:rPr>
                <w:rStyle w:val="Hyperlink"/>
                <w:noProof/>
              </w:rPr>
              <w:fldChar w:fldCharType="separate"/>
            </w:r>
            <w:r w:rsidR="00394B64">
              <w:rPr>
                <w:noProof/>
                <w:webHidden/>
              </w:rPr>
              <w:t>11</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63" w:history="1">
            <w:r w:rsidR="00ED0D9E" w:rsidRPr="00F21BF1">
              <w:rPr>
                <w:rStyle w:val="Hyperlink"/>
                <w:i/>
                <w:smallCaps/>
                <w:noProof/>
              </w:rPr>
              <w:t>3.2.</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Форсмажорни обстоятелства</w:t>
            </w:r>
            <w:r w:rsidR="00ED0D9E">
              <w:rPr>
                <w:noProof/>
                <w:webHidden/>
              </w:rPr>
              <w:tab/>
            </w:r>
            <w:r>
              <w:rPr>
                <w:rStyle w:val="Hyperlink"/>
                <w:noProof/>
              </w:rPr>
              <w:fldChar w:fldCharType="begin"/>
            </w:r>
            <w:r w:rsidR="00ED0D9E">
              <w:rPr>
                <w:noProof/>
                <w:webHidden/>
              </w:rPr>
              <w:instrText xml:space="preserve"> PAGEREF _Toc324380063 \h </w:instrText>
            </w:r>
            <w:r>
              <w:rPr>
                <w:rStyle w:val="Hyperlink"/>
                <w:noProof/>
              </w:rPr>
            </w:r>
            <w:r>
              <w:rPr>
                <w:rStyle w:val="Hyperlink"/>
                <w:noProof/>
              </w:rPr>
              <w:fldChar w:fldCharType="separate"/>
            </w:r>
            <w:r w:rsidR="00394B64">
              <w:rPr>
                <w:noProof/>
                <w:webHidden/>
              </w:rPr>
              <w:t>11</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64" w:history="1">
            <w:r w:rsidR="00ED0D9E" w:rsidRPr="00F21BF1">
              <w:rPr>
                <w:rStyle w:val="Hyperlink"/>
                <w:i/>
                <w:smallCaps/>
                <w:noProof/>
              </w:rPr>
              <w:t>3.3.</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Риск от неизпълнение на насрещната страна</w:t>
            </w:r>
            <w:r w:rsidR="00ED0D9E">
              <w:rPr>
                <w:noProof/>
                <w:webHidden/>
              </w:rPr>
              <w:tab/>
            </w:r>
            <w:r>
              <w:rPr>
                <w:rStyle w:val="Hyperlink"/>
                <w:noProof/>
              </w:rPr>
              <w:fldChar w:fldCharType="begin"/>
            </w:r>
            <w:r w:rsidR="00ED0D9E">
              <w:rPr>
                <w:noProof/>
                <w:webHidden/>
              </w:rPr>
              <w:instrText xml:space="preserve"> PAGEREF _Toc324380064 \h </w:instrText>
            </w:r>
            <w:r>
              <w:rPr>
                <w:rStyle w:val="Hyperlink"/>
                <w:noProof/>
              </w:rPr>
            </w:r>
            <w:r>
              <w:rPr>
                <w:rStyle w:val="Hyperlink"/>
                <w:noProof/>
              </w:rPr>
              <w:fldChar w:fldCharType="separate"/>
            </w:r>
            <w:r w:rsidR="00394B64">
              <w:rPr>
                <w:noProof/>
                <w:webHidden/>
              </w:rPr>
              <w:t>11</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65" w:history="1">
            <w:r w:rsidR="00ED0D9E" w:rsidRPr="00F21BF1">
              <w:rPr>
                <w:rStyle w:val="Hyperlink"/>
                <w:i/>
                <w:smallCaps/>
                <w:noProof/>
              </w:rPr>
              <w:t>3.4.</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Изменение в цената на горивата</w:t>
            </w:r>
            <w:r w:rsidR="00ED0D9E">
              <w:rPr>
                <w:noProof/>
                <w:webHidden/>
              </w:rPr>
              <w:tab/>
            </w:r>
            <w:r>
              <w:rPr>
                <w:rStyle w:val="Hyperlink"/>
                <w:noProof/>
              </w:rPr>
              <w:fldChar w:fldCharType="begin"/>
            </w:r>
            <w:r w:rsidR="00ED0D9E">
              <w:rPr>
                <w:noProof/>
                <w:webHidden/>
              </w:rPr>
              <w:instrText xml:space="preserve"> PAGEREF _Toc324380065 \h </w:instrText>
            </w:r>
            <w:r>
              <w:rPr>
                <w:rStyle w:val="Hyperlink"/>
                <w:noProof/>
              </w:rPr>
            </w:r>
            <w:r>
              <w:rPr>
                <w:rStyle w:val="Hyperlink"/>
                <w:noProof/>
              </w:rPr>
              <w:fldChar w:fldCharType="separate"/>
            </w:r>
            <w:r w:rsidR="00394B64">
              <w:rPr>
                <w:noProof/>
                <w:webHidden/>
              </w:rPr>
              <w:t>12</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66" w:history="1">
            <w:r w:rsidR="00ED0D9E" w:rsidRPr="00F21BF1">
              <w:rPr>
                <w:rStyle w:val="Hyperlink"/>
                <w:i/>
                <w:smallCaps/>
                <w:noProof/>
              </w:rPr>
              <w:t>3.5.</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Оперативен риск</w:t>
            </w:r>
            <w:r w:rsidR="00ED0D9E">
              <w:rPr>
                <w:noProof/>
                <w:webHidden/>
              </w:rPr>
              <w:tab/>
            </w:r>
            <w:r>
              <w:rPr>
                <w:rStyle w:val="Hyperlink"/>
                <w:noProof/>
              </w:rPr>
              <w:fldChar w:fldCharType="begin"/>
            </w:r>
            <w:r w:rsidR="00ED0D9E">
              <w:rPr>
                <w:noProof/>
                <w:webHidden/>
              </w:rPr>
              <w:instrText xml:space="preserve"> PAGEREF _Toc324380066 \h </w:instrText>
            </w:r>
            <w:r>
              <w:rPr>
                <w:rStyle w:val="Hyperlink"/>
                <w:noProof/>
              </w:rPr>
            </w:r>
            <w:r>
              <w:rPr>
                <w:rStyle w:val="Hyperlink"/>
                <w:noProof/>
              </w:rPr>
              <w:fldChar w:fldCharType="separate"/>
            </w:r>
            <w:r w:rsidR="00394B64">
              <w:rPr>
                <w:noProof/>
                <w:webHidden/>
              </w:rPr>
              <w:t>12</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67" w:history="1">
            <w:r w:rsidR="00ED0D9E" w:rsidRPr="00F21BF1">
              <w:rPr>
                <w:rStyle w:val="Hyperlink"/>
                <w:i/>
                <w:smallCaps/>
                <w:noProof/>
              </w:rPr>
              <w:t>3.6.</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Ликвиден риск</w:t>
            </w:r>
            <w:r w:rsidR="00ED0D9E">
              <w:rPr>
                <w:noProof/>
                <w:webHidden/>
              </w:rPr>
              <w:tab/>
            </w:r>
            <w:r>
              <w:rPr>
                <w:rStyle w:val="Hyperlink"/>
                <w:noProof/>
              </w:rPr>
              <w:fldChar w:fldCharType="begin"/>
            </w:r>
            <w:r w:rsidR="00ED0D9E">
              <w:rPr>
                <w:noProof/>
                <w:webHidden/>
              </w:rPr>
              <w:instrText xml:space="preserve"> PAGEREF _Toc324380067 \h </w:instrText>
            </w:r>
            <w:r>
              <w:rPr>
                <w:rStyle w:val="Hyperlink"/>
                <w:noProof/>
              </w:rPr>
            </w:r>
            <w:r>
              <w:rPr>
                <w:rStyle w:val="Hyperlink"/>
                <w:noProof/>
              </w:rPr>
              <w:fldChar w:fldCharType="separate"/>
            </w:r>
            <w:r w:rsidR="00394B64">
              <w:rPr>
                <w:noProof/>
                <w:webHidden/>
              </w:rPr>
              <w:t>13</w:t>
            </w:r>
            <w:r>
              <w:rPr>
                <w:rStyle w:val="Hyperlink"/>
                <w:noProof/>
              </w:rPr>
              <w:fldChar w:fldCharType="end"/>
            </w:r>
          </w:hyperlink>
        </w:p>
        <w:p w:rsidR="00ED0D9E" w:rsidRDefault="001E7C80">
          <w:pPr>
            <w:pStyle w:val="TOC1"/>
            <w:tabs>
              <w:tab w:val="left" w:pos="440"/>
              <w:tab w:val="right" w:leader="dot" w:pos="9771"/>
            </w:tabs>
            <w:rPr>
              <w:rFonts w:asciiTheme="minorHAnsi" w:eastAsiaTheme="minorEastAsia" w:hAnsiTheme="minorHAnsi" w:cstheme="minorBidi"/>
              <w:noProof/>
              <w:sz w:val="22"/>
              <w:szCs w:val="22"/>
              <w:lang w:eastAsia="bg-BG"/>
            </w:rPr>
          </w:pPr>
          <w:hyperlink w:anchor="_Toc324380068" w:history="1">
            <w:r w:rsidR="00ED0D9E" w:rsidRPr="00F21BF1">
              <w:rPr>
                <w:rStyle w:val="Hyperlink"/>
                <w:smallCaps/>
                <w:noProof/>
              </w:rPr>
              <w:t>4.</w:t>
            </w:r>
            <w:r w:rsidR="00ED0D9E">
              <w:rPr>
                <w:rFonts w:asciiTheme="minorHAnsi" w:eastAsiaTheme="minorEastAsia" w:hAnsiTheme="minorHAnsi" w:cstheme="minorBidi"/>
                <w:noProof/>
                <w:sz w:val="22"/>
                <w:szCs w:val="22"/>
                <w:lang w:eastAsia="bg-BG"/>
              </w:rPr>
              <w:tab/>
            </w:r>
            <w:r w:rsidR="00ED0D9E" w:rsidRPr="00F21BF1">
              <w:rPr>
                <w:rStyle w:val="Hyperlink"/>
                <w:smallCaps/>
                <w:noProof/>
              </w:rPr>
              <w:t>Информация за емитента</w:t>
            </w:r>
            <w:r w:rsidR="00ED0D9E">
              <w:rPr>
                <w:noProof/>
                <w:webHidden/>
              </w:rPr>
              <w:tab/>
            </w:r>
            <w:r>
              <w:rPr>
                <w:rStyle w:val="Hyperlink"/>
                <w:noProof/>
              </w:rPr>
              <w:fldChar w:fldCharType="begin"/>
            </w:r>
            <w:r w:rsidR="00ED0D9E">
              <w:rPr>
                <w:noProof/>
                <w:webHidden/>
              </w:rPr>
              <w:instrText xml:space="preserve"> PAGEREF _Toc324380068 \h </w:instrText>
            </w:r>
            <w:r>
              <w:rPr>
                <w:rStyle w:val="Hyperlink"/>
                <w:noProof/>
              </w:rPr>
            </w:r>
            <w:r>
              <w:rPr>
                <w:rStyle w:val="Hyperlink"/>
                <w:noProof/>
              </w:rPr>
              <w:fldChar w:fldCharType="separate"/>
            </w:r>
            <w:r w:rsidR="00394B64">
              <w:rPr>
                <w:noProof/>
                <w:webHidden/>
              </w:rPr>
              <w:t>14</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69" w:history="1">
            <w:r w:rsidR="00ED0D9E" w:rsidRPr="00F21BF1">
              <w:rPr>
                <w:rStyle w:val="Hyperlink"/>
                <w:i/>
                <w:smallCaps/>
                <w:noProof/>
              </w:rPr>
              <w:t>4.1.</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Данни за емитента.</w:t>
            </w:r>
            <w:r w:rsidR="00ED0D9E">
              <w:rPr>
                <w:noProof/>
                <w:webHidden/>
              </w:rPr>
              <w:tab/>
            </w:r>
            <w:r>
              <w:rPr>
                <w:rStyle w:val="Hyperlink"/>
                <w:noProof/>
              </w:rPr>
              <w:fldChar w:fldCharType="begin"/>
            </w:r>
            <w:r w:rsidR="00ED0D9E">
              <w:rPr>
                <w:noProof/>
                <w:webHidden/>
              </w:rPr>
              <w:instrText xml:space="preserve"> PAGEREF _Toc324380069 \h </w:instrText>
            </w:r>
            <w:r>
              <w:rPr>
                <w:rStyle w:val="Hyperlink"/>
                <w:noProof/>
              </w:rPr>
            </w:r>
            <w:r>
              <w:rPr>
                <w:rStyle w:val="Hyperlink"/>
                <w:noProof/>
              </w:rPr>
              <w:fldChar w:fldCharType="separate"/>
            </w:r>
            <w:r w:rsidR="00394B64">
              <w:rPr>
                <w:noProof/>
                <w:webHidden/>
              </w:rPr>
              <w:t>14</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70" w:history="1">
            <w:r w:rsidR="00ED0D9E" w:rsidRPr="00F21BF1">
              <w:rPr>
                <w:rStyle w:val="Hyperlink"/>
                <w:i/>
                <w:smallCaps/>
                <w:noProof/>
              </w:rPr>
              <w:t>4.2.</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Важни събития в развитието на емитента</w:t>
            </w:r>
            <w:r w:rsidR="00ED0D9E">
              <w:rPr>
                <w:noProof/>
                <w:webHidden/>
              </w:rPr>
              <w:tab/>
            </w:r>
            <w:r>
              <w:rPr>
                <w:rStyle w:val="Hyperlink"/>
                <w:noProof/>
              </w:rPr>
              <w:fldChar w:fldCharType="begin"/>
            </w:r>
            <w:r w:rsidR="00ED0D9E">
              <w:rPr>
                <w:noProof/>
                <w:webHidden/>
              </w:rPr>
              <w:instrText xml:space="preserve"> PAGEREF _Toc324380070 \h </w:instrText>
            </w:r>
            <w:r>
              <w:rPr>
                <w:rStyle w:val="Hyperlink"/>
                <w:noProof/>
              </w:rPr>
            </w:r>
            <w:r>
              <w:rPr>
                <w:rStyle w:val="Hyperlink"/>
                <w:noProof/>
              </w:rPr>
              <w:fldChar w:fldCharType="separate"/>
            </w:r>
            <w:r w:rsidR="00394B64">
              <w:rPr>
                <w:noProof/>
                <w:webHidden/>
              </w:rPr>
              <w:t>16</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71" w:history="1">
            <w:r w:rsidR="00ED0D9E" w:rsidRPr="00F21BF1">
              <w:rPr>
                <w:rStyle w:val="Hyperlink"/>
                <w:i/>
                <w:smallCaps/>
                <w:noProof/>
              </w:rPr>
              <w:t>4.3.</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Преглед на направените инвестиции</w:t>
            </w:r>
            <w:r w:rsidR="00ED0D9E">
              <w:rPr>
                <w:noProof/>
                <w:webHidden/>
              </w:rPr>
              <w:tab/>
            </w:r>
            <w:r>
              <w:rPr>
                <w:rStyle w:val="Hyperlink"/>
                <w:noProof/>
              </w:rPr>
              <w:fldChar w:fldCharType="begin"/>
            </w:r>
            <w:r w:rsidR="00ED0D9E">
              <w:rPr>
                <w:noProof/>
                <w:webHidden/>
              </w:rPr>
              <w:instrText xml:space="preserve"> PAGEREF _Toc324380071 \h </w:instrText>
            </w:r>
            <w:r>
              <w:rPr>
                <w:rStyle w:val="Hyperlink"/>
                <w:noProof/>
              </w:rPr>
            </w:r>
            <w:r>
              <w:rPr>
                <w:rStyle w:val="Hyperlink"/>
                <w:noProof/>
              </w:rPr>
              <w:fldChar w:fldCharType="separate"/>
            </w:r>
            <w:r w:rsidR="00394B64">
              <w:rPr>
                <w:noProof/>
                <w:webHidden/>
              </w:rPr>
              <w:t>19</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72" w:history="1">
            <w:r w:rsidR="00ED0D9E" w:rsidRPr="00F21BF1">
              <w:rPr>
                <w:rStyle w:val="Hyperlink"/>
                <w:i/>
                <w:noProof/>
              </w:rPr>
              <w:t>4.3.1.</w:t>
            </w:r>
            <w:r w:rsidR="00ED0D9E">
              <w:rPr>
                <w:rFonts w:asciiTheme="minorHAnsi" w:eastAsiaTheme="minorEastAsia" w:hAnsiTheme="minorHAnsi" w:cstheme="minorBidi"/>
                <w:noProof/>
                <w:sz w:val="22"/>
                <w:szCs w:val="22"/>
                <w:lang w:eastAsia="bg-BG"/>
              </w:rPr>
              <w:tab/>
            </w:r>
            <w:r w:rsidR="00ED0D9E" w:rsidRPr="00F21BF1">
              <w:rPr>
                <w:rStyle w:val="Hyperlink"/>
                <w:i/>
                <w:noProof/>
              </w:rPr>
              <w:t>Описание и размер на инвестициите.</w:t>
            </w:r>
            <w:r w:rsidR="00ED0D9E">
              <w:rPr>
                <w:noProof/>
                <w:webHidden/>
              </w:rPr>
              <w:tab/>
            </w:r>
            <w:r>
              <w:rPr>
                <w:rStyle w:val="Hyperlink"/>
                <w:noProof/>
              </w:rPr>
              <w:fldChar w:fldCharType="begin"/>
            </w:r>
            <w:r w:rsidR="00ED0D9E">
              <w:rPr>
                <w:noProof/>
                <w:webHidden/>
              </w:rPr>
              <w:instrText xml:space="preserve"> PAGEREF _Toc324380072 \h </w:instrText>
            </w:r>
            <w:r>
              <w:rPr>
                <w:rStyle w:val="Hyperlink"/>
                <w:noProof/>
              </w:rPr>
            </w:r>
            <w:r>
              <w:rPr>
                <w:rStyle w:val="Hyperlink"/>
                <w:noProof/>
              </w:rPr>
              <w:fldChar w:fldCharType="separate"/>
            </w:r>
            <w:r w:rsidR="00394B64">
              <w:rPr>
                <w:noProof/>
                <w:webHidden/>
              </w:rPr>
              <w:t>19</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73" w:history="1">
            <w:r w:rsidR="00ED0D9E" w:rsidRPr="00F21BF1">
              <w:rPr>
                <w:rStyle w:val="Hyperlink"/>
                <w:i/>
                <w:noProof/>
              </w:rPr>
              <w:t>4.3.2.</w:t>
            </w:r>
            <w:r w:rsidR="00ED0D9E">
              <w:rPr>
                <w:rFonts w:asciiTheme="minorHAnsi" w:eastAsiaTheme="minorEastAsia" w:hAnsiTheme="minorHAnsi" w:cstheme="minorBidi"/>
                <w:noProof/>
                <w:sz w:val="22"/>
                <w:szCs w:val="22"/>
                <w:lang w:eastAsia="bg-BG"/>
              </w:rPr>
              <w:tab/>
            </w:r>
            <w:r w:rsidR="00ED0D9E" w:rsidRPr="00F21BF1">
              <w:rPr>
                <w:rStyle w:val="Hyperlink"/>
                <w:i/>
                <w:noProof/>
              </w:rPr>
              <w:t>Описание на инвестициите извършвани в момента.</w:t>
            </w:r>
            <w:r w:rsidR="00ED0D9E">
              <w:rPr>
                <w:noProof/>
                <w:webHidden/>
              </w:rPr>
              <w:tab/>
            </w:r>
            <w:r>
              <w:rPr>
                <w:rStyle w:val="Hyperlink"/>
                <w:noProof/>
              </w:rPr>
              <w:fldChar w:fldCharType="begin"/>
            </w:r>
            <w:r w:rsidR="00ED0D9E">
              <w:rPr>
                <w:noProof/>
                <w:webHidden/>
              </w:rPr>
              <w:instrText xml:space="preserve"> PAGEREF _Toc324380073 \h </w:instrText>
            </w:r>
            <w:r>
              <w:rPr>
                <w:rStyle w:val="Hyperlink"/>
                <w:noProof/>
              </w:rPr>
            </w:r>
            <w:r>
              <w:rPr>
                <w:rStyle w:val="Hyperlink"/>
                <w:noProof/>
              </w:rPr>
              <w:fldChar w:fldCharType="separate"/>
            </w:r>
            <w:r w:rsidR="00394B64">
              <w:rPr>
                <w:noProof/>
                <w:webHidden/>
              </w:rPr>
              <w:t>21</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74" w:history="1">
            <w:r w:rsidR="00ED0D9E" w:rsidRPr="00F21BF1">
              <w:rPr>
                <w:rStyle w:val="Hyperlink"/>
                <w:i/>
                <w:noProof/>
              </w:rPr>
              <w:t>4.3.3.</w:t>
            </w:r>
            <w:r w:rsidR="00ED0D9E">
              <w:rPr>
                <w:rFonts w:asciiTheme="minorHAnsi" w:eastAsiaTheme="minorEastAsia" w:hAnsiTheme="minorHAnsi" w:cstheme="minorBidi"/>
                <w:noProof/>
                <w:sz w:val="22"/>
                <w:szCs w:val="22"/>
                <w:lang w:eastAsia="bg-BG"/>
              </w:rPr>
              <w:tab/>
            </w:r>
            <w:r w:rsidR="00ED0D9E" w:rsidRPr="00F21BF1">
              <w:rPr>
                <w:rStyle w:val="Hyperlink"/>
                <w:i/>
                <w:noProof/>
              </w:rPr>
              <w:t>Поети ангажименти от страна на мениджмънта за извършване на инвестиции.</w:t>
            </w:r>
            <w:r w:rsidR="00ED0D9E">
              <w:rPr>
                <w:noProof/>
                <w:webHidden/>
              </w:rPr>
              <w:tab/>
            </w:r>
            <w:r>
              <w:rPr>
                <w:rStyle w:val="Hyperlink"/>
                <w:noProof/>
              </w:rPr>
              <w:fldChar w:fldCharType="begin"/>
            </w:r>
            <w:r w:rsidR="00ED0D9E">
              <w:rPr>
                <w:noProof/>
                <w:webHidden/>
              </w:rPr>
              <w:instrText xml:space="preserve"> PAGEREF _Toc324380074 \h </w:instrText>
            </w:r>
            <w:r>
              <w:rPr>
                <w:rStyle w:val="Hyperlink"/>
                <w:noProof/>
              </w:rPr>
            </w:r>
            <w:r>
              <w:rPr>
                <w:rStyle w:val="Hyperlink"/>
                <w:noProof/>
              </w:rPr>
              <w:fldChar w:fldCharType="separate"/>
            </w:r>
            <w:r w:rsidR="00394B64">
              <w:rPr>
                <w:noProof/>
                <w:webHidden/>
              </w:rPr>
              <w:t>21</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75" w:history="1">
            <w:r w:rsidR="00ED0D9E" w:rsidRPr="00F21BF1">
              <w:rPr>
                <w:rStyle w:val="Hyperlink"/>
                <w:i/>
                <w:smallCaps/>
                <w:noProof/>
              </w:rPr>
              <w:t>4.4.</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Преглед на дейността</w:t>
            </w:r>
            <w:r w:rsidR="00ED0D9E">
              <w:rPr>
                <w:noProof/>
                <w:webHidden/>
              </w:rPr>
              <w:tab/>
            </w:r>
            <w:r>
              <w:rPr>
                <w:rStyle w:val="Hyperlink"/>
                <w:noProof/>
              </w:rPr>
              <w:fldChar w:fldCharType="begin"/>
            </w:r>
            <w:r w:rsidR="00ED0D9E">
              <w:rPr>
                <w:noProof/>
                <w:webHidden/>
              </w:rPr>
              <w:instrText xml:space="preserve"> PAGEREF _Toc324380075 \h </w:instrText>
            </w:r>
            <w:r>
              <w:rPr>
                <w:rStyle w:val="Hyperlink"/>
                <w:noProof/>
              </w:rPr>
            </w:r>
            <w:r>
              <w:rPr>
                <w:rStyle w:val="Hyperlink"/>
                <w:noProof/>
              </w:rPr>
              <w:fldChar w:fldCharType="separate"/>
            </w:r>
            <w:r w:rsidR="00394B64">
              <w:rPr>
                <w:noProof/>
                <w:webHidden/>
              </w:rPr>
              <w:t>22</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76" w:history="1">
            <w:r w:rsidR="00ED0D9E" w:rsidRPr="00F21BF1">
              <w:rPr>
                <w:rStyle w:val="Hyperlink"/>
                <w:i/>
                <w:noProof/>
              </w:rPr>
              <w:t>4.4.1.</w:t>
            </w:r>
            <w:r w:rsidR="00ED0D9E">
              <w:rPr>
                <w:rFonts w:asciiTheme="minorHAnsi" w:eastAsiaTheme="minorEastAsia" w:hAnsiTheme="minorHAnsi" w:cstheme="minorBidi"/>
                <w:noProof/>
                <w:sz w:val="22"/>
                <w:szCs w:val="22"/>
                <w:lang w:eastAsia="bg-BG"/>
              </w:rPr>
              <w:tab/>
            </w:r>
            <w:r w:rsidR="00ED0D9E" w:rsidRPr="00F21BF1">
              <w:rPr>
                <w:rStyle w:val="Hyperlink"/>
                <w:i/>
                <w:noProof/>
              </w:rPr>
              <w:t>Основни сфери на дейност</w:t>
            </w:r>
            <w:r w:rsidR="00ED0D9E">
              <w:rPr>
                <w:noProof/>
                <w:webHidden/>
              </w:rPr>
              <w:tab/>
            </w:r>
            <w:r>
              <w:rPr>
                <w:rStyle w:val="Hyperlink"/>
                <w:noProof/>
              </w:rPr>
              <w:fldChar w:fldCharType="begin"/>
            </w:r>
            <w:r w:rsidR="00ED0D9E">
              <w:rPr>
                <w:noProof/>
                <w:webHidden/>
              </w:rPr>
              <w:instrText xml:space="preserve"> PAGEREF _Toc324380076 \h </w:instrText>
            </w:r>
            <w:r>
              <w:rPr>
                <w:rStyle w:val="Hyperlink"/>
                <w:noProof/>
              </w:rPr>
            </w:r>
            <w:r>
              <w:rPr>
                <w:rStyle w:val="Hyperlink"/>
                <w:noProof/>
              </w:rPr>
              <w:fldChar w:fldCharType="separate"/>
            </w:r>
            <w:r w:rsidR="00394B64">
              <w:rPr>
                <w:noProof/>
                <w:webHidden/>
              </w:rPr>
              <w:t>22</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77" w:history="1">
            <w:r w:rsidR="00ED0D9E" w:rsidRPr="00F21BF1">
              <w:rPr>
                <w:rStyle w:val="Hyperlink"/>
                <w:i/>
                <w:noProof/>
              </w:rPr>
              <w:t>4.4.2.</w:t>
            </w:r>
            <w:r w:rsidR="00ED0D9E">
              <w:rPr>
                <w:rFonts w:asciiTheme="minorHAnsi" w:eastAsiaTheme="minorEastAsia" w:hAnsiTheme="minorHAnsi" w:cstheme="minorBidi"/>
                <w:noProof/>
                <w:sz w:val="22"/>
                <w:szCs w:val="22"/>
                <w:lang w:eastAsia="bg-BG"/>
              </w:rPr>
              <w:tab/>
            </w:r>
            <w:r w:rsidR="00ED0D9E" w:rsidRPr="00F21BF1">
              <w:rPr>
                <w:rStyle w:val="Hyperlink"/>
                <w:i/>
                <w:noProof/>
              </w:rPr>
              <w:t>Основни пазари на емитента.</w:t>
            </w:r>
            <w:r w:rsidR="00ED0D9E">
              <w:rPr>
                <w:noProof/>
                <w:webHidden/>
              </w:rPr>
              <w:tab/>
            </w:r>
            <w:r>
              <w:rPr>
                <w:rStyle w:val="Hyperlink"/>
                <w:noProof/>
              </w:rPr>
              <w:fldChar w:fldCharType="begin"/>
            </w:r>
            <w:r w:rsidR="00ED0D9E">
              <w:rPr>
                <w:noProof/>
                <w:webHidden/>
              </w:rPr>
              <w:instrText xml:space="preserve"> PAGEREF _Toc324380077 \h </w:instrText>
            </w:r>
            <w:r>
              <w:rPr>
                <w:rStyle w:val="Hyperlink"/>
                <w:noProof/>
              </w:rPr>
            </w:r>
            <w:r>
              <w:rPr>
                <w:rStyle w:val="Hyperlink"/>
                <w:noProof/>
              </w:rPr>
              <w:fldChar w:fldCharType="separate"/>
            </w:r>
            <w:r w:rsidR="00394B64">
              <w:rPr>
                <w:noProof/>
                <w:webHidden/>
              </w:rPr>
              <w:t>23</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78" w:history="1">
            <w:r w:rsidR="00ED0D9E" w:rsidRPr="00F21BF1">
              <w:rPr>
                <w:rStyle w:val="Hyperlink"/>
                <w:i/>
                <w:noProof/>
              </w:rPr>
              <w:t>4.4.3.</w:t>
            </w:r>
            <w:r w:rsidR="00ED0D9E">
              <w:rPr>
                <w:rFonts w:asciiTheme="minorHAnsi" w:eastAsiaTheme="minorEastAsia" w:hAnsiTheme="minorHAnsi" w:cstheme="minorBidi"/>
                <w:noProof/>
                <w:sz w:val="22"/>
                <w:szCs w:val="22"/>
                <w:lang w:eastAsia="bg-BG"/>
              </w:rPr>
              <w:tab/>
            </w:r>
            <w:r w:rsidR="00ED0D9E" w:rsidRPr="00F21BF1">
              <w:rPr>
                <w:rStyle w:val="Hyperlink"/>
                <w:i/>
                <w:noProof/>
              </w:rPr>
              <w:t>Пазарът на пощенски услуги в България</w:t>
            </w:r>
            <w:r w:rsidR="00ED0D9E">
              <w:rPr>
                <w:noProof/>
                <w:webHidden/>
              </w:rPr>
              <w:tab/>
            </w:r>
            <w:r>
              <w:rPr>
                <w:rStyle w:val="Hyperlink"/>
                <w:noProof/>
              </w:rPr>
              <w:fldChar w:fldCharType="begin"/>
            </w:r>
            <w:r w:rsidR="00ED0D9E">
              <w:rPr>
                <w:noProof/>
                <w:webHidden/>
              </w:rPr>
              <w:instrText xml:space="preserve"> PAGEREF _Toc324380078 \h </w:instrText>
            </w:r>
            <w:r>
              <w:rPr>
                <w:rStyle w:val="Hyperlink"/>
                <w:noProof/>
              </w:rPr>
            </w:r>
            <w:r>
              <w:rPr>
                <w:rStyle w:val="Hyperlink"/>
                <w:noProof/>
              </w:rPr>
              <w:fldChar w:fldCharType="separate"/>
            </w:r>
            <w:r w:rsidR="00394B64">
              <w:rPr>
                <w:noProof/>
                <w:webHidden/>
              </w:rPr>
              <w:t>25</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79" w:history="1">
            <w:r w:rsidR="00ED0D9E" w:rsidRPr="00F21BF1">
              <w:rPr>
                <w:rStyle w:val="Hyperlink"/>
                <w:i/>
                <w:noProof/>
              </w:rPr>
              <w:t>4.4.4.</w:t>
            </w:r>
            <w:r w:rsidR="00ED0D9E">
              <w:rPr>
                <w:rFonts w:asciiTheme="minorHAnsi" w:eastAsiaTheme="minorEastAsia" w:hAnsiTheme="minorHAnsi" w:cstheme="minorBidi"/>
                <w:noProof/>
                <w:sz w:val="22"/>
                <w:szCs w:val="22"/>
                <w:lang w:eastAsia="bg-BG"/>
              </w:rPr>
              <w:tab/>
            </w:r>
            <w:r w:rsidR="00ED0D9E" w:rsidRPr="00F21BF1">
              <w:rPr>
                <w:rStyle w:val="Hyperlink"/>
                <w:i/>
                <w:noProof/>
              </w:rPr>
              <w:t>Основания, на базата на които емитента е направил изявление във връзка с конкурантната си позиция</w:t>
            </w:r>
            <w:r w:rsidR="00ED0D9E">
              <w:rPr>
                <w:noProof/>
                <w:webHidden/>
              </w:rPr>
              <w:tab/>
            </w:r>
            <w:r>
              <w:rPr>
                <w:rStyle w:val="Hyperlink"/>
                <w:noProof/>
              </w:rPr>
              <w:fldChar w:fldCharType="begin"/>
            </w:r>
            <w:r w:rsidR="00ED0D9E">
              <w:rPr>
                <w:noProof/>
                <w:webHidden/>
              </w:rPr>
              <w:instrText xml:space="preserve"> PAGEREF _Toc324380079 \h </w:instrText>
            </w:r>
            <w:r>
              <w:rPr>
                <w:rStyle w:val="Hyperlink"/>
                <w:noProof/>
              </w:rPr>
            </w:r>
            <w:r>
              <w:rPr>
                <w:rStyle w:val="Hyperlink"/>
                <w:noProof/>
              </w:rPr>
              <w:fldChar w:fldCharType="separate"/>
            </w:r>
            <w:r w:rsidR="00394B64">
              <w:rPr>
                <w:noProof/>
                <w:webHidden/>
              </w:rPr>
              <w:t>27</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80" w:history="1">
            <w:r w:rsidR="00ED0D9E" w:rsidRPr="00F21BF1">
              <w:rPr>
                <w:rStyle w:val="Hyperlink"/>
                <w:i/>
                <w:noProof/>
              </w:rPr>
              <w:t>4.4.5.</w:t>
            </w:r>
            <w:r w:rsidR="00ED0D9E">
              <w:rPr>
                <w:rFonts w:asciiTheme="minorHAnsi" w:eastAsiaTheme="minorEastAsia" w:hAnsiTheme="minorHAnsi" w:cstheme="minorBidi"/>
                <w:noProof/>
                <w:sz w:val="22"/>
                <w:szCs w:val="22"/>
                <w:lang w:eastAsia="bg-BG"/>
              </w:rPr>
              <w:tab/>
            </w:r>
            <w:r w:rsidR="00ED0D9E" w:rsidRPr="00F21BF1">
              <w:rPr>
                <w:rStyle w:val="Hyperlink"/>
                <w:i/>
                <w:noProof/>
              </w:rPr>
              <w:t>Извънредни фактори и събития, повлияли върху дейността на емитента.</w:t>
            </w:r>
            <w:r w:rsidR="00ED0D9E">
              <w:rPr>
                <w:noProof/>
                <w:webHidden/>
              </w:rPr>
              <w:tab/>
            </w:r>
            <w:r>
              <w:rPr>
                <w:rStyle w:val="Hyperlink"/>
                <w:noProof/>
              </w:rPr>
              <w:fldChar w:fldCharType="begin"/>
            </w:r>
            <w:r w:rsidR="00ED0D9E">
              <w:rPr>
                <w:noProof/>
                <w:webHidden/>
              </w:rPr>
              <w:instrText xml:space="preserve"> PAGEREF _Toc324380080 \h </w:instrText>
            </w:r>
            <w:r>
              <w:rPr>
                <w:rStyle w:val="Hyperlink"/>
                <w:noProof/>
              </w:rPr>
            </w:r>
            <w:r>
              <w:rPr>
                <w:rStyle w:val="Hyperlink"/>
                <w:noProof/>
              </w:rPr>
              <w:fldChar w:fldCharType="separate"/>
            </w:r>
            <w:r w:rsidR="00394B64">
              <w:rPr>
                <w:noProof/>
                <w:webHidden/>
              </w:rPr>
              <w:t>28</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81" w:history="1">
            <w:r w:rsidR="00ED0D9E" w:rsidRPr="00F21BF1">
              <w:rPr>
                <w:rStyle w:val="Hyperlink"/>
                <w:i/>
                <w:noProof/>
              </w:rPr>
              <w:t>4.4.6.</w:t>
            </w:r>
            <w:r w:rsidR="00ED0D9E">
              <w:rPr>
                <w:rFonts w:asciiTheme="minorHAnsi" w:eastAsiaTheme="minorEastAsia" w:hAnsiTheme="minorHAnsi" w:cstheme="minorBidi"/>
                <w:noProof/>
                <w:sz w:val="22"/>
                <w:szCs w:val="22"/>
                <w:lang w:eastAsia="bg-BG"/>
              </w:rPr>
              <w:tab/>
            </w:r>
            <w:r w:rsidR="00ED0D9E" w:rsidRPr="00F21BF1">
              <w:rPr>
                <w:rStyle w:val="Hyperlink"/>
                <w:i/>
                <w:noProof/>
              </w:rPr>
              <w:t>Зависимост от патенти, лицензи, индустриални, търговски или финансови договори или нови производствени процеси.</w:t>
            </w:r>
            <w:r w:rsidR="00ED0D9E">
              <w:rPr>
                <w:noProof/>
                <w:webHidden/>
              </w:rPr>
              <w:tab/>
            </w:r>
            <w:r>
              <w:rPr>
                <w:rStyle w:val="Hyperlink"/>
                <w:noProof/>
              </w:rPr>
              <w:fldChar w:fldCharType="begin"/>
            </w:r>
            <w:r w:rsidR="00ED0D9E">
              <w:rPr>
                <w:noProof/>
                <w:webHidden/>
              </w:rPr>
              <w:instrText xml:space="preserve"> PAGEREF _Toc324380081 \h </w:instrText>
            </w:r>
            <w:r>
              <w:rPr>
                <w:rStyle w:val="Hyperlink"/>
                <w:noProof/>
              </w:rPr>
            </w:r>
            <w:r>
              <w:rPr>
                <w:rStyle w:val="Hyperlink"/>
                <w:noProof/>
              </w:rPr>
              <w:fldChar w:fldCharType="separate"/>
            </w:r>
            <w:r w:rsidR="00394B64">
              <w:rPr>
                <w:noProof/>
                <w:webHidden/>
              </w:rPr>
              <w:t>28</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82" w:history="1">
            <w:r w:rsidR="00ED0D9E" w:rsidRPr="00F21BF1">
              <w:rPr>
                <w:rStyle w:val="Hyperlink"/>
                <w:i/>
                <w:smallCaps/>
                <w:noProof/>
              </w:rPr>
              <w:t>4.5.</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Организационна структура:</w:t>
            </w:r>
            <w:r w:rsidR="00ED0D9E">
              <w:rPr>
                <w:noProof/>
                <w:webHidden/>
              </w:rPr>
              <w:tab/>
            </w:r>
            <w:r>
              <w:rPr>
                <w:rStyle w:val="Hyperlink"/>
                <w:noProof/>
              </w:rPr>
              <w:fldChar w:fldCharType="begin"/>
            </w:r>
            <w:r w:rsidR="00ED0D9E">
              <w:rPr>
                <w:noProof/>
                <w:webHidden/>
              </w:rPr>
              <w:instrText xml:space="preserve"> PAGEREF _Toc324380082 \h </w:instrText>
            </w:r>
            <w:r>
              <w:rPr>
                <w:rStyle w:val="Hyperlink"/>
                <w:noProof/>
              </w:rPr>
            </w:r>
            <w:r>
              <w:rPr>
                <w:rStyle w:val="Hyperlink"/>
                <w:noProof/>
              </w:rPr>
              <w:fldChar w:fldCharType="separate"/>
            </w:r>
            <w:r w:rsidR="00394B64">
              <w:rPr>
                <w:noProof/>
                <w:webHidden/>
              </w:rPr>
              <w:t>29</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83" w:history="1">
            <w:r w:rsidR="00ED0D9E" w:rsidRPr="00F21BF1">
              <w:rPr>
                <w:rStyle w:val="Hyperlink"/>
                <w:i/>
                <w:noProof/>
              </w:rPr>
              <w:t>4.5.1.</w:t>
            </w:r>
            <w:r w:rsidR="00ED0D9E">
              <w:rPr>
                <w:rFonts w:asciiTheme="minorHAnsi" w:eastAsiaTheme="minorEastAsia" w:hAnsiTheme="minorHAnsi" w:cstheme="minorBidi"/>
                <w:noProof/>
                <w:sz w:val="22"/>
                <w:szCs w:val="22"/>
                <w:lang w:eastAsia="bg-BG"/>
              </w:rPr>
              <w:tab/>
            </w:r>
            <w:r w:rsidR="00ED0D9E" w:rsidRPr="00F21BF1">
              <w:rPr>
                <w:rStyle w:val="Hyperlink"/>
                <w:i/>
                <w:noProof/>
              </w:rPr>
              <w:t>Описание на групата и на позицията на емитента в нея.</w:t>
            </w:r>
            <w:r w:rsidR="00ED0D9E">
              <w:rPr>
                <w:noProof/>
                <w:webHidden/>
              </w:rPr>
              <w:tab/>
            </w:r>
            <w:r>
              <w:rPr>
                <w:rStyle w:val="Hyperlink"/>
                <w:noProof/>
              </w:rPr>
              <w:fldChar w:fldCharType="begin"/>
            </w:r>
            <w:r w:rsidR="00ED0D9E">
              <w:rPr>
                <w:noProof/>
                <w:webHidden/>
              </w:rPr>
              <w:instrText xml:space="preserve"> PAGEREF _Toc324380083 \h </w:instrText>
            </w:r>
            <w:r>
              <w:rPr>
                <w:rStyle w:val="Hyperlink"/>
                <w:noProof/>
              </w:rPr>
            </w:r>
            <w:r>
              <w:rPr>
                <w:rStyle w:val="Hyperlink"/>
                <w:noProof/>
              </w:rPr>
              <w:fldChar w:fldCharType="separate"/>
            </w:r>
            <w:r w:rsidR="00394B64">
              <w:rPr>
                <w:noProof/>
                <w:webHidden/>
              </w:rPr>
              <w:t>29</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84" w:history="1">
            <w:r w:rsidR="00ED0D9E" w:rsidRPr="00F21BF1">
              <w:rPr>
                <w:rStyle w:val="Hyperlink"/>
                <w:i/>
                <w:noProof/>
              </w:rPr>
              <w:t>4.5.2.</w:t>
            </w:r>
            <w:r w:rsidR="00ED0D9E">
              <w:rPr>
                <w:rFonts w:asciiTheme="minorHAnsi" w:eastAsiaTheme="minorEastAsia" w:hAnsiTheme="minorHAnsi" w:cstheme="minorBidi"/>
                <w:noProof/>
                <w:sz w:val="22"/>
                <w:szCs w:val="22"/>
                <w:lang w:eastAsia="bg-BG"/>
              </w:rPr>
              <w:tab/>
            </w:r>
            <w:r w:rsidR="00ED0D9E" w:rsidRPr="00F21BF1">
              <w:rPr>
                <w:rStyle w:val="Hyperlink"/>
                <w:i/>
                <w:noProof/>
              </w:rPr>
              <w:t>Данни за дъщерните дружества на емитента</w:t>
            </w:r>
            <w:r w:rsidR="00ED0D9E">
              <w:rPr>
                <w:noProof/>
                <w:webHidden/>
              </w:rPr>
              <w:tab/>
            </w:r>
            <w:r>
              <w:rPr>
                <w:rStyle w:val="Hyperlink"/>
                <w:noProof/>
              </w:rPr>
              <w:fldChar w:fldCharType="begin"/>
            </w:r>
            <w:r w:rsidR="00ED0D9E">
              <w:rPr>
                <w:noProof/>
                <w:webHidden/>
              </w:rPr>
              <w:instrText xml:space="preserve"> PAGEREF _Toc324380084 \h </w:instrText>
            </w:r>
            <w:r>
              <w:rPr>
                <w:rStyle w:val="Hyperlink"/>
                <w:noProof/>
              </w:rPr>
            </w:r>
            <w:r>
              <w:rPr>
                <w:rStyle w:val="Hyperlink"/>
                <w:noProof/>
              </w:rPr>
              <w:fldChar w:fldCharType="separate"/>
            </w:r>
            <w:r w:rsidR="00394B64">
              <w:rPr>
                <w:noProof/>
                <w:webHidden/>
              </w:rPr>
              <w:t>30</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85" w:history="1">
            <w:r w:rsidR="00ED0D9E" w:rsidRPr="00F21BF1">
              <w:rPr>
                <w:rStyle w:val="Hyperlink"/>
                <w:i/>
                <w:smallCaps/>
                <w:noProof/>
              </w:rPr>
              <w:t>4.6.</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Имущество, производствени единици и оборудване:</w:t>
            </w:r>
            <w:r w:rsidR="00ED0D9E">
              <w:rPr>
                <w:noProof/>
                <w:webHidden/>
              </w:rPr>
              <w:tab/>
            </w:r>
            <w:r>
              <w:rPr>
                <w:rStyle w:val="Hyperlink"/>
                <w:noProof/>
              </w:rPr>
              <w:fldChar w:fldCharType="begin"/>
            </w:r>
            <w:r w:rsidR="00ED0D9E">
              <w:rPr>
                <w:noProof/>
                <w:webHidden/>
              </w:rPr>
              <w:instrText xml:space="preserve"> PAGEREF _Toc324380085 \h </w:instrText>
            </w:r>
            <w:r>
              <w:rPr>
                <w:rStyle w:val="Hyperlink"/>
                <w:noProof/>
              </w:rPr>
            </w:r>
            <w:r>
              <w:rPr>
                <w:rStyle w:val="Hyperlink"/>
                <w:noProof/>
              </w:rPr>
              <w:fldChar w:fldCharType="separate"/>
            </w:r>
            <w:r w:rsidR="00394B64">
              <w:rPr>
                <w:noProof/>
                <w:webHidden/>
              </w:rPr>
              <w:t>31</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86" w:history="1">
            <w:r w:rsidR="00ED0D9E" w:rsidRPr="00F21BF1">
              <w:rPr>
                <w:rStyle w:val="Hyperlink"/>
                <w:i/>
                <w:noProof/>
              </w:rPr>
              <w:t>4.6.1.</w:t>
            </w:r>
            <w:r w:rsidR="00ED0D9E">
              <w:rPr>
                <w:rFonts w:asciiTheme="minorHAnsi" w:eastAsiaTheme="minorEastAsia" w:hAnsiTheme="minorHAnsi" w:cstheme="minorBidi"/>
                <w:noProof/>
                <w:sz w:val="22"/>
                <w:szCs w:val="22"/>
                <w:lang w:eastAsia="bg-BG"/>
              </w:rPr>
              <w:tab/>
            </w:r>
            <w:r w:rsidR="00ED0D9E" w:rsidRPr="00F21BF1">
              <w:rPr>
                <w:rStyle w:val="Hyperlink"/>
                <w:i/>
                <w:noProof/>
              </w:rPr>
              <w:t>Обем, структура и динамика на дълготрайните материални активи.</w:t>
            </w:r>
            <w:r w:rsidR="00ED0D9E">
              <w:rPr>
                <w:noProof/>
                <w:webHidden/>
              </w:rPr>
              <w:tab/>
            </w:r>
            <w:r>
              <w:rPr>
                <w:rStyle w:val="Hyperlink"/>
                <w:noProof/>
              </w:rPr>
              <w:fldChar w:fldCharType="begin"/>
            </w:r>
            <w:r w:rsidR="00ED0D9E">
              <w:rPr>
                <w:noProof/>
                <w:webHidden/>
              </w:rPr>
              <w:instrText xml:space="preserve"> PAGEREF _Toc324380086 \h </w:instrText>
            </w:r>
            <w:r>
              <w:rPr>
                <w:rStyle w:val="Hyperlink"/>
                <w:noProof/>
              </w:rPr>
            </w:r>
            <w:r>
              <w:rPr>
                <w:rStyle w:val="Hyperlink"/>
                <w:noProof/>
              </w:rPr>
              <w:fldChar w:fldCharType="separate"/>
            </w:r>
            <w:r w:rsidR="00394B64">
              <w:rPr>
                <w:noProof/>
                <w:webHidden/>
              </w:rPr>
              <w:t>31</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87" w:history="1">
            <w:r w:rsidR="00ED0D9E" w:rsidRPr="00F21BF1">
              <w:rPr>
                <w:rStyle w:val="Hyperlink"/>
                <w:i/>
                <w:noProof/>
              </w:rPr>
              <w:t>4.6.2.</w:t>
            </w:r>
            <w:r w:rsidR="00ED0D9E">
              <w:rPr>
                <w:rFonts w:asciiTheme="minorHAnsi" w:eastAsiaTheme="minorEastAsia" w:hAnsiTheme="minorHAnsi" w:cstheme="minorBidi"/>
                <w:noProof/>
                <w:sz w:val="22"/>
                <w:szCs w:val="22"/>
                <w:lang w:eastAsia="bg-BG"/>
              </w:rPr>
              <w:tab/>
            </w:r>
            <w:r w:rsidR="00ED0D9E" w:rsidRPr="00F21BF1">
              <w:rPr>
                <w:rStyle w:val="Hyperlink"/>
                <w:i/>
                <w:noProof/>
              </w:rPr>
              <w:t>Производствен капацитет и степен на използване</w:t>
            </w:r>
            <w:r w:rsidR="00ED0D9E">
              <w:rPr>
                <w:noProof/>
                <w:webHidden/>
              </w:rPr>
              <w:tab/>
            </w:r>
            <w:r>
              <w:rPr>
                <w:rStyle w:val="Hyperlink"/>
                <w:noProof/>
              </w:rPr>
              <w:fldChar w:fldCharType="begin"/>
            </w:r>
            <w:r w:rsidR="00ED0D9E">
              <w:rPr>
                <w:noProof/>
                <w:webHidden/>
              </w:rPr>
              <w:instrText xml:space="preserve"> PAGEREF _Toc324380087 \h </w:instrText>
            </w:r>
            <w:r>
              <w:rPr>
                <w:rStyle w:val="Hyperlink"/>
                <w:noProof/>
              </w:rPr>
            </w:r>
            <w:r>
              <w:rPr>
                <w:rStyle w:val="Hyperlink"/>
                <w:noProof/>
              </w:rPr>
              <w:fldChar w:fldCharType="separate"/>
            </w:r>
            <w:r w:rsidR="00394B64">
              <w:rPr>
                <w:noProof/>
                <w:webHidden/>
              </w:rPr>
              <w:t>31</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88" w:history="1">
            <w:r w:rsidR="00ED0D9E" w:rsidRPr="00F21BF1">
              <w:rPr>
                <w:rStyle w:val="Hyperlink"/>
                <w:i/>
                <w:noProof/>
              </w:rPr>
              <w:t>4.6.3.</w:t>
            </w:r>
            <w:r w:rsidR="00ED0D9E">
              <w:rPr>
                <w:rFonts w:asciiTheme="minorHAnsi" w:eastAsiaTheme="minorEastAsia" w:hAnsiTheme="minorHAnsi" w:cstheme="minorBidi"/>
                <w:noProof/>
                <w:sz w:val="22"/>
                <w:szCs w:val="22"/>
                <w:lang w:eastAsia="bg-BG"/>
              </w:rPr>
              <w:tab/>
            </w:r>
            <w:r w:rsidR="00ED0D9E" w:rsidRPr="00F21BF1">
              <w:rPr>
                <w:rStyle w:val="Hyperlink"/>
                <w:i/>
                <w:noProof/>
              </w:rPr>
              <w:t>Оборудване на лизинг и тежести върху активите;</w:t>
            </w:r>
            <w:r w:rsidR="00ED0D9E">
              <w:rPr>
                <w:noProof/>
                <w:webHidden/>
              </w:rPr>
              <w:tab/>
            </w:r>
            <w:r>
              <w:rPr>
                <w:rStyle w:val="Hyperlink"/>
                <w:noProof/>
              </w:rPr>
              <w:fldChar w:fldCharType="begin"/>
            </w:r>
            <w:r w:rsidR="00ED0D9E">
              <w:rPr>
                <w:noProof/>
                <w:webHidden/>
              </w:rPr>
              <w:instrText xml:space="preserve"> PAGEREF _Toc324380088 \h </w:instrText>
            </w:r>
            <w:r>
              <w:rPr>
                <w:rStyle w:val="Hyperlink"/>
                <w:noProof/>
              </w:rPr>
            </w:r>
            <w:r>
              <w:rPr>
                <w:rStyle w:val="Hyperlink"/>
                <w:noProof/>
              </w:rPr>
              <w:fldChar w:fldCharType="separate"/>
            </w:r>
            <w:r w:rsidR="00394B64">
              <w:rPr>
                <w:noProof/>
                <w:webHidden/>
              </w:rPr>
              <w:t>32</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89" w:history="1">
            <w:r w:rsidR="00ED0D9E" w:rsidRPr="00F21BF1">
              <w:rPr>
                <w:rStyle w:val="Hyperlink"/>
                <w:i/>
                <w:noProof/>
              </w:rPr>
              <w:t>4.6.4.</w:t>
            </w:r>
            <w:r w:rsidR="00ED0D9E">
              <w:rPr>
                <w:rFonts w:asciiTheme="minorHAnsi" w:eastAsiaTheme="minorEastAsia" w:hAnsiTheme="minorHAnsi" w:cstheme="minorBidi"/>
                <w:noProof/>
                <w:sz w:val="22"/>
                <w:szCs w:val="22"/>
                <w:lang w:eastAsia="bg-BG"/>
              </w:rPr>
              <w:tab/>
            </w:r>
            <w:r w:rsidR="00ED0D9E" w:rsidRPr="00F21BF1">
              <w:rPr>
                <w:rStyle w:val="Hyperlink"/>
                <w:i/>
                <w:noProof/>
              </w:rPr>
              <w:t>Екологични въпроси</w:t>
            </w:r>
            <w:r w:rsidR="00ED0D9E">
              <w:rPr>
                <w:noProof/>
                <w:webHidden/>
              </w:rPr>
              <w:tab/>
            </w:r>
            <w:r>
              <w:rPr>
                <w:rStyle w:val="Hyperlink"/>
                <w:noProof/>
              </w:rPr>
              <w:fldChar w:fldCharType="begin"/>
            </w:r>
            <w:r w:rsidR="00ED0D9E">
              <w:rPr>
                <w:noProof/>
                <w:webHidden/>
              </w:rPr>
              <w:instrText xml:space="preserve"> PAGEREF _Toc324380089 \h </w:instrText>
            </w:r>
            <w:r>
              <w:rPr>
                <w:rStyle w:val="Hyperlink"/>
                <w:noProof/>
              </w:rPr>
            </w:r>
            <w:r>
              <w:rPr>
                <w:rStyle w:val="Hyperlink"/>
                <w:noProof/>
              </w:rPr>
              <w:fldChar w:fldCharType="separate"/>
            </w:r>
            <w:r w:rsidR="00394B64">
              <w:rPr>
                <w:noProof/>
                <w:webHidden/>
              </w:rPr>
              <w:t>32</w:t>
            </w:r>
            <w:r>
              <w:rPr>
                <w:rStyle w:val="Hyperlink"/>
                <w:noProof/>
              </w:rPr>
              <w:fldChar w:fldCharType="end"/>
            </w:r>
          </w:hyperlink>
        </w:p>
        <w:p w:rsidR="00ED0D9E" w:rsidRDefault="001E7C80">
          <w:pPr>
            <w:pStyle w:val="TOC1"/>
            <w:tabs>
              <w:tab w:val="left" w:pos="440"/>
              <w:tab w:val="right" w:leader="dot" w:pos="9771"/>
            </w:tabs>
            <w:rPr>
              <w:rFonts w:asciiTheme="minorHAnsi" w:eastAsiaTheme="minorEastAsia" w:hAnsiTheme="minorHAnsi" w:cstheme="minorBidi"/>
              <w:noProof/>
              <w:sz w:val="22"/>
              <w:szCs w:val="22"/>
              <w:lang w:eastAsia="bg-BG"/>
            </w:rPr>
          </w:pPr>
          <w:hyperlink w:anchor="_Toc324380090" w:history="1">
            <w:r w:rsidR="00ED0D9E" w:rsidRPr="00F21BF1">
              <w:rPr>
                <w:rStyle w:val="Hyperlink"/>
                <w:smallCaps/>
                <w:noProof/>
              </w:rPr>
              <w:t>5.</w:t>
            </w:r>
            <w:r w:rsidR="00ED0D9E">
              <w:rPr>
                <w:rFonts w:asciiTheme="minorHAnsi" w:eastAsiaTheme="minorEastAsia" w:hAnsiTheme="minorHAnsi" w:cstheme="minorBidi"/>
                <w:noProof/>
                <w:sz w:val="22"/>
                <w:szCs w:val="22"/>
                <w:lang w:eastAsia="bg-BG"/>
              </w:rPr>
              <w:tab/>
            </w:r>
            <w:r w:rsidR="00ED0D9E" w:rsidRPr="00F21BF1">
              <w:rPr>
                <w:rStyle w:val="Hyperlink"/>
                <w:smallCaps/>
                <w:noProof/>
              </w:rPr>
              <w:t>Резултати от дейността, финансово състояние и перспективи</w:t>
            </w:r>
            <w:r w:rsidR="00ED0D9E">
              <w:rPr>
                <w:noProof/>
                <w:webHidden/>
              </w:rPr>
              <w:tab/>
            </w:r>
            <w:r>
              <w:rPr>
                <w:rStyle w:val="Hyperlink"/>
                <w:noProof/>
              </w:rPr>
              <w:fldChar w:fldCharType="begin"/>
            </w:r>
            <w:r w:rsidR="00ED0D9E">
              <w:rPr>
                <w:noProof/>
                <w:webHidden/>
              </w:rPr>
              <w:instrText xml:space="preserve"> PAGEREF _Toc324380090 \h </w:instrText>
            </w:r>
            <w:r>
              <w:rPr>
                <w:rStyle w:val="Hyperlink"/>
                <w:noProof/>
              </w:rPr>
            </w:r>
            <w:r>
              <w:rPr>
                <w:rStyle w:val="Hyperlink"/>
                <w:noProof/>
              </w:rPr>
              <w:fldChar w:fldCharType="separate"/>
            </w:r>
            <w:r w:rsidR="00394B64">
              <w:rPr>
                <w:noProof/>
                <w:webHidden/>
              </w:rPr>
              <w:t>33</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91" w:history="1">
            <w:r w:rsidR="00ED0D9E" w:rsidRPr="00F21BF1">
              <w:rPr>
                <w:rStyle w:val="Hyperlink"/>
                <w:i/>
                <w:smallCaps/>
                <w:noProof/>
              </w:rPr>
              <w:t>5.1.</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Резултати от дейността.</w:t>
            </w:r>
            <w:r w:rsidR="00ED0D9E">
              <w:rPr>
                <w:noProof/>
                <w:webHidden/>
              </w:rPr>
              <w:tab/>
            </w:r>
            <w:r>
              <w:rPr>
                <w:rStyle w:val="Hyperlink"/>
                <w:noProof/>
              </w:rPr>
              <w:fldChar w:fldCharType="begin"/>
            </w:r>
            <w:r w:rsidR="00ED0D9E">
              <w:rPr>
                <w:noProof/>
                <w:webHidden/>
              </w:rPr>
              <w:instrText xml:space="preserve"> PAGEREF _Toc324380091 \h </w:instrText>
            </w:r>
            <w:r>
              <w:rPr>
                <w:rStyle w:val="Hyperlink"/>
                <w:noProof/>
              </w:rPr>
            </w:r>
            <w:r>
              <w:rPr>
                <w:rStyle w:val="Hyperlink"/>
                <w:noProof/>
              </w:rPr>
              <w:fldChar w:fldCharType="separate"/>
            </w:r>
            <w:r w:rsidR="00394B64">
              <w:rPr>
                <w:noProof/>
                <w:webHidden/>
              </w:rPr>
              <w:t>33</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92" w:history="1">
            <w:r w:rsidR="00ED0D9E" w:rsidRPr="00F21BF1">
              <w:rPr>
                <w:rStyle w:val="Hyperlink"/>
                <w:i/>
                <w:noProof/>
              </w:rPr>
              <w:t>5.1.1.</w:t>
            </w:r>
            <w:r w:rsidR="00ED0D9E">
              <w:rPr>
                <w:rFonts w:asciiTheme="minorHAnsi" w:eastAsiaTheme="minorEastAsia" w:hAnsiTheme="minorHAnsi" w:cstheme="minorBidi"/>
                <w:noProof/>
                <w:sz w:val="22"/>
                <w:szCs w:val="22"/>
                <w:lang w:eastAsia="bg-BG"/>
              </w:rPr>
              <w:tab/>
            </w:r>
            <w:r w:rsidR="00ED0D9E" w:rsidRPr="00F21BF1">
              <w:rPr>
                <w:rStyle w:val="Hyperlink"/>
                <w:i/>
                <w:noProof/>
              </w:rPr>
              <w:t>Динамика на приходите и фактори повлияли върху тяхното изменение.</w:t>
            </w:r>
            <w:r w:rsidR="00ED0D9E">
              <w:rPr>
                <w:noProof/>
                <w:webHidden/>
              </w:rPr>
              <w:tab/>
            </w:r>
            <w:r>
              <w:rPr>
                <w:rStyle w:val="Hyperlink"/>
                <w:noProof/>
              </w:rPr>
              <w:fldChar w:fldCharType="begin"/>
            </w:r>
            <w:r w:rsidR="00ED0D9E">
              <w:rPr>
                <w:noProof/>
                <w:webHidden/>
              </w:rPr>
              <w:instrText xml:space="preserve"> PAGEREF _Toc324380092 \h </w:instrText>
            </w:r>
            <w:r>
              <w:rPr>
                <w:rStyle w:val="Hyperlink"/>
                <w:noProof/>
              </w:rPr>
            </w:r>
            <w:r>
              <w:rPr>
                <w:rStyle w:val="Hyperlink"/>
                <w:noProof/>
              </w:rPr>
              <w:fldChar w:fldCharType="separate"/>
            </w:r>
            <w:r w:rsidR="00394B64">
              <w:rPr>
                <w:noProof/>
                <w:webHidden/>
              </w:rPr>
              <w:t>33</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93" w:history="1">
            <w:r w:rsidR="00ED0D9E" w:rsidRPr="00F21BF1">
              <w:rPr>
                <w:rStyle w:val="Hyperlink"/>
                <w:i/>
                <w:noProof/>
              </w:rPr>
              <w:t>5.1.2.</w:t>
            </w:r>
            <w:r w:rsidR="00ED0D9E">
              <w:rPr>
                <w:rFonts w:asciiTheme="minorHAnsi" w:eastAsiaTheme="minorEastAsia" w:hAnsiTheme="minorHAnsi" w:cstheme="minorBidi"/>
                <w:noProof/>
                <w:sz w:val="22"/>
                <w:szCs w:val="22"/>
                <w:lang w:eastAsia="bg-BG"/>
              </w:rPr>
              <w:tab/>
            </w:r>
            <w:r w:rsidR="00ED0D9E" w:rsidRPr="00F21BF1">
              <w:rPr>
                <w:rStyle w:val="Hyperlink"/>
                <w:i/>
                <w:noProof/>
              </w:rPr>
              <w:t>Динамика на разходите и фактори повлияли върху тяхното изменение.</w:t>
            </w:r>
            <w:r w:rsidR="00ED0D9E">
              <w:rPr>
                <w:noProof/>
                <w:webHidden/>
              </w:rPr>
              <w:tab/>
            </w:r>
            <w:r>
              <w:rPr>
                <w:rStyle w:val="Hyperlink"/>
                <w:noProof/>
              </w:rPr>
              <w:fldChar w:fldCharType="begin"/>
            </w:r>
            <w:r w:rsidR="00ED0D9E">
              <w:rPr>
                <w:noProof/>
                <w:webHidden/>
              </w:rPr>
              <w:instrText xml:space="preserve"> PAGEREF _Toc324380093 \h </w:instrText>
            </w:r>
            <w:r>
              <w:rPr>
                <w:rStyle w:val="Hyperlink"/>
                <w:noProof/>
              </w:rPr>
            </w:r>
            <w:r>
              <w:rPr>
                <w:rStyle w:val="Hyperlink"/>
                <w:noProof/>
              </w:rPr>
              <w:fldChar w:fldCharType="separate"/>
            </w:r>
            <w:r w:rsidR="00394B64">
              <w:rPr>
                <w:noProof/>
                <w:webHidden/>
              </w:rPr>
              <w:t>34</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94" w:history="1">
            <w:r w:rsidR="00ED0D9E" w:rsidRPr="00F21BF1">
              <w:rPr>
                <w:rStyle w:val="Hyperlink"/>
                <w:i/>
                <w:noProof/>
              </w:rPr>
              <w:t>5.1.3.</w:t>
            </w:r>
            <w:r w:rsidR="00ED0D9E">
              <w:rPr>
                <w:rFonts w:asciiTheme="minorHAnsi" w:eastAsiaTheme="minorEastAsia" w:hAnsiTheme="minorHAnsi" w:cstheme="minorBidi"/>
                <w:noProof/>
                <w:sz w:val="22"/>
                <w:szCs w:val="22"/>
                <w:lang w:eastAsia="bg-BG"/>
              </w:rPr>
              <w:tab/>
            </w:r>
            <w:r w:rsidR="00ED0D9E" w:rsidRPr="00F21BF1">
              <w:rPr>
                <w:rStyle w:val="Hyperlink"/>
                <w:i/>
                <w:noProof/>
              </w:rPr>
              <w:t>Финансовата позиция на емитента.</w:t>
            </w:r>
            <w:r w:rsidR="00ED0D9E">
              <w:rPr>
                <w:noProof/>
                <w:webHidden/>
              </w:rPr>
              <w:tab/>
            </w:r>
            <w:r>
              <w:rPr>
                <w:rStyle w:val="Hyperlink"/>
                <w:noProof/>
              </w:rPr>
              <w:fldChar w:fldCharType="begin"/>
            </w:r>
            <w:r w:rsidR="00ED0D9E">
              <w:rPr>
                <w:noProof/>
                <w:webHidden/>
              </w:rPr>
              <w:instrText xml:space="preserve"> PAGEREF _Toc324380094 \h </w:instrText>
            </w:r>
            <w:r>
              <w:rPr>
                <w:rStyle w:val="Hyperlink"/>
                <w:noProof/>
              </w:rPr>
            </w:r>
            <w:r>
              <w:rPr>
                <w:rStyle w:val="Hyperlink"/>
                <w:noProof/>
              </w:rPr>
              <w:fldChar w:fldCharType="separate"/>
            </w:r>
            <w:r w:rsidR="00394B64">
              <w:rPr>
                <w:noProof/>
                <w:webHidden/>
              </w:rPr>
              <w:t>36</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95" w:history="1">
            <w:r w:rsidR="00ED0D9E" w:rsidRPr="00F21BF1">
              <w:rPr>
                <w:rStyle w:val="Hyperlink"/>
                <w:i/>
                <w:noProof/>
              </w:rPr>
              <w:t>5.1.4.</w:t>
            </w:r>
            <w:r w:rsidR="00ED0D9E">
              <w:rPr>
                <w:rFonts w:asciiTheme="minorHAnsi" w:eastAsiaTheme="minorEastAsia" w:hAnsiTheme="minorHAnsi" w:cstheme="minorBidi"/>
                <w:noProof/>
                <w:sz w:val="22"/>
                <w:szCs w:val="22"/>
                <w:lang w:eastAsia="bg-BG"/>
              </w:rPr>
              <w:tab/>
            </w:r>
            <w:r w:rsidR="00ED0D9E" w:rsidRPr="00F21BF1">
              <w:rPr>
                <w:rStyle w:val="Hyperlink"/>
                <w:i/>
                <w:noProof/>
              </w:rPr>
              <w:t>Влияние на инфлацията и промените във валутния курс.</w:t>
            </w:r>
            <w:r w:rsidR="00ED0D9E">
              <w:rPr>
                <w:noProof/>
                <w:webHidden/>
              </w:rPr>
              <w:tab/>
            </w:r>
            <w:r>
              <w:rPr>
                <w:rStyle w:val="Hyperlink"/>
                <w:noProof/>
              </w:rPr>
              <w:fldChar w:fldCharType="begin"/>
            </w:r>
            <w:r w:rsidR="00ED0D9E">
              <w:rPr>
                <w:noProof/>
                <w:webHidden/>
              </w:rPr>
              <w:instrText xml:space="preserve"> PAGEREF _Toc324380095 \h </w:instrText>
            </w:r>
            <w:r>
              <w:rPr>
                <w:rStyle w:val="Hyperlink"/>
                <w:noProof/>
              </w:rPr>
            </w:r>
            <w:r>
              <w:rPr>
                <w:rStyle w:val="Hyperlink"/>
                <w:noProof/>
              </w:rPr>
              <w:fldChar w:fldCharType="separate"/>
            </w:r>
            <w:r w:rsidR="00394B64">
              <w:rPr>
                <w:noProof/>
                <w:webHidden/>
              </w:rPr>
              <w:t>37</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96" w:history="1">
            <w:r w:rsidR="00ED0D9E" w:rsidRPr="00F21BF1">
              <w:rPr>
                <w:rStyle w:val="Hyperlink"/>
                <w:i/>
                <w:noProof/>
              </w:rPr>
              <w:t>5.1.5.</w:t>
            </w:r>
            <w:r w:rsidR="00ED0D9E">
              <w:rPr>
                <w:rFonts w:asciiTheme="minorHAnsi" w:eastAsiaTheme="minorEastAsia" w:hAnsiTheme="minorHAnsi" w:cstheme="minorBidi"/>
                <w:noProof/>
                <w:sz w:val="22"/>
                <w:szCs w:val="22"/>
                <w:lang w:eastAsia="bg-BG"/>
              </w:rPr>
              <w:tab/>
            </w:r>
            <w:r w:rsidR="00ED0D9E" w:rsidRPr="00F21BF1">
              <w:rPr>
                <w:rStyle w:val="Hyperlink"/>
                <w:i/>
                <w:noProof/>
              </w:rPr>
              <w:t>Информация за правителствени, икономически, данъчни, монетарни или политически фактори, имащи съществено влияние.</w:t>
            </w:r>
            <w:r w:rsidR="00ED0D9E">
              <w:rPr>
                <w:noProof/>
                <w:webHidden/>
              </w:rPr>
              <w:tab/>
            </w:r>
            <w:r>
              <w:rPr>
                <w:rStyle w:val="Hyperlink"/>
                <w:noProof/>
              </w:rPr>
              <w:fldChar w:fldCharType="begin"/>
            </w:r>
            <w:r w:rsidR="00ED0D9E">
              <w:rPr>
                <w:noProof/>
                <w:webHidden/>
              </w:rPr>
              <w:instrText xml:space="preserve"> PAGEREF _Toc324380096 \h </w:instrText>
            </w:r>
            <w:r>
              <w:rPr>
                <w:rStyle w:val="Hyperlink"/>
                <w:noProof/>
              </w:rPr>
            </w:r>
            <w:r>
              <w:rPr>
                <w:rStyle w:val="Hyperlink"/>
                <w:noProof/>
              </w:rPr>
              <w:fldChar w:fldCharType="separate"/>
            </w:r>
            <w:r w:rsidR="00394B64">
              <w:rPr>
                <w:noProof/>
                <w:webHidden/>
              </w:rPr>
              <w:t>37</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097" w:history="1">
            <w:r w:rsidR="00ED0D9E" w:rsidRPr="00F21BF1">
              <w:rPr>
                <w:rStyle w:val="Hyperlink"/>
                <w:i/>
                <w:smallCaps/>
                <w:noProof/>
              </w:rPr>
              <w:t>5.2.</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Капиталови ресурси</w:t>
            </w:r>
            <w:r w:rsidR="00ED0D9E">
              <w:rPr>
                <w:noProof/>
                <w:webHidden/>
              </w:rPr>
              <w:tab/>
            </w:r>
            <w:r>
              <w:rPr>
                <w:rStyle w:val="Hyperlink"/>
                <w:noProof/>
              </w:rPr>
              <w:fldChar w:fldCharType="begin"/>
            </w:r>
            <w:r w:rsidR="00ED0D9E">
              <w:rPr>
                <w:noProof/>
                <w:webHidden/>
              </w:rPr>
              <w:instrText xml:space="preserve"> PAGEREF _Toc324380097 \h </w:instrText>
            </w:r>
            <w:r>
              <w:rPr>
                <w:rStyle w:val="Hyperlink"/>
                <w:noProof/>
              </w:rPr>
            </w:r>
            <w:r>
              <w:rPr>
                <w:rStyle w:val="Hyperlink"/>
                <w:noProof/>
              </w:rPr>
              <w:fldChar w:fldCharType="separate"/>
            </w:r>
            <w:r w:rsidR="00394B64">
              <w:rPr>
                <w:noProof/>
                <w:webHidden/>
              </w:rPr>
              <w:t>38</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98" w:history="1">
            <w:r w:rsidR="00ED0D9E" w:rsidRPr="00F21BF1">
              <w:rPr>
                <w:rStyle w:val="Hyperlink"/>
                <w:i/>
                <w:noProof/>
              </w:rPr>
              <w:t>5.2.1.</w:t>
            </w:r>
            <w:r w:rsidR="00ED0D9E">
              <w:rPr>
                <w:rFonts w:asciiTheme="minorHAnsi" w:eastAsiaTheme="minorEastAsia" w:hAnsiTheme="minorHAnsi" w:cstheme="minorBidi"/>
                <w:noProof/>
                <w:sz w:val="22"/>
                <w:szCs w:val="22"/>
                <w:lang w:eastAsia="bg-BG"/>
              </w:rPr>
              <w:tab/>
            </w:r>
            <w:r w:rsidR="00ED0D9E" w:rsidRPr="00F21BF1">
              <w:rPr>
                <w:rStyle w:val="Hyperlink"/>
                <w:i/>
                <w:noProof/>
              </w:rPr>
              <w:t>Източници на финансиране</w:t>
            </w:r>
            <w:r w:rsidR="00ED0D9E">
              <w:rPr>
                <w:noProof/>
                <w:webHidden/>
              </w:rPr>
              <w:tab/>
            </w:r>
            <w:r>
              <w:rPr>
                <w:rStyle w:val="Hyperlink"/>
                <w:noProof/>
              </w:rPr>
              <w:fldChar w:fldCharType="begin"/>
            </w:r>
            <w:r w:rsidR="00ED0D9E">
              <w:rPr>
                <w:noProof/>
                <w:webHidden/>
              </w:rPr>
              <w:instrText xml:space="preserve"> PAGEREF _Toc324380098 \h </w:instrText>
            </w:r>
            <w:r>
              <w:rPr>
                <w:rStyle w:val="Hyperlink"/>
                <w:noProof/>
              </w:rPr>
            </w:r>
            <w:r>
              <w:rPr>
                <w:rStyle w:val="Hyperlink"/>
                <w:noProof/>
              </w:rPr>
              <w:fldChar w:fldCharType="separate"/>
            </w:r>
            <w:r w:rsidR="00394B64">
              <w:rPr>
                <w:noProof/>
                <w:webHidden/>
              </w:rPr>
              <w:t>38</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099" w:history="1">
            <w:r w:rsidR="00ED0D9E" w:rsidRPr="00F21BF1">
              <w:rPr>
                <w:rStyle w:val="Hyperlink"/>
                <w:i/>
                <w:noProof/>
              </w:rPr>
              <w:t>5.2.2.</w:t>
            </w:r>
            <w:r w:rsidR="00ED0D9E">
              <w:rPr>
                <w:rFonts w:asciiTheme="minorHAnsi" w:eastAsiaTheme="minorEastAsia" w:hAnsiTheme="minorHAnsi" w:cstheme="minorBidi"/>
                <w:noProof/>
                <w:sz w:val="22"/>
                <w:szCs w:val="22"/>
                <w:lang w:eastAsia="bg-BG"/>
              </w:rPr>
              <w:tab/>
            </w:r>
            <w:r w:rsidR="00ED0D9E" w:rsidRPr="00F21BF1">
              <w:rPr>
                <w:rStyle w:val="Hyperlink"/>
                <w:i/>
                <w:noProof/>
              </w:rPr>
              <w:t>Описание на паричните потоци;</w:t>
            </w:r>
            <w:r w:rsidR="00ED0D9E">
              <w:rPr>
                <w:noProof/>
                <w:webHidden/>
              </w:rPr>
              <w:tab/>
            </w:r>
            <w:r>
              <w:rPr>
                <w:rStyle w:val="Hyperlink"/>
                <w:noProof/>
              </w:rPr>
              <w:fldChar w:fldCharType="begin"/>
            </w:r>
            <w:r w:rsidR="00ED0D9E">
              <w:rPr>
                <w:noProof/>
                <w:webHidden/>
              </w:rPr>
              <w:instrText xml:space="preserve"> PAGEREF _Toc324380099 \h </w:instrText>
            </w:r>
            <w:r>
              <w:rPr>
                <w:rStyle w:val="Hyperlink"/>
                <w:noProof/>
              </w:rPr>
            </w:r>
            <w:r>
              <w:rPr>
                <w:rStyle w:val="Hyperlink"/>
                <w:noProof/>
              </w:rPr>
              <w:fldChar w:fldCharType="separate"/>
            </w:r>
            <w:r w:rsidR="00394B64">
              <w:rPr>
                <w:noProof/>
                <w:webHidden/>
              </w:rPr>
              <w:t>39</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00" w:history="1">
            <w:r w:rsidR="00ED0D9E" w:rsidRPr="00F21BF1">
              <w:rPr>
                <w:rStyle w:val="Hyperlink"/>
                <w:i/>
                <w:noProof/>
              </w:rPr>
              <w:t>5.2.3.</w:t>
            </w:r>
            <w:r w:rsidR="00ED0D9E">
              <w:rPr>
                <w:rFonts w:asciiTheme="minorHAnsi" w:eastAsiaTheme="minorEastAsia" w:hAnsiTheme="minorHAnsi" w:cstheme="minorBidi"/>
                <w:noProof/>
                <w:sz w:val="22"/>
                <w:szCs w:val="22"/>
                <w:lang w:eastAsia="bg-BG"/>
              </w:rPr>
              <w:tab/>
            </w:r>
            <w:r w:rsidR="00ED0D9E" w:rsidRPr="00F21BF1">
              <w:rPr>
                <w:rStyle w:val="Hyperlink"/>
                <w:i/>
                <w:noProof/>
              </w:rPr>
              <w:t>Условията за заемане на средства и структурата на финансирането.</w:t>
            </w:r>
            <w:r w:rsidR="00ED0D9E">
              <w:rPr>
                <w:noProof/>
                <w:webHidden/>
              </w:rPr>
              <w:tab/>
            </w:r>
            <w:r>
              <w:rPr>
                <w:rStyle w:val="Hyperlink"/>
                <w:noProof/>
              </w:rPr>
              <w:fldChar w:fldCharType="begin"/>
            </w:r>
            <w:r w:rsidR="00ED0D9E">
              <w:rPr>
                <w:noProof/>
                <w:webHidden/>
              </w:rPr>
              <w:instrText xml:space="preserve"> PAGEREF _Toc324380100 \h </w:instrText>
            </w:r>
            <w:r>
              <w:rPr>
                <w:rStyle w:val="Hyperlink"/>
                <w:noProof/>
              </w:rPr>
            </w:r>
            <w:r>
              <w:rPr>
                <w:rStyle w:val="Hyperlink"/>
                <w:noProof/>
              </w:rPr>
              <w:fldChar w:fldCharType="separate"/>
            </w:r>
            <w:r w:rsidR="00394B64">
              <w:rPr>
                <w:noProof/>
                <w:webHidden/>
              </w:rPr>
              <w:t>39</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01" w:history="1">
            <w:r w:rsidR="00ED0D9E" w:rsidRPr="00F21BF1">
              <w:rPr>
                <w:rStyle w:val="Hyperlink"/>
                <w:i/>
                <w:noProof/>
              </w:rPr>
              <w:t>5.2.4.</w:t>
            </w:r>
            <w:r w:rsidR="00ED0D9E">
              <w:rPr>
                <w:rFonts w:asciiTheme="minorHAnsi" w:eastAsiaTheme="minorEastAsia" w:hAnsiTheme="minorHAnsi" w:cstheme="minorBidi"/>
                <w:noProof/>
                <w:sz w:val="22"/>
                <w:szCs w:val="22"/>
                <w:lang w:eastAsia="bg-BG"/>
              </w:rPr>
              <w:tab/>
            </w:r>
            <w:r w:rsidR="00ED0D9E" w:rsidRPr="00F21BF1">
              <w:rPr>
                <w:rStyle w:val="Hyperlink"/>
                <w:i/>
                <w:noProof/>
              </w:rPr>
              <w:t>Информация за предвижданите източници за финансиране покупките на ДА и за поетите ангажименти за извършване на инвестиции.</w:t>
            </w:r>
            <w:r w:rsidR="00ED0D9E">
              <w:rPr>
                <w:noProof/>
                <w:webHidden/>
              </w:rPr>
              <w:tab/>
            </w:r>
            <w:r>
              <w:rPr>
                <w:rStyle w:val="Hyperlink"/>
                <w:noProof/>
              </w:rPr>
              <w:fldChar w:fldCharType="begin"/>
            </w:r>
            <w:r w:rsidR="00ED0D9E">
              <w:rPr>
                <w:noProof/>
                <w:webHidden/>
              </w:rPr>
              <w:instrText xml:space="preserve"> PAGEREF _Toc324380101 \h </w:instrText>
            </w:r>
            <w:r>
              <w:rPr>
                <w:rStyle w:val="Hyperlink"/>
                <w:noProof/>
              </w:rPr>
            </w:r>
            <w:r>
              <w:rPr>
                <w:rStyle w:val="Hyperlink"/>
                <w:noProof/>
              </w:rPr>
              <w:fldChar w:fldCharType="separate"/>
            </w:r>
            <w:r w:rsidR="00394B64">
              <w:rPr>
                <w:noProof/>
                <w:webHidden/>
              </w:rPr>
              <w:t>40</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02" w:history="1">
            <w:r w:rsidR="00ED0D9E" w:rsidRPr="00F21BF1">
              <w:rPr>
                <w:rStyle w:val="Hyperlink"/>
                <w:i/>
                <w:smallCaps/>
                <w:noProof/>
              </w:rPr>
              <w:t>5.3.</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R&amp;D дейност за последните 3 години</w:t>
            </w:r>
            <w:r w:rsidR="00ED0D9E">
              <w:rPr>
                <w:noProof/>
                <w:webHidden/>
              </w:rPr>
              <w:tab/>
            </w:r>
            <w:r>
              <w:rPr>
                <w:rStyle w:val="Hyperlink"/>
                <w:noProof/>
              </w:rPr>
              <w:fldChar w:fldCharType="begin"/>
            </w:r>
            <w:r w:rsidR="00ED0D9E">
              <w:rPr>
                <w:noProof/>
                <w:webHidden/>
              </w:rPr>
              <w:instrText xml:space="preserve"> PAGEREF _Toc324380102 \h </w:instrText>
            </w:r>
            <w:r>
              <w:rPr>
                <w:rStyle w:val="Hyperlink"/>
                <w:noProof/>
              </w:rPr>
            </w:r>
            <w:r>
              <w:rPr>
                <w:rStyle w:val="Hyperlink"/>
                <w:noProof/>
              </w:rPr>
              <w:fldChar w:fldCharType="separate"/>
            </w:r>
            <w:r w:rsidR="00394B64">
              <w:rPr>
                <w:noProof/>
                <w:webHidden/>
              </w:rPr>
              <w:t>40</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03" w:history="1">
            <w:r w:rsidR="00ED0D9E" w:rsidRPr="00F21BF1">
              <w:rPr>
                <w:rStyle w:val="Hyperlink"/>
                <w:i/>
                <w:smallCaps/>
                <w:noProof/>
              </w:rPr>
              <w:t>5.4.</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Основни тенденции</w:t>
            </w:r>
            <w:r w:rsidR="00ED0D9E">
              <w:rPr>
                <w:noProof/>
                <w:webHidden/>
              </w:rPr>
              <w:tab/>
            </w:r>
            <w:r>
              <w:rPr>
                <w:rStyle w:val="Hyperlink"/>
                <w:noProof/>
              </w:rPr>
              <w:fldChar w:fldCharType="begin"/>
            </w:r>
            <w:r w:rsidR="00ED0D9E">
              <w:rPr>
                <w:noProof/>
                <w:webHidden/>
              </w:rPr>
              <w:instrText xml:space="preserve"> PAGEREF _Toc324380103 \h </w:instrText>
            </w:r>
            <w:r>
              <w:rPr>
                <w:rStyle w:val="Hyperlink"/>
                <w:noProof/>
              </w:rPr>
            </w:r>
            <w:r>
              <w:rPr>
                <w:rStyle w:val="Hyperlink"/>
                <w:noProof/>
              </w:rPr>
              <w:fldChar w:fldCharType="separate"/>
            </w:r>
            <w:r w:rsidR="00394B64">
              <w:rPr>
                <w:noProof/>
                <w:webHidden/>
              </w:rPr>
              <w:t>41</w:t>
            </w:r>
            <w:r>
              <w:rPr>
                <w:rStyle w:val="Hyperlink"/>
                <w:noProof/>
              </w:rPr>
              <w:fldChar w:fldCharType="end"/>
            </w:r>
          </w:hyperlink>
        </w:p>
        <w:p w:rsidR="00ED0D9E" w:rsidRDefault="001E7C80">
          <w:pPr>
            <w:pStyle w:val="TOC1"/>
            <w:tabs>
              <w:tab w:val="left" w:pos="440"/>
              <w:tab w:val="right" w:leader="dot" w:pos="9771"/>
            </w:tabs>
            <w:rPr>
              <w:rFonts w:asciiTheme="minorHAnsi" w:eastAsiaTheme="minorEastAsia" w:hAnsiTheme="minorHAnsi" w:cstheme="minorBidi"/>
              <w:noProof/>
              <w:sz w:val="22"/>
              <w:szCs w:val="22"/>
              <w:lang w:eastAsia="bg-BG"/>
            </w:rPr>
          </w:pPr>
          <w:hyperlink w:anchor="_Toc324380104" w:history="1">
            <w:r w:rsidR="00ED0D9E" w:rsidRPr="00F21BF1">
              <w:rPr>
                <w:rStyle w:val="Hyperlink"/>
                <w:smallCaps/>
                <w:noProof/>
              </w:rPr>
              <w:t>6.</w:t>
            </w:r>
            <w:r w:rsidR="00ED0D9E">
              <w:rPr>
                <w:rFonts w:asciiTheme="minorHAnsi" w:eastAsiaTheme="minorEastAsia" w:hAnsiTheme="minorHAnsi" w:cstheme="minorBidi"/>
                <w:noProof/>
                <w:sz w:val="22"/>
                <w:szCs w:val="22"/>
                <w:lang w:eastAsia="bg-BG"/>
              </w:rPr>
              <w:tab/>
            </w:r>
            <w:r w:rsidR="00ED0D9E" w:rsidRPr="00F21BF1">
              <w:rPr>
                <w:rStyle w:val="Hyperlink"/>
                <w:smallCaps/>
                <w:noProof/>
              </w:rPr>
              <w:t>Членове на управителните органи, висш ръководен състав и служители</w:t>
            </w:r>
            <w:r w:rsidR="00ED0D9E">
              <w:rPr>
                <w:noProof/>
                <w:webHidden/>
              </w:rPr>
              <w:tab/>
            </w:r>
            <w:r>
              <w:rPr>
                <w:rStyle w:val="Hyperlink"/>
                <w:noProof/>
              </w:rPr>
              <w:fldChar w:fldCharType="begin"/>
            </w:r>
            <w:r w:rsidR="00ED0D9E">
              <w:rPr>
                <w:noProof/>
                <w:webHidden/>
              </w:rPr>
              <w:instrText xml:space="preserve"> PAGEREF _Toc324380104 \h </w:instrText>
            </w:r>
            <w:r>
              <w:rPr>
                <w:rStyle w:val="Hyperlink"/>
                <w:noProof/>
              </w:rPr>
            </w:r>
            <w:r>
              <w:rPr>
                <w:rStyle w:val="Hyperlink"/>
                <w:noProof/>
              </w:rPr>
              <w:fldChar w:fldCharType="separate"/>
            </w:r>
            <w:r w:rsidR="00394B64">
              <w:rPr>
                <w:noProof/>
                <w:webHidden/>
              </w:rPr>
              <w:t>42</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05" w:history="1">
            <w:r w:rsidR="00ED0D9E" w:rsidRPr="00F21BF1">
              <w:rPr>
                <w:rStyle w:val="Hyperlink"/>
                <w:i/>
                <w:smallCaps/>
                <w:noProof/>
              </w:rPr>
              <w:t>6.1.</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Информация за членовете на управителните и на контролните органи, прокуристите, висшия ръководен състав и на ключови служители</w:t>
            </w:r>
            <w:r w:rsidR="00ED0D9E">
              <w:rPr>
                <w:noProof/>
                <w:webHidden/>
              </w:rPr>
              <w:tab/>
            </w:r>
            <w:r>
              <w:rPr>
                <w:rStyle w:val="Hyperlink"/>
                <w:noProof/>
              </w:rPr>
              <w:fldChar w:fldCharType="begin"/>
            </w:r>
            <w:r w:rsidR="00ED0D9E">
              <w:rPr>
                <w:noProof/>
                <w:webHidden/>
              </w:rPr>
              <w:instrText xml:space="preserve"> PAGEREF _Toc324380105 \h </w:instrText>
            </w:r>
            <w:r>
              <w:rPr>
                <w:rStyle w:val="Hyperlink"/>
                <w:noProof/>
              </w:rPr>
            </w:r>
            <w:r>
              <w:rPr>
                <w:rStyle w:val="Hyperlink"/>
                <w:noProof/>
              </w:rPr>
              <w:fldChar w:fldCharType="separate"/>
            </w:r>
            <w:r w:rsidR="00394B64">
              <w:rPr>
                <w:noProof/>
                <w:webHidden/>
              </w:rPr>
              <w:t>42</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06" w:history="1">
            <w:r w:rsidR="00ED0D9E" w:rsidRPr="00F21BF1">
              <w:rPr>
                <w:rStyle w:val="Hyperlink"/>
                <w:i/>
                <w:smallCaps/>
                <w:noProof/>
              </w:rPr>
              <w:t>6.2.</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Конфликт на интереси за членове на управителните и на контролните органи</w:t>
            </w:r>
            <w:r w:rsidR="00ED0D9E">
              <w:rPr>
                <w:noProof/>
                <w:webHidden/>
              </w:rPr>
              <w:tab/>
            </w:r>
            <w:r>
              <w:rPr>
                <w:rStyle w:val="Hyperlink"/>
                <w:noProof/>
              </w:rPr>
              <w:fldChar w:fldCharType="begin"/>
            </w:r>
            <w:r w:rsidR="00ED0D9E">
              <w:rPr>
                <w:noProof/>
                <w:webHidden/>
              </w:rPr>
              <w:instrText xml:space="preserve"> PAGEREF _Toc324380106 \h </w:instrText>
            </w:r>
            <w:r>
              <w:rPr>
                <w:rStyle w:val="Hyperlink"/>
                <w:noProof/>
              </w:rPr>
            </w:r>
            <w:r>
              <w:rPr>
                <w:rStyle w:val="Hyperlink"/>
                <w:noProof/>
              </w:rPr>
              <w:fldChar w:fldCharType="separate"/>
            </w:r>
            <w:r w:rsidR="00394B64">
              <w:rPr>
                <w:noProof/>
                <w:webHidden/>
              </w:rPr>
              <w:t>46</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07" w:history="1">
            <w:r w:rsidR="00ED0D9E" w:rsidRPr="00F21BF1">
              <w:rPr>
                <w:rStyle w:val="Hyperlink"/>
                <w:i/>
                <w:smallCaps/>
                <w:noProof/>
              </w:rPr>
              <w:t>6.3.</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Възнаграждения на всеки от членовете на управителните и на контролните органи за последната финансова година.</w:t>
            </w:r>
            <w:r w:rsidR="00ED0D9E">
              <w:rPr>
                <w:noProof/>
                <w:webHidden/>
              </w:rPr>
              <w:tab/>
            </w:r>
            <w:r>
              <w:rPr>
                <w:rStyle w:val="Hyperlink"/>
                <w:noProof/>
              </w:rPr>
              <w:fldChar w:fldCharType="begin"/>
            </w:r>
            <w:r w:rsidR="00ED0D9E">
              <w:rPr>
                <w:noProof/>
                <w:webHidden/>
              </w:rPr>
              <w:instrText xml:space="preserve"> PAGEREF _Toc324380107 \h </w:instrText>
            </w:r>
            <w:r>
              <w:rPr>
                <w:rStyle w:val="Hyperlink"/>
                <w:noProof/>
              </w:rPr>
            </w:r>
            <w:r>
              <w:rPr>
                <w:rStyle w:val="Hyperlink"/>
                <w:noProof/>
              </w:rPr>
              <w:fldChar w:fldCharType="separate"/>
            </w:r>
            <w:r w:rsidR="00394B64">
              <w:rPr>
                <w:noProof/>
                <w:webHidden/>
              </w:rPr>
              <w:t>47</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08" w:history="1">
            <w:r w:rsidR="00ED0D9E" w:rsidRPr="00F21BF1">
              <w:rPr>
                <w:rStyle w:val="Hyperlink"/>
                <w:i/>
                <w:noProof/>
              </w:rPr>
              <w:t>6.3.1.</w:t>
            </w:r>
            <w:r w:rsidR="00ED0D9E">
              <w:rPr>
                <w:rFonts w:asciiTheme="minorHAnsi" w:eastAsiaTheme="minorEastAsia" w:hAnsiTheme="minorHAnsi" w:cstheme="minorBidi"/>
                <w:noProof/>
                <w:sz w:val="22"/>
                <w:szCs w:val="22"/>
                <w:lang w:eastAsia="bg-BG"/>
              </w:rPr>
              <w:tab/>
            </w:r>
            <w:r w:rsidR="00ED0D9E" w:rsidRPr="00F21BF1">
              <w:rPr>
                <w:rStyle w:val="Hyperlink"/>
                <w:i/>
                <w:noProof/>
              </w:rPr>
              <w:t>Получени суми и непарични възнаграждения през 2011 г.</w:t>
            </w:r>
            <w:r w:rsidR="00ED0D9E">
              <w:rPr>
                <w:noProof/>
                <w:webHidden/>
              </w:rPr>
              <w:tab/>
            </w:r>
            <w:r>
              <w:rPr>
                <w:rStyle w:val="Hyperlink"/>
                <w:noProof/>
              </w:rPr>
              <w:fldChar w:fldCharType="begin"/>
            </w:r>
            <w:r w:rsidR="00ED0D9E">
              <w:rPr>
                <w:noProof/>
                <w:webHidden/>
              </w:rPr>
              <w:instrText xml:space="preserve"> PAGEREF _Toc324380108 \h </w:instrText>
            </w:r>
            <w:r>
              <w:rPr>
                <w:rStyle w:val="Hyperlink"/>
                <w:noProof/>
              </w:rPr>
            </w:r>
            <w:r>
              <w:rPr>
                <w:rStyle w:val="Hyperlink"/>
                <w:noProof/>
              </w:rPr>
              <w:fldChar w:fldCharType="separate"/>
            </w:r>
            <w:r w:rsidR="00394B64">
              <w:rPr>
                <w:noProof/>
                <w:webHidden/>
              </w:rPr>
              <w:t>47</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09" w:history="1">
            <w:r w:rsidR="00ED0D9E" w:rsidRPr="00F21BF1">
              <w:rPr>
                <w:rStyle w:val="Hyperlink"/>
                <w:i/>
                <w:noProof/>
              </w:rPr>
              <w:t>6.3.2.</w:t>
            </w:r>
            <w:r w:rsidR="00ED0D9E">
              <w:rPr>
                <w:rFonts w:asciiTheme="minorHAnsi" w:eastAsiaTheme="minorEastAsia" w:hAnsiTheme="minorHAnsi" w:cstheme="minorBidi"/>
                <w:noProof/>
                <w:sz w:val="22"/>
                <w:szCs w:val="22"/>
                <w:lang w:eastAsia="bg-BG"/>
              </w:rPr>
              <w:tab/>
            </w:r>
            <w:r w:rsidR="00ED0D9E" w:rsidRPr="00F21BF1">
              <w:rPr>
                <w:rStyle w:val="Hyperlink"/>
                <w:i/>
                <w:noProof/>
              </w:rPr>
              <w:t>Условни или разсрочени възнаграждения</w:t>
            </w:r>
            <w:r w:rsidR="00ED0D9E">
              <w:rPr>
                <w:noProof/>
                <w:webHidden/>
              </w:rPr>
              <w:tab/>
            </w:r>
            <w:r>
              <w:rPr>
                <w:rStyle w:val="Hyperlink"/>
                <w:noProof/>
              </w:rPr>
              <w:fldChar w:fldCharType="begin"/>
            </w:r>
            <w:r w:rsidR="00ED0D9E">
              <w:rPr>
                <w:noProof/>
                <w:webHidden/>
              </w:rPr>
              <w:instrText xml:space="preserve"> PAGEREF _Toc324380109 \h </w:instrText>
            </w:r>
            <w:r>
              <w:rPr>
                <w:rStyle w:val="Hyperlink"/>
                <w:noProof/>
              </w:rPr>
            </w:r>
            <w:r>
              <w:rPr>
                <w:rStyle w:val="Hyperlink"/>
                <w:noProof/>
              </w:rPr>
              <w:fldChar w:fldCharType="separate"/>
            </w:r>
            <w:r w:rsidR="00394B64">
              <w:rPr>
                <w:noProof/>
                <w:webHidden/>
              </w:rPr>
              <w:t>47</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10" w:history="1">
            <w:r w:rsidR="00ED0D9E" w:rsidRPr="00F21BF1">
              <w:rPr>
                <w:rStyle w:val="Hyperlink"/>
                <w:i/>
                <w:noProof/>
              </w:rPr>
              <w:t>6.3.3.</w:t>
            </w:r>
            <w:r w:rsidR="00ED0D9E">
              <w:rPr>
                <w:rFonts w:asciiTheme="minorHAnsi" w:eastAsiaTheme="minorEastAsia" w:hAnsiTheme="minorHAnsi" w:cstheme="minorBidi"/>
                <w:noProof/>
                <w:sz w:val="22"/>
                <w:szCs w:val="22"/>
                <w:lang w:eastAsia="bg-BG"/>
              </w:rPr>
              <w:tab/>
            </w:r>
            <w:r w:rsidR="00ED0D9E" w:rsidRPr="00F21BF1">
              <w:rPr>
                <w:rStyle w:val="Hyperlink"/>
                <w:i/>
                <w:noProof/>
              </w:rPr>
              <w:t>Сума, дължима за изплащане на пенсии, компенсации при пенсиониране или други подобни обезщетения.</w:t>
            </w:r>
            <w:r w:rsidR="00ED0D9E">
              <w:rPr>
                <w:noProof/>
                <w:webHidden/>
              </w:rPr>
              <w:tab/>
            </w:r>
            <w:r>
              <w:rPr>
                <w:rStyle w:val="Hyperlink"/>
                <w:noProof/>
              </w:rPr>
              <w:fldChar w:fldCharType="begin"/>
            </w:r>
            <w:r w:rsidR="00ED0D9E">
              <w:rPr>
                <w:noProof/>
                <w:webHidden/>
              </w:rPr>
              <w:instrText xml:space="preserve"> PAGEREF _Toc324380110 \h </w:instrText>
            </w:r>
            <w:r>
              <w:rPr>
                <w:rStyle w:val="Hyperlink"/>
                <w:noProof/>
              </w:rPr>
            </w:r>
            <w:r>
              <w:rPr>
                <w:rStyle w:val="Hyperlink"/>
                <w:noProof/>
              </w:rPr>
              <w:fldChar w:fldCharType="separate"/>
            </w:r>
            <w:r w:rsidR="00394B64">
              <w:rPr>
                <w:noProof/>
                <w:webHidden/>
              </w:rPr>
              <w:t>47</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11" w:history="1">
            <w:r w:rsidR="00ED0D9E" w:rsidRPr="00F21BF1">
              <w:rPr>
                <w:rStyle w:val="Hyperlink"/>
                <w:i/>
                <w:smallCaps/>
                <w:noProof/>
              </w:rPr>
              <w:t>6.4.</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Датата на изтичане на срока на текущите договори с членовете на управителните и на контролните органи, както и периода, през който те са заемали длъжността;</w:t>
            </w:r>
            <w:r w:rsidR="00ED0D9E">
              <w:rPr>
                <w:noProof/>
                <w:webHidden/>
              </w:rPr>
              <w:tab/>
            </w:r>
            <w:r>
              <w:rPr>
                <w:rStyle w:val="Hyperlink"/>
                <w:noProof/>
              </w:rPr>
              <w:fldChar w:fldCharType="begin"/>
            </w:r>
            <w:r w:rsidR="00ED0D9E">
              <w:rPr>
                <w:noProof/>
                <w:webHidden/>
              </w:rPr>
              <w:instrText xml:space="preserve"> PAGEREF _Toc324380111 \h </w:instrText>
            </w:r>
            <w:r>
              <w:rPr>
                <w:rStyle w:val="Hyperlink"/>
                <w:noProof/>
              </w:rPr>
            </w:r>
            <w:r>
              <w:rPr>
                <w:rStyle w:val="Hyperlink"/>
                <w:noProof/>
              </w:rPr>
              <w:fldChar w:fldCharType="separate"/>
            </w:r>
            <w:r w:rsidR="00394B64">
              <w:rPr>
                <w:noProof/>
                <w:webHidden/>
              </w:rPr>
              <w:t>48</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12" w:history="1">
            <w:r w:rsidR="00ED0D9E" w:rsidRPr="00F21BF1">
              <w:rPr>
                <w:rStyle w:val="Hyperlink"/>
                <w:i/>
                <w:smallCaps/>
                <w:noProof/>
              </w:rPr>
              <w:t>6.5.</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Информация за служителите:</w:t>
            </w:r>
            <w:r w:rsidR="00ED0D9E">
              <w:rPr>
                <w:noProof/>
                <w:webHidden/>
              </w:rPr>
              <w:tab/>
            </w:r>
            <w:r>
              <w:rPr>
                <w:rStyle w:val="Hyperlink"/>
                <w:noProof/>
              </w:rPr>
              <w:fldChar w:fldCharType="begin"/>
            </w:r>
            <w:r w:rsidR="00ED0D9E">
              <w:rPr>
                <w:noProof/>
                <w:webHidden/>
              </w:rPr>
              <w:instrText xml:space="preserve"> PAGEREF _Toc324380112 \h </w:instrText>
            </w:r>
            <w:r>
              <w:rPr>
                <w:rStyle w:val="Hyperlink"/>
                <w:noProof/>
              </w:rPr>
            </w:r>
            <w:r>
              <w:rPr>
                <w:rStyle w:val="Hyperlink"/>
                <w:noProof/>
              </w:rPr>
              <w:fldChar w:fldCharType="separate"/>
            </w:r>
            <w:r w:rsidR="00394B64">
              <w:rPr>
                <w:noProof/>
                <w:webHidden/>
              </w:rPr>
              <w:t>48</w:t>
            </w:r>
            <w:r>
              <w:rPr>
                <w:rStyle w:val="Hyperlink"/>
                <w:noProof/>
              </w:rPr>
              <w:fldChar w:fldCharType="end"/>
            </w:r>
          </w:hyperlink>
        </w:p>
        <w:p w:rsidR="00ED0D9E" w:rsidRDefault="001E7C80">
          <w:pPr>
            <w:pStyle w:val="TOC1"/>
            <w:tabs>
              <w:tab w:val="right" w:leader="dot" w:pos="9771"/>
            </w:tabs>
            <w:rPr>
              <w:rFonts w:asciiTheme="minorHAnsi" w:eastAsiaTheme="minorEastAsia" w:hAnsiTheme="minorHAnsi" w:cstheme="minorBidi"/>
              <w:noProof/>
              <w:sz w:val="22"/>
              <w:szCs w:val="22"/>
              <w:lang w:eastAsia="bg-BG"/>
            </w:rPr>
          </w:pPr>
          <w:hyperlink w:anchor="_Toc324380113" w:history="1">
            <w:r w:rsidR="00ED0D9E" w:rsidRPr="00F21BF1">
              <w:rPr>
                <w:rStyle w:val="Hyperlink"/>
                <w:i/>
                <w:noProof/>
              </w:rPr>
              <w:t>Информация за притежавани акции на емитента.</w:t>
            </w:r>
            <w:r w:rsidR="00ED0D9E">
              <w:rPr>
                <w:noProof/>
                <w:webHidden/>
              </w:rPr>
              <w:tab/>
            </w:r>
            <w:r>
              <w:rPr>
                <w:rStyle w:val="Hyperlink"/>
                <w:noProof/>
              </w:rPr>
              <w:fldChar w:fldCharType="begin"/>
            </w:r>
            <w:r w:rsidR="00ED0D9E">
              <w:rPr>
                <w:noProof/>
                <w:webHidden/>
              </w:rPr>
              <w:instrText xml:space="preserve"> PAGEREF _Toc324380113 \h </w:instrText>
            </w:r>
            <w:r>
              <w:rPr>
                <w:rStyle w:val="Hyperlink"/>
                <w:noProof/>
              </w:rPr>
            </w:r>
            <w:r>
              <w:rPr>
                <w:rStyle w:val="Hyperlink"/>
                <w:noProof/>
              </w:rPr>
              <w:fldChar w:fldCharType="separate"/>
            </w:r>
            <w:r w:rsidR="00394B64">
              <w:rPr>
                <w:noProof/>
                <w:webHidden/>
              </w:rPr>
              <w:t>49</w:t>
            </w:r>
            <w:r>
              <w:rPr>
                <w:rStyle w:val="Hyperlink"/>
                <w:noProof/>
              </w:rPr>
              <w:fldChar w:fldCharType="end"/>
            </w:r>
          </w:hyperlink>
        </w:p>
        <w:p w:rsidR="00ED0D9E" w:rsidRDefault="001E7C80">
          <w:pPr>
            <w:pStyle w:val="TOC1"/>
            <w:tabs>
              <w:tab w:val="left" w:pos="440"/>
              <w:tab w:val="right" w:leader="dot" w:pos="9771"/>
            </w:tabs>
            <w:rPr>
              <w:rFonts w:asciiTheme="minorHAnsi" w:eastAsiaTheme="minorEastAsia" w:hAnsiTheme="minorHAnsi" w:cstheme="minorBidi"/>
              <w:noProof/>
              <w:sz w:val="22"/>
              <w:szCs w:val="22"/>
              <w:lang w:eastAsia="bg-BG"/>
            </w:rPr>
          </w:pPr>
          <w:hyperlink w:anchor="_Toc324380114" w:history="1">
            <w:r w:rsidR="00ED0D9E" w:rsidRPr="00F21BF1">
              <w:rPr>
                <w:rStyle w:val="Hyperlink"/>
                <w:smallCaps/>
                <w:noProof/>
              </w:rPr>
              <w:t>7.</w:t>
            </w:r>
            <w:r w:rsidR="00ED0D9E">
              <w:rPr>
                <w:rFonts w:asciiTheme="minorHAnsi" w:eastAsiaTheme="minorEastAsia" w:hAnsiTheme="minorHAnsi" w:cstheme="minorBidi"/>
                <w:noProof/>
                <w:sz w:val="22"/>
                <w:szCs w:val="22"/>
                <w:lang w:eastAsia="bg-BG"/>
              </w:rPr>
              <w:tab/>
            </w:r>
            <w:r w:rsidR="00ED0D9E" w:rsidRPr="00F21BF1">
              <w:rPr>
                <w:rStyle w:val="Hyperlink"/>
                <w:smallCaps/>
                <w:noProof/>
              </w:rPr>
              <w:t>Акционери със значително участие.</w:t>
            </w:r>
            <w:r w:rsidR="00ED0D9E">
              <w:rPr>
                <w:noProof/>
                <w:webHidden/>
              </w:rPr>
              <w:tab/>
            </w:r>
            <w:r>
              <w:rPr>
                <w:rStyle w:val="Hyperlink"/>
                <w:noProof/>
              </w:rPr>
              <w:fldChar w:fldCharType="begin"/>
            </w:r>
            <w:r w:rsidR="00ED0D9E">
              <w:rPr>
                <w:noProof/>
                <w:webHidden/>
              </w:rPr>
              <w:instrText xml:space="preserve"> PAGEREF _Toc324380114 \h </w:instrText>
            </w:r>
            <w:r>
              <w:rPr>
                <w:rStyle w:val="Hyperlink"/>
                <w:noProof/>
              </w:rPr>
            </w:r>
            <w:r>
              <w:rPr>
                <w:rStyle w:val="Hyperlink"/>
                <w:noProof/>
              </w:rPr>
              <w:fldChar w:fldCharType="separate"/>
            </w:r>
            <w:r w:rsidR="00394B64">
              <w:rPr>
                <w:noProof/>
                <w:webHidden/>
              </w:rPr>
              <w:t>50</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15" w:history="1">
            <w:r w:rsidR="00ED0D9E" w:rsidRPr="00F21BF1">
              <w:rPr>
                <w:rStyle w:val="Hyperlink"/>
                <w:i/>
                <w:smallCaps/>
                <w:noProof/>
              </w:rPr>
              <w:t>7.1.</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Данни за акционерите, притежаващи над 5 на сто от акциите с право на глас.</w:t>
            </w:r>
            <w:r w:rsidR="00ED0D9E">
              <w:rPr>
                <w:noProof/>
                <w:webHidden/>
              </w:rPr>
              <w:tab/>
            </w:r>
            <w:r>
              <w:rPr>
                <w:rStyle w:val="Hyperlink"/>
                <w:noProof/>
              </w:rPr>
              <w:fldChar w:fldCharType="begin"/>
            </w:r>
            <w:r w:rsidR="00ED0D9E">
              <w:rPr>
                <w:noProof/>
                <w:webHidden/>
              </w:rPr>
              <w:instrText xml:space="preserve"> PAGEREF _Toc324380115 \h </w:instrText>
            </w:r>
            <w:r>
              <w:rPr>
                <w:rStyle w:val="Hyperlink"/>
                <w:noProof/>
              </w:rPr>
            </w:r>
            <w:r>
              <w:rPr>
                <w:rStyle w:val="Hyperlink"/>
                <w:noProof/>
              </w:rPr>
              <w:fldChar w:fldCharType="separate"/>
            </w:r>
            <w:r w:rsidR="00394B64">
              <w:rPr>
                <w:noProof/>
                <w:webHidden/>
              </w:rPr>
              <w:t>50</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16" w:history="1">
            <w:r w:rsidR="00ED0D9E" w:rsidRPr="00F21BF1">
              <w:rPr>
                <w:rStyle w:val="Hyperlink"/>
                <w:i/>
                <w:smallCaps/>
                <w:noProof/>
              </w:rPr>
              <w:t>7.2.</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Посочване дали са налице различия в правата на глас на главните акционери в емитента</w:t>
            </w:r>
            <w:r w:rsidR="00ED0D9E">
              <w:rPr>
                <w:noProof/>
                <w:webHidden/>
              </w:rPr>
              <w:tab/>
            </w:r>
            <w:r>
              <w:rPr>
                <w:rStyle w:val="Hyperlink"/>
                <w:noProof/>
              </w:rPr>
              <w:fldChar w:fldCharType="begin"/>
            </w:r>
            <w:r w:rsidR="00ED0D9E">
              <w:rPr>
                <w:noProof/>
                <w:webHidden/>
              </w:rPr>
              <w:instrText xml:space="preserve"> PAGEREF _Toc324380116 \h </w:instrText>
            </w:r>
            <w:r>
              <w:rPr>
                <w:rStyle w:val="Hyperlink"/>
                <w:noProof/>
              </w:rPr>
            </w:r>
            <w:r>
              <w:rPr>
                <w:rStyle w:val="Hyperlink"/>
                <w:noProof/>
              </w:rPr>
              <w:fldChar w:fldCharType="separate"/>
            </w:r>
            <w:r w:rsidR="00394B64">
              <w:rPr>
                <w:noProof/>
                <w:webHidden/>
              </w:rPr>
              <w:t>50</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17" w:history="1">
            <w:r w:rsidR="00ED0D9E" w:rsidRPr="00F21BF1">
              <w:rPr>
                <w:rStyle w:val="Hyperlink"/>
                <w:i/>
                <w:smallCaps/>
                <w:noProof/>
              </w:rPr>
              <w:t>7.3.</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Данни за лицето/лицата, които упражняват контрол върху емитента</w:t>
            </w:r>
            <w:r w:rsidR="00ED0D9E">
              <w:rPr>
                <w:noProof/>
                <w:webHidden/>
              </w:rPr>
              <w:tab/>
            </w:r>
            <w:r>
              <w:rPr>
                <w:rStyle w:val="Hyperlink"/>
                <w:noProof/>
              </w:rPr>
              <w:fldChar w:fldCharType="begin"/>
            </w:r>
            <w:r w:rsidR="00ED0D9E">
              <w:rPr>
                <w:noProof/>
                <w:webHidden/>
              </w:rPr>
              <w:instrText xml:space="preserve"> PAGEREF _Toc324380117 \h </w:instrText>
            </w:r>
            <w:r>
              <w:rPr>
                <w:rStyle w:val="Hyperlink"/>
                <w:noProof/>
              </w:rPr>
            </w:r>
            <w:r>
              <w:rPr>
                <w:rStyle w:val="Hyperlink"/>
                <w:noProof/>
              </w:rPr>
              <w:fldChar w:fldCharType="separate"/>
            </w:r>
            <w:r w:rsidR="00394B64">
              <w:rPr>
                <w:noProof/>
                <w:webHidden/>
              </w:rPr>
              <w:t>51</w:t>
            </w:r>
            <w:r>
              <w:rPr>
                <w:rStyle w:val="Hyperlink"/>
                <w:noProof/>
              </w:rPr>
              <w:fldChar w:fldCharType="end"/>
            </w:r>
          </w:hyperlink>
        </w:p>
        <w:p w:rsidR="00ED0D9E" w:rsidRDefault="001E7C80">
          <w:pPr>
            <w:pStyle w:val="TOC1"/>
            <w:tabs>
              <w:tab w:val="left" w:pos="440"/>
              <w:tab w:val="right" w:leader="dot" w:pos="9771"/>
            </w:tabs>
            <w:rPr>
              <w:rFonts w:asciiTheme="minorHAnsi" w:eastAsiaTheme="minorEastAsia" w:hAnsiTheme="minorHAnsi" w:cstheme="minorBidi"/>
              <w:noProof/>
              <w:sz w:val="22"/>
              <w:szCs w:val="22"/>
              <w:lang w:eastAsia="bg-BG"/>
            </w:rPr>
          </w:pPr>
          <w:hyperlink w:anchor="_Toc324380118" w:history="1">
            <w:r w:rsidR="00ED0D9E" w:rsidRPr="00F21BF1">
              <w:rPr>
                <w:rStyle w:val="Hyperlink"/>
                <w:smallCaps/>
                <w:noProof/>
              </w:rPr>
              <w:t>8.</w:t>
            </w:r>
            <w:r w:rsidR="00ED0D9E">
              <w:rPr>
                <w:rFonts w:asciiTheme="minorHAnsi" w:eastAsiaTheme="minorEastAsia" w:hAnsiTheme="minorHAnsi" w:cstheme="minorBidi"/>
                <w:noProof/>
                <w:sz w:val="22"/>
                <w:szCs w:val="22"/>
                <w:lang w:eastAsia="bg-BG"/>
              </w:rPr>
              <w:tab/>
            </w:r>
            <w:r w:rsidR="00ED0D9E" w:rsidRPr="00F21BF1">
              <w:rPr>
                <w:rStyle w:val="Hyperlink"/>
                <w:smallCaps/>
                <w:noProof/>
              </w:rPr>
              <w:t>Сделки със свързани лица</w:t>
            </w:r>
            <w:r w:rsidR="00ED0D9E">
              <w:rPr>
                <w:noProof/>
                <w:webHidden/>
              </w:rPr>
              <w:tab/>
            </w:r>
            <w:r>
              <w:rPr>
                <w:rStyle w:val="Hyperlink"/>
                <w:noProof/>
              </w:rPr>
              <w:fldChar w:fldCharType="begin"/>
            </w:r>
            <w:r w:rsidR="00ED0D9E">
              <w:rPr>
                <w:noProof/>
                <w:webHidden/>
              </w:rPr>
              <w:instrText xml:space="preserve"> PAGEREF _Toc324380118 \h </w:instrText>
            </w:r>
            <w:r>
              <w:rPr>
                <w:rStyle w:val="Hyperlink"/>
                <w:noProof/>
              </w:rPr>
            </w:r>
            <w:r>
              <w:rPr>
                <w:rStyle w:val="Hyperlink"/>
                <w:noProof/>
              </w:rPr>
              <w:fldChar w:fldCharType="separate"/>
            </w:r>
            <w:r w:rsidR="00394B64">
              <w:rPr>
                <w:noProof/>
                <w:webHidden/>
              </w:rPr>
              <w:t>52</w:t>
            </w:r>
            <w:r>
              <w:rPr>
                <w:rStyle w:val="Hyperlink"/>
                <w:noProof/>
              </w:rPr>
              <w:fldChar w:fldCharType="end"/>
            </w:r>
          </w:hyperlink>
        </w:p>
        <w:p w:rsidR="00ED0D9E" w:rsidRDefault="001E7C80">
          <w:pPr>
            <w:pStyle w:val="TOC1"/>
            <w:tabs>
              <w:tab w:val="left" w:pos="440"/>
              <w:tab w:val="right" w:leader="dot" w:pos="9771"/>
            </w:tabs>
            <w:rPr>
              <w:rFonts w:asciiTheme="minorHAnsi" w:eastAsiaTheme="minorEastAsia" w:hAnsiTheme="minorHAnsi" w:cstheme="minorBidi"/>
              <w:noProof/>
              <w:sz w:val="22"/>
              <w:szCs w:val="22"/>
              <w:lang w:eastAsia="bg-BG"/>
            </w:rPr>
          </w:pPr>
          <w:hyperlink w:anchor="_Toc324380119" w:history="1">
            <w:r w:rsidR="00ED0D9E" w:rsidRPr="00F21BF1">
              <w:rPr>
                <w:rStyle w:val="Hyperlink"/>
                <w:smallCaps/>
                <w:noProof/>
              </w:rPr>
              <w:t>9.</w:t>
            </w:r>
            <w:r w:rsidR="00ED0D9E">
              <w:rPr>
                <w:rFonts w:asciiTheme="minorHAnsi" w:eastAsiaTheme="minorEastAsia" w:hAnsiTheme="minorHAnsi" w:cstheme="minorBidi"/>
                <w:noProof/>
                <w:sz w:val="22"/>
                <w:szCs w:val="22"/>
                <w:lang w:eastAsia="bg-BG"/>
              </w:rPr>
              <w:tab/>
            </w:r>
            <w:r w:rsidR="00ED0D9E" w:rsidRPr="00F21BF1">
              <w:rPr>
                <w:rStyle w:val="Hyperlink"/>
                <w:smallCaps/>
                <w:noProof/>
              </w:rPr>
              <w:t>Финансова информация</w:t>
            </w:r>
            <w:r w:rsidR="00ED0D9E">
              <w:rPr>
                <w:noProof/>
                <w:webHidden/>
              </w:rPr>
              <w:tab/>
            </w:r>
            <w:r>
              <w:rPr>
                <w:rStyle w:val="Hyperlink"/>
                <w:noProof/>
              </w:rPr>
              <w:fldChar w:fldCharType="begin"/>
            </w:r>
            <w:r w:rsidR="00ED0D9E">
              <w:rPr>
                <w:noProof/>
                <w:webHidden/>
              </w:rPr>
              <w:instrText xml:space="preserve"> PAGEREF _Toc324380119 \h </w:instrText>
            </w:r>
            <w:r>
              <w:rPr>
                <w:rStyle w:val="Hyperlink"/>
                <w:noProof/>
              </w:rPr>
            </w:r>
            <w:r>
              <w:rPr>
                <w:rStyle w:val="Hyperlink"/>
                <w:noProof/>
              </w:rPr>
              <w:fldChar w:fldCharType="separate"/>
            </w:r>
            <w:r w:rsidR="00394B64">
              <w:rPr>
                <w:noProof/>
                <w:webHidden/>
              </w:rPr>
              <w:t>55</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20" w:history="1">
            <w:r w:rsidR="00ED0D9E" w:rsidRPr="00F21BF1">
              <w:rPr>
                <w:rStyle w:val="Hyperlink"/>
                <w:i/>
                <w:smallCaps/>
                <w:noProof/>
              </w:rPr>
              <w:t>9.1.</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Дивидентна политика</w:t>
            </w:r>
            <w:r w:rsidR="00ED0D9E">
              <w:rPr>
                <w:noProof/>
                <w:webHidden/>
              </w:rPr>
              <w:tab/>
            </w:r>
            <w:r>
              <w:rPr>
                <w:rStyle w:val="Hyperlink"/>
                <w:noProof/>
              </w:rPr>
              <w:fldChar w:fldCharType="begin"/>
            </w:r>
            <w:r w:rsidR="00ED0D9E">
              <w:rPr>
                <w:noProof/>
                <w:webHidden/>
              </w:rPr>
              <w:instrText xml:space="preserve"> PAGEREF _Toc324380120 \h </w:instrText>
            </w:r>
            <w:r>
              <w:rPr>
                <w:rStyle w:val="Hyperlink"/>
                <w:noProof/>
              </w:rPr>
            </w:r>
            <w:r>
              <w:rPr>
                <w:rStyle w:val="Hyperlink"/>
                <w:noProof/>
              </w:rPr>
              <w:fldChar w:fldCharType="separate"/>
            </w:r>
            <w:r w:rsidR="00394B64">
              <w:rPr>
                <w:noProof/>
                <w:webHidden/>
              </w:rPr>
              <w:t>55</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21" w:history="1">
            <w:r w:rsidR="00ED0D9E" w:rsidRPr="00F21BF1">
              <w:rPr>
                <w:rStyle w:val="Hyperlink"/>
                <w:i/>
                <w:smallCaps/>
                <w:noProof/>
              </w:rPr>
              <w:t>9.2.</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Информация за висящи съдебни, административни или арбитражни производства.</w:t>
            </w:r>
            <w:r w:rsidR="00ED0D9E">
              <w:rPr>
                <w:noProof/>
                <w:webHidden/>
              </w:rPr>
              <w:tab/>
            </w:r>
            <w:r>
              <w:rPr>
                <w:rStyle w:val="Hyperlink"/>
                <w:noProof/>
              </w:rPr>
              <w:fldChar w:fldCharType="begin"/>
            </w:r>
            <w:r w:rsidR="00ED0D9E">
              <w:rPr>
                <w:noProof/>
                <w:webHidden/>
              </w:rPr>
              <w:instrText xml:space="preserve"> PAGEREF _Toc324380121 \h </w:instrText>
            </w:r>
            <w:r>
              <w:rPr>
                <w:rStyle w:val="Hyperlink"/>
                <w:noProof/>
              </w:rPr>
            </w:r>
            <w:r>
              <w:rPr>
                <w:rStyle w:val="Hyperlink"/>
                <w:noProof/>
              </w:rPr>
              <w:fldChar w:fldCharType="separate"/>
            </w:r>
            <w:r w:rsidR="00394B64">
              <w:rPr>
                <w:noProof/>
                <w:webHidden/>
              </w:rPr>
              <w:t>56</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22" w:history="1">
            <w:r w:rsidR="00ED0D9E" w:rsidRPr="00F21BF1">
              <w:rPr>
                <w:rStyle w:val="Hyperlink"/>
                <w:i/>
                <w:smallCaps/>
                <w:noProof/>
              </w:rPr>
              <w:t>9.3.</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Описание на съществените промени във финансовото и търговското състояние на емитента</w:t>
            </w:r>
            <w:r w:rsidR="00ED0D9E">
              <w:rPr>
                <w:noProof/>
                <w:webHidden/>
              </w:rPr>
              <w:tab/>
            </w:r>
            <w:r>
              <w:rPr>
                <w:rStyle w:val="Hyperlink"/>
                <w:noProof/>
              </w:rPr>
              <w:fldChar w:fldCharType="begin"/>
            </w:r>
            <w:r w:rsidR="00ED0D9E">
              <w:rPr>
                <w:noProof/>
                <w:webHidden/>
              </w:rPr>
              <w:instrText xml:space="preserve"> PAGEREF _Toc324380122 \h </w:instrText>
            </w:r>
            <w:r>
              <w:rPr>
                <w:rStyle w:val="Hyperlink"/>
                <w:noProof/>
              </w:rPr>
            </w:r>
            <w:r>
              <w:rPr>
                <w:rStyle w:val="Hyperlink"/>
                <w:noProof/>
              </w:rPr>
              <w:fldChar w:fldCharType="separate"/>
            </w:r>
            <w:r w:rsidR="00394B64">
              <w:rPr>
                <w:noProof/>
                <w:webHidden/>
              </w:rPr>
              <w:t>56</w:t>
            </w:r>
            <w:r>
              <w:rPr>
                <w:rStyle w:val="Hyperlink"/>
                <w:noProof/>
              </w:rPr>
              <w:fldChar w:fldCharType="end"/>
            </w:r>
          </w:hyperlink>
        </w:p>
        <w:p w:rsidR="00ED0D9E" w:rsidRDefault="001E7C80">
          <w:pPr>
            <w:pStyle w:val="TOC1"/>
            <w:tabs>
              <w:tab w:val="left" w:pos="660"/>
              <w:tab w:val="right" w:leader="dot" w:pos="9771"/>
            </w:tabs>
            <w:rPr>
              <w:rFonts w:asciiTheme="minorHAnsi" w:eastAsiaTheme="minorEastAsia" w:hAnsiTheme="minorHAnsi" w:cstheme="minorBidi"/>
              <w:noProof/>
              <w:sz w:val="22"/>
              <w:szCs w:val="22"/>
              <w:lang w:eastAsia="bg-BG"/>
            </w:rPr>
          </w:pPr>
          <w:hyperlink w:anchor="_Toc324380123" w:history="1">
            <w:r w:rsidR="00ED0D9E" w:rsidRPr="00F21BF1">
              <w:rPr>
                <w:rStyle w:val="Hyperlink"/>
                <w:smallCaps/>
                <w:noProof/>
              </w:rPr>
              <w:t>10.</w:t>
            </w:r>
            <w:r w:rsidR="00ED0D9E">
              <w:rPr>
                <w:rFonts w:asciiTheme="minorHAnsi" w:eastAsiaTheme="minorEastAsia" w:hAnsiTheme="minorHAnsi" w:cstheme="minorBidi"/>
                <w:noProof/>
                <w:sz w:val="22"/>
                <w:szCs w:val="22"/>
                <w:lang w:eastAsia="bg-BG"/>
              </w:rPr>
              <w:tab/>
            </w:r>
            <w:r w:rsidR="00ED0D9E" w:rsidRPr="00F21BF1">
              <w:rPr>
                <w:rStyle w:val="Hyperlink"/>
                <w:smallCaps/>
                <w:noProof/>
              </w:rPr>
              <w:t>Допълнителна информация</w:t>
            </w:r>
            <w:r w:rsidR="00ED0D9E">
              <w:rPr>
                <w:noProof/>
                <w:webHidden/>
              </w:rPr>
              <w:tab/>
            </w:r>
            <w:r>
              <w:rPr>
                <w:rStyle w:val="Hyperlink"/>
                <w:noProof/>
              </w:rPr>
              <w:fldChar w:fldCharType="begin"/>
            </w:r>
            <w:r w:rsidR="00ED0D9E">
              <w:rPr>
                <w:noProof/>
                <w:webHidden/>
              </w:rPr>
              <w:instrText xml:space="preserve"> PAGEREF _Toc324380123 \h </w:instrText>
            </w:r>
            <w:r>
              <w:rPr>
                <w:rStyle w:val="Hyperlink"/>
                <w:noProof/>
              </w:rPr>
            </w:r>
            <w:r>
              <w:rPr>
                <w:rStyle w:val="Hyperlink"/>
                <w:noProof/>
              </w:rPr>
              <w:fldChar w:fldCharType="separate"/>
            </w:r>
            <w:r w:rsidR="00394B64">
              <w:rPr>
                <w:noProof/>
                <w:webHidden/>
              </w:rPr>
              <w:t>57</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24" w:history="1">
            <w:r w:rsidR="00ED0D9E" w:rsidRPr="00F21BF1">
              <w:rPr>
                <w:rStyle w:val="Hyperlink"/>
                <w:i/>
                <w:smallCaps/>
                <w:noProof/>
              </w:rPr>
              <w:t>10.1.</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Данни за капитала на емитента.</w:t>
            </w:r>
            <w:r w:rsidR="00ED0D9E">
              <w:rPr>
                <w:noProof/>
                <w:webHidden/>
              </w:rPr>
              <w:tab/>
            </w:r>
            <w:r>
              <w:rPr>
                <w:rStyle w:val="Hyperlink"/>
                <w:noProof/>
              </w:rPr>
              <w:fldChar w:fldCharType="begin"/>
            </w:r>
            <w:r w:rsidR="00ED0D9E">
              <w:rPr>
                <w:noProof/>
                <w:webHidden/>
              </w:rPr>
              <w:instrText xml:space="preserve"> PAGEREF _Toc324380124 \h </w:instrText>
            </w:r>
            <w:r>
              <w:rPr>
                <w:rStyle w:val="Hyperlink"/>
                <w:noProof/>
              </w:rPr>
            </w:r>
            <w:r>
              <w:rPr>
                <w:rStyle w:val="Hyperlink"/>
                <w:noProof/>
              </w:rPr>
              <w:fldChar w:fldCharType="separate"/>
            </w:r>
            <w:r w:rsidR="00394B64">
              <w:rPr>
                <w:noProof/>
                <w:webHidden/>
              </w:rPr>
              <w:t>57</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32" w:history="1">
            <w:r w:rsidR="00ED0D9E" w:rsidRPr="00F21BF1">
              <w:rPr>
                <w:rStyle w:val="Hyperlink"/>
                <w:i/>
                <w:smallCaps/>
                <w:noProof/>
              </w:rPr>
              <w:t>10.2.</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Информация за устава на емитента</w:t>
            </w:r>
            <w:r w:rsidR="00ED0D9E">
              <w:rPr>
                <w:noProof/>
                <w:webHidden/>
              </w:rPr>
              <w:tab/>
            </w:r>
            <w:r>
              <w:rPr>
                <w:rStyle w:val="Hyperlink"/>
                <w:noProof/>
              </w:rPr>
              <w:fldChar w:fldCharType="begin"/>
            </w:r>
            <w:r w:rsidR="00ED0D9E">
              <w:rPr>
                <w:noProof/>
                <w:webHidden/>
              </w:rPr>
              <w:instrText xml:space="preserve"> PAGEREF _Toc324380132 \h </w:instrText>
            </w:r>
            <w:r>
              <w:rPr>
                <w:rStyle w:val="Hyperlink"/>
                <w:noProof/>
              </w:rPr>
            </w:r>
            <w:r>
              <w:rPr>
                <w:rStyle w:val="Hyperlink"/>
                <w:noProof/>
              </w:rPr>
              <w:fldChar w:fldCharType="separate"/>
            </w:r>
            <w:r w:rsidR="00394B64">
              <w:rPr>
                <w:noProof/>
                <w:webHidden/>
              </w:rPr>
              <w:t>58</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46" w:history="1">
            <w:r w:rsidR="00ED0D9E" w:rsidRPr="00F21BF1">
              <w:rPr>
                <w:rStyle w:val="Hyperlink"/>
                <w:i/>
                <w:smallCaps/>
                <w:noProof/>
              </w:rPr>
              <w:t>10.3.</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Значителни договори</w:t>
            </w:r>
            <w:r w:rsidR="00ED0D9E">
              <w:rPr>
                <w:noProof/>
                <w:webHidden/>
              </w:rPr>
              <w:tab/>
            </w:r>
            <w:r>
              <w:rPr>
                <w:rStyle w:val="Hyperlink"/>
                <w:noProof/>
              </w:rPr>
              <w:fldChar w:fldCharType="begin"/>
            </w:r>
            <w:r w:rsidR="00ED0D9E">
              <w:rPr>
                <w:noProof/>
                <w:webHidden/>
              </w:rPr>
              <w:instrText xml:space="preserve"> PAGEREF _Toc324380146 \h </w:instrText>
            </w:r>
            <w:r>
              <w:rPr>
                <w:rStyle w:val="Hyperlink"/>
                <w:noProof/>
              </w:rPr>
            </w:r>
            <w:r>
              <w:rPr>
                <w:rStyle w:val="Hyperlink"/>
                <w:noProof/>
              </w:rPr>
              <w:fldChar w:fldCharType="separate"/>
            </w:r>
            <w:r w:rsidR="00394B64">
              <w:rPr>
                <w:noProof/>
                <w:webHidden/>
              </w:rPr>
              <w:t>69</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47" w:history="1">
            <w:r w:rsidR="00ED0D9E" w:rsidRPr="00F21BF1">
              <w:rPr>
                <w:rStyle w:val="Hyperlink"/>
                <w:i/>
                <w:smallCaps/>
                <w:noProof/>
              </w:rPr>
              <w:t>10.4.</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Информация за трети лица, изявление от експерти и декларации за всякакъв интерес</w:t>
            </w:r>
            <w:r w:rsidR="00ED0D9E">
              <w:rPr>
                <w:noProof/>
                <w:webHidden/>
              </w:rPr>
              <w:tab/>
            </w:r>
            <w:r>
              <w:rPr>
                <w:rStyle w:val="Hyperlink"/>
                <w:noProof/>
              </w:rPr>
              <w:fldChar w:fldCharType="begin"/>
            </w:r>
            <w:r w:rsidR="00ED0D9E">
              <w:rPr>
                <w:noProof/>
                <w:webHidden/>
              </w:rPr>
              <w:instrText xml:space="preserve"> PAGEREF _Toc324380147 \h </w:instrText>
            </w:r>
            <w:r>
              <w:rPr>
                <w:rStyle w:val="Hyperlink"/>
                <w:noProof/>
              </w:rPr>
            </w:r>
            <w:r>
              <w:rPr>
                <w:rStyle w:val="Hyperlink"/>
                <w:noProof/>
              </w:rPr>
              <w:fldChar w:fldCharType="separate"/>
            </w:r>
            <w:r w:rsidR="00394B64">
              <w:rPr>
                <w:noProof/>
                <w:webHidden/>
              </w:rPr>
              <w:t>69</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48" w:history="1">
            <w:r w:rsidR="00ED0D9E" w:rsidRPr="00F21BF1">
              <w:rPr>
                <w:rStyle w:val="Hyperlink"/>
                <w:i/>
                <w:smallCaps/>
                <w:noProof/>
              </w:rPr>
              <w:t>10.5.</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Информация за участия</w:t>
            </w:r>
            <w:r w:rsidR="00ED0D9E">
              <w:rPr>
                <w:noProof/>
                <w:webHidden/>
              </w:rPr>
              <w:tab/>
            </w:r>
            <w:r>
              <w:rPr>
                <w:rStyle w:val="Hyperlink"/>
                <w:noProof/>
              </w:rPr>
              <w:fldChar w:fldCharType="begin"/>
            </w:r>
            <w:r w:rsidR="00ED0D9E">
              <w:rPr>
                <w:noProof/>
                <w:webHidden/>
              </w:rPr>
              <w:instrText xml:space="preserve"> PAGEREF _Toc324380148 \h </w:instrText>
            </w:r>
            <w:r>
              <w:rPr>
                <w:rStyle w:val="Hyperlink"/>
                <w:noProof/>
              </w:rPr>
            </w:r>
            <w:r>
              <w:rPr>
                <w:rStyle w:val="Hyperlink"/>
                <w:noProof/>
              </w:rPr>
              <w:fldChar w:fldCharType="separate"/>
            </w:r>
            <w:r w:rsidR="00394B64">
              <w:rPr>
                <w:noProof/>
                <w:webHidden/>
              </w:rPr>
              <w:t>70</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49" w:history="1">
            <w:r w:rsidR="00ED0D9E" w:rsidRPr="00F21BF1">
              <w:rPr>
                <w:rStyle w:val="Hyperlink"/>
                <w:i/>
                <w:smallCaps/>
                <w:noProof/>
              </w:rPr>
              <w:t>10.6.</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Информация за мястото, времето и начина, по който може да бъде получена допълнителна информация, включително адрес, телефон, работно време и лице за контакти.</w:t>
            </w:r>
            <w:r w:rsidR="00ED0D9E">
              <w:rPr>
                <w:noProof/>
                <w:webHidden/>
              </w:rPr>
              <w:tab/>
            </w:r>
            <w:r>
              <w:rPr>
                <w:rStyle w:val="Hyperlink"/>
                <w:noProof/>
              </w:rPr>
              <w:fldChar w:fldCharType="begin"/>
            </w:r>
            <w:r w:rsidR="00ED0D9E">
              <w:rPr>
                <w:noProof/>
                <w:webHidden/>
              </w:rPr>
              <w:instrText xml:space="preserve"> PAGEREF _Toc324380149 \h </w:instrText>
            </w:r>
            <w:r>
              <w:rPr>
                <w:rStyle w:val="Hyperlink"/>
                <w:noProof/>
              </w:rPr>
            </w:r>
            <w:r>
              <w:rPr>
                <w:rStyle w:val="Hyperlink"/>
                <w:noProof/>
              </w:rPr>
              <w:fldChar w:fldCharType="separate"/>
            </w:r>
            <w:r w:rsidR="00394B64">
              <w:rPr>
                <w:noProof/>
                <w:webHidden/>
              </w:rPr>
              <w:t>70</w:t>
            </w:r>
            <w:r>
              <w:rPr>
                <w:rStyle w:val="Hyperlink"/>
                <w:noProof/>
              </w:rPr>
              <w:fldChar w:fldCharType="end"/>
            </w:r>
          </w:hyperlink>
        </w:p>
        <w:p w:rsidR="00ED0D9E" w:rsidRDefault="001E7C80">
          <w:pPr>
            <w:pStyle w:val="TOC1"/>
            <w:tabs>
              <w:tab w:val="left" w:pos="880"/>
              <w:tab w:val="right" w:leader="dot" w:pos="9771"/>
            </w:tabs>
            <w:rPr>
              <w:rFonts w:asciiTheme="minorHAnsi" w:eastAsiaTheme="minorEastAsia" w:hAnsiTheme="minorHAnsi" w:cstheme="minorBidi"/>
              <w:noProof/>
              <w:sz w:val="22"/>
              <w:szCs w:val="22"/>
              <w:lang w:eastAsia="bg-BG"/>
            </w:rPr>
          </w:pPr>
          <w:hyperlink w:anchor="_Toc324380150" w:history="1">
            <w:r w:rsidR="00ED0D9E" w:rsidRPr="00F21BF1">
              <w:rPr>
                <w:rStyle w:val="Hyperlink"/>
                <w:i/>
                <w:smallCaps/>
                <w:noProof/>
              </w:rPr>
              <w:t>10.7.</w:t>
            </w:r>
            <w:r w:rsidR="00ED0D9E">
              <w:rPr>
                <w:rFonts w:asciiTheme="minorHAnsi" w:eastAsiaTheme="minorEastAsia" w:hAnsiTheme="minorHAnsi" w:cstheme="minorBidi"/>
                <w:noProof/>
                <w:sz w:val="22"/>
                <w:szCs w:val="22"/>
                <w:lang w:eastAsia="bg-BG"/>
              </w:rPr>
              <w:tab/>
            </w:r>
            <w:r w:rsidR="00ED0D9E" w:rsidRPr="00F21BF1">
              <w:rPr>
                <w:rStyle w:val="Hyperlink"/>
                <w:i/>
                <w:smallCaps/>
                <w:noProof/>
              </w:rPr>
              <w:t>Приложени документи</w:t>
            </w:r>
            <w:r w:rsidR="00ED0D9E">
              <w:rPr>
                <w:noProof/>
                <w:webHidden/>
              </w:rPr>
              <w:tab/>
            </w:r>
            <w:r>
              <w:rPr>
                <w:rStyle w:val="Hyperlink"/>
                <w:noProof/>
              </w:rPr>
              <w:fldChar w:fldCharType="begin"/>
            </w:r>
            <w:r w:rsidR="00ED0D9E">
              <w:rPr>
                <w:noProof/>
                <w:webHidden/>
              </w:rPr>
              <w:instrText xml:space="preserve"> PAGEREF _Toc324380150 \h </w:instrText>
            </w:r>
            <w:r>
              <w:rPr>
                <w:rStyle w:val="Hyperlink"/>
                <w:noProof/>
              </w:rPr>
            </w:r>
            <w:r>
              <w:rPr>
                <w:rStyle w:val="Hyperlink"/>
                <w:noProof/>
              </w:rPr>
              <w:fldChar w:fldCharType="separate"/>
            </w:r>
            <w:r w:rsidR="00394B64">
              <w:rPr>
                <w:noProof/>
                <w:webHidden/>
              </w:rPr>
              <w:t>70</w:t>
            </w:r>
            <w:r>
              <w:rPr>
                <w:rStyle w:val="Hyperlink"/>
                <w:noProof/>
              </w:rPr>
              <w:fldChar w:fldCharType="end"/>
            </w:r>
          </w:hyperlink>
        </w:p>
        <w:p w:rsidR="00F349A8" w:rsidRDefault="001E7C80" w:rsidP="00ED0D9E">
          <w:pPr>
            <w:outlineLvl w:val="0"/>
          </w:pPr>
          <w:r>
            <w:fldChar w:fldCharType="end"/>
          </w:r>
        </w:p>
      </w:sdtContent>
    </w:sdt>
    <w:p w:rsidR="00F349A8" w:rsidRPr="00F349A8" w:rsidRDefault="00F349A8" w:rsidP="00F349A8">
      <w:pPr>
        <w:rPr>
          <w:b/>
          <w:sz w:val="32"/>
          <w:szCs w:val="32"/>
        </w:rPr>
      </w:pPr>
    </w:p>
    <w:p w:rsidR="00A721A6" w:rsidRPr="005310D9" w:rsidRDefault="00CD7CF5" w:rsidP="005310D9">
      <w:pPr>
        <w:pStyle w:val="Heading1"/>
        <w:numPr>
          <w:ilvl w:val="0"/>
          <w:numId w:val="11"/>
        </w:numPr>
        <w:rPr>
          <w:rFonts w:ascii="Times New Roman" w:hAnsi="Times New Roman"/>
          <w:smallCaps/>
          <w:sz w:val="28"/>
          <w:szCs w:val="28"/>
        </w:rPr>
      </w:pPr>
      <w:r w:rsidRPr="00F07DC3">
        <w:rPr>
          <w:rFonts w:ascii="Times New Roman" w:hAnsi="Times New Roman"/>
          <w:i/>
          <w:smallCaps/>
          <w:sz w:val="28"/>
          <w:szCs w:val="28"/>
        </w:rPr>
        <w:br w:type="page"/>
      </w:r>
      <w:bookmarkStart w:id="0" w:name="_Ref324339706"/>
      <w:bookmarkStart w:id="1" w:name="_Toc324376892"/>
      <w:bookmarkStart w:id="2" w:name="_Toc324380051"/>
      <w:r w:rsidR="00A721A6" w:rsidRPr="00F07DC3">
        <w:rPr>
          <w:rFonts w:ascii="Times New Roman" w:hAnsi="Times New Roman"/>
          <w:smallCaps/>
          <w:sz w:val="28"/>
          <w:szCs w:val="28"/>
        </w:rPr>
        <w:t>Данни за членовете на управителните и на контролните орган</w:t>
      </w:r>
      <w:r w:rsidR="004F6845" w:rsidRPr="00F07DC3">
        <w:rPr>
          <w:rFonts w:ascii="Times New Roman" w:hAnsi="Times New Roman"/>
          <w:smallCaps/>
          <w:sz w:val="28"/>
          <w:szCs w:val="28"/>
        </w:rPr>
        <w:t>и, прокуристите, консултантите,</w:t>
      </w:r>
      <w:r w:rsidR="00A721A6" w:rsidRPr="00F07DC3">
        <w:rPr>
          <w:rFonts w:ascii="Times New Roman" w:hAnsi="Times New Roman"/>
          <w:smallCaps/>
          <w:sz w:val="28"/>
          <w:szCs w:val="28"/>
        </w:rPr>
        <w:t xml:space="preserve"> одиторите на </w:t>
      </w:r>
      <w:r w:rsidR="00D70BF4">
        <w:rPr>
          <w:rFonts w:ascii="Times New Roman" w:hAnsi="Times New Roman"/>
          <w:smallCaps/>
          <w:sz w:val="28"/>
          <w:szCs w:val="28"/>
        </w:rPr>
        <w:t>„СПИДИ” ЕАД</w:t>
      </w:r>
      <w:r w:rsidR="00A721A6" w:rsidRPr="00F07DC3">
        <w:rPr>
          <w:rFonts w:ascii="Times New Roman" w:hAnsi="Times New Roman"/>
          <w:smallCaps/>
          <w:sz w:val="28"/>
          <w:szCs w:val="28"/>
        </w:rPr>
        <w:t>. Отговорност за изготвяне на регистрационния документ</w:t>
      </w:r>
      <w:bookmarkEnd w:id="0"/>
      <w:bookmarkEnd w:id="1"/>
      <w:bookmarkEnd w:id="2"/>
    </w:p>
    <w:p w:rsidR="00A721A6" w:rsidRDefault="00A721A6" w:rsidP="00942CE6"/>
    <w:p w:rsidR="00F07DC3" w:rsidRPr="00F07DC3" w:rsidRDefault="00A363D6" w:rsidP="00F07DC3">
      <w:pPr>
        <w:pStyle w:val="Heading1"/>
        <w:numPr>
          <w:ilvl w:val="1"/>
          <w:numId w:val="11"/>
        </w:numPr>
        <w:ind w:left="567" w:hanging="567"/>
        <w:rPr>
          <w:rFonts w:ascii="Times New Roman" w:hAnsi="Times New Roman"/>
          <w:b w:val="0"/>
          <w:i/>
          <w:smallCaps/>
          <w:sz w:val="24"/>
          <w:szCs w:val="24"/>
        </w:rPr>
      </w:pPr>
      <w:bookmarkStart w:id="3" w:name="_Toc324376893"/>
      <w:bookmarkStart w:id="4" w:name="_Toc324380052"/>
      <w:r>
        <w:rPr>
          <w:rFonts w:ascii="Times New Roman" w:hAnsi="Times New Roman"/>
          <w:b w:val="0"/>
          <w:i/>
          <w:smallCaps/>
          <w:sz w:val="24"/>
          <w:szCs w:val="24"/>
        </w:rPr>
        <w:t>Данни за членовете на Съвета на директорите на Дружеството</w:t>
      </w:r>
      <w:bookmarkEnd w:id="3"/>
      <w:bookmarkEnd w:id="4"/>
    </w:p>
    <w:p w:rsidR="00372CAF" w:rsidRPr="0016095B" w:rsidRDefault="00D70BF4" w:rsidP="00E24444">
      <w:pPr>
        <w:spacing w:after="120"/>
      </w:pPr>
      <w:r>
        <w:t>„СПИДИ” ЕАД</w:t>
      </w:r>
      <w:r w:rsidR="00F35CDD" w:rsidRPr="0016095B">
        <w:t xml:space="preserve"> е с едн</w:t>
      </w:r>
      <w:r w:rsidR="00422EDE" w:rsidRPr="0016095B">
        <w:t>остепенна форма на управление. Управлява се от</w:t>
      </w:r>
      <w:r w:rsidR="00A721A6" w:rsidRPr="0016095B">
        <w:t xml:space="preserve"> </w:t>
      </w:r>
      <w:r w:rsidR="00422EDE" w:rsidRPr="0016095B">
        <w:t>Съвет</w:t>
      </w:r>
      <w:r w:rsidR="00372CAF" w:rsidRPr="0016095B">
        <w:t xml:space="preserve"> на директорите</w:t>
      </w:r>
      <w:r w:rsidR="00422EDE" w:rsidRPr="0016095B">
        <w:t xml:space="preserve"> в състав:</w:t>
      </w:r>
    </w:p>
    <w:p w:rsidR="00372CAF" w:rsidRPr="00372CAF" w:rsidRDefault="00372CAF" w:rsidP="00E24444">
      <w:pPr>
        <w:spacing w:after="120"/>
      </w:pPr>
      <w:r w:rsidRPr="00372CAF">
        <w:t>Валери Харутюн Мектупчиян</w:t>
      </w:r>
      <w:r>
        <w:t xml:space="preserve"> – Изпълнителен директор</w:t>
      </w:r>
    </w:p>
    <w:p w:rsidR="00372CAF" w:rsidRPr="00372CAF" w:rsidRDefault="00372CAF" w:rsidP="00E24444">
      <w:pPr>
        <w:spacing w:after="120"/>
      </w:pPr>
      <w:r w:rsidRPr="00372CAF">
        <w:t>Георги Иванов Глогов</w:t>
      </w:r>
    </w:p>
    <w:p w:rsidR="00A721A6" w:rsidRDefault="00372CAF" w:rsidP="00E24444">
      <w:pPr>
        <w:spacing w:after="120"/>
      </w:pPr>
      <w:r>
        <w:t>“</w:t>
      </w:r>
      <w:r w:rsidRPr="00372CAF">
        <w:t>Омникар С</w:t>
      </w:r>
      <w:r>
        <w:t>”</w:t>
      </w:r>
      <w:r w:rsidRPr="00372CAF">
        <w:t xml:space="preserve"> ЕООД </w:t>
      </w:r>
      <w:r w:rsidR="00593C6F">
        <w:t xml:space="preserve">– председател на СД </w:t>
      </w:r>
      <w:r>
        <w:t>с</w:t>
      </w:r>
      <w:r w:rsidRPr="00372CAF">
        <w:t xml:space="preserve"> еднолич</w:t>
      </w:r>
      <w:r w:rsidR="00593C6F">
        <w:t>ен собственик Валери Мектупчиян</w:t>
      </w:r>
      <w:r w:rsidR="00973179">
        <w:t>.</w:t>
      </w:r>
      <w:r w:rsidR="000F6F3E">
        <w:t xml:space="preserve"> </w:t>
      </w:r>
      <w:r w:rsidR="001912BD">
        <w:t xml:space="preserve">Същият е и представител на дружеството </w:t>
      </w:r>
      <w:r w:rsidR="006E7C16">
        <w:t>в</w:t>
      </w:r>
      <w:r w:rsidR="001912BD">
        <w:t xml:space="preserve"> СД на Емитента.</w:t>
      </w:r>
    </w:p>
    <w:p w:rsidR="00F35CDD" w:rsidRPr="00AD4405" w:rsidRDefault="00242C7D" w:rsidP="00E24444">
      <w:pPr>
        <w:spacing w:after="120"/>
        <w:rPr>
          <w:lang w:val="en-US"/>
        </w:rPr>
      </w:pPr>
      <w:r>
        <w:t>Дружест</w:t>
      </w:r>
      <w:r w:rsidR="00F35CDD">
        <w:t>вото няма назначени прокуристи</w:t>
      </w:r>
      <w:r w:rsidR="00AD4405">
        <w:rPr>
          <w:lang w:val="en-US"/>
        </w:rPr>
        <w:t>.</w:t>
      </w:r>
    </w:p>
    <w:p w:rsidR="009A6A5E" w:rsidRDefault="009A6A5E" w:rsidP="009A6A5E">
      <w:pPr>
        <w:spacing w:after="120"/>
      </w:pPr>
      <w:r>
        <w:t>„</w:t>
      </w:r>
      <w:r w:rsidR="005209AA">
        <w:t>СПИДИ</w:t>
      </w:r>
      <w:r>
        <w:t xml:space="preserve">“ ЕАД се представлява и управлява от </w:t>
      </w:r>
      <w:r w:rsidRPr="00372CAF">
        <w:t>Валери Мектупчиян</w:t>
      </w:r>
    </w:p>
    <w:p w:rsidR="009A6A5E" w:rsidRDefault="009A6A5E" w:rsidP="009A6A5E">
      <w:pPr>
        <w:spacing w:after="120"/>
      </w:pPr>
    </w:p>
    <w:p w:rsidR="00A721A6" w:rsidRPr="00212245" w:rsidRDefault="00085F05" w:rsidP="00212245">
      <w:pPr>
        <w:pStyle w:val="Heading1"/>
        <w:numPr>
          <w:ilvl w:val="1"/>
          <w:numId w:val="11"/>
        </w:numPr>
        <w:ind w:left="567" w:hanging="567"/>
        <w:rPr>
          <w:rFonts w:ascii="Times New Roman" w:hAnsi="Times New Roman"/>
          <w:b w:val="0"/>
          <w:i/>
          <w:smallCaps/>
          <w:sz w:val="24"/>
          <w:szCs w:val="24"/>
        </w:rPr>
      </w:pPr>
      <w:bookmarkStart w:id="5" w:name="_Toc324376894"/>
      <w:bookmarkStart w:id="6" w:name="_Toc324380053"/>
      <w:r w:rsidRPr="00212245">
        <w:rPr>
          <w:rFonts w:ascii="Times New Roman" w:hAnsi="Times New Roman"/>
          <w:b w:val="0"/>
          <w:i/>
          <w:smallCaps/>
          <w:sz w:val="24"/>
          <w:szCs w:val="24"/>
        </w:rPr>
        <w:t xml:space="preserve">Основните </w:t>
      </w:r>
      <w:r w:rsidR="00A721A6" w:rsidRPr="00212245">
        <w:rPr>
          <w:rFonts w:ascii="Times New Roman" w:hAnsi="Times New Roman"/>
          <w:b w:val="0"/>
          <w:i/>
          <w:smallCaps/>
          <w:sz w:val="24"/>
          <w:szCs w:val="24"/>
        </w:rPr>
        <w:t xml:space="preserve">банки, инвестиционни </w:t>
      </w:r>
      <w:r w:rsidRPr="00212245">
        <w:rPr>
          <w:rFonts w:ascii="Times New Roman" w:hAnsi="Times New Roman"/>
          <w:b w:val="0"/>
          <w:i/>
          <w:smallCaps/>
          <w:sz w:val="24"/>
          <w:szCs w:val="24"/>
        </w:rPr>
        <w:t>посредници, партньори и</w:t>
      </w:r>
      <w:r w:rsidR="00A721A6" w:rsidRPr="00212245">
        <w:rPr>
          <w:rFonts w:ascii="Times New Roman" w:hAnsi="Times New Roman"/>
          <w:b w:val="0"/>
          <w:i/>
          <w:smallCaps/>
          <w:sz w:val="24"/>
          <w:szCs w:val="24"/>
        </w:rPr>
        <w:t xml:space="preserve"> консултанти.</w:t>
      </w:r>
      <w:bookmarkEnd w:id="5"/>
      <w:bookmarkEnd w:id="6"/>
    </w:p>
    <w:p w:rsidR="007D4DAD" w:rsidRDefault="007D4DAD" w:rsidP="00942CE6"/>
    <w:p w:rsidR="007D4DAD" w:rsidRPr="00F07DC3" w:rsidRDefault="007D4DAD" w:rsidP="00942CE6">
      <w:pPr>
        <w:rPr>
          <w:i/>
          <w:u w:val="single"/>
        </w:rPr>
      </w:pPr>
      <w:r w:rsidRPr="00F07DC3">
        <w:rPr>
          <w:i/>
          <w:u w:val="single"/>
        </w:rPr>
        <w:t xml:space="preserve">Обслужваща банка на </w:t>
      </w:r>
      <w:r w:rsidR="00D70BF4">
        <w:rPr>
          <w:i/>
          <w:u w:val="single"/>
        </w:rPr>
        <w:t>„СПИДИ” ЕАД</w:t>
      </w:r>
    </w:p>
    <w:p w:rsidR="007D4DAD" w:rsidRDefault="007D4DAD" w:rsidP="00E24444">
      <w:pPr>
        <w:spacing w:after="120"/>
      </w:pPr>
      <w:r w:rsidRPr="007D4DAD">
        <w:t xml:space="preserve">УникредитБулбанк, със </w:t>
      </w:r>
      <w:r w:rsidRPr="00E24444">
        <w:t>седалище</w:t>
      </w:r>
      <w:r w:rsidRPr="007D4DAD">
        <w:t xml:space="preserve"> и адрес на управление гр. София, пл. "Света Неделя" № 7 и обслужващ клон: гр. София, ул. Калоян №3</w:t>
      </w:r>
    </w:p>
    <w:p w:rsidR="002D63F9" w:rsidRPr="007D4DAD" w:rsidRDefault="002D63F9" w:rsidP="00E24444">
      <w:pPr>
        <w:spacing w:after="120"/>
      </w:pPr>
      <w:r>
        <w:t xml:space="preserve">Райфайзенбанк, </w:t>
      </w:r>
      <w:r w:rsidRPr="007D4DAD">
        <w:t xml:space="preserve">със </w:t>
      </w:r>
      <w:r w:rsidRPr="00E24444">
        <w:t>седалище</w:t>
      </w:r>
      <w:r w:rsidRPr="007D4DAD">
        <w:t xml:space="preserve"> и адрес на управление гр. София,</w:t>
      </w:r>
      <w:r w:rsidR="009C03CD">
        <w:t xml:space="preserve"> ул. „Гогол” 18-20</w:t>
      </w:r>
    </w:p>
    <w:p w:rsidR="007D4DAD" w:rsidRDefault="007D4DAD" w:rsidP="00942CE6"/>
    <w:p w:rsidR="007D4DAD" w:rsidRPr="00F07DC3" w:rsidRDefault="00F07DC3" w:rsidP="00F07DC3">
      <w:pPr>
        <w:rPr>
          <w:i/>
          <w:u w:val="single"/>
        </w:rPr>
      </w:pPr>
      <w:r w:rsidRPr="00F07DC3">
        <w:rPr>
          <w:i/>
          <w:u w:val="single"/>
        </w:rPr>
        <w:t>Инвестиционни посредници</w:t>
      </w:r>
      <w:r w:rsidR="009753EC">
        <w:rPr>
          <w:i/>
          <w:u w:val="single"/>
        </w:rPr>
        <w:t xml:space="preserve"> и консултанти</w:t>
      </w:r>
      <w:r w:rsidR="007D4DAD" w:rsidRPr="00F07DC3">
        <w:rPr>
          <w:i/>
          <w:u w:val="single"/>
        </w:rPr>
        <w:t>, с к</w:t>
      </w:r>
      <w:r w:rsidRPr="00F07DC3">
        <w:rPr>
          <w:i/>
          <w:u w:val="single"/>
        </w:rPr>
        <w:t>ои</w:t>
      </w:r>
      <w:r w:rsidR="007D4DAD" w:rsidRPr="00F07DC3">
        <w:rPr>
          <w:i/>
          <w:u w:val="single"/>
        </w:rPr>
        <w:t xml:space="preserve">то </w:t>
      </w:r>
      <w:r w:rsidR="00D70BF4">
        <w:rPr>
          <w:i/>
          <w:u w:val="single"/>
        </w:rPr>
        <w:t>„СПИДИ” ЕАД</w:t>
      </w:r>
      <w:r w:rsidR="00932A1D" w:rsidRPr="00F07DC3">
        <w:rPr>
          <w:i/>
          <w:u w:val="single"/>
        </w:rPr>
        <w:t xml:space="preserve"> има </w:t>
      </w:r>
      <w:r w:rsidR="007D4DAD" w:rsidRPr="00F07DC3">
        <w:rPr>
          <w:i/>
          <w:u w:val="single"/>
        </w:rPr>
        <w:t>договор</w:t>
      </w:r>
      <w:r w:rsidR="00932A1D" w:rsidRPr="00F07DC3">
        <w:rPr>
          <w:i/>
          <w:u w:val="single"/>
        </w:rPr>
        <w:t>ни отношения</w:t>
      </w:r>
    </w:p>
    <w:p w:rsidR="00085F05" w:rsidRPr="00085F05" w:rsidRDefault="00085F05" w:rsidP="00E24444">
      <w:pPr>
        <w:spacing w:after="120"/>
      </w:pPr>
      <w:r>
        <w:t xml:space="preserve">Дружеството няма установени трайни отношения с </w:t>
      </w:r>
      <w:r w:rsidR="00F667BD">
        <w:t xml:space="preserve">инвестиционни посредници, </w:t>
      </w:r>
      <w:r>
        <w:t>правни</w:t>
      </w:r>
      <w:r w:rsidR="00F23120">
        <w:t xml:space="preserve"> и други</w:t>
      </w:r>
      <w:r>
        <w:t xml:space="preserve"> консултанти.</w:t>
      </w:r>
    </w:p>
    <w:p w:rsidR="00085F05" w:rsidRDefault="00085F05" w:rsidP="00942CE6"/>
    <w:p w:rsidR="000F6E2C" w:rsidRPr="00212245" w:rsidRDefault="000F6E2C" w:rsidP="00212245">
      <w:pPr>
        <w:pStyle w:val="Heading1"/>
        <w:numPr>
          <w:ilvl w:val="1"/>
          <w:numId w:val="11"/>
        </w:numPr>
        <w:ind w:left="567" w:hanging="567"/>
        <w:rPr>
          <w:rFonts w:ascii="Times New Roman" w:hAnsi="Times New Roman"/>
          <w:b w:val="0"/>
          <w:i/>
          <w:smallCaps/>
          <w:sz w:val="24"/>
          <w:szCs w:val="24"/>
        </w:rPr>
      </w:pPr>
      <w:bookmarkStart w:id="7" w:name="_Toc324376895"/>
      <w:bookmarkStart w:id="8" w:name="_Toc324380054"/>
      <w:r w:rsidRPr="00212245">
        <w:rPr>
          <w:rFonts w:ascii="Times New Roman" w:hAnsi="Times New Roman"/>
          <w:b w:val="0"/>
          <w:i/>
          <w:smallCaps/>
          <w:sz w:val="24"/>
          <w:szCs w:val="24"/>
        </w:rPr>
        <w:t>Лица, отговорни за изготвянето на регистрационния документ</w:t>
      </w:r>
      <w:bookmarkEnd w:id="7"/>
      <w:bookmarkEnd w:id="8"/>
    </w:p>
    <w:p w:rsidR="00B3779B" w:rsidRPr="00B3779B" w:rsidRDefault="006A4403" w:rsidP="005460F7">
      <w:r>
        <w:t>Лица</w:t>
      </w:r>
      <w:r w:rsidR="005460F7">
        <w:t>т</w:t>
      </w:r>
      <w:r>
        <w:t>а отговорни</w:t>
      </w:r>
      <w:r w:rsidR="005460F7">
        <w:t xml:space="preserve"> за изготвянето на настоящия проспект </w:t>
      </w:r>
      <w:r>
        <w:t>са</w:t>
      </w:r>
      <w:r w:rsidR="005460F7">
        <w:t xml:space="preserve"> </w:t>
      </w:r>
      <w:r w:rsidR="003C7A5C" w:rsidRPr="005460F7">
        <w:t>Красимир Тахчиев</w:t>
      </w:r>
      <w:r>
        <w:t xml:space="preserve"> и Данаил Данаилов</w:t>
      </w:r>
      <w:r w:rsidR="005460F7">
        <w:t>. Същит</w:t>
      </w:r>
      <w:r>
        <w:t>е</w:t>
      </w:r>
      <w:r w:rsidR="001D6911">
        <w:t>,</w:t>
      </w:r>
      <w:r w:rsidR="00B3779B" w:rsidRPr="00B3779B">
        <w:t xml:space="preserve"> с полагане на подписите си на последната страница на настоящия документ декларира</w:t>
      </w:r>
      <w:r>
        <w:t>т</w:t>
      </w:r>
      <w:r w:rsidR="00140765">
        <w:t xml:space="preserve">, че </w:t>
      </w:r>
      <w:r>
        <w:t>са</w:t>
      </w:r>
      <w:r w:rsidR="005460F7">
        <w:t xml:space="preserve"> положил</w:t>
      </w:r>
      <w:r>
        <w:t>и</w:t>
      </w:r>
      <w:r w:rsidR="00B3779B" w:rsidRPr="00B3779B">
        <w:t xml:space="preserve"> всички разумни грижи</w:t>
      </w:r>
      <w:r w:rsidR="001D6911">
        <w:t>, за да</w:t>
      </w:r>
      <w:r w:rsidR="00B3779B" w:rsidRPr="00B3779B">
        <w:t xml:space="preserve"> се увер</w:t>
      </w:r>
      <w:r>
        <w:t>ят</w:t>
      </w:r>
      <w:r w:rsidR="00140765">
        <w:t>,</w:t>
      </w:r>
      <w:r w:rsidR="00B3779B" w:rsidRPr="00B3779B">
        <w:t xml:space="preserve"> че доколкото </w:t>
      </w:r>
      <w:r>
        <w:t>и</w:t>
      </w:r>
      <w:r w:rsidR="005460F7">
        <w:t>м</w:t>
      </w:r>
      <w:r w:rsidR="00B3779B" w:rsidRPr="00B3779B">
        <w:t xml:space="preserve"> е известно,</w:t>
      </w:r>
      <w:r w:rsidR="00B3779B">
        <w:t xml:space="preserve"> </w:t>
      </w:r>
      <w:r w:rsidR="00B3779B" w:rsidRPr="00B3779B">
        <w:t xml:space="preserve">информацията </w:t>
      </w:r>
      <w:r w:rsidR="001D6911">
        <w:t xml:space="preserve">съдържаща се </w:t>
      </w:r>
      <w:r w:rsidR="00B3779B" w:rsidRPr="00B3779B">
        <w:t xml:space="preserve">в Регистрационния документ е </w:t>
      </w:r>
      <w:r w:rsidR="001D6911">
        <w:t>вярна,</w:t>
      </w:r>
      <w:r w:rsidR="00B3779B" w:rsidRPr="00B3779B">
        <w:t xml:space="preserve"> пълна</w:t>
      </w:r>
      <w:r w:rsidR="00B3779B">
        <w:t xml:space="preserve"> и</w:t>
      </w:r>
      <w:r w:rsidR="00B3779B" w:rsidRPr="00B3779B">
        <w:t xml:space="preserve"> отговаря на фактите</w:t>
      </w:r>
      <w:r w:rsidR="001D6911">
        <w:t xml:space="preserve"> и</w:t>
      </w:r>
      <w:r w:rsidR="00B3779B" w:rsidRPr="00B3779B">
        <w:t xml:space="preserve"> не</w:t>
      </w:r>
      <w:r w:rsidR="00B3779B">
        <w:t xml:space="preserve"> </w:t>
      </w:r>
      <w:r w:rsidR="00B3779B" w:rsidRPr="00B3779B">
        <w:t xml:space="preserve">съдържа пропуск, който </w:t>
      </w:r>
      <w:r w:rsidR="001D6911">
        <w:t xml:space="preserve">може </w:t>
      </w:r>
      <w:r w:rsidR="00B3779B" w:rsidRPr="00B3779B">
        <w:t>да засегне нейния смисъл, и коректно представя съществените за</w:t>
      </w:r>
      <w:r w:rsidR="00B3779B">
        <w:t xml:space="preserve"> </w:t>
      </w:r>
      <w:r w:rsidR="00B3779B" w:rsidRPr="00B3779B">
        <w:t>инвеститорите обстоятелства относно Дружеството.</w:t>
      </w:r>
    </w:p>
    <w:p w:rsidR="00B3779B" w:rsidRPr="000837A9" w:rsidRDefault="00B3779B" w:rsidP="00E24444">
      <w:pPr>
        <w:spacing w:after="120"/>
      </w:pPr>
      <w:r w:rsidRPr="00B3779B">
        <w:t xml:space="preserve">Членовете на </w:t>
      </w:r>
      <w:r>
        <w:t>Съвета на директорите</w:t>
      </w:r>
      <w:r w:rsidRPr="00B3779B">
        <w:t xml:space="preserve"> на </w:t>
      </w:r>
      <w:r w:rsidR="00D70BF4">
        <w:t>„СПИДИ” ЕАД</w:t>
      </w:r>
      <w:r>
        <w:t xml:space="preserve"> </w:t>
      </w:r>
      <w:r w:rsidRPr="00B3779B">
        <w:t>отговарят</w:t>
      </w:r>
      <w:r>
        <w:t xml:space="preserve"> </w:t>
      </w:r>
      <w:r w:rsidRPr="00B3779B">
        <w:t>за вредите, причинени от неверни, заблуждаващи и непълни данни в Проспекта.</w:t>
      </w:r>
    </w:p>
    <w:p w:rsidR="00B3779B" w:rsidRPr="00B3779B" w:rsidRDefault="00B3779B" w:rsidP="00E24444">
      <w:pPr>
        <w:spacing w:after="120"/>
      </w:pPr>
      <w:r w:rsidRPr="000837A9">
        <w:t xml:space="preserve">Съставителят на финансовите отчети – </w:t>
      </w:r>
      <w:r w:rsidR="000837A9" w:rsidRPr="000837A9">
        <w:t>Стефка Л</w:t>
      </w:r>
      <w:r w:rsidR="004D07A0">
        <w:t>евиджова</w:t>
      </w:r>
      <w:r w:rsidRPr="000837A9">
        <w:t xml:space="preserve">, </w:t>
      </w:r>
      <w:r w:rsidR="000837A9" w:rsidRPr="000837A9">
        <w:t xml:space="preserve">Главен счетоводител </w:t>
      </w:r>
      <w:r w:rsidRPr="00B3779B">
        <w:t xml:space="preserve">в </w:t>
      </w:r>
      <w:r w:rsidR="00A363D6">
        <w:t>„</w:t>
      </w:r>
      <w:r w:rsidR="00715299">
        <w:t>СПИДИ</w:t>
      </w:r>
      <w:r w:rsidR="00A363D6">
        <w:t>”</w:t>
      </w:r>
      <w:r w:rsidR="00715299">
        <w:t xml:space="preserve"> </w:t>
      </w:r>
      <w:r w:rsidR="00A363D6">
        <w:t>Е</w:t>
      </w:r>
      <w:r w:rsidR="00715299">
        <w:t>АД</w:t>
      </w:r>
      <w:r w:rsidRPr="00B3779B">
        <w:t>, отговаря за вреди,</w:t>
      </w:r>
      <w:r>
        <w:t xml:space="preserve"> </w:t>
      </w:r>
      <w:r w:rsidRPr="00B3779B">
        <w:t>причинени от неверни, заблуждаващи и непълни данни във финансовите отчети на</w:t>
      </w:r>
      <w:r>
        <w:t xml:space="preserve"> </w:t>
      </w:r>
      <w:r w:rsidRPr="00B3779B">
        <w:t>Емитента.</w:t>
      </w:r>
    </w:p>
    <w:p w:rsidR="00B3779B" w:rsidRDefault="00715299" w:rsidP="00E24444">
      <w:pPr>
        <w:spacing w:after="120"/>
      </w:pPr>
      <w:r>
        <w:t>Одиторът</w:t>
      </w:r>
      <w:r w:rsidR="00B3779B" w:rsidRPr="00B3779B">
        <w:t xml:space="preserve"> на Дружеството</w:t>
      </w:r>
      <w:r>
        <w:t>,</w:t>
      </w:r>
      <w:r w:rsidR="00B3779B" w:rsidRPr="00B3779B">
        <w:t xml:space="preserve"> </w:t>
      </w:r>
      <w:r w:rsidRPr="00715299">
        <w:t>Мария Иванова Атанасова</w:t>
      </w:r>
      <w:r w:rsidRPr="00B3779B">
        <w:t xml:space="preserve"> </w:t>
      </w:r>
      <w:r w:rsidRPr="00715299">
        <w:t>с рег. №</w:t>
      </w:r>
      <w:r w:rsidR="00FF1959">
        <w:rPr>
          <w:lang w:val="en-US"/>
        </w:rPr>
        <w:t xml:space="preserve"> </w:t>
      </w:r>
      <w:r w:rsidRPr="00715299">
        <w:t>263, представител на фирма Интеродит ЕООД, гр. Пловдив</w:t>
      </w:r>
      <w:r>
        <w:t>, отговаря</w:t>
      </w:r>
      <w:r w:rsidR="00B3779B" w:rsidRPr="00B3779B">
        <w:t xml:space="preserve"> за вреди, причинени от одитираните от </w:t>
      </w:r>
      <w:r>
        <w:t>нея</w:t>
      </w:r>
      <w:r w:rsidR="00B3779B">
        <w:t xml:space="preserve"> </w:t>
      </w:r>
      <w:r w:rsidR="00B3779B" w:rsidRPr="00B3779B">
        <w:t>финансови отчети</w:t>
      </w:r>
      <w:r w:rsidR="005F6BD2">
        <w:t xml:space="preserve"> за периода 2009 – 2011 г</w:t>
      </w:r>
      <w:r>
        <w:t>.</w:t>
      </w:r>
    </w:p>
    <w:p w:rsidR="00A721A6" w:rsidRPr="00212245" w:rsidRDefault="00B30E63" w:rsidP="00212245">
      <w:pPr>
        <w:pStyle w:val="Heading1"/>
        <w:numPr>
          <w:ilvl w:val="1"/>
          <w:numId w:val="11"/>
        </w:numPr>
        <w:ind w:left="567" w:hanging="567"/>
        <w:rPr>
          <w:rFonts w:ascii="Times New Roman" w:hAnsi="Times New Roman"/>
          <w:b w:val="0"/>
          <w:i/>
          <w:smallCaps/>
          <w:sz w:val="24"/>
          <w:szCs w:val="24"/>
        </w:rPr>
      </w:pPr>
      <w:bookmarkStart w:id="9" w:name="_Toc324376896"/>
      <w:bookmarkStart w:id="10" w:name="_Toc324380055"/>
      <w:r w:rsidRPr="00212245">
        <w:rPr>
          <w:rFonts w:ascii="Times New Roman" w:hAnsi="Times New Roman"/>
          <w:b w:val="0"/>
          <w:i/>
          <w:smallCaps/>
          <w:sz w:val="24"/>
          <w:szCs w:val="24"/>
        </w:rPr>
        <w:t>Oдитори.</w:t>
      </w:r>
      <w:bookmarkEnd w:id="9"/>
      <w:bookmarkEnd w:id="10"/>
    </w:p>
    <w:p w:rsidR="005F6BD2" w:rsidRDefault="00972594" w:rsidP="00E24444">
      <w:pPr>
        <w:spacing w:after="120"/>
      </w:pPr>
      <w:r>
        <w:t xml:space="preserve">През периода 2009 – 2011г. одитор на Дружеството е </w:t>
      </w:r>
      <w:r w:rsidR="005F6BD2" w:rsidRPr="00972594">
        <w:t>Мария И</w:t>
      </w:r>
      <w:r w:rsidRPr="00972594">
        <w:t xml:space="preserve">ванова Атанасова, сертифициран </w:t>
      </w:r>
      <w:r w:rsidR="005F6BD2" w:rsidRPr="00972594">
        <w:t>финансов одитор от Институт за дипломираните експерт-счетоводители с рег. №</w:t>
      </w:r>
      <w:r w:rsidR="00FF1959">
        <w:rPr>
          <w:lang w:val="en-US"/>
        </w:rPr>
        <w:t xml:space="preserve"> </w:t>
      </w:r>
      <w:r w:rsidR="005F6BD2" w:rsidRPr="00972594">
        <w:t>263</w:t>
      </w:r>
      <w:r w:rsidR="00C52C0D">
        <w:t>,</w:t>
      </w:r>
      <w:r w:rsidRPr="00972594">
        <w:t xml:space="preserve"> </w:t>
      </w:r>
      <w:r w:rsidR="005F6BD2" w:rsidRPr="00972594">
        <w:t>с адрес гр. Пло</w:t>
      </w:r>
      <w:r w:rsidR="00C52C0D">
        <w:t>вдив, ул. Белград 8</w:t>
      </w:r>
    </w:p>
    <w:p w:rsidR="00706883" w:rsidRPr="00706883" w:rsidRDefault="00706883" w:rsidP="00E24444">
      <w:pPr>
        <w:spacing w:after="120"/>
      </w:pPr>
      <w:r>
        <w:t>През посочения период не е била извършвана промяна на лицата, одитирали Дружеството.</w:t>
      </w:r>
    </w:p>
    <w:p w:rsidR="005F6BD2" w:rsidRDefault="005F6BD2" w:rsidP="00942CE6"/>
    <w:p w:rsidR="005F6BD2" w:rsidRDefault="005F6BD2" w:rsidP="00942CE6"/>
    <w:p w:rsidR="00FC3657" w:rsidRPr="00F07DC3" w:rsidRDefault="008478F2" w:rsidP="00212245">
      <w:pPr>
        <w:pStyle w:val="Heading1"/>
        <w:numPr>
          <w:ilvl w:val="0"/>
          <w:numId w:val="11"/>
        </w:numPr>
        <w:rPr>
          <w:rFonts w:ascii="Times New Roman" w:hAnsi="Times New Roman"/>
          <w:smallCaps/>
          <w:sz w:val="28"/>
          <w:szCs w:val="28"/>
        </w:rPr>
      </w:pPr>
      <w:r>
        <w:br w:type="page"/>
      </w:r>
      <w:bookmarkStart w:id="11" w:name="_Toc324376897"/>
      <w:bookmarkStart w:id="12" w:name="_Toc324380056"/>
      <w:r w:rsidR="00FC3657" w:rsidRPr="00F07DC3">
        <w:rPr>
          <w:rFonts w:ascii="Times New Roman" w:hAnsi="Times New Roman"/>
          <w:smallCaps/>
          <w:sz w:val="28"/>
          <w:szCs w:val="28"/>
        </w:rPr>
        <w:t>Системати</w:t>
      </w:r>
      <w:r w:rsidRPr="00F07DC3">
        <w:rPr>
          <w:rFonts w:ascii="Times New Roman" w:hAnsi="Times New Roman"/>
          <w:smallCaps/>
          <w:sz w:val="28"/>
          <w:szCs w:val="28"/>
        </w:rPr>
        <w:t>зирана финансова информация</w:t>
      </w:r>
      <w:bookmarkEnd w:id="11"/>
      <w:bookmarkEnd w:id="12"/>
    </w:p>
    <w:p w:rsidR="00771584" w:rsidRDefault="00771584" w:rsidP="00942CE6"/>
    <w:p w:rsidR="00A818D5" w:rsidRDefault="00A818D5" w:rsidP="00A818D5">
      <w:pPr>
        <w:spacing w:after="120"/>
      </w:pPr>
      <w:r w:rsidRPr="00A818D5">
        <w:t>Представената систематизирана финансова информация е от одитираните годишни неконсолидирани фин</w:t>
      </w:r>
      <w:r>
        <w:t>ансови отчети на Дружеството за</w:t>
      </w:r>
      <w:r w:rsidRPr="00A818D5">
        <w:t xml:space="preserve"> </w:t>
      </w:r>
      <w:r w:rsidR="00FF1959">
        <w:t>2009, 2010, 2011 г.</w:t>
      </w:r>
      <w:r w:rsidRPr="00A818D5">
        <w:t xml:space="preserve"> и одитирани годишни консолидирани ф</w:t>
      </w:r>
      <w:r>
        <w:t>инансови отчети за 2011 г.</w:t>
      </w:r>
      <w:r w:rsidRPr="00A818D5">
        <w:t>,</w:t>
      </w:r>
      <w:r>
        <w:t xml:space="preserve"> както и неодитирани междинни отчети за първо тримесечие на 2012 г. </w:t>
      </w:r>
      <w:r w:rsidRPr="00A818D5">
        <w:t xml:space="preserve"> изготвени съгласно Международните стандарти за финансово отчитане (МСФО)</w:t>
      </w:r>
    </w:p>
    <w:p w:rsidR="00A818D5" w:rsidRPr="008478F2" w:rsidRDefault="00A818D5" w:rsidP="00942CE6"/>
    <w:tbl>
      <w:tblPr>
        <w:tblStyle w:val="MediumShading2-Accent11"/>
        <w:tblW w:w="9748" w:type="dxa"/>
        <w:tblInd w:w="108" w:type="dxa"/>
        <w:tblLayout w:type="fixed"/>
        <w:tblLook w:val="04A0"/>
      </w:tblPr>
      <w:tblGrid>
        <w:gridCol w:w="2693"/>
        <w:gridCol w:w="959"/>
        <w:gridCol w:w="992"/>
        <w:gridCol w:w="1134"/>
        <w:gridCol w:w="992"/>
        <w:gridCol w:w="993"/>
        <w:gridCol w:w="992"/>
        <w:gridCol w:w="993"/>
      </w:tblGrid>
      <w:tr w:rsidR="00561385" w:rsidRPr="00F05A3A" w:rsidTr="007115DE">
        <w:trPr>
          <w:cnfStyle w:val="100000000000"/>
          <w:trHeight w:val="285"/>
        </w:trPr>
        <w:tc>
          <w:tcPr>
            <w:cnfStyle w:val="001000000100"/>
            <w:tcW w:w="2693" w:type="dxa"/>
            <w:noWrap/>
            <w:hideMark/>
          </w:tcPr>
          <w:p w:rsidR="007E093E" w:rsidRPr="00F05A3A" w:rsidRDefault="00F243FA" w:rsidP="00F243FA">
            <w:pPr>
              <w:tabs>
                <w:tab w:val="right" w:pos="2477"/>
              </w:tabs>
              <w:autoSpaceDE/>
              <w:autoSpaceDN/>
              <w:adjustRightInd/>
              <w:spacing w:after="0"/>
              <w:jc w:val="center"/>
              <w:rPr>
                <w:rFonts w:asciiTheme="minorHAnsi" w:hAnsiTheme="minorHAnsi" w:cstheme="minorHAnsi"/>
                <w:sz w:val="22"/>
                <w:szCs w:val="22"/>
                <w:lang w:eastAsia="bg-BG"/>
              </w:rPr>
            </w:pPr>
            <w:r>
              <w:rPr>
                <w:rFonts w:asciiTheme="minorHAnsi" w:hAnsiTheme="minorHAnsi" w:cstheme="minorHAnsi"/>
                <w:sz w:val="22"/>
                <w:szCs w:val="22"/>
                <w:lang w:eastAsia="bg-BG"/>
              </w:rPr>
              <w:t>В хил. лв.</w:t>
            </w:r>
          </w:p>
        </w:tc>
        <w:tc>
          <w:tcPr>
            <w:tcW w:w="959" w:type="dxa"/>
            <w:noWrap/>
            <w:hideMark/>
          </w:tcPr>
          <w:p w:rsidR="007E093E" w:rsidRPr="00F05A3A" w:rsidRDefault="007E093E" w:rsidP="007E093E">
            <w:pPr>
              <w:autoSpaceDE/>
              <w:autoSpaceDN/>
              <w:adjustRightInd/>
              <w:spacing w:after="0"/>
              <w:jc w:val="center"/>
              <w:cnfStyle w:val="1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2009</w:t>
            </w:r>
          </w:p>
        </w:tc>
        <w:tc>
          <w:tcPr>
            <w:tcW w:w="992" w:type="dxa"/>
            <w:noWrap/>
            <w:hideMark/>
          </w:tcPr>
          <w:p w:rsidR="007E093E" w:rsidRPr="00F05A3A" w:rsidRDefault="007E093E" w:rsidP="007E093E">
            <w:pPr>
              <w:autoSpaceDE/>
              <w:autoSpaceDN/>
              <w:adjustRightInd/>
              <w:spacing w:after="0"/>
              <w:jc w:val="center"/>
              <w:cnfStyle w:val="1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2010</w:t>
            </w:r>
          </w:p>
        </w:tc>
        <w:tc>
          <w:tcPr>
            <w:tcW w:w="1134" w:type="dxa"/>
            <w:noWrap/>
            <w:hideMark/>
          </w:tcPr>
          <w:p w:rsidR="007E093E" w:rsidRPr="00F05A3A" w:rsidRDefault="007E093E" w:rsidP="007E093E">
            <w:pPr>
              <w:autoSpaceDE/>
              <w:autoSpaceDN/>
              <w:adjustRightInd/>
              <w:spacing w:after="0"/>
              <w:jc w:val="center"/>
              <w:cnfStyle w:val="1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2011</w:t>
            </w:r>
          </w:p>
        </w:tc>
        <w:tc>
          <w:tcPr>
            <w:tcW w:w="992" w:type="dxa"/>
            <w:noWrap/>
            <w:hideMark/>
          </w:tcPr>
          <w:p w:rsidR="007E093E" w:rsidRPr="00F05A3A" w:rsidRDefault="007E093E" w:rsidP="007E093E">
            <w:pPr>
              <w:autoSpaceDE/>
              <w:autoSpaceDN/>
              <w:adjustRightInd/>
              <w:spacing w:after="0"/>
              <w:jc w:val="center"/>
              <w:cnfStyle w:val="1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Q1 11</w:t>
            </w:r>
          </w:p>
        </w:tc>
        <w:tc>
          <w:tcPr>
            <w:tcW w:w="993" w:type="dxa"/>
            <w:tcBorders>
              <w:right w:val="single" w:sz="12" w:space="0" w:color="auto"/>
            </w:tcBorders>
            <w:noWrap/>
            <w:hideMark/>
          </w:tcPr>
          <w:p w:rsidR="007E093E" w:rsidRPr="00F05A3A" w:rsidRDefault="007E093E" w:rsidP="007E093E">
            <w:pPr>
              <w:autoSpaceDE/>
              <w:autoSpaceDN/>
              <w:adjustRightInd/>
              <w:spacing w:after="0"/>
              <w:jc w:val="center"/>
              <w:cnfStyle w:val="1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Q1 12</w:t>
            </w:r>
          </w:p>
        </w:tc>
        <w:tc>
          <w:tcPr>
            <w:tcW w:w="992" w:type="dxa"/>
            <w:tcBorders>
              <w:left w:val="single" w:sz="12" w:space="0" w:color="auto"/>
            </w:tcBorders>
            <w:noWrap/>
            <w:hideMark/>
          </w:tcPr>
          <w:p w:rsidR="007E093E" w:rsidRPr="00F05A3A" w:rsidRDefault="007E093E" w:rsidP="007E093E">
            <w:pPr>
              <w:autoSpaceDE/>
              <w:autoSpaceDN/>
              <w:adjustRightInd/>
              <w:spacing w:after="0"/>
              <w:jc w:val="center"/>
              <w:cnfStyle w:val="1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2011</w:t>
            </w:r>
            <w:r w:rsidR="00B555C1" w:rsidRPr="00F05A3A">
              <w:rPr>
                <w:rFonts w:asciiTheme="minorHAnsi" w:hAnsiTheme="minorHAnsi" w:cstheme="minorHAnsi"/>
                <w:b w:val="0"/>
                <w:bCs w:val="0"/>
                <w:color w:val="000000"/>
                <w:sz w:val="22"/>
                <w:szCs w:val="22"/>
                <w:lang w:eastAsia="bg-BG"/>
              </w:rPr>
              <w:t xml:space="preserve"> К</w:t>
            </w:r>
          </w:p>
        </w:tc>
        <w:tc>
          <w:tcPr>
            <w:tcW w:w="993" w:type="dxa"/>
            <w:tcBorders>
              <w:right w:val="single" w:sz="12" w:space="0" w:color="auto"/>
            </w:tcBorders>
            <w:noWrap/>
            <w:hideMark/>
          </w:tcPr>
          <w:p w:rsidR="007E093E" w:rsidRPr="00F05A3A" w:rsidRDefault="007E093E" w:rsidP="007E093E">
            <w:pPr>
              <w:autoSpaceDE/>
              <w:autoSpaceDN/>
              <w:adjustRightInd/>
              <w:spacing w:after="0"/>
              <w:jc w:val="center"/>
              <w:cnfStyle w:val="1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Q1 12</w:t>
            </w:r>
            <w:r w:rsidR="00B555C1" w:rsidRPr="00F05A3A">
              <w:rPr>
                <w:rFonts w:asciiTheme="minorHAnsi" w:hAnsiTheme="minorHAnsi" w:cstheme="minorHAnsi"/>
                <w:b w:val="0"/>
                <w:bCs w:val="0"/>
                <w:color w:val="000000"/>
                <w:sz w:val="22"/>
                <w:szCs w:val="22"/>
                <w:lang w:eastAsia="bg-BG"/>
              </w:rPr>
              <w:t xml:space="preserve"> К</w:t>
            </w:r>
          </w:p>
        </w:tc>
      </w:tr>
      <w:tr w:rsidR="005550BE" w:rsidRPr="00F05A3A" w:rsidTr="007115DE">
        <w:trPr>
          <w:cnfStyle w:val="000000100000"/>
          <w:trHeight w:val="315"/>
        </w:trPr>
        <w:tc>
          <w:tcPr>
            <w:cnfStyle w:val="001000000000"/>
            <w:tcW w:w="2693" w:type="dxa"/>
            <w:noWrap/>
            <w:hideMark/>
          </w:tcPr>
          <w:p w:rsidR="005550BE" w:rsidRPr="00F05A3A" w:rsidRDefault="005550BE" w:rsidP="007E093E">
            <w:pPr>
              <w:autoSpaceDE/>
              <w:autoSpaceDN/>
              <w:adjustRightInd/>
              <w:spacing w:after="0"/>
              <w:rPr>
                <w:rFonts w:asciiTheme="minorHAnsi" w:hAnsiTheme="minorHAnsi" w:cstheme="minorHAnsi"/>
                <w:sz w:val="22"/>
                <w:szCs w:val="22"/>
                <w:lang w:eastAsia="bg-BG"/>
              </w:rPr>
            </w:pPr>
            <w:r w:rsidRPr="00F05A3A">
              <w:rPr>
                <w:rFonts w:asciiTheme="minorHAnsi" w:hAnsiTheme="minorHAnsi" w:cstheme="minorHAnsi"/>
                <w:sz w:val="22"/>
                <w:szCs w:val="22"/>
                <w:lang w:eastAsia="bg-BG"/>
              </w:rPr>
              <w:t>Приходи от осн. дейност</w:t>
            </w:r>
          </w:p>
        </w:tc>
        <w:tc>
          <w:tcPr>
            <w:tcW w:w="959" w:type="dxa"/>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35 396</w:t>
            </w:r>
          </w:p>
        </w:tc>
        <w:tc>
          <w:tcPr>
            <w:tcW w:w="992" w:type="dxa"/>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38 948</w:t>
            </w:r>
          </w:p>
        </w:tc>
        <w:tc>
          <w:tcPr>
            <w:tcW w:w="1134" w:type="dxa"/>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47 567</w:t>
            </w:r>
          </w:p>
        </w:tc>
        <w:tc>
          <w:tcPr>
            <w:tcW w:w="992" w:type="dxa"/>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7 683</w:t>
            </w:r>
          </w:p>
        </w:tc>
        <w:tc>
          <w:tcPr>
            <w:tcW w:w="993" w:type="dxa"/>
            <w:tcBorders>
              <w:right w:val="single" w:sz="12" w:space="0" w:color="auto"/>
            </w:tcBorders>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8 821</w:t>
            </w:r>
          </w:p>
        </w:tc>
        <w:tc>
          <w:tcPr>
            <w:tcW w:w="992" w:type="dxa"/>
            <w:tcBorders>
              <w:left w:val="single" w:sz="12" w:space="0" w:color="auto"/>
            </w:tcBorders>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47 792</w:t>
            </w:r>
          </w:p>
        </w:tc>
        <w:tc>
          <w:tcPr>
            <w:tcW w:w="993" w:type="dxa"/>
            <w:tcBorders>
              <w:right w:val="single" w:sz="12" w:space="0" w:color="auto"/>
            </w:tcBorders>
            <w:noWrap/>
            <w:hideMark/>
          </w:tcPr>
          <w:p w:rsidR="005550BE" w:rsidRPr="00F05A3A" w:rsidRDefault="007C485C" w:rsidP="005550BE">
            <w:pPr>
              <w:autoSpaceDE/>
              <w:autoSpaceDN/>
              <w:adjustRightInd/>
              <w:spacing w:after="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8</w:t>
            </w:r>
            <w:r w:rsidR="005550BE" w:rsidRPr="00F05A3A">
              <w:rPr>
                <w:rFonts w:asciiTheme="minorHAnsi" w:hAnsiTheme="minorHAnsi" w:cstheme="minorHAnsi"/>
                <w:sz w:val="22"/>
                <w:szCs w:val="22"/>
                <w:lang w:eastAsia="bg-BG"/>
              </w:rPr>
              <w:t xml:space="preserve"> 851</w:t>
            </w:r>
          </w:p>
        </w:tc>
      </w:tr>
      <w:tr w:rsidR="005550BE" w:rsidRPr="00F05A3A" w:rsidTr="007115DE">
        <w:trPr>
          <w:trHeight w:val="315"/>
        </w:trPr>
        <w:tc>
          <w:tcPr>
            <w:cnfStyle w:val="001000000000"/>
            <w:tcW w:w="2693" w:type="dxa"/>
            <w:noWrap/>
            <w:hideMark/>
          </w:tcPr>
          <w:p w:rsidR="005550BE" w:rsidRPr="00F05A3A" w:rsidRDefault="005550BE" w:rsidP="007E093E">
            <w:pPr>
              <w:autoSpaceDE/>
              <w:autoSpaceDN/>
              <w:adjustRightInd/>
              <w:spacing w:after="0"/>
              <w:rPr>
                <w:rFonts w:asciiTheme="minorHAnsi" w:hAnsiTheme="minorHAnsi" w:cstheme="minorHAnsi"/>
                <w:sz w:val="22"/>
                <w:szCs w:val="22"/>
                <w:lang w:eastAsia="bg-BG"/>
              </w:rPr>
            </w:pPr>
            <w:r w:rsidRPr="00F05A3A">
              <w:rPr>
                <w:rFonts w:asciiTheme="minorHAnsi" w:hAnsiTheme="minorHAnsi" w:cstheme="minorHAnsi"/>
                <w:sz w:val="22"/>
                <w:szCs w:val="22"/>
                <w:lang w:eastAsia="bg-BG"/>
              </w:rPr>
              <w:t>Печалба от осн. дейност</w:t>
            </w:r>
          </w:p>
        </w:tc>
        <w:tc>
          <w:tcPr>
            <w:tcW w:w="959" w:type="dxa"/>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2 361</w:t>
            </w:r>
          </w:p>
        </w:tc>
        <w:tc>
          <w:tcPr>
            <w:tcW w:w="992" w:type="dxa"/>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2 739</w:t>
            </w:r>
          </w:p>
        </w:tc>
        <w:tc>
          <w:tcPr>
            <w:tcW w:w="1134" w:type="dxa"/>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5 508</w:t>
            </w:r>
          </w:p>
        </w:tc>
        <w:tc>
          <w:tcPr>
            <w:tcW w:w="992" w:type="dxa"/>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1 361</w:t>
            </w:r>
          </w:p>
        </w:tc>
        <w:tc>
          <w:tcPr>
            <w:tcW w:w="993" w:type="dxa"/>
            <w:tcBorders>
              <w:right w:val="single" w:sz="12" w:space="0" w:color="auto"/>
            </w:tcBorders>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1 640</w:t>
            </w:r>
          </w:p>
        </w:tc>
        <w:tc>
          <w:tcPr>
            <w:tcW w:w="992" w:type="dxa"/>
            <w:tcBorders>
              <w:left w:val="single" w:sz="12" w:space="0" w:color="auto"/>
            </w:tcBorders>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6 255</w:t>
            </w:r>
          </w:p>
        </w:tc>
        <w:tc>
          <w:tcPr>
            <w:tcW w:w="993" w:type="dxa"/>
            <w:tcBorders>
              <w:right w:val="single" w:sz="12" w:space="0" w:color="auto"/>
            </w:tcBorders>
            <w:noWrap/>
            <w:hideMark/>
          </w:tcPr>
          <w:p w:rsidR="005550BE" w:rsidRPr="00F05A3A" w:rsidRDefault="007C485C" w:rsidP="005550BE">
            <w:pPr>
              <w:autoSpaceDE/>
              <w:autoSpaceDN/>
              <w:adjustRightInd/>
              <w:spacing w:after="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1</w:t>
            </w:r>
            <w:r w:rsidR="005550BE" w:rsidRPr="00F05A3A">
              <w:rPr>
                <w:rFonts w:asciiTheme="minorHAnsi" w:hAnsiTheme="minorHAnsi" w:cstheme="minorHAnsi"/>
                <w:sz w:val="22"/>
                <w:szCs w:val="22"/>
                <w:lang w:eastAsia="bg-BG"/>
              </w:rPr>
              <w:t xml:space="preserve"> 218</w:t>
            </w:r>
          </w:p>
        </w:tc>
      </w:tr>
      <w:tr w:rsidR="005550BE" w:rsidRPr="00F05A3A" w:rsidTr="007115DE">
        <w:trPr>
          <w:cnfStyle w:val="000000100000"/>
          <w:trHeight w:val="315"/>
        </w:trPr>
        <w:tc>
          <w:tcPr>
            <w:cnfStyle w:val="001000000000"/>
            <w:tcW w:w="2693" w:type="dxa"/>
            <w:noWrap/>
            <w:hideMark/>
          </w:tcPr>
          <w:p w:rsidR="005550BE" w:rsidRPr="00F05A3A" w:rsidRDefault="005550BE" w:rsidP="007E093E">
            <w:pPr>
              <w:autoSpaceDE/>
              <w:autoSpaceDN/>
              <w:adjustRightInd/>
              <w:spacing w:after="0"/>
              <w:rPr>
                <w:rFonts w:asciiTheme="minorHAnsi" w:hAnsiTheme="minorHAnsi" w:cstheme="minorHAnsi"/>
                <w:sz w:val="22"/>
                <w:szCs w:val="22"/>
                <w:lang w:eastAsia="bg-BG"/>
              </w:rPr>
            </w:pPr>
            <w:r w:rsidRPr="00F05A3A">
              <w:rPr>
                <w:rFonts w:asciiTheme="minorHAnsi" w:hAnsiTheme="minorHAnsi" w:cstheme="minorHAnsi"/>
                <w:sz w:val="22"/>
                <w:szCs w:val="22"/>
                <w:lang w:eastAsia="bg-BG"/>
              </w:rPr>
              <w:t>Нетна печалба</w:t>
            </w:r>
          </w:p>
        </w:tc>
        <w:tc>
          <w:tcPr>
            <w:tcW w:w="959" w:type="dxa"/>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2 010</w:t>
            </w:r>
          </w:p>
        </w:tc>
        <w:tc>
          <w:tcPr>
            <w:tcW w:w="992" w:type="dxa"/>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2 652</w:t>
            </w:r>
          </w:p>
        </w:tc>
        <w:tc>
          <w:tcPr>
            <w:tcW w:w="1134" w:type="dxa"/>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5 476</w:t>
            </w:r>
          </w:p>
        </w:tc>
        <w:tc>
          <w:tcPr>
            <w:tcW w:w="992" w:type="dxa"/>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1 478</w:t>
            </w:r>
          </w:p>
        </w:tc>
        <w:tc>
          <w:tcPr>
            <w:tcW w:w="993" w:type="dxa"/>
            <w:tcBorders>
              <w:right w:val="single" w:sz="12" w:space="0" w:color="auto"/>
            </w:tcBorders>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1 495</w:t>
            </w:r>
          </w:p>
        </w:tc>
        <w:tc>
          <w:tcPr>
            <w:tcW w:w="992" w:type="dxa"/>
            <w:tcBorders>
              <w:left w:val="single" w:sz="12" w:space="0" w:color="auto"/>
            </w:tcBorders>
            <w:noWrap/>
            <w:hideMark/>
          </w:tcPr>
          <w:p w:rsidR="005550BE" w:rsidRPr="00F05A3A" w:rsidRDefault="005550BE"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6 110</w:t>
            </w:r>
          </w:p>
        </w:tc>
        <w:tc>
          <w:tcPr>
            <w:tcW w:w="993" w:type="dxa"/>
            <w:tcBorders>
              <w:right w:val="single" w:sz="12" w:space="0" w:color="auto"/>
            </w:tcBorders>
            <w:noWrap/>
            <w:hideMark/>
          </w:tcPr>
          <w:p w:rsidR="005550BE" w:rsidRPr="00F05A3A" w:rsidRDefault="007C485C" w:rsidP="005550BE">
            <w:pPr>
              <w:autoSpaceDE/>
              <w:autoSpaceDN/>
              <w:adjustRightInd/>
              <w:spacing w:after="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1 1</w:t>
            </w:r>
            <w:r w:rsidR="005550BE" w:rsidRPr="00F05A3A">
              <w:rPr>
                <w:rFonts w:asciiTheme="minorHAnsi" w:hAnsiTheme="minorHAnsi" w:cstheme="minorHAnsi"/>
                <w:sz w:val="22"/>
                <w:szCs w:val="22"/>
                <w:lang w:eastAsia="bg-BG"/>
              </w:rPr>
              <w:t>16</w:t>
            </w:r>
          </w:p>
        </w:tc>
      </w:tr>
      <w:tr w:rsidR="005550BE" w:rsidRPr="00F05A3A" w:rsidTr="007115DE">
        <w:trPr>
          <w:trHeight w:val="315"/>
        </w:trPr>
        <w:tc>
          <w:tcPr>
            <w:cnfStyle w:val="001000000000"/>
            <w:tcW w:w="2693" w:type="dxa"/>
            <w:noWrap/>
            <w:hideMark/>
          </w:tcPr>
          <w:p w:rsidR="005550BE" w:rsidRPr="00F05A3A" w:rsidRDefault="005550BE" w:rsidP="007E093E">
            <w:pPr>
              <w:autoSpaceDE/>
              <w:autoSpaceDN/>
              <w:adjustRightInd/>
              <w:spacing w:after="0"/>
              <w:rPr>
                <w:rFonts w:asciiTheme="minorHAnsi" w:hAnsiTheme="minorHAnsi" w:cstheme="minorHAnsi"/>
                <w:sz w:val="22"/>
                <w:szCs w:val="22"/>
                <w:lang w:eastAsia="bg-BG"/>
              </w:rPr>
            </w:pPr>
            <w:r w:rsidRPr="00F05A3A">
              <w:rPr>
                <w:rFonts w:asciiTheme="minorHAnsi" w:hAnsiTheme="minorHAnsi" w:cstheme="minorHAnsi"/>
                <w:sz w:val="22"/>
                <w:szCs w:val="22"/>
                <w:lang w:eastAsia="bg-BG"/>
              </w:rPr>
              <w:t>Нетна печалба на акция</w:t>
            </w:r>
          </w:p>
        </w:tc>
        <w:tc>
          <w:tcPr>
            <w:tcW w:w="959" w:type="dxa"/>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4,02</w:t>
            </w:r>
          </w:p>
        </w:tc>
        <w:tc>
          <w:tcPr>
            <w:tcW w:w="992" w:type="dxa"/>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5,30</w:t>
            </w:r>
          </w:p>
        </w:tc>
        <w:tc>
          <w:tcPr>
            <w:tcW w:w="1134" w:type="dxa"/>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5,19</w:t>
            </w:r>
          </w:p>
        </w:tc>
        <w:tc>
          <w:tcPr>
            <w:tcW w:w="992" w:type="dxa"/>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2,96</w:t>
            </w:r>
          </w:p>
        </w:tc>
        <w:tc>
          <w:tcPr>
            <w:tcW w:w="993" w:type="dxa"/>
            <w:tcBorders>
              <w:right w:val="single" w:sz="12" w:space="0" w:color="auto"/>
            </w:tcBorders>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1,01</w:t>
            </w:r>
          </w:p>
        </w:tc>
        <w:tc>
          <w:tcPr>
            <w:tcW w:w="992" w:type="dxa"/>
            <w:tcBorders>
              <w:left w:val="single" w:sz="12" w:space="0" w:color="auto"/>
            </w:tcBorders>
            <w:noWrap/>
            <w:hideMark/>
          </w:tcPr>
          <w:p w:rsidR="005550BE" w:rsidRPr="00F05A3A" w:rsidRDefault="005550BE"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4,12</w:t>
            </w:r>
          </w:p>
        </w:tc>
        <w:tc>
          <w:tcPr>
            <w:tcW w:w="993" w:type="dxa"/>
            <w:tcBorders>
              <w:right w:val="single" w:sz="12" w:space="0" w:color="auto"/>
            </w:tcBorders>
            <w:noWrap/>
            <w:hideMark/>
          </w:tcPr>
          <w:p w:rsidR="005550BE" w:rsidRPr="00F05A3A" w:rsidRDefault="007C485C" w:rsidP="007C485C">
            <w:pPr>
              <w:autoSpaceDE/>
              <w:autoSpaceDN/>
              <w:adjustRightInd/>
              <w:spacing w:after="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0</w:t>
            </w:r>
            <w:r w:rsidR="005550BE" w:rsidRPr="00F05A3A">
              <w:rPr>
                <w:rFonts w:asciiTheme="minorHAnsi" w:hAnsiTheme="minorHAnsi" w:cstheme="minorHAnsi"/>
                <w:sz w:val="22"/>
                <w:szCs w:val="22"/>
                <w:lang w:eastAsia="bg-BG"/>
              </w:rPr>
              <w:t>,</w:t>
            </w:r>
            <w:r>
              <w:rPr>
                <w:rFonts w:asciiTheme="minorHAnsi" w:hAnsiTheme="minorHAnsi" w:cstheme="minorHAnsi"/>
                <w:sz w:val="22"/>
                <w:szCs w:val="22"/>
                <w:lang w:eastAsia="bg-BG"/>
              </w:rPr>
              <w:t>75</w:t>
            </w:r>
          </w:p>
        </w:tc>
      </w:tr>
      <w:tr w:rsidR="00F243FA" w:rsidRPr="00F05A3A" w:rsidTr="007115DE">
        <w:trPr>
          <w:cnfStyle w:val="000000100000"/>
          <w:trHeight w:val="315"/>
        </w:trPr>
        <w:tc>
          <w:tcPr>
            <w:cnfStyle w:val="001000000000"/>
            <w:tcW w:w="2693" w:type="dxa"/>
            <w:noWrap/>
            <w:hideMark/>
          </w:tcPr>
          <w:p w:rsidR="00F243FA" w:rsidRPr="00F05A3A" w:rsidRDefault="00F243FA" w:rsidP="007E093E">
            <w:pPr>
              <w:autoSpaceDE/>
              <w:autoSpaceDN/>
              <w:adjustRightInd/>
              <w:spacing w:after="0"/>
              <w:rPr>
                <w:rFonts w:asciiTheme="minorHAnsi" w:hAnsiTheme="minorHAnsi" w:cstheme="minorHAnsi"/>
                <w:sz w:val="22"/>
                <w:szCs w:val="22"/>
                <w:lang w:eastAsia="bg-BG"/>
              </w:rPr>
            </w:pPr>
            <w:r w:rsidRPr="00F05A3A">
              <w:rPr>
                <w:rFonts w:asciiTheme="minorHAnsi" w:hAnsiTheme="minorHAnsi" w:cstheme="minorHAnsi"/>
                <w:sz w:val="22"/>
                <w:szCs w:val="22"/>
                <w:lang w:eastAsia="bg-BG"/>
              </w:rPr>
              <w:t>Сума на активите</w:t>
            </w:r>
          </w:p>
        </w:tc>
        <w:tc>
          <w:tcPr>
            <w:tcW w:w="959"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14 888</w:t>
            </w:r>
          </w:p>
        </w:tc>
        <w:tc>
          <w:tcPr>
            <w:tcW w:w="992"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17 456</w:t>
            </w:r>
          </w:p>
        </w:tc>
        <w:tc>
          <w:tcPr>
            <w:tcW w:w="1134"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20 593</w:t>
            </w:r>
          </w:p>
        </w:tc>
        <w:tc>
          <w:tcPr>
            <w:tcW w:w="992"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15 579</w:t>
            </w:r>
          </w:p>
        </w:tc>
        <w:tc>
          <w:tcPr>
            <w:tcW w:w="993" w:type="dxa"/>
            <w:tcBorders>
              <w:right w:val="single" w:sz="12" w:space="0" w:color="auto"/>
            </w:tcBorders>
            <w:noWrap/>
            <w:hideMark/>
          </w:tcPr>
          <w:p w:rsidR="00F243FA" w:rsidRPr="00F05A3A" w:rsidRDefault="00F243FA" w:rsidP="0080674A">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18 235</w:t>
            </w:r>
          </w:p>
        </w:tc>
        <w:tc>
          <w:tcPr>
            <w:tcW w:w="992" w:type="dxa"/>
            <w:tcBorders>
              <w:left w:val="single" w:sz="12" w:space="0" w:color="auto"/>
            </w:tcBorders>
            <w:noWrap/>
            <w:hideMark/>
          </w:tcPr>
          <w:p w:rsidR="00F243FA" w:rsidRPr="006A0EAB" w:rsidRDefault="00F243FA" w:rsidP="006A0EAB">
            <w:pPr>
              <w:autoSpaceDE/>
              <w:autoSpaceDN/>
              <w:adjustRightInd/>
              <w:spacing w:after="0"/>
              <w:jc w:val="right"/>
              <w:cnfStyle w:val="000000100000"/>
              <w:rPr>
                <w:rFonts w:asciiTheme="minorHAnsi" w:hAnsiTheme="minorHAnsi" w:cstheme="minorHAnsi"/>
                <w:sz w:val="22"/>
                <w:szCs w:val="22"/>
                <w:lang w:val="en-US" w:eastAsia="bg-BG"/>
              </w:rPr>
            </w:pPr>
            <w:r w:rsidRPr="00F05A3A">
              <w:rPr>
                <w:rFonts w:asciiTheme="minorHAnsi" w:hAnsiTheme="minorHAnsi" w:cstheme="minorHAnsi"/>
                <w:sz w:val="22"/>
                <w:szCs w:val="22"/>
                <w:lang w:eastAsia="bg-BG"/>
              </w:rPr>
              <w:t>2</w:t>
            </w:r>
            <w:r>
              <w:rPr>
                <w:rFonts w:asciiTheme="minorHAnsi" w:hAnsiTheme="minorHAnsi" w:cstheme="minorHAnsi"/>
                <w:sz w:val="22"/>
                <w:szCs w:val="22"/>
                <w:lang w:val="en-US" w:eastAsia="bg-BG"/>
              </w:rPr>
              <w:t>0</w:t>
            </w:r>
            <w:r w:rsidRPr="00F05A3A">
              <w:rPr>
                <w:rFonts w:asciiTheme="minorHAnsi" w:hAnsiTheme="minorHAnsi" w:cstheme="minorHAnsi"/>
                <w:sz w:val="22"/>
                <w:szCs w:val="22"/>
                <w:lang w:eastAsia="bg-BG"/>
              </w:rPr>
              <w:t xml:space="preserve"> </w:t>
            </w:r>
            <w:r>
              <w:rPr>
                <w:rFonts w:asciiTheme="minorHAnsi" w:hAnsiTheme="minorHAnsi" w:cstheme="minorHAnsi"/>
                <w:sz w:val="22"/>
                <w:szCs w:val="22"/>
                <w:lang w:val="en-US" w:eastAsia="bg-BG"/>
              </w:rPr>
              <w:t>900</w:t>
            </w:r>
          </w:p>
        </w:tc>
        <w:tc>
          <w:tcPr>
            <w:tcW w:w="993" w:type="dxa"/>
            <w:tcBorders>
              <w:right w:val="single" w:sz="12" w:space="0" w:color="auto"/>
            </w:tcBorders>
            <w:noWrap/>
            <w:hideMark/>
          </w:tcPr>
          <w:p w:rsidR="00F243FA" w:rsidRPr="00F05A3A" w:rsidRDefault="00F243FA" w:rsidP="005550BE">
            <w:pPr>
              <w:autoSpaceDE/>
              <w:autoSpaceDN/>
              <w:adjustRightInd/>
              <w:spacing w:after="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18</w:t>
            </w:r>
            <w:r w:rsidRPr="00F05A3A">
              <w:rPr>
                <w:rFonts w:asciiTheme="minorHAnsi" w:hAnsiTheme="minorHAnsi" w:cstheme="minorHAnsi"/>
                <w:sz w:val="22"/>
                <w:szCs w:val="22"/>
                <w:lang w:eastAsia="bg-BG"/>
              </w:rPr>
              <w:t xml:space="preserve"> 502</w:t>
            </w:r>
          </w:p>
        </w:tc>
      </w:tr>
      <w:tr w:rsidR="00F243FA" w:rsidRPr="00F05A3A" w:rsidTr="007115DE">
        <w:trPr>
          <w:trHeight w:val="315"/>
        </w:trPr>
        <w:tc>
          <w:tcPr>
            <w:cnfStyle w:val="001000000000"/>
            <w:tcW w:w="2693" w:type="dxa"/>
            <w:noWrap/>
            <w:hideMark/>
          </w:tcPr>
          <w:p w:rsidR="00F243FA" w:rsidRPr="00F05A3A" w:rsidRDefault="00F243FA" w:rsidP="007E093E">
            <w:pPr>
              <w:autoSpaceDE/>
              <w:autoSpaceDN/>
              <w:adjustRightInd/>
              <w:spacing w:after="0"/>
              <w:rPr>
                <w:rFonts w:asciiTheme="minorHAnsi" w:hAnsiTheme="minorHAnsi" w:cstheme="minorHAnsi"/>
                <w:sz w:val="22"/>
                <w:szCs w:val="22"/>
                <w:lang w:eastAsia="bg-BG"/>
              </w:rPr>
            </w:pPr>
            <w:r w:rsidRPr="00F05A3A">
              <w:rPr>
                <w:rFonts w:asciiTheme="minorHAnsi" w:hAnsiTheme="minorHAnsi" w:cstheme="minorHAnsi"/>
                <w:sz w:val="22"/>
                <w:szCs w:val="22"/>
                <w:lang w:eastAsia="bg-BG"/>
              </w:rPr>
              <w:t>Нетни активи</w:t>
            </w:r>
          </w:p>
        </w:tc>
        <w:tc>
          <w:tcPr>
            <w:tcW w:w="959" w:type="dxa"/>
            <w:noWrap/>
            <w:hideMark/>
          </w:tcPr>
          <w:p w:rsidR="00F243FA" w:rsidRPr="00F05A3A" w:rsidRDefault="00F243FA"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4 384</w:t>
            </w:r>
          </w:p>
        </w:tc>
        <w:tc>
          <w:tcPr>
            <w:tcW w:w="992" w:type="dxa"/>
            <w:noWrap/>
            <w:hideMark/>
          </w:tcPr>
          <w:p w:rsidR="00F243FA" w:rsidRPr="00F05A3A" w:rsidRDefault="00F243FA"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6 387</w:t>
            </w:r>
          </w:p>
        </w:tc>
        <w:tc>
          <w:tcPr>
            <w:tcW w:w="1134" w:type="dxa"/>
            <w:noWrap/>
            <w:hideMark/>
          </w:tcPr>
          <w:p w:rsidR="00F243FA" w:rsidRPr="00F05A3A" w:rsidRDefault="00F243FA"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7 306</w:t>
            </w:r>
          </w:p>
        </w:tc>
        <w:tc>
          <w:tcPr>
            <w:tcW w:w="992" w:type="dxa"/>
            <w:noWrap/>
            <w:hideMark/>
          </w:tcPr>
          <w:p w:rsidR="00F243FA" w:rsidRPr="00F05A3A" w:rsidRDefault="00F243FA" w:rsidP="007E093E">
            <w:pPr>
              <w:autoSpaceDE/>
              <w:autoSpaceDN/>
              <w:adjustRightInd/>
              <w:spacing w:after="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7 865</w:t>
            </w:r>
          </w:p>
        </w:tc>
        <w:tc>
          <w:tcPr>
            <w:tcW w:w="993" w:type="dxa"/>
            <w:tcBorders>
              <w:right w:val="single" w:sz="12" w:space="0" w:color="auto"/>
            </w:tcBorders>
            <w:noWrap/>
            <w:hideMark/>
          </w:tcPr>
          <w:p w:rsidR="00F243FA" w:rsidRPr="00F05A3A" w:rsidRDefault="00F243FA" w:rsidP="0080674A">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8 801</w:t>
            </w:r>
          </w:p>
        </w:tc>
        <w:tc>
          <w:tcPr>
            <w:tcW w:w="992" w:type="dxa"/>
            <w:tcBorders>
              <w:left w:val="single" w:sz="12" w:space="0" w:color="auto"/>
            </w:tcBorders>
            <w:noWrap/>
            <w:hideMark/>
          </w:tcPr>
          <w:p w:rsidR="00F243FA" w:rsidRPr="00F05A3A" w:rsidRDefault="00F243FA"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8 434</w:t>
            </w:r>
          </w:p>
        </w:tc>
        <w:tc>
          <w:tcPr>
            <w:tcW w:w="993" w:type="dxa"/>
            <w:tcBorders>
              <w:right w:val="single" w:sz="12" w:space="0" w:color="auto"/>
            </w:tcBorders>
            <w:noWrap/>
            <w:hideMark/>
          </w:tcPr>
          <w:p w:rsidR="00F243FA" w:rsidRPr="00F05A3A" w:rsidRDefault="00F243FA" w:rsidP="007C485C">
            <w:pPr>
              <w:autoSpaceDE/>
              <w:autoSpaceDN/>
              <w:adjustRightInd/>
              <w:spacing w:after="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9</w:t>
            </w:r>
            <w:r w:rsidRPr="00F05A3A">
              <w:rPr>
                <w:rFonts w:asciiTheme="minorHAnsi" w:hAnsiTheme="minorHAnsi" w:cstheme="minorHAnsi"/>
                <w:sz w:val="22"/>
                <w:szCs w:val="22"/>
                <w:lang w:eastAsia="bg-BG"/>
              </w:rPr>
              <w:t xml:space="preserve"> </w:t>
            </w:r>
            <w:r>
              <w:rPr>
                <w:rFonts w:asciiTheme="minorHAnsi" w:hAnsiTheme="minorHAnsi" w:cstheme="minorHAnsi"/>
                <w:sz w:val="22"/>
                <w:szCs w:val="22"/>
                <w:lang w:eastAsia="bg-BG"/>
              </w:rPr>
              <w:t>5</w:t>
            </w:r>
            <w:r w:rsidRPr="00F05A3A">
              <w:rPr>
                <w:rFonts w:asciiTheme="minorHAnsi" w:hAnsiTheme="minorHAnsi" w:cstheme="minorHAnsi"/>
                <w:sz w:val="22"/>
                <w:szCs w:val="22"/>
                <w:lang w:eastAsia="bg-BG"/>
              </w:rPr>
              <w:t>02</w:t>
            </w:r>
          </w:p>
        </w:tc>
      </w:tr>
      <w:tr w:rsidR="00F243FA" w:rsidRPr="00F05A3A" w:rsidTr="007115DE">
        <w:trPr>
          <w:cnfStyle w:val="000000100000"/>
          <w:trHeight w:val="315"/>
        </w:trPr>
        <w:tc>
          <w:tcPr>
            <w:cnfStyle w:val="001000000000"/>
            <w:tcW w:w="2693" w:type="dxa"/>
            <w:noWrap/>
            <w:hideMark/>
          </w:tcPr>
          <w:p w:rsidR="00F243FA" w:rsidRPr="00F05A3A" w:rsidRDefault="00F243FA" w:rsidP="007E093E">
            <w:pPr>
              <w:autoSpaceDE/>
              <w:autoSpaceDN/>
              <w:adjustRightInd/>
              <w:spacing w:after="0"/>
              <w:rPr>
                <w:rFonts w:asciiTheme="minorHAnsi" w:hAnsiTheme="minorHAnsi" w:cstheme="minorHAnsi"/>
                <w:sz w:val="22"/>
                <w:szCs w:val="22"/>
                <w:lang w:eastAsia="bg-BG"/>
              </w:rPr>
            </w:pPr>
            <w:r w:rsidRPr="00F05A3A">
              <w:rPr>
                <w:rFonts w:asciiTheme="minorHAnsi" w:hAnsiTheme="minorHAnsi" w:cstheme="minorHAnsi"/>
                <w:sz w:val="22"/>
                <w:szCs w:val="22"/>
                <w:lang w:eastAsia="bg-BG"/>
              </w:rPr>
              <w:t>Акционерен капитал</w:t>
            </w:r>
          </w:p>
        </w:tc>
        <w:tc>
          <w:tcPr>
            <w:tcW w:w="959"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500</w:t>
            </w:r>
          </w:p>
        </w:tc>
        <w:tc>
          <w:tcPr>
            <w:tcW w:w="992"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500</w:t>
            </w:r>
          </w:p>
        </w:tc>
        <w:tc>
          <w:tcPr>
            <w:tcW w:w="1134"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1 482</w:t>
            </w:r>
          </w:p>
        </w:tc>
        <w:tc>
          <w:tcPr>
            <w:tcW w:w="992"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500</w:t>
            </w:r>
          </w:p>
        </w:tc>
        <w:tc>
          <w:tcPr>
            <w:tcW w:w="993" w:type="dxa"/>
            <w:tcBorders>
              <w:right w:val="single" w:sz="12" w:space="0" w:color="auto"/>
            </w:tcBorders>
            <w:noWrap/>
            <w:hideMark/>
          </w:tcPr>
          <w:p w:rsidR="00F243FA" w:rsidRPr="00F05A3A" w:rsidRDefault="00F243FA" w:rsidP="0080674A">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1 482</w:t>
            </w:r>
          </w:p>
        </w:tc>
        <w:tc>
          <w:tcPr>
            <w:tcW w:w="992" w:type="dxa"/>
            <w:tcBorders>
              <w:left w:val="single" w:sz="12" w:space="0" w:color="auto"/>
            </w:tcBorders>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1 482</w:t>
            </w:r>
          </w:p>
        </w:tc>
        <w:tc>
          <w:tcPr>
            <w:tcW w:w="993" w:type="dxa"/>
            <w:tcBorders>
              <w:right w:val="single" w:sz="12" w:space="0" w:color="auto"/>
            </w:tcBorders>
            <w:noWrap/>
            <w:hideMark/>
          </w:tcPr>
          <w:p w:rsidR="00F243FA" w:rsidRPr="00F05A3A" w:rsidRDefault="00F243FA" w:rsidP="005550B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1 482</w:t>
            </w:r>
          </w:p>
        </w:tc>
      </w:tr>
      <w:tr w:rsidR="00F243FA" w:rsidRPr="00F05A3A" w:rsidTr="007115DE">
        <w:trPr>
          <w:trHeight w:val="315"/>
        </w:trPr>
        <w:tc>
          <w:tcPr>
            <w:cnfStyle w:val="001000000000"/>
            <w:tcW w:w="2693" w:type="dxa"/>
            <w:noWrap/>
            <w:hideMark/>
          </w:tcPr>
          <w:p w:rsidR="00F243FA" w:rsidRPr="00F05A3A" w:rsidRDefault="00F243FA" w:rsidP="007E093E">
            <w:pPr>
              <w:autoSpaceDE/>
              <w:autoSpaceDN/>
              <w:adjustRightInd/>
              <w:spacing w:after="0"/>
              <w:rPr>
                <w:rFonts w:asciiTheme="minorHAnsi" w:hAnsiTheme="minorHAnsi" w:cstheme="minorHAnsi"/>
                <w:sz w:val="22"/>
                <w:szCs w:val="22"/>
                <w:lang w:eastAsia="bg-BG"/>
              </w:rPr>
            </w:pPr>
            <w:r w:rsidRPr="00F05A3A">
              <w:rPr>
                <w:rFonts w:asciiTheme="minorHAnsi" w:hAnsiTheme="minorHAnsi" w:cstheme="minorHAnsi"/>
                <w:sz w:val="22"/>
                <w:szCs w:val="22"/>
                <w:lang w:eastAsia="bg-BG"/>
              </w:rPr>
              <w:t>Среден брой акции</w:t>
            </w:r>
          </w:p>
        </w:tc>
        <w:tc>
          <w:tcPr>
            <w:tcW w:w="959" w:type="dxa"/>
            <w:noWrap/>
            <w:hideMark/>
          </w:tcPr>
          <w:p w:rsidR="00F243FA" w:rsidRPr="00F05A3A" w:rsidRDefault="00F243FA"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500 000</w:t>
            </w:r>
          </w:p>
        </w:tc>
        <w:tc>
          <w:tcPr>
            <w:tcW w:w="992" w:type="dxa"/>
            <w:noWrap/>
            <w:hideMark/>
          </w:tcPr>
          <w:p w:rsidR="00F243FA" w:rsidRPr="00F05A3A" w:rsidRDefault="00F243FA"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500 000</w:t>
            </w:r>
          </w:p>
        </w:tc>
        <w:tc>
          <w:tcPr>
            <w:tcW w:w="1134" w:type="dxa"/>
            <w:noWrap/>
            <w:hideMark/>
          </w:tcPr>
          <w:p w:rsidR="00F243FA" w:rsidRPr="00F05A3A" w:rsidRDefault="00F243FA"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1 055 659</w:t>
            </w:r>
          </w:p>
        </w:tc>
        <w:tc>
          <w:tcPr>
            <w:tcW w:w="992" w:type="dxa"/>
            <w:noWrap/>
            <w:hideMark/>
          </w:tcPr>
          <w:p w:rsidR="00F243FA" w:rsidRPr="00F05A3A" w:rsidRDefault="00F243FA" w:rsidP="007E093E">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500 000</w:t>
            </w:r>
          </w:p>
        </w:tc>
        <w:tc>
          <w:tcPr>
            <w:tcW w:w="993" w:type="dxa"/>
            <w:tcBorders>
              <w:right w:val="single" w:sz="12" w:space="0" w:color="auto"/>
            </w:tcBorders>
            <w:noWrap/>
            <w:hideMark/>
          </w:tcPr>
          <w:p w:rsidR="00F243FA" w:rsidRPr="00F05A3A" w:rsidRDefault="00F243FA" w:rsidP="00B555C1">
            <w:pPr>
              <w:autoSpaceDE/>
              <w:autoSpaceDN/>
              <w:adjustRightInd/>
              <w:spacing w:after="0"/>
              <w:ind w:left="-107"/>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1 482 200</w:t>
            </w:r>
          </w:p>
        </w:tc>
        <w:tc>
          <w:tcPr>
            <w:tcW w:w="992" w:type="dxa"/>
            <w:tcBorders>
              <w:left w:val="single" w:sz="12" w:space="0" w:color="auto"/>
            </w:tcBorders>
            <w:noWrap/>
            <w:hideMark/>
          </w:tcPr>
          <w:p w:rsidR="00F243FA" w:rsidRPr="00F05A3A" w:rsidRDefault="00F243FA" w:rsidP="00B555C1">
            <w:pPr>
              <w:autoSpaceDE/>
              <w:autoSpaceDN/>
              <w:adjustRightInd/>
              <w:spacing w:after="0"/>
              <w:ind w:left="-108"/>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1 482 200</w:t>
            </w:r>
          </w:p>
        </w:tc>
        <w:tc>
          <w:tcPr>
            <w:tcW w:w="993" w:type="dxa"/>
            <w:tcBorders>
              <w:right w:val="single" w:sz="12" w:space="0" w:color="auto"/>
            </w:tcBorders>
            <w:noWrap/>
            <w:hideMark/>
          </w:tcPr>
          <w:p w:rsidR="00F243FA" w:rsidRPr="00F05A3A" w:rsidRDefault="00F243FA" w:rsidP="005550BE">
            <w:pPr>
              <w:autoSpaceDE/>
              <w:autoSpaceDN/>
              <w:adjustRightInd/>
              <w:spacing w:after="0"/>
              <w:ind w:left="-108"/>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1 482 200</w:t>
            </w:r>
          </w:p>
        </w:tc>
      </w:tr>
      <w:tr w:rsidR="00F243FA" w:rsidRPr="00F05A3A" w:rsidTr="007115DE">
        <w:trPr>
          <w:cnfStyle w:val="000000100000"/>
          <w:trHeight w:val="315"/>
        </w:trPr>
        <w:tc>
          <w:tcPr>
            <w:cnfStyle w:val="001000000000"/>
            <w:tcW w:w="2693" w:type="dxa"/>
            <w:noWrap/>
            <w:hideMark/>
          </w:tcPr>
          <w:p w:rsidR="00F243FA" w:rsidRPr="00F05A3A" w:rsidRDefault="00F243FA" w:rsidP="007E093E">
            <w:pPr>
              <w:autoSpaceDE/>
              <w:autoSpaceDN/>
              <w:adjustRightInd/>
              <w:spacing w:after="0"/>
              <w:rPr>
                <w:rFonts w:asciiTheme="minorHAnsi" w:hAnsiTheme="minorHAnsi" w:cstheme="minorHAnsi"/>
                <w:sz w:val="22"/>
                <w:szCs w:val="22"/>
                <w:lang w:eastAsia="bg-BG"/>
              </w:rPr>
            </w:pPr>
            <w:r w:rsidRPr="00F05A3A">
              <w:rPr>
                <w:rFonts w:asciiTheme="minorHAnsi" w:hAnsiTheme="minorHAnsi" w:cstheme="minorHAnsi"/>
                <w:sz w:val="22"/>
                <w:szCs w:val="22"/>
                <w:lang w:eastAsia="bg-BG"/>
              </w:rPr>
              <w:t>Дивидент на акция</w:t>
            </w:r>
          </w:p>
        </w:tc>
        <w:tc>
          <w:tcPr>
            <w:tcW w:w="959"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6,69</w:t>
            </w:r>
          </w:p>
        </w:tc>
        <w:tc>
          <w:tcPr>
            <w:tcW w:w="992"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1,30</w:t>
            </w:r>
          </w:p>
        </w:tc>
        <w:tc>
          <w:tcPr>
            <w:tcW w:w="1134" w:type="dxa"/>
            <w:noWrap/>
            <w:hideMark/>
          </w:tcPr>
          <w:p w:rsidR="00F243FA" w:rsidRPr="00F05A3A" w:rsidRDefault="00F243FA" w:rsidP="007E093E">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5,25</w:t>
            </w:r>
          </w:p>
        </w:tc>
        <w:tc>
          <w:tcPr>
            <w:tcW w:w="992" w:type="dxa"/>
            <w:noWrap/>
            <w:hideMark/>
          </w:tcPr>
          <w:p w:rsidR="00F243FA" w:rsidRPr="00F05A3A" w:rsidRDefault="00F243FA" w:rsidP="007E093E">
            <w:pPr>
              <w:autoSpaceDE/>
              <w:autoSpaceDN/>
              <w:adjustRightInd/>
              <w:spacing w:after="0"/>
              <w:jc w:val="lef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 </w:t>
            </w:r>
          </w:p>
        </w:tc>
        <w:tc>
          <w:tcPr>
            <w:tcW w:w="993" w:type="dxa"/>
            <w:tcBorders>
              <w:right w:val="single" w:sz="12" w:space="0" w:color="auto"/>
            </w:tcBorders>
            <w:noWrap/>
            <w:hideMark/>
          </w:tcPr>
          <w:p w:rsidR="00F243FA" w:rsidRPr="00F05A3A" w:rsidRDefault="00F243FA" w:rsidP="007E093E">
            <w:pPr>
              <w:autoSpaceDE/>
              <w:autoSpaceDN/>
              <w:adjustRightInd/>
              <w:spacing w:after="0"/>
              <w:jc w:val="lef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 </w:t>
            </w:r>
          </w:p>
        </w:tc>
        <w:tc>
          <w:tcPr>
            <w:tcW w:w="992" w:type="dxa"/>
            <w:tcBorders>
              <w:left w:val="single" w:sz="12" w:space="0" w:color="auto"/>
            </w:tcBorders>
            <w:noWrap/>
            <w:hideMark/>
          </w:tcPr>
          <w:p w:rsidR="00F243FA" w:rsidRPr="00F05A3A" w:rsidRDefault="00F243FA" w:rsidP="007E093E">
            <w:pPr>
              <w:autoSpaceDE/>
              <w:autoSpaceDN/>
              <w:adjustRightInd/>
              <w:spacing w:after="0"/>
              <w:jc w:val="lef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 </w:t>
            </w:r>
          </w:p>
        </w:tc>
        <w:tc>
          <w:tcPr>
            <w:tcW w:w="993" w:type="dxa"/>
            <w:tcBorders>
              <w:right w:val="single" w:sz="12" w:space="0" w:color="auto"/>
            </w:tcBorders>
            <w:noWrap/>
            <w:hideMark/>
          </w:tcPr>
          <w:p w:rsidR="00F243FA" w:rsidRPr="00F05A3A" w:rsidRDefault="00F243FA" w:rsidP="007E093E">
            <w:pPr>
              <w:autoSpaceDE/>
              <w:autoSpaceDN/>
              <w:adjustRightInd/>
              <w:spacing w:after="0"/>
              <w:jc w:val="lef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 </w:t>
            </w:r>
          </w:p>
        </w:tc>
      </w:tr>
    </w:tbl>
    <w:p w:rsidR="00461219" w:rsidRPr="00B555C1" w:rsidRDefault="00B555C1" w:rsidP="00B555C1">
      <w:pPr>
        <w:spacing w:after="120"/>
        <w:jc w:val="right"/>
        <w:rPr>
          <w:i/>
        </w:rPr>
      </w:pPr>
      <w:r w:rsidRPr="00B555C1">
        <w:rPr>
          <w:i/>
        </w:rPr>
        <w:t>Бележка: Всички данни са в хиляди лева, освен данните на акция</w:t>
      </w:r>
    </w:p>
    <w:p w:rsidR="00B555C1" w:rsidRPr="00A904E3" w:rsidRDefault="00A904E3" w:rsidP="00A904E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FC3657" w:rsidRPr="00E24444" w:rsidRDefault="00461219" w:rsidP="00942CE6">
      <w:pPr>
        <w:rPr>
          <w:b/>
        </w:rPr>
      </w:pPr>
      <w:r w:rsidRPr="00E24444">
        <w:rPr>
          <w:b/>
        </w:rPr>
        <w:t xml:space="preserve">ПРЕДОСТАВЕНИТЕ </w:t>
      </w:r>
      <w:r>
        <w:rPr>
          <w:b/>
        </w:rPr>
        <w:t>В ТОЗИ ПРОСПЕК</w:t>
      </w:r>
      <w:r w:rsidRPr="00E24444">
        <w:rPr>
          <w:b/>
        </w:rPr>
        <w:t>Т</w:t>
      </w:r>
      <w:r>
        <w:rPr>
          <w:b/>
        </w:rPr>
        <w:t xml:space="preserve"> ДАННИ ЗА МЕЖДИННИТЕ ОТЧЕТНИ ПЕРИОДИ СА НЕОДИТИРАНИ</w:t>
      </w:r>
      <w:r w:rsidRPr="00E24444">
        <w:rPr>
          <w:b/>
        </w:rPr>
        <w:br w:type="page"/>
      </w:r>
    </w:p>
    <w:p w:rsidR="006A5578" w:rsidRPr="00F07DC3" w:rsidRDefault="00FC3657" w:rsidP="00212245">
      <w:pPr>
        <w:pStyle w:val="Heading1"/>
        <w:numPr>
          <w:ilvl w:val="0"/>
          <w:numId w:val="11"/>
        </w:numPr>
        <w:rPr>
          <w:rFonts w:ascii="Times New Roman" w:hAnsi="Times New Roman"/>
          <w:smallCaps/>
          <w:sz w:val="28"/>
          <w:szCs w:val="28"/>
        </w:rPr>
      </w:pPr>
      <w:bookmarkStart w:id="13" w:name="_Ref324171571"/>
      <w:bookmarkStart w:id="14" w:name="_Toc324376898"/>
      <w:bookmarkStart w:id="15" w:name="_Toc324380057"/>
      <w:r w:rsidRPr="00F07DC3">
        <w:rPr>
          <w:rFonts w:ascii="Times New Roman" w:hAnsi="Times New Roman"/>
          <w:smallCaps/>
          <w:sz w:val="28"/>
          <w:szCs w:val="28"/>
        </w:rPr>
        <w:t>Рискови фактори</w:t>
      </w:r>
      <w:bookmarkEnd w:id="13"/>
      <w:bookmarkEnd w:id="14"/>
      <w:bookmarkEnd w:id="15"/>
    </w:p>
    <w:p w:rsidR="00771584" w:rsidRPr="002D5744" w:rsidRDefault="00771584" w:rsidP="00942CE6"/>
    <w:p w:rsidR="009A6A5E" w:rsidRPr="009A6A5E" w:rsidRDefault="009A6A5E" w:rsidP="009A6A5E">
      <w:pPr>
        <w:spacing w:after="120"/>
        <w:rPr>
          <w:i/>
        </w:rPr>
      </w:pPr>
      <w:r w:rsidRPr="009A6A5E">
        <w:rPr>
          <w:i/>
        </w:rPr>
        <w:t>Преди да инвестират в акции на „Спиди" ЕАД, на потенциалните инвеститори се препоръчва внимателно да преценят рисковите фактори, описани в този раздел. В случай, че някой от рисковете, описани в този раздел, настъпи, негативните ефекти върху дейността на „Спиди" ЕАД и неговите финансови резултати могат да бъдат значителни. Инвеститорите трябва да имат предвид също така, че рисковете, описани по-долу, не са единствените, които „Спиди" ЕАД среща при осъществяване на своята дейност. Допълнителни рискове и/или несигурни събития, които към настоящия момент не са известни или се считат за несъществени могат също да имат значителен неблагоприятен ефект върху дейността на „Спиди" ЕАД и неговите финансови резултати.</w:t>
      </w:r>
    </w:p>
    <w:p w:rsidR="00032C26" w:rsidRDefault="00F86DC5" w:rsidP="00BE0C31">
      <w:pPr>
        <w:spacing w:after="120"/>
      </w:pPr>
      <w:r w:rsidRPr="00F86DC5">
        <w:t>Всяко едно функциониращо дружество е изложено на определени рискове, които оказват</w:t>
      </w:r>
      <w:r>
        <w:t xml:space="preserve"> </w:t>
      </w:r>
      <w:r w:rsidRPr="00F86DC5">
        <w:t>въздействие върху резултатите от дейността му и съответно върху доходността на ценните</w:t>
      </w:r>
      <w:r>
        <w:t xml:space="preserve"> </w:t>
      </w:r>
      <w:r w:rsidRPr="00F86DC5">
        <w:t>книжа, емитирани от него.</w:t>
      </w:r>
    </w:p>
    <w:p w:rsidR="00032C26" w:rsidRDefault="00D70BF4" w:rsidP="00BE0C31">
      <w:pPr>
        <w:spacing w:after="120"/>
      </w:pPr>
      <w:r>
        <w:t>„СПИДИ” ЕАД</w:t>
      </w:r>
      <w:r w:rsidR="002D5744">
        <w:t xml:space="preserve"> се стреми да поддържа нисък рисков профил чрез поддържането на ниски нива на финансов и оперативен левъридж, високо ниво на оперативна ефективно</w:t>
      </w:r>
      <w:r w:rsidR="00C5324C">
        <w:t>ст</w:t>
      </w:r>
      <w:r w:rsidR="002D5744">
        <w:t>, въвеждането на стриктни правила и процедури при управлението на дейността и стр</w:t>
      </w:r>
      <w:r w:rsidR="001F0FA2">
        <w:t>ог контрол за тяхното спазване, диверсифициране на клие</w:t>
      </w:r>
      <w:r w:rsidR="00032C26">
        <w:t>нтската база и на доставчиците.</w:t>
      </w:r>
    </w:p>
    <w:p w:rsidR="002D5744" w:rsidRDefault="00032C26" w:rsidP="00BE0C31">
      <w:pPr>
        <w:spacing w:after="120"/>
      </w:pPr>
      <w:r>
        <w:t xml:space="preserve">Изброеното </w:t>
      </w:r>
      <w:r w:rsidR="001F0FA2">
        <w:t>прави дружеството устойчиво на външни негативни шокове, но въпреки това в своята дейност среща значителни рискове, които могат да повлияят отрицателно на ре</w:t>
      </w:r>
      <w:r w:rsidR="00F86DC5">
        <w:t>з</w:t>
      </w:r>
      <w:r w:rsidR="001F0FA2">
        <w:t>ултатите на фирмата.</w:t>
      </w:r>
    </w:p>
    <w:p w:rsidR="0016095B" w:rsidRPr="00212245" w:rsidRDefault="00771584" w:rsidP="00BE0C31">
      <w:pPr>
        <w:pStyle w:val="Heading1"/>
        <w:numPr>
          <w:ilvl w:val="1"/>
          <w:numId w:val="11"/>
        </w:numPr>
        <w:spacing w:after="120"/>
        <w:ind w:left="567" w:hanging="567"/>
        <w:rPr>
          <w:rFonts w:ascii="Times New Roman" w:hAnsi="Times New Roman"/>
          <w:b w:val="0"/>
          <w:i/>
          <w:smallCaps/>
          <w:sz w:val="24"/>
          <w:szCs w:val="24"/>
        </w:rPr>
      </w:pPr>
      <w:bookmarkStart w:id="16" w:name="_Toc324376899"/>
      <w:bookmarkStart w:id="17" w:name="_Toc324380058"/>
      <w:r w:rsidRPr="00212245">
        <w:rPr>
          <w:rFonts w:ascii="Times New Roman" w:hAnsi="Times New Roman"/>
          <w:b w:val="0"/>
          <w:i/>
          <w:smallCaps/>
          <w:sz w:val="24"/>
          <w:szCs w:val="24"/>
        </w:rPr>
        <w:t>Макроикономически риск</w:t>
      </w:r>
      <w:bookmarkEnd w:id="16"/>
      <w:bookmarkEnd w:id="17"/>
    </w:p>
    <w:p w:rsidR="00771584" w:rsidRDefault="00D70BF4" w:rsidP="00BE0C31">
      <w:pPr>
        <w:spacing w:after="120"/>
      </w:pPr>
      <w:r>
        <w:t>„СПИДИ” ЕАД</w:t>
      </w:r>
      <w:r w:rsidR="00771584">
        <w:t xml:space="preserve"> оперира на територията на цялата страна и </w:t>
      </w:r>
      <w:r w:rsidR="002F1E86">
        <w:t>обслужва компании от различни сектори от икономиката. Съответно, дейността на компа</w:t>
      </w:r>
      <w:r w:rsidR="001F7CBC">
        <w:t>нията силно зависи от цялостния</w:t>
      </w:r>
      <w:r w:rsidR="002F1E86">
        <w:t xml:space="preserve"> ръст на икономиката и общото състояние на бизнес средата. Така например силното свиване на бизнес активността през 2009 г. накара част от фирмите да прехвърлят транспортната дейност на външни фирми, в стремеж да се оптимизират разходите. Това </w:t>
      </w:r>
      <w:r w:rsidR="007C760D">
        <w:t>позв</w:t>
      </w:r>
      <w:r w:rsidR="002F1E86">
        <w:t xml:space="preserve">оли на </w:t>
      </w:r>
      <w:r>
        <w:t>„СПИДИ” ЕАД</w:t>
      </w:r>
      <w:r w:rsidR="002F1E86">
        <w:t xml:space="preserve"> да </w:t>
      </w:r>
      <w:r w:rsidR="007C760D">
        <w:t xml:space="preserve">реализира ръст на превозените пратки, но от друга страна, свитата покупателна способност принуди операторите на куриерски услуги значително да намалят цените на предлаганите услуги, което се отрази негативно на рентабилността на компанията. Аналогично, бъдещо свиване на икономиката и потреблението </w:t>
      </w:r>
      <w:r w:rsidR="000151B5">
        <w:t>би оказало</w:t>
      </w:r>
      <w:r w:rsidR="007C760D">
        <w:t xml:space="preserve"> нат</w:t>
      </w:r>
      <w:r w:rsidR="000151B5">
        <w:t>иск върху маржовете на печалба, а силно и продължително забавян</w:t>
      </w:r>
      <w:r w:rsidR="00C5324C">
        <w:t>е на бизнес активността може да</w:t>
      </w:r>
      <w:r w:rsidR="000151B5">
        <w:t xml:space="preserve"> доведе и до негативен тренд в приходите. Дружеството се стреми да минимизира този риск като поддържа високи нива на финансова автономност и непрекъснато инвестира в повишаване на ефективността, което му позволява да работи при рентабилност значително по-висока от тази на конкурентите.</w:t>
      </w:r>
    </w:p>
    <w:p w:rsidR="00F243FA" w:rsidRDefault="00F243FA" w:rsidP="00BE0C31">
      <w:pPr>
        <w:pStyle w:val="Heading1"/>
        <w:numPr>
          <w:ilvl w:val="2"/>
          <w:numId w:val="11"/>
        </w:numPr>
        <w:spacing w:after="120"/>
        <w:ind w:hanging="657"/>
        <w:rPr>
          <w:rFonts w:ascii="Times New Roman" w:hAnsi="Times New Roman"/>
          <w:b w:val="0"/>
          <w:i/>
          <w:smallCaps/>
          <w:sz w:val="24"/>
          <w:szCs w:val="24"/>
        </w:rPr>
      </w:pPr>
      <w:bookmarkStart w:id="18" w:name="_Toc324376900"/>
      <w:bookmarkStart w:id="19" w:name="_Toc324380059"/>
      <w:r>
        <w:rPr>
          <w:rFonts w:ascii="Times New Roman" w:hAnsi="Times New Roman"/>
          <w:b w:val="0"/>
          <w:i/>
          <w:smallCaps/>
          <w:sz w:val="24"/>
          <w:szCs w:val="24"/>
        </w:rPr>
        <w:t>Световната финансова криза</w:t>
      </w:r>
    </w:p>
    <w:p w:rsidR="00F243FA" w:rsidRPr="00F243FA" w:rsidRDefault="00F243FA" w:rsidP="00F243FA">
      <w:pPr>
        <w:spacing w:after="120"/>
        <w:ind w:left="567"/>
      </w:pPr>
      <w:r>
        <w:t>Националният характер на дейността на компанията определя и значителната й зависимост от общото икономическо развитие. През последните години възстановяването на икономиката на страната се движеше основно от значителния ръст на износа. Следователно, цялостното влошаване на икономическите перспективи в света се отразява пряко върху динамиката на българския изност, а от там и на икономическото развитие в страната. По тази причина, влюшаването на международната икономическа обстановка ще има и негативно въздействие върху дейността на емитента. Отражението върху резултатите може да се очаква върху маржа на печалбата, а при по-тежки условия и върху ръста на продажбите. Пряко засагнат ще е и ръста на международните доставки, пред които към момента има значителни перспективи за нарастване.</w:t>
      </w:r>
    </w:p>
    <w:p w:rsidR="004C25F8" w:rsidRPr="00212245" w:rsidRDefault="004C25F8" w:rsidP="00BE0C31">
      <w:pPr>
        <w:pStyle w:val="Heading1"/>
        <w:numPr>
          <w:ilvl w:val="2"/>
          <w:numId w:val="11"/>
        </w:numPr>
        <w:spacing w:after="120"/>
        <w:ind w:hanging="657"/>
        <w:rPr>
          <w:rFonts w:ascii="Times New Roman" w:hAnsi="Times New Roman"/>
          <w:b w:val="0"/>
          <w:i/>
          <w:smallCaps/>
          <w:sz w:val="24"/>
          <w:szCs w:val="24"/>
        </w:rPr>
      </w:pPr>
      <w:r w:rsidRPr="00212245">
        <w:rPr>
          <w:rFonts w:ascii="Times New Roman" w:hAnsi="Times New Roman"/>
          <w:b w:val="0"/>
          <w:i/>
          <w:smallCaps/>
          <w:sz w:val="24"/>
          <w:szCs w:val="24"/>
        </w:rPr>
        <w:t>Регулаторен риск</w:t>
      </w:r>
      <w:bookmarkEnd w:id="18"/>
      <w:bookmarkEnd w:id="19"/>
    </w:p>
    <w:p w:rsidR="00E238DF" w:rsidRDefault="002B1513" w:rsidP="00BE0C31">
      <w:pPr>
        <w:spacing w:after="120"/>
        <w:ind w:left="567"/>
      </w:pPr>
      <w:r>
        <w:t>Регулаторният риск е свързан с приемането на нормативни промени, които могат да са свързани с</w:t>
      </w:r>
      <w:r w:rsidR="00DB0648">
        <w:t xml:space="preserve"> допълнителни</w:t>
      </w:r>
      <w:r>
        <w:t xml:space="preserve"> разходи или ограничения в дейността на компанията. </w:t>
      </w:r>
      <w:r w:rsidR="00E238DF">
        <w:t xml:space="preserve">За извършване на своята дейност, дружеството е </w:t>
      </w:r>
      <w:r w:rsidR="00D70BF4">
        <w:t>регистрирано в</w:t>
      </w:r>
      <w:r w:rsidR="00E238DF">
        <w:t xml:space="preserve"> Комисията за регулиране на съобщенията като оператор на неуниверсална пощенска услуга, както и лиценз от Изпълнителна агенция „Пътища” за </w:t>
      </w:r>
      <w:r w:rsidR="00ED69BE">
        <w:t>и</w:t>
      </w:r>
      <w:r>
        <w:t xml:space="preserve">звършване на превоз на товари и съответно подлежи на контрол при осъществяването на своята дейност от съответните държавни ведомства, като </w:t>
      </w:r>
      <w:r w:rsidRPr="00ED69BE">
        <w:t xml:space="preserve">например одобряване на общите условия, по които компанията </w:t>
      </w:r>
      <w:r w:rsidRPr="00ED69BE">
        <w:rPr>
          <w:bCs/>
        </w:rPr>
        <w:t>приема, пренася и доставя куриерски</w:t>
      </w:r>
      <w:r w:rsidR="00ED69BE" w:rsidRPr="00ED69BE">
        <w:rPr>
          <w:bCs/>
        </w:rPr>
        <w:t>те</w:t>
      </w:r>
      <w:r w:rsidRPr="00ED69BE">
        <w:rPr>
          <w:bCs/>
        </w:rPr>
        <w:t xml:space="preserve"> пратки</w:t>
      </w:r>
      <w:r w:rsidRPr="00ED69BE">
        <w:t xml:space="preserve">. </w:t>
      </w:r>
      <w:r w:rsidR="00D70BF4">
        <w:t>„СПИДИ” ЕАД</w:t>
      </w:r>
      <w:r w:rsidRPr="00ED69BE">
        <w:t xml:space="preserve"> оперира в сегмента на неуниверсалната пощенска услуга,</w:t>
      </w:r>
      <w:r>
        <w:t xml:space="preserve"> която е с по-</w:t>
      </w:r>
      <w:r w:rsidR="00ED69BE">
        <w:t>висока</w:t>
      </w:r>
      <w:r>
        <w:t xml:space="preserve"> сте</w:t>
      </w:r>
      <w:r w:rsidR="00ED69BE">
        <w:t>п</w:t>
      </w:r>
      <w:r>
        <w:t xml:space="preserve">ен на </w:t>
      </w:r>
      <w:r w:rsidR="00ED69BE">
        <w:t>оперативна свобода</w:t>
      </w:r>
      <w:r>
        <w:t xml:space="preserve"> по отношение на вида, обхвата и цените на оказваните услуги, като режима по отношение на последните е единствено уведомителен. </w:t>
      </w:r>
      <w:r w:rsidR="00ED69BE">
        <w:t>Като цяло, въвеждането и стриктното прилаган</w:t>
      </w:r>
      <w:r w:rsidR="00DB0648">
        <w:t>е на нормативните правила при из</w:t>
      </w:r>
      <w:r w:rsidR="00ED69BE">
        <w:t>вършването на пощенските услуги е в интерес на дружеството, доколкото повишава доверието в сегмента и ограничава нелоялната конкуренция. Към момента, не се очаква въвеждането на изисквания, които да утежняват или да изискват допълнителни разходи за дейността.</w:t>
      </w:r>
    </w:p>
    <w:p w:rsidR="008E5AFD" w:rsidRPr="00212245" w:rsidRDefault="008E5AFD" w:rsidP="00BE0C31">
      <w:pPr>
        <w:pStyle w:val="Heading1"/>
        <w:numPr>
          <w:ilvl w:val="2"/>
          <w:numId w:val="11"/>
        </w:numPr>
        <w:spacing w:after="120"/>
        <w:ind w:hanging="657"/>
        <w:rPr>
          <w:rFonts w:ascii="Times New Roman" w:hAnsi="Times New Roman"/>
          <w:b w:val="0"/>
          <w:i/>
          <w:smallCaps/>
          <w:sz w:val="24"/>
          <w:szCs w:val="24"/>
        </w:rPr>
      </w:pPr>
      <w:bookmarkStart w:id="20" w:name="_Toc324376901"/>
      <w:bookmarkStart w:id="21" w:name="_Toc324380060"/>
      <w:r w:rsidRPr="00212245">
        <w:rPr>
          <w:rFonts w:ascii="Times New Roman" w:hAnsi="Times New Roman"/>
          <w:b w:val="0"/>
          <w:i/>
          <w:smallCaps/>
          <w:sz w:val="24"/>
          <w:szCs w:val="24"/>
        </w:rPr>
        <w:t xml:space="preserve">Лихвен </w:t>
      </w:r>
      <w:r w:rsidR="00AE6BFA">
        <w:rPr>
          <w:rFonts w:ascii="Times New Roman" w:hAnsi="Times New Roman"/>
          <w:b w:val="0"/>
          <w:i/>
          <w:smallCaps/>
          <w:sz w:val="24"/>
          <w:szCs w:val="24"/>
        </w:rPr>
        <w:t xml:space="preserve">и кредитен </w:t>
      </w:r>
      <w:r w:rsidRPr="00212245">
        <w:rPr>
          <w:rFonts w:ascii="Times New Roman" w:hAnsi="Times New Roman"/>
          <w:b w:val="0"/>
          <w:i/>
          <w:smallCaps/>
          <w:sz w:val="24"/>
          <w:szCs w:val="24"/>
        </w:rPr>
        <w:t>риск</w:t>
      </w:r>
      <w:bookmarkEnd w:id="20"/>
      <w:bookmarkEnd w:id="21"/>
    </w:p>
    <w:p w:rsidR="00AE6BFA" w:rsidRPr="00521AFF" w:rsidRDefault="00AE6BFA" w:rsidP="00BE0C31">
      <w:pPr>
        <w:spacing w:after="120"/>
        <w:ind w:left="567"/>
      </w:pPr>
      <w:r w:rsidRPr="00AE6BFA">
        <w:t xml:space="preserve">Кредитният риск представлява вероятността от влошаване на </w:t>
      </w:r>
      <w:r>
        <w:t>международния</w:t>
      </w:r>
      <w:r w:rsidRPr="00AE6BFA">
        <w:t xml:space="preserve"> кредит</w:t>
      </w:r>
      <w:r>
        <w:t>ен рейтинг</w:t>
      </w:r>
      <w:r w:rsidRPr="00AE6BFA">
        <w:t xml:space="preserve"> на Република България. Ниски</w:t>
      </w:r>
      <w:r w:rsidR="00133157">
        <w:t>ят</w:t>
      </w:r>
      <w:r w:rsidRPr="00AE6BFA">
        <w:t xml:space="preserve"> кредит</w:t>
      </w:r>
      <w:r w:rsidR="00133157">
        <w:t>е</w:t>
      </w:r>
      <w:r w:rsidRPr="00AE6BFA">
        <w:t>н рейтинг на страната мо</w:t>
      </w:r>
      <w:r w:rsidR="00133157">
        <w:t>же</w:t>
      </w:r>
      <w:r w:rsidRPr="00AE6BFA">
        <w:t xml:space="preserve"> да доведат</w:t>
      </w:r>
      <w:r>
        <w:t xml:space="preserve"> </w:t>
      </w:r>
      <w:r w:rsidRPr="00AE6BFA">
        <w:t xml:space="preserve">до по-високи лихвени нива, по-тежки условия на финансиране на </w:t>
      </w:r>
      <w:r>
        <w:t>компанията и повишаването на разходите за лихви</w:t>
      </w:r>
      <w:r w:rsidRPr="00AE6BFA">
        <w:t>.</w:t>
      </w:r>
      <w:r>
        <w:t xml:space="preserve"> С разрастването на финансовата криза през 2008, основните рейтингови агенции преразгледаха кредитния рейтинг на България и в резултат на влошаването на макроикономическите показатели, той беше понижен</w:t>
      </w:r>
      <w:r w:rsidR="0019270C">
        <w:t>, макар и минимално</w:t>
      </w:r>
      <w:r>
        <w:t>. Ниското ниво на публичен дълг и балансираната бюджетн</w:t>
      </w:r>
      <w:r w:rsidR="00DB2482">
        <w:t>а политика позволи на страната д</w:t>
      </w:r>
      <w:r>
        <w:t>а запази инвестиционния си рейтинг</w:t>
      </w:r>
      <w:r w:rsidR="00133157">
        <w:t xml:space="preserve">, но въпреки това кредитирането в страната се затрудни и оскъпи. </w:t>
      </w:r>
      <w:r w:rsidR="00007471">
        <w:t>Поради ниската си задлъжнялост и добрата кредитна истори</w:t>
      </w:r>
      <w:r w:rsidR="00DB2482">
        <w:t>я</w:t>
      </w:r>
      <w:r w:rsidR="00007471">
        <w:t xml:space="preserve">, </w:t>
      </w:r>
      <w:r w:rsidR="00D70BF4">
        <w:t>„СПИДИ” ЕАД</w:t>
      </w:r>
      <w:r w:rsidR="00007471">
        <w:t xml:space="preserve"> </w:t>
      </w:r>
      <w:r w:rsidR="00521AFF">
        <w:t xml:space="preserve">успява да </w:t>
      </w:r>
      <w:r w:rsidR="00007471">
        <w:t xml:space="preserve">договаря </w:t>
      </w:r>
      <w:r w:rsidR="00521AFF">
        <w:t>благоприятни лихвени условия, като рискът е свързан с факта</w:t>
      </w:r>
      <w:r w:rsidR="00DB2482">
        <w:t>, че практката по лизинговите з</w:t>
      </w:r>
      <w:r w:rsidR="00521AFF">
        <w:t xml:space="preserve">адължения е да се ползва плаващ лихвен процент, </w:t>
      </w:r>
      <w:r w:rsidR="00521AFF">
        <w:rPr>
          <w:lang w:val="en-US"/>
        </w:rPr>
        <w:t>EURIBOR</w:t>
      </w:r>
      <w:r w:rsidR="00521AFF">
        <w:t xml:space="preserve"> плюс надбавка. Е</w:t>
      </w:r>
      <w:r w:rsidR="00DB2482">
        <w:t>кспанзионистичната монетарна по</w:t>
      </w:r>
      <w:r w:rsidR="00521AFF">
        <w:t xml:space="preserve">литика на най-големите централни банки понижи лихвите до рекордно ниски нива. Съответно очаквано бъдещо затягане </w:t>
      </w:r>
      <w:r w:rsidR="00E94973">
        <w:t xml:space="preserve">на монетарната политика ще доведе до покачване на базовата лихва и от там, на разходите за лихви на компанията. Предвид ниската задлъжнялост, която </w:t>
      </w:r>
      <w:r w:rsidR="00D70BF4">
        <w:t>„СПИДИ” ЕАД</w:t>
      </w:r>
      <w:r w:rsidR="00E94973">
        <w:t xml:space="preserve"> поддържа, негативният ефект ще е силно ограничен.</w:t>
      </w:r>
    </w:p>
    <w:p w:rsidR="009B76D2" w:rsidRPr="00212245" w:rsidRDefault="009B76D2" w:rsidP="00BE0C31">
      <w:pPr>
        <w:pStyle w:val="Heading1"/>
        <w:numPr>
          <w:ilvl w:val="2"/>
          <w:numId w:val="11"/>
        </w:numPr>
        <w:spacing w:after="120"/>
        <w:ind w:hanging="657"/>
        <w:rPr>
          <w:rFonts w:ascii="Times New Roman" w:hAnsi="Times New Roman"/>
          <w:b w:val="0"/>
          <w:i/>
          <w:smallCaps/>
          <w:sz w:val="24"/>
          <w:szCs w:val="24"/>
        </w:rPr>
      </w:pPr>
      <w:bookmarkStart w:id="22" w:name="_Toc324376902"/>
      <w:bookmarkStart w:id="23" w:name="_Toc324380061"/>
      <w:r w:rsidRPr="00212245">
        <w:rPr>
          <w:rFonts w:ascii="Times New Roman" w:hAnsi="Times New Roman"/>
          <w:b w:val="0"/>
          <w:i/>
          <w:smallCaps/>
          <w:sz w:val="24"/>
          <w:szCs w:val="24"/>
        </w:rPr>
        <w:t>Инфлационен риск</w:t>
      </w:r>
      <w:bookmarkEnd w:id="22"/>
      <w:bookmarkEnd w:id="23"/>
    </w:p>
    <w:p w:rsidR="003E09F7" w:rsidRPr="00FE721E" w:rsidRDefault="003E09F7" w:rsidP="00BE0C31">
      <w:pPr>
        <w:spacing w:after="120"/>
        <w:ind w:left="567"/>
      </w:pPr>
      <w:r w:rsidRPr="003E09F7">
        <w:t>Рискът от увеличение на инфлацията е свързан с намаляването на реалната покупателна</w:t>
      </w:r>
      <w:r>
        <w:t xml:space="preserve"> </w:t>
      </w:r>
      <w:r w:rsidRPr="003E09F7">
        <w:t>сила на икономическите субекти и евентуалната обезценка на активите, деноминирани в</w:t>
      </w:r>
      <w:r>
        <w:t xml:space="preserve"> </w:t>
      </w:r>
      <w:r w:rsidRPr="003E09F7">
        <w:t>местна валута, както и с вероятността инфлацията да повлияе на реалната възвръщаемост</w:t>
      </w:r>
      <w:r>
        <w:t xml:space="preserve"> </w:t>
      </w:r>
      <w:r w:rsidRPr="003E09F7">
        <w:t>на инвестициите.</w:t>
      </w:r>
      <w:r>
        <w:t xml:space="preserve"> </w:t>
      </w:r>
      <w:r w:rsidR="00F2401E">
        <w:t xml:space="preserve">Отвореността на българската икономика и фиксирания валутен курс на лева към еврото определя </w:t>
      </w:r>
      <w:r w:rsidR="008D34FA">
        <w:t xml:space="preserve">силната </w:t>
      </w:r>
      <w:r w:rsidR="00F2401E">
        <w:t>зависимост на равнището на инфлация в страната</w:t>
      </w:r>
      <w:r w:rsidR="00810AC8">
        <w:t xml:space="preserve">, както от вътрешни, така и от външни фактори. Експанзионистичната политика на основните централни банки поддържа инфлацията над приетите целеви нива и води до покачване на цените на енергийните ресурси, което оказва натиск в посока повишение на инфлацията и в страната. </w:t>
      </w:r>
      <w:r w:rsidR="008D34FA">
        <w:t>В допълнение,</w:t>
      </w:r>
      <w:r w:rsidR="00810AC8">
        <w:t xml:space="preserve"> ниското равнище на цените у нас</w:t>
      </w:r>
      <w:r w:rsidR="008D34FA">
        <w:t>, поради ефекта на навак</w:t>
      </w:r>
      <w:r w:rsidR="00D70BF4">
        <w:t>с</w:t>
      </w:r>
      <w:r w:rsidR="008D34FA">
        <w:t>ване, води до</w:t>
      </w:r>
      <w:r w:rsidR="00810AC8">
        <w:t xml:space="preserve"> ниво на инфлацията</w:t>
      </w:r>
      <w:r w:rsidR="008D34FA">
        <w:t xml:space="preserve">, надвишаващо това в еврозоната, което предопределя едни по-високи нива на инфлация в страната. От друга страна, </w:t>
      </w:r>
      <w:r w:rsidR="002C5220">
        <w:t>свиването на потреблението от 2009 г. насам</w:t>
      </w:r>
      <w:r w:rsidR="008D34FA">
        <w:t xml:space="preserve"> </w:t>
      </w:r>
      <w:r w:rsidR="002C5220">
        <w:t>доведоха до значително свиване на нивото</w:t>
      </w:r>
      <w:r w:rsidR="008D34FA">
        <w:t xml:space="preserve"> на инфлацията – от пика през юни 2008, когато инфлацията достигна 14,7% на годишна база, до 1,7% през март 2012</w:t>
      </w:r>
      <w:r w:rsidR="00F9184F">
        <w:t xml:space="preserve"> (по данни на Националния статистически институт)</w:t>
      </w:r>
      <w:r w:rsidR="008D34FA">
        <w:t>.</w:t>
      </w:r>
      <w:r w:rsidR="002C5220">
        <w:t xml:space="preserve"> </w:t>
      </w:r>
      <w:r w:rsidR="003220EA">
        <w:t>Въпреки резкия спад на инфлацията, изменението на разполагаемия доход изостава от темпа на инфлация, което води и до намалена покупателна способност, задържа развитието на икономиката и съответно ограничава потенциала за развитие на компанията.</w:t>
      </w:r>
    </w:p>
    <w:p w:rsidR="009B76D2" w:rsidRPr="00212245" w:rsidRDefault="009B76D2" w:rsidP="00BE0C31">
      <w:pPr>
        <w:pStyle w:val="Heading1"/>
        <w:numPr>
          <w:ilvl w:val="2"/>
          <w:numId w:val="11"/>
        </w:numPr>
        <w:spacing w:after="120"/>
        <w:ind w:hanging="657"/>
        <w:rPr>
          <w:rFonts w:ascii="Times New Roman" w:hAnsi="Times New Roman"/>
          <w:b w:val="0"/>
          <w:i/>
          <w:smallCaps/>
          <w:sz w:val="24"/>
          <w:szCs w:val="24"/>
        </w:rPr>
      </w:pPr>
      <w:bookmarkStart w:id="24" w:name="_Toc324376903"/>
      <w:bookmarkStart w:id="25" w:name="_Toc324380062"/>
      <w:r w:rsidRPr="00212245">
        <w:rPr>
          <w:rFonts w:ascii="Times New Roman" w:hAnsi="Times New Roman"/>
          <w:b w:val="0"/>
          <w:i/>
          <w:smallCaps/>
          <w:sz w:val="24"/>
          <w:szCs w:val="24"/>
        </w:rPr>
        <w:t>Валутен риск</w:t>
      </w:r>
      <w:bookmarkEnd w:id="24"/>
      <w:bookmarkEnd w:id="25"/>
    </w:p>
    <w:p w:rsidR="00FE721E" w:rsidRDefault="00FE721E" w:rsidP="00BE0C31">
      <w:pPr>
        <w:spacing w:after="120"/>
        <w:ind w:left="567"/>
      </w:pPr>
      <w:r>
        <w:t>Валутните експозиции на дружеството възникват във</w:t>
      </w:r>
      <w:r w:rsidR="00F86DC5">
        <w:t xml:space="preserve"> връзка с извършваните доставки от и за чужбина, чийто дял в общите приходи към момента е нисък. По-голямата част от валутните операции се извършват в евро, поради което общия</w:t>
      </w:r>
      <w:r w:rsidR="001F7CBC">
        <w:t>т</w:t>
      </w:r>
      <w:r w:rsidR="00F86DC5">
        <w:t xml:space="preserve"> ефект от промяната на валутните курсове е пренебрежимо малък. Увеличението в международните доставки е един от основните </w:t>
      </w:r>
      <w:r w:rsidR="00076903">
        <w:t>източници на ръст в бъдещото развитие на дружеството, което се очаква да доведе и до увеличение на валутнат</w:t>
      </w:r>
      <w:r w:rsidR="00DB0648">
        <w:t>а експозиция в дългосрочен план, като през тази година има транзакции единствено в евро и лева, поради което</w:t>
      </w:r>
      <w:r w:rsidR="00076903">
        <w:t xml:space="preserve"> при запазване на фиксирания курс на лева към еврото, не предвиждаме изменението на валутните курсове да има значително влияние върху финансовия резултат на компанията в средносрочен план.</w:t>
      </w:r>
    </w:p>
    <w:p w:rsidR="0098431F" w:rsidRPr="00212245" w:rsidRDefault="0098431F" w:rsidP="00BE0C31">
      <w:pPr>
        <w:pStyle w:val="Heading1"/>
        <w:numPr>
          <w:ilvl w:val="1"/>
          <w:numId w:val="11"/>
        </w:numPr>
        <w:spacing w:after="120"/>
        <w:ind w:left="567" w:hanging="567"/>
        <w:rPr>
          <w:rFonts w:ascii="Times New Roman" w:hAnsi="Times New Roman"/>
          <w:b w:val="0"/>
          <w:i/>
          <w:smallCaps/>
          <w:sz w:val="24"/>
          <w:szCs w:val="24"/>
        </w:rPr>
      </w:pPr>
      <w:bookmarkStart w:id="26" w:name="_Toc324376904"/>
      <w:bookmarkStart w:id="27" w:name="_Toc324380063"/>
      <w:r w:rsidRPr="00212245">
        <w:rPr>
          <w:rFonts w:ascii="Times New Roman" w:hAnsi="Times New Roman"/>
          <w:b w:val="0"/>
          <w:i/>
          <w:smallCaps/>
          <w:sz w:val="24"/>
          <w:szCs w:val="24"/>
        </w:rPr>
        <w:t>Форсмажорни обстоятелства</w:t>
      </w:r>
      <w:bookmarkEnd w:id="26"/>
      <w:bookmarkEnd w:id="27"/>
    </w:p>
    <w:p w:rsidR="0098431F" w:rsidRPr="007B0F87" w:rsidRDefault="008C72BA" w:rsidP="00BE0C31">
      <w:pPr>
        <w:spacing w:after="120"/>
      </w:pPr>
      <w:r>
        <w:t>Дейността на компанията може негативно да бъде повлияна от природни бедствия и тежки метереологични условия</w:t>
      </w:r>
      <w:r w:rsidR="007B0F87">
        <w:t>, както и други събития извън контрола на дружеството (</w:t>
      </w:r>
      <w:r w:rsidR="00D70BF4">
        <w:t xml:space="preserve">наводнения, обилни снеговалежи, бури, </w:t>
      </w:r>
      <w:r w:rsidR="007B0F87">
        <w:t xml:space="preserve">стачки, и др.), доколкото това може да доведе до прекъсване на транспортните връзки и нарушаване на ритмичността и сроковете на доставка. В Общите условия за </w:t>
      </w:r>
      <w:r w:rsidR="007B0F87" w:rsidRPr="007B0F87">
        <w:rPr>
          <w:bCs/>
        </w:rPr>
        <w:t xml:space="preserve">приемане, пренасяне и доставка на куриерски пратки </w:t>
      </w:r>
      <w:r w:rsidR="007B0F87">
        <w:t xml:space="preserve">е предвидено, че при подобни обстоятелства, </w:t>
      </w:r>
      <w:r w:rsidR="00D70BF4">
        <w:t>„СПИДИ” ЕАД</w:t>
      </w:r>
      <w:r w:rsidR="00A33E26">
        <w:t xml:space="preserve"> </w:t>
      </w:r>
      <w:r w:rsidR="007B0F87">
        <w:t>не се носи материална отговорност</w:t>
      </w:r>
      <w:r w:rsidR="00A33E26">
        <w:t>. В този случай негативното влияние се изразява в пропуснати ползи и разходи, свързани с преустановяването на работа.</w:t>
      </w:r>
    </w:p>
    <w:p w:rsidR="00771584" w:rsidRPr="00212245" w:rsidRDefault="00063E87" w:rsidP="00BE0C31">
      <w:pPr>
        <w:pStyle w:val="Heading1"/>
        <w:numPr>
          <w:ilvl w:val="1"/>
          <w:numId w:val="11"/>
        </w:numPr>
        <w:spacing w:after="120"/>
        <w:ind w:left="567" w:hanging="567"/>
        <w:rPr>
          <w:rFonts w:ascii="Times New Roman" w:hAnsi="Times New Roman"/>
          <w:b w:val="0"/>
          <w:i/>
          <w:smallCaps/>
          <w:sz w:val="24"/>
          <w:szCs w:val="24"/>
        </w:rPr>
      </w:pPr>
      <w:bookmarkStart w:id="28" w:name="_Toc324376905"/>
      <w:bookmarkStart w:id="29" w:name="_Toc324380064"/>
      <w:r w:rsidRPr="00212245">
        <w:rPr>
          <w:rFonts w:ascii="Times New Roman" w:hAnsi="Times New Roman"/>
          <w:b w:val="0"/>
          <w:i/>
          <w:smallCaps/>
          <w:sz w:val="24"/>
          <w:szCs w:val="24"/>
        </w:rPr>
        <w:t>Риск от неизпълнение на насрещната страна</w:t>
      </w:r>
      <w:bookmarkEnd w:id="28"/>
      <w:bookmarkEnd w:id="29"/>
    </w:p>
    <w:p w:rsidR="00063E87" w:rsidRPr="00EB51F2" w:rsidRDefault="00D70BF4" w:rsidP="00BE0C31">
      <w:pPr>
        <w:spacing w:after="120"/>
      </w:pPr>
      <w:r>
        <w:t>Над 8</w:t>
      </w:r>
      <w:r w:rsidR="00EB51F2">
        <w:t>0% от приходите се генерират от клиенти по договор, съответно услугата се заплаща не при извършването й, а периодично, съгласно предварително договорените условия. В този случай съществува риск насрещната страна да не погасява задълженията си навреме, което би се отразило негативно на паричния поток и резултатите от дейността на дружеството. Този риск значително нараства при влошаване</w:t>
      </w:r>
      <w:r w:rsidR="00105FCA">
        <w:t>то</w:t>
      </w:r>
      <w:r w:rsidR="00EB51F2">
        <w:t xml:space="preserve"> на икономическите </w:t>
      </w:r>
      <w:r w:rsidR="00105FCA">
        <w:t xml:space="preserve">условия, което наблюдаваме след 2008 г. </w:t>
      </w:r>
      <w:r w:rsidR="00B77AF9">
        <w:t>В резултат на това наблюдаваме</w:t>
      </w:r>
      <w:r w:rsidR="00105FCA">
        <w:t xml:space="preserve"> увеличение на </w:t>
      </w:r>
      <w:r w:rsidR="00DB0648">
        <w:t xml:space="preserve">просрочените </w:t>
      </w:r>
      <w:r w:rsidR="00105FCA">
        <w:t>вземания от 187 х.л. през 2009 до 395,5 х.л. през 2011 г.</w:t>
      </w:r>
      <w:r w:rsidR="00B77AF9">
        <w:t xml:space="preserve"> </w:t>
      </w:r>
      <w:r w:rsidR="00DE1DE5">
        <w:t>Дружеството е внедрило детайлна и строга система за следене на дължимите суми и сроковете за погасяване</w:t>
      </w:r>
      <w:r w:rsidR="001F7CBC">
        <w:t>то</w:t>
      </w:r>
      <w:r w:rsidR="00DE1DE5">
        <w:t xml:space="preserve"> им и процедура за действие при наличие на забавено плащане.</w:t>
      </w:r>
      <w:r w:rsidR="00202242">
        <w:t xml:space="preserve"> </w:t>
      </w:r>
      <w:r w:rsidR="00392D6C">
        <w:t xml:space="preserve">Също така се прилагат лимити, ограничаващи експозицията към всеки отделен клиент. </w:t>
      </w:r>
      <w:r w:rsidR="00202242">
        <w:t>Това позволява този риск да се поддържа в ниски граници.</w:t>
      </w:r>
    </w:p>
    <w:p w:rsidR="00063E87" w:rsidRPr="00212245" w:rsidRDefault="00202242" w:rsidP="00BE0C31">
      <w:pPr>
        <w:pStyle w:val="Heading1"/>
        <w:numPr>
          <w:ilvl w:val="1"/>
          <w:numId w:val="11"/>
        </w:numPr>
        <w:spacing w:after="120"/>
        <w:ind w:left="567" w:hanging="567"/>
        <w:rPr>
          <w:rFonts w:ascii="Times New Roman" w:hAnsi="Times New Roman"/>
          <w:b w:val="0"/>
          <w:i/>
          <w:smallCaps/>
          <w:sz w:val="24"/>
          <w:szCs w:val="24"/>
        </w:rPr>
      </w:pPr>
      <w:bookmarkStart w:id="30" w:name="_Toc324376906"/>
      <w:bookmarkStart w:id="31" w:name="_Toc324380065"/>
      <w:r w:rsidRPr="00212245">
        <w:rPr>
          <w:rFonts w:ascii="Times New Roman" w:hAnsi="Times New Roman"/>
          <w:b w:val="0"/>
          <w:i/>
          <w:smallCaps/>
          <w:sz w:val="24"/>
          <w:szCs w:val="24"/>
        </w:rPr>
        <w:t>Изменение в цената на горивата</w:t>
      </w:r>
      <w:bookmarkEnd w:id="30"/>
      <w:bookmarkEnd w:id="31"/>
    </w:p>
    <w:p w:rsidR="006A5578" w:rsidRPr="00202242" w:rsidRDefault="00202242" w:rsidP="00BE0C31">
      <w:pPr>
        <w:spacing w:after="120"/>
      </w:pPr>
      <w:r>
        <w:t>В сравнение с транспор</w:t>
      </w:r>
      <w:r w:rsidR="00C5324C">
        <w:t>тните компании, разходите за гор</w:t>
      </w:r>
      <w:r>
        <w:t xml:space="preserve">иво формират по-нисък дял в общите разходи на компанията, но въпреки това големите флуктуации в цените на петрола </w:t>
      </w:r>
      <w:r w:rsidR="00C5324C">
        <w:t xml:space="preserve">през </w:t>
      </w:r>
      <w:r>
        <w:t>последните години се отразяват на общата рентабилност на компанията, предвид факта, че голяма част от приходите се генерират на база договори, където цената на услугата е фиксирана</w:t>
      </w:r>
      <w:r w:rsidR="00C5324C">
        <w:t xml:space="preserve"> за дълъг период</w:t>
      </w:r>
      <w:r>
        <w:t>. За да неутрализира негативния ефект от промяната в це</w:t>
      </w:r>
      <w:r w:rsidR="0061131B">
        <w:t xml:space="preserve">ните на горивата, </w:t>
      </w:r>
      <w:r w:rsidR="00D70BF4">
        <w:t>„СПИДИ” ЕАД</w:t>
      </w:r>
      <w:r w:rsidR="0061131B">
        <w:t xml:space="preserve"> промени начина на договаряне като в договорената тарифа за извършване на доставки добави нова компонента, „такса гориво”, която е променлива и се актуализира </w:t>
      </w:r>
      <w:r w:rsidR="00D70BF4">
        <w:t xml:space="preserve">месечно </w:t>
      </w:r>
      <w:r w:rsidR="0061131B">
        <w:t>съобразно измененията в цената на горивата.</w:t>
      </w:r>
    </w:p>
    <w:p w:rsidR="006A5578" w:rsidRPr="00212245" w:rsidRDefault="009B76D2" w:rsidP="00BE0C31">
      <w:pPr>
        <w:pStyle w:val="Heading1"/>
        <w:numPr>
          <w:ilvl w:val="1"/>
          <w:numId w:val="11"/>
        </w:numPr>
        <w:spacing w:after="120"/>
        <w:ind w:left="567" w:hanging="567"/>
        <w:rPr>
          <w:rFonts w:ascii="Times New Roman" w:hAnsi="Times New Roman"/>
          <w:b w:val="0"/>
          <w:i/>
          <w:smallCaps/>
          <w:sz w:val="24"/>
          <w:szCs w:val="24"/>
        </w:rPr>
      </w:pPr>
      <w:bookmarkStart w:id="32" w:name="_Toc324376907"/>
      <w:bookmarkStart w:id="33" w:name="_Toc324380066"/>
      <w:r w:rsidRPr="00212245">
        <w:rPr>
          <w:rFonts w:ascii="Times New Roman" w:hAnsi="Times New Roman"/>
          <w:b w:val="0"/>
          <w:i/>
          <w:smallCaps/>
          <w:sz w:val="24"/>
          <w:szCs w:val="24"/>
        </w:rPr>
        <w:t>Оперативен риск</w:t>
      </w:r>
      <w:bookmarkEnd w:id="32"/>
      <w:bookmarkEnd w:id="33"/>
    </w:p>
    <w:p w:rsidR="00076903" w:rsidRDefault="0098431F" w:rsidP="00BE0C31">
      <w:pPr>
        <w:spacing w:after="120"/>
      </w:pPr>
      <w:r w:rsidRPr="0098431F">
        <w:t>Оперативният риск е свързан с възможността от загуби или неочаквани разходи, свързани с</w:t>
      </w:r>
      <w:r>
        <w:t xml:space="preserve"> </w:t>
      </w:r>
      <w:r w:rsidRPr="0098431F">
        <w:t>измами,</w:t>
      </w:r>
      <w:r>
        <w:t xml:space="preserve"> кражби,</w:t>
      </w:r>
      <w:r w:rsidRPr="0098431F">
        <w:t xml:space="preserve"> съдебни дела или проблеми в текущия контрол</w:t>
      </w:r>
      <w:r>
        <w:t xml:space="preserve"> и кач</w:t>
      </w:r>
      <w:r w:rsidR="005C29C0">
        <w:t>еството на извършваната услуга.</w:t>
      </w:r>
    </w:p>
    <w:p w:rsidR="005C29C0" w:rsidRDefault="00D70BF4" w:rsidP="00BE0C31">
      <w:pPr>
        <w:spacing w:after="120"/>
      </w:pPr>
      <w:r>
        <w:t xml:space="preserve">Годишно </w:t>
      </w:r>
      <w:r w:rsidR="005C29C0">
        <w:t xml:space="preserve">‘СПИДИ” </w:t>
      </w:r>
      <w:r w:rsidR="001F7CBC">
        <w:t>Е</w:t>
      </w:r>
      <w:r w:rsidR="005C29C0">
        <w:t xml:space="preserve">АД </w:t>
      </w:r>
      <w:r>
        <w:t>превозва около 6,5</w:t>
      </w:r>
      <w:r w:rsidR="005C29C0">
        <w:t xml:space="preserve"> млн. пратки, на </w:t>
      </w:r>
      <w:r>
        <w:t>365</w:t>
      </w:r>
      <w:r w:rsidR="005C29C0">
        <w:t> 000 клиента с 960 служителя и 500 автомобила</w:t>
      </w:r>
      <w:r w:rsidR="00C60817">
        <w:t xml:space="preserve"> (общо със 100% притежаваното дружество „Спиди” ЕООД)</w:t>
      </w:r>
      <w:r w:rsidR="005C29C0">
        <w:t>. Доставката на всяка една пратка в нена</w:t>
      </w:r>
      <w:r>
        <w:t>рушено</w:t>
      </w:r>
      <w:r w:rsidR="005C29C0">
        <w:t xml:space="preserve"> състояние и в договорените срокове е от ключово значение за фи</w:t>
      </w:r>
      <w:r w:rsidR="001F7CBC">
        <w:t>н</w:t>
      </w:r>
      <w:r w:rsidR="005C29C0">
        <w:t>ансовите резултати на компанията от гледна точка</w:t>
      </w:r>
      <w:r w:rsidR="003D45E7">
        <w:t>,</w:t>
      </w:r>
      <w:r w:rsidR="005C29C0">
        <w:t xml:space="preserve"> както на размера на генерираните приходи, така и </w:t>
      </w:r>
      <w:r w:rsidR="003D45E7">
        <w:t xml:space="preserve">на разходите за неустойки по неизпълнение на договори. Предвид големия брой пратки </w:t>
      </w:r>
      <w:r w:rsidR="004D07A0">
        <w:t>и служители, които обслужват фи</w:t>
      </w:r>
      <w:r w:rsidR="003D45E7">
        <w:t>зически доставките, рискът от изгубване, увреждане или забава, със съответните негативни последици за бизнеса е значителен.</w:t>
      </w:r>
      <w:r w:rsidR="0001081C">
        <w:t xml:space="preserve"> Затова от изключителна важност е организацията на дейността и контролът на качеството. За целта дружеството е приело следното:</w:t>
      </w:r>
    </w:p>
    <w:p w:rsidR="0001081C" w:rsidRDefault="006C63BC" w:rsidP="00BE0C31">
      <w:pPr>
        <w:spacing w:after="120"/>
      </w:pPr>
      <w:r w:rsidRPr="006C63BC">
        <w:rPr>
          <w:i/>
          <w:u w:val="single"/>
        </w:rPr>
        <w:t>Подробни процедури:</w:t>
      </w:r>
      <w:r>
        <w:t xml:space="preserve"> За всички основни дейности в компанията има приети подробни процедури, ко</w:t>
      </w:r>
      <w:r w:rsidR="001F7CBC">
        <w:t>ито описват всички стъпки от при</w:t>
      </w:r>
      <w:r>
        <w:t>емането на пратката до нейната доставка, както и касаещи други съпътстващи дейности. Стриктното следване на процедурите гарантира доброто обслужване на клиентите и минимизирането на инцидентите при обработката и транспортирането на пратките.</w:t>
      </w:r>
    </w:p>
    <w:p w:rsidR="006C63BC" w:rsidRDefault="006C63BC" w:rsidP="00BE0C31">
      <w:pPr>
        <w:spacing w:after="120"/>
      </w:pPr>
      <w:r w:rsidRPr="008B73D3">
        <w:rPr>
          <w:i/>
          <w:u w:val="single"/>
        </w:rPr>
        <w:t>Контрол на работата и качеството:</w:t>
      </w:r>
      <w:r w:rsidR="008B73D3">
        <w:t xml:space="preserve"> Дружеството разработва, внедрява и усъвършенства</w:t>
      </w:r>
      <w:r>
        <w:t xml:space="preserve"> системи за </w:t>
      </w:r>
      <w:r w:rsidR="008B73D3">
        <w:t xml:space="preserve">текущ и последващ </w:t>
      </w:r>
      <w:r>
        <w:t>контрол</w:t>
      </w:r>
      <w:r w:rsidR="008B73D3">
        <w:t xml:space="preserve"> и наблюдение, които дават възможност да се проследява движението на пратките, маршрута на автомобилите и работата на отделните служители. Тези системи освен, че позволяват проследяването и установяване</w:t>
      </w:r>
      <w:r w:rsidR="00935444">
        <w:t>то на нарушения, така и са ценен източник на информация за оптимизация на процесите.</w:t>
      </w:r>
    </w:p>
    <w:p w:rsidR="00935444" w:rsidRPr="00076903" w:rsidRDefault="00935444" w:rsidP="00BE0C31">
      <w:pPr>
        <w:spacing w:after="120"/>
      </w:pPr>
      <w:r w:rsidRPr="00935444">
        <w:rPr>
          <w:i/>
          <w:u w:val="single"/>
        </w:rPr>
        <w:t>Обучение и мотивация на персонала:</w:t>
      </w:r>
      <w:r>
        <w:t xml:space="preserve"> Обучението гарантира, че служителите притежават необходимата квалификация, за да извършват възложената им </w:t>
      </w:r>
      <w:r w:rsidR="004C25F8">
        <w:t>работа и че са добре запознати с</w:t>
      </w:r>
      <w:r>
        <w:t xml:space="preserve"> приетите права и процедури. Схемите за мотивиране на персонала позволяват да се обвърже възнаграждението с постигнатите резултати</w:t>
      </w:r>
      <w:r w:rsidR="00794AA3">
        <w:t xml:space="preserve"> и са от съществ</w:t>
      </w:r>
      <w:r w:rsidR="001F7CBC">
        <w:t>ено значение за качеството и ефе</w:t>
      </w:r>
      <w:r w:rsidR="00794AA3">
        <w:t xml:space="preserve">ктивността в дейността на </w:t>
      </w:r>
      <w:r w:rsidR="00D70BF4">
        <w:t>„СПИДИ” ЕАД</w:t>
      </w:r>
      <w:r w:rsidR="00794AA3">
        <w:t>.</w:t>
      </w:r>
    </w:p>
    <w:p w:rsidR="00F243FA" w:rsidRDefault="00F243FA" w:rsidP="00BE0C31">
      <w:pPr>
        <w:pStyle w:val="Heading1"/>
        <w:numPr>
          <w:ilvl w:val="1"/>
          <w:numId w:val="11"/>
        </w:numPr>
        <w:spacing w:after="120"/>
        <w:ind w:left="567" w:hanging="567"/>
        <w:rPr>
          <w:rFonts w:ascii="Times New Roman" w:hAnsi="Times New Roman"/>
          <w:b w:val="0"/>
          <w:i/>
          <w:smallCaps/>
          <w:sz w:val="24"/>
          <w:szCs w:val="24"/>
        </w:rPr>
      </w:pPr>
      <w:bookmarkStart w:id="34" w:name="_Toc324376908"/>
      <w:bookmarkStart w:id="35" w:name="_Toc324380067"/>
      <w:r>
        <w:rPr>
          <w:rFonts w:ascii="Times New Roman" w:hAnsi="Times New Roman"/>
          <w:b w:val="0"/>
          <w:i/>
          <w:smallCaps/>
          <w:sz w:val="24"/>
          <w:szCs w:val="24"/>
        </w:rPr>
        <w:t>Риск от повишение на наемите</w:t>
      </w:r>
    </w:p>
    <w:p w:rsidR="00F243FA" w:rsidRPr="00F243FA" w:rsidRDefault="00F243FA" w:rsidP="00F243FA">
      <w:r>
        <w:t xml:space="preserve">Всички помещения, в които Дружеството осъществява своята дейност са наети. Въпреки това, рискът от повишаване на наемите е незначителен, доколкото през последните години пазарната тенденция е към понижение на наемите. Съответно, през този период „Спиди” ЕАД сключва договорите за наем при нови, по-ниски равнища. Договорите са обичайно с 10-годишен срок и между 3 и 5 години период, през който наемите не могат да се повишават. След този период, възможният ръст е ограничен до размера на инфлацията. Поради тази причина, в средносрочен период разходите за наем, измерени като цена на квадратен метър наета площ, </w:t>
      </w:r>
      <w:r w:rsidR="00F46F1A">
        <w:t xml:space="preserve">се очаква </w:t>
      </w:r>
      <w:r>
        <w:t>да се понижава или запази на сегашните нива.</w:t>
      </w:r>
    </w:p>
    <w:p w:rsidR="00F243FA" w:rsidRDefault="00F243FA" w:rsidP="00BE0C31">
      <w:pPr>
        <w:pStyle w:val="Heading1"/>
        <w:numPr>
          <w:ilvl w:val="1"/>
          <w:numId w:val="11"/>
        </w:numPr>
        <w:spacing w:after="120"/>
        <w:ind w:left="567" w:hanging="567"/>
        <w:rPr>
          <w:rFonts w:ascii="Times New Roman" w:hAnsi="Times New Roman"/>
          <w:b w:val="0"/>
          <w:i/>
          <w:smallCaps/>
          <w:sz w:val="24"/>
          <w:szCs w:val="24"/>
        </w:rPr>
      </w:pPr>
      <w:r>
        <w:rPr>
          <w:rFonts w:ascii="Times New Roman" w:hAnsi="Times New Roman"/>
          <w:b w:val="0"/>
          <w:i/>
          <w:smallCaps/>
          <w:sz w:val="24"/>
          <w:szCs w:val="24"/>
        </w:rPr>
        <w:t>Риск от сделки между свързани лица при непазарни условия</w:t>
      </w:r>
    </w:p>
    <w:p w:rsidR="00F243FA" w:rsidRPr="00F243FA" w:rsidRDefault="00F243FA" w:rsidP="00F243FA">
      <w:r>
        <w:t>Основният акционер и изпълнителен директор, Валери Мектупчиян, притежава контролни дялове в редица други фирми, част от който имат търговски взаимоотношения с емитента. Общият размер на сделките между свързани лица представлява малка част от общата дейност на емитента, поради което и рискът е до голяма степен ограничен. Сделките се осъществяват при пазарни условия до момента, а в бъдеще ограничаващи риска вактори са наличието на няколко акционера със значително влияние и наличието на ясни вътрешни правила при извършването на дейността. Предвижданото въвеждане на одитен комитет ще повиши допълнително защитата на акционерите.</w:t>
      </w:r>
    </w:p>
    <w:p w:rsidR="009B76D2" w:rsidRPr="00212245" w:rsidRDefault="009B76D2" w:rsidP="00BE0C31">
      <w:pPr>
        <w:pStyle w:val="Heading1"/>
        <w:numPr>
          <w:ilvl w:val="1"/>
          <w:numId w:val="11"/>
        </w:numPr>
        <w:spacing w:after="120"/>
        <w:ind w:left="567" w:hanging="567"/>
        <w:rPr>
          <w:rFonts w:ascii="Times New Roman" w:hAnsi="Times New Roman"/>
          <w:b w:val="0"/>
          <w:i/>
          <w:smallCaps/>
          <w:sz w:val="24"/>
          <w:szCs w:val="24"/>
        </w:rPr>
      </w:pPr>
      <w:r w:rsidRPr="00212245">
        <w:rPr>
          <w:rFonts w:ascii="Times New Roman" w:hAnsi="Times New Roman"/>
          <w:b w:val="0"/>
          <w:i/>
          <w:smallCaps/>
          <w:sz w:val="24"/>
          <w:szCs w:val="24"/>
        </w:rPr>
        <w:t>Ликвиден риск</w:t>
      </w:r>
      <w:bookmarkEnd w:id="34"/>
      <w:bookmarkEnd w:id="35"/>
    </w:p>
    <w:p w:rsidR="00942CE6" w:rsidRDefault="001F5F90" w:rsidP="00BE0C31">
      <w:pPr>
        <w:spacing w:after="120"/>
      </w:pPr>
      <w:r>
        <w:t xml:space="preserve">Ликвидният риск е рискът дружеството да не успее да посреща текущите си задължения. „СПИДИ’ </w:t>
      </w:r>
      <w:r w:rsidR="001F7CBC">
        <w:t>Е</w:t>
      </w:r>
      <w:r>
        <w:t>АД има значителни текущи задължения свързани с плащание по лизингови договори и към д</w:t>
      </w:r>
      <w:r w:rsidR="00942CE6">
        <w:t xml:space="preserve">оставчици. </w:t>
      </w:r>
    </w:p>
    <w:p w:rsidR="00FC3657" w:rsidRPr="00EA1CC6" w:rsidRDefault="00942CE6" w:rsidP="00BE0C31">
      <w:pPr>
        <w:spacing w:after="120"/>
      </w:pPr>
      <w:r>
        <w:t xml:space="preserve">При управлението на своята ликвидност, дружеството планира договарянето на плащанията в съответствие с очакваните бъдещи парични потоци. В допълнение, се поддържат парични резерви, които да послужат като буфер при евентуално неблагоприятно развитие на пазарната ситуация и </w:t>
      </w:r>
      <w:r w:rsidR="00E066E2">
        <w:t>съ</w:t>
      </w:r>
      <w:r w:rsidR="001F7CBC">
        <w:t>о</w:t>
      </w:r>
      <w:r w:rsidR="00E066E2">
        <w:t>тветно временно свиване на паричните постъпления. До момента, комп</w:t>
      </w:r>
      <w:r w:rsidR="001F7CBC">
        <w:t>а</w:t>
      </w:r>
      <w:r w:rsidR="00E066E2">
        <w:t>нията генерира силен позитивен паричен поток, кое</w:t>
      </w:r>
      <w:r w:rsidR="001F5F90">
        <w:t>то позволява безпроблемно поср</w:t>
      </w:r>
      <w:r w:rsidR="00E066E2">
        <w:t>ещане на падежиращите плащания и поддържането на солидни ликвидни показатели.</w:t>
      </w:r>
    </w:p>
    <w:p w:rsidR="00FC3657" w:rsidRPr="003E09F7" w:rsidRDefault="009B5128" w:rsidP="003E09F7">
      <w:pPr>
        <w:pStyle w:val="Heading1"/>
        <w:numPr>
          <w:ilvl w:val="0"/>
          <w:numId w:val="11"/>
        </w:numPr>
        <w:rPr>
          <w:rFonts w:ascii="Times New Roman" w:hAnsi="Times New Roman"/>
          <w:smallCaps/>
          <w:sz w:val="28"/>
          <w:szCs w:val="28"/>
        </w:rPr>
      </w:pPr>
      <w:r>
        <w:br w:type="page"/>
      </w:r>
      <w:bookmarkStart w:id="36" w:name="_Toc324376909"/>
      <w:bookmarkStart w:id="37" w:name="_Toc324380068"/>
      <w:r w:rsidR="00FC3657" w:rsidRPr="003E09F7">
        <w:rPr>
          <w:rFonts w:ascii="Times New Roman" w:hAnsi="Times New Roman"/>
          <w:smallCaps/>
          <w:sz w:val="28"/>
          <w:szCs w:val="28"/>
        </w:rPr>
        <w:t>Информация за емитента</w:t>
      </w:r>
      <w:bookmarkEnd w:id="36"/>
      <w:bookmarkEnd w:id="37"/>
    </w:p>
    <w:p w:rsidR="00FC3657" w:rsidRPr="003E09F7" w:rsidRDefault="00FC3657" w:rsidP="003E09F7">
      <w:pPr>
        <w:pStyle w:val="Heading1"/>
        <w:numPr>
          <w:ilvl w:val="1"/>
          <w:numId w:val="11"/>
        </w:numPr>
        <w:ind w:left="567" w:hanging="567"/>
        <w:rPr>
          <w:rFonts w:ascii="Times New Roman" w:hAnsi="Times New Roman"/>
          <w:b w:val="0"/>
          <w:i/>
          <w:smallCaps/>
          <w:sz w:val="24"/>
          <w:szCs w:val="24"/>
        </w:rPr>
      </w:pPr>
      <w:r w:rsidRPr="003E09F7">
        <w:rPr>
          <w:rFonts w:ascii="Times New Roman" w:hAnsi="Times New Roman"/>
          <w:b w:val="0"/>
          <w:i/>
          <w:smallCaps/>
          <w:sz w:val="24"/>
          <w:szCs w:val="24"/>
        </w:rPr>
        <w:t xml:space="preserve"> </w:t>
      </w:r>
      <w:bookmarkStart w:id="38" w:name="_Toc324376910"/>
      <w:bookmarkStart w:id="39" w:name="_Toc324380069"/>
      <w:r w:rsidRPr="003E09F7">
        <w:rPr>
          <w:rFonts w:ascii="Times New Roman" w:hAnsi="Times New Roman"/>
          <w:b w:val="0"/>
          <w:i/>
          <w:smallCaps/>
          <w:sz w:val="24"/>
          <w:szCs w:val="24"/>
        </w:rPr>
        <w:t>Данни за емитента</w:t>
      </w:r>
      <w:r w:rsidR="00C90FA1">
        <w:rPr>
          <w:rFonts w:ascii="Times New Roman" w:hAnsi="Times New Roman"/>
          <w:b w:val="0"/>
          <w:i/>
          <w:smallCaps/>
          <w:sz w:val="24"/>
          <w:szCs w:val="24"/>
        </w:rPr>
        <w:t>.</w:t>
      </w:r>
      <w:bookmarkEnd w:id="38"/>
      <w:bookmarkEnd w:id="39"/>
    </w:p>
    <w:p w:rsidR="00CE3007" w:rsidRDefault="00CE3007" w:rsidP="00942CE6">
      <w:pPr>
        <w:rPr>
          <w:i/>
          <w:u w:val="single"/>
          <w:lang w:val="en-US"/>
        </w:rPr>
      </w:pPr>
    </w:p>
    <w:p w:rsidR="00FC3657" w:rsidRDefault="00CE3007" w:rsidP="00BE0C31">
      <w:pPr>
        <w:spacing w:after="120"/>
        <w:rPr>
          <w:i/>
          <w:u w:val="single"/>
          <w:lang w:val="en-US"/>
        </w:rPr>
      </w:pPr>
      <w:r w:rsidRPr="00CE3007">
        <w:rPr>
          <w:i/>
          <w:u w:val="single"/>
        </w:rPr>
        <w:t xml:space="preserve">Наименование </w:t>
      </w:r>
      <w:r w:rsidR="00FC3657" w:rsidRPr="00CE3007">
        <w:rPr>
          <w:i/>
          <w:u w:val="single"/>
        </w:rPr>
        <w:t>на емитента</w:t>
      </w:r>
    </w:p>
    <w:p w:rsidR="00C90FA1" w:rsidRDefault="00C90FA1" w:rsidP="00BE0C31">
      <w:pPr>
        <w:spacing w:after="120"/>
      </w:pPr>
      <w:r w:rsidRPr="00C90FA1">
        <w:t xml:space="preserve">Дружеството емитент е регистрирано с наименование „Спиди“ </w:t>
      </w:r>
      <w:r w:rsidR="001F7CBC">
        <w:t>Е</w:t>
      </w:r>
      <w:r w:rsidRPr="00C90FA1">
        <w:t>АД в търговския регистър към Агенция по вписванията.</w:t>
      </w:r>
    </w:p>
    <w:p w:rsidR="00CE3007" w:rsidRPr="00C90FA1" w:rsidRDefault="00CE3007" w:rsidP="00BE0C31">
      <w:pPr>
        <w:spacing w:after="120"/>
      </w:pPr>
      <w:r>
        <w:t xml:space="preserve">Допълнително </w:t>
      </w:r>
      <w:r w:rsidR="004B1411">
        <w:t>на а</w:t>
      </w:r>
      <w:r>
        <w:t>нглийски се изписва „</w:t>
      </w:r>
      <w:r w:rsidR="003401BB">
        <w:rPr>
          <w:lang w:val="en-US"/>
        </w:rPr>
        <w:t>SPEED</w:t>
      </w:r>
      <w:r>
        <w:rPr>
          <w:lang w:val="en-US"/>
        </w:rPr>
        <w:t xml:space="preserve">Y” </w:t>
      </w:r>
      <w:r w:rsidR="001F7CBC">
        <w:rPr>
          <w:lang w:val="en-US"/>
        </w:rPr>
        <w:t>E</w:t>
      </w:r>
      <w:r>
        <w:rPr>
          <w:lang w:val="en-US"/>
        </w:rPr>
        <w:t>AD</w:t>
      </w:r>
    </w:p>
    <w:p w:rsidR="00C90FA1" w:rsidRPr="00BD2184" w:rsidRDefault="00C90FA1" w:rsidP="00C90FA1">
      <w:pPr>
        <w:spacing w:after="120"/>
      </w:pPr>
      <w:r w:rsidRPr="00C90FA1">
        <w:t>До момента на изготвяне на настоящия регистрационен документ не е извършвана последваща промяна в наименованието на емитента.</w:t>
      </w:r>
    </w:p>
    <w:p w:rsidR="00CE3007" w:rsidRPr="00CE3007" w:rsidRDefault="00CE3007" w:rsidP="00BE0C31">
      <w:pPr>
        <w:spacing w:after="120"/>
        <w:rPr>
          <w:lang w:val="en-US"/>
        </w:rPr>
      </w:pPr>
    </w:p>
    <w:p w:rsidR="00FC3657" w:rsidRDefault="00CE3007" w:rsidP="00BE0C31">
      <w:pPr>
        <w:spacing w:after="120"/>
        <w:rPr>
          <w:i/>
          <w:u w:val="single"/>
          <w:lang w:val="en-US"/>
        </w:rPr>
      </w:pPr>
      <w:r w:rsidRPr="00CE3007">
        <w:rPr>
          <w:i/>
          <w:u w:val="single"/>
        </w:rPr>
        <w:t xml:space="preserve">Номер </w:t>
      </w:r>
      <w:r w:rsidR="00FC3657" w:rsidRPr="00CE3007">
        <w:rPr>
          <w:i/>
          <w:u w:val="single"/>
        </w:rPr>
        <w:t xml:space="preserve">и партида на вписване в търговския регистър, код </w:t>
      </w:r>
      <w:r w:rsidR="0034411F" w:rsidRPr="00CE3007">
        <w:rPr>
          <w:i/>
          <w:u w:val="single"/>
        </w:rPr>
        <w:t>ЕИК</w:t>
      </w:r>
      <w:r w:rsidR="004B1411">
        <w:rPr>
          <w:i/>
          <w:u w:val="single"/>
          <w:lang w:val="en-US"/>
        </w:rPr>
        <w:t>,</w:t>
      </w:r>
      <w:r w:rsidR="004B1411" w:rsidRPr="004B1411">
        <w:rPr>
          <w:i/>
          <w:u w:val="single"/>
        </w:rPr>
        <w:t xml:space="preserve"> </w:t>
      </w:r>
      <w:r w:rsidR="004B1411" w:rsidRPr="00CE3007">
        <w:rPr>
          <w:i/>
          <w:u w:val="single"/>
        </w:rPr>
        <w:t>дата на учредяване</w:t>
      </w:r>
      <w:r w:rsidR="004B1411">
        <w:rPr>
          <w:i/>
          <w:u w:val="single"/>
          <w:lang w:val="en-US"/>
        </w:rPr>
        <w:t>,</w:t>
      </w:r>
      <w:r w:rsidR="004B1411" w:rsidRPr="004B1411">
        <w:rPr>
          <w:i/>
          <w:u w:val="single"/>
        </w:rPr>
        <w:t xml:space="preserve"> </w:t>
      </w:r>
      <w:r w:rsidR="004B1411" w:rsidRPr="00CE3007">
        <w:rPr>
          <w:i/>
          <w:u w:val="single"/>
        </w:rPr>
        <w:t>държава, в която емитентът е учреден, седалище, адрес на управление, телефон (факс), електронен адрес (e-mail) и електронна страница в Инт</w:t>
      </w:r>
      <w:r w:rsidR="003401BB">
        <w:rPr>
          <w:i/>
          <w:u w:val="single"/>
        </w:rPr>
        <w:t>ернет (web-site)</w:t>
      </w:r>
    </w:p>
    <w:p w:rsidR="003401BB" w:rsidRPr="003401BB" w:rsidRDefault="003401BB" w:rsidP="00BE0C31">
      <w:pPr>
        <w:spacing w:after="120"/>
        <w:rPr>
          <w:i/>
          <w:u w:val="single"/>
          <w:lang w:val="en-US"/>
        </w:rPr>
      </w:pPr>
    </w:p>
    <w:p w:rsidR="004B1411" w:rsidRDefault="004B1411" w:rsidP="00BE0C31">
      <w:pPr>
        <w:spacing w:after="120"/>
      </w:pPr>
      <w:r>
        <w:t xml:space="preserve">„СПИДИ”АД е учредено на 10 февруари 2005 г. </w:t>
      </w:r>
      <w:r w:rsidR="00382ED4">
        <w:t xml:space="preserve">в гр. София.  Дружеството е учредено без срок на съществуване. Дружеството е вписано в Търговския регистър на Софийски градски съд с решение по фирмено дело </w:t>
      </w:r>
      <w:r w:rsidR="00382ED4" w:rsidRPr="00382ED4">
        <w:t>№1455/2005</w:t>
      </w:r>
      <w:r w:rsidR="00051FFC">
        <w:t>.</w:t>
      </w:r>
    </w:p>
    <w:p w:rsidR="00051FFC" w:rsidRPr="0006033A" w:rsidRDefault="00051FFC" w:rsidP="00BE0C31">
      <w:pPr>
        <w:spacing w:after="120"/>
        <w:rPr>
          <w:lang w:val="en-US"/>
        </w:rPr>
      </w:pPr>
      <w:r w:rsidRPr="00051FFC">
        <w:t>В съответствие с изискванията на Закона за търговски регистър,</w:t>
      </w:r>
      <w:r>
        <w:t xml:space="preserve"> </w:t>
      </w:r>
      <w:r w:rsidRPr="00051FFC">
        <w:t>Дружеството е пререгистрирано в Търговския регистър към Министерство на правосъдието</w:t>
      </w:r>
      <w:r>
        <w:t xml:space="preserve"> </w:t>
      </w:r>
      <w:r w:rsidRPr="00051FFC">
        <w:t>под ЕИК</w:t>
      </w:r>
      <w:r>
        <w:t xml:space="preserve"> </w:t>
      </w:r>
      <w:r w:rsidRPr="00051FFC">
        <w:t>131371780</w:t>
      </w:r>
      <w:r w:rsidR="0006033A">
        <w:rPr>
          <w:lang w:val="en-US"/>
        </w:rPr>
        <w:t>.</w:t>
      </w:r>
    </w:p>
    <w:p w:rsidR="0006033A" w:rsidRDefault="0006033A" w:rsidP="00BE0C31">
      <w:pPr>
        <w:spacing w:after="120"/>
        <w:rPr>
          <w:lang w:val="en-US"/>
        </w:rPr>
      </w:pPr>
      <w:r>
        <w:t>Дружеството е учредено и регистрирано в България</w:t>
      </w:r>
      <w:r>
        <w:rPr>
          <w:lang w:val="en-US"/>
        </w:rPr>
        <w:t>.</w:t>
      </w:r>
    </w:p>
    <w:p w:rsidR="0006033A" w:rsidRPr="0006033A" w:rsidRDefault="0006033A" w:rsidP="00051FFC">
      <w:pPr>
        <w:rPr>
          <w:lang w:val="en-US"/>
        </w:rPr>
      </w:pPr>
    </w:p>
    <w:tbl>
      <w:tblPr>
        <w:tblW w:w="9889" w:type="dxa"/>
        <w:tblLook w:val="04A0"/>
      </w:tblPr>
      <w:tblGrid>
        <w:gridCol w:w="5070"/>
        <w:gridCol w:w="4819"/>
      </w:tblGrid>
      <w:tr w:rsidR="00721007" w:rsidRPr="00BA4021" w:rsidTr="00040DCF">
        <w:tc>
          <w:tcPr>
            <w:tcW w:w="5070" w:type="dxa"/>
          </w:tcPr>
          <w:p w:rsidR="00721007" w:rsidRPr="00BA4021" w:rsidRDefault="0006033A" w:rsidP="00942CE6">
            <w:pPr>
              <w:rPr>
                <w:b/>
              </w:rPr>
            </w:pPr>
            <w:r w:rsidRPr="00BA4021">
              <w:rPr>
                <w:b/>
              </w:rPr>
              <w:t>Седалище</w:t>
            </w:r>
          </w:p>
        </w:tc>
        <w:tc>
          <w:tcPr>
            <w:tcW w:w="4819" w:type="dxa"/>
          </w:tcPr>
          <w:p w:rsidR="00721007" w:rsidRPr="0006033A" w:rsidRDefault="0006033A" w:rsidP="00942CE6">
            <w:r>
              <w:t>гр. София, р-н Младост</w:t>
            </w:r>
          </w:p>
        </w:tc>
      </w:tr>
      <w:tr w:rsidR="00721007" w:rsidRPr="00BA4021" w:rsidTr="00040DCF">
        <w:tc>
          <w:tcPr>
            <w:tcW w:w="5070" w:type="dxa"/>
          </w:tcPr>
          <w:p w:rsidR="00721007" w:rsidRPr="00BA4021" w:rsidRDefault="0006033A" w:rsidP="00942CE6">
            <w:pPr>
              <w:rPr>
                <w:b/>
              </w:rPr>
            </w:pPr>
            <w:r w:rsidRPr="00BA4021">
              <w:rPr>
                <w:b/>
              </w:rPr>
              <w:t>Адрес на управление</w:t>
            </w:r>
          </w:p>
        </w:tc>
        <w:tc>
          <w:tcPr>
            <w:tcW w:w="4819" w:type="dxa"/>
          </w:tcPr>
          <w:p w:rsidR="00721007" w:rsidRPr="00BA4021" w:rsidRDefault="0006033A" w:rsidP="00942CE6">
            <w:pPr>
              <w:rPr>
                <w:lang w:val="en-US"/>
              </w:rPr>
            </w:pPr>
            <w:r w:rsidRPr="0006033A">
              <w:t>ул. Самоковско шосе №1</w:t>
            </w:r>
          </w:p>
        </w:tc>
      </w:tr>
      <w:tr w:rsidR="00721007" w:rsidRPr="00BA4021" w:rsidTr="00040DCF">
        <w:tc>
          <w:tcPr>
            <w:tcW w:w="5070" w:type="dxa"/>
          </w:tcPr>
          <w:p w:rsidR="00721007" w:rsidRPr="00BA4021" w:rsidRDefault="0006033A" w:rsidP="00942CE6">
            <w:pPr>
              <w:rPr>
                <w:b/>
              </w:rPr>
            </w:pPr>
            <w:r w:rsidRPr="00BA4021">
              <w:rPr>
                <w:b/>
              </w:rPr>
              <w:t>Телефон</w:t>
            </w:r>
          </w:p>
        </w:tc>
        <w:tc>
          <w:tcPr>
            <w:tcW w:w="4819" w:type="dxa"/>
          </w:tcPr>
          <w:p w:rsidR="00721007" w:rsidRPr="0006033A" w:rsidRDefault="0006033A" w:rsidP="00942CE6">
            <w:r w:rsidRPr="0006033A">
              <w:t>02 8173 999</w:t>
            </w:r>
          </w:p>
        </w:tc>
      </w:tr>
      <w:tr w:rsidR="00721007" w:rsidRPr="00BA4021" w:rsidTr="00040DCF">
        <w:tc>
          <w:tcPr>
            <w:tcW w:w="5070" w:type="dxa"/>
          </w:tcPr>
          <w:p w:rsidR="00721007" w:rsidRPr="00BA4021" w:rsidRDefault="0006033A" w:rsidP="00942CE6">
            <w:pPr>
              <w:rPr>
                <w:b/>
              </w:rPr>
            </w:pPr>
            <w:r w:rsidRPr="00BA4021">
              <w:rPr>
                <w:b/>
              </w:rPr>
              <w:t>Факс</w:t>
            </w:r>
          </w:p>
        </w:tc>
        <w:tc>
          <w:tcPr>
            <w:tcW w:w="4819" w:type="dxa"/>
          </w:tcPr>
          <w:p w:rsidR="00721007" w:rsidRPr="0006033A" w:rsidRDefault="0006033A" w:rsidP="00942CE6">
            <w:r w:rsidRPr="0006033A">
              <w:t>02 8173 989</w:t>
            </w:r>
          </w:p>
        </w:tc>
      </w:tr>
      <w:tr w:rsidR="00721007" w:rsidRPr="00BA4021" w:rsidTr="00040DCF">
        <w:tc>
          <w:tcPr>
            <w:tcW w:w="5070" w:type="dxa"/>
          </w:tcPr>
          <w:p w:rsidR="00721007" w:rsidRPr="00BA4021" w:rsidRDefault="0006033A" w:rsidP="00942CE6">
            <w:pPr>
              <w:rPr>
                <w:b/>
              </w:rPr>
            </w:pPr>
            <w:r w:rsidRPr="00BA4021">
              <w:rPr>
                <w:b/>
              </w:rPr>
              <w:t>Електронен адрес</w:t>
            </w:r>
          </w:p>
        </w:tc>
        <w:tc>
          <w:tcPr>
            <w:tcW w:w="4819" w:type="dxa"/>
          </w:tcPr>
          <w:p w:rsidR="00721007" w:rsidRPr="00BA4021" w:rsidRDefault="001E7C80" w:rsidP="00942CE6">
            <w:pPr>
              <w:rPr>
                <w:lang w:val="en-US"/>
              </w:rPr>
            </w:pPr>
            <w:hyperlink r:id="rId9" w:history="1">
              <w:r w:rsidR="0006033A" w:rsidRPr="00BA4021">
                <w:rPr>
                  <w:rStyle w:val="Hyperlink"/>
                  <w:color w:val="1F497D"/>
                  <w:lang w:val="en-US"/>
                </w:rPr>
                <w:t>ana.boneva@speedy.bg</w:t>
              </w:r>
            </w:hyperlink>
          </w:p>
        </w:tc>
      </w:tr>
      <w:tr w:rsidR="00721007" w:rsidRPr="00BA4021" w:rsidTr="00040DCF">
        <w:tc>
          <w:tcPr>
            <w:tcW w:w="5070" w:type="dxa"/>
          </w:tcPr>
          <w:p w:rsidR="00721007" w:rsidRPr="00BA4021" w:rsidRDefault="0006033A" w:rsidP="00942CE6">
            <w:pPr>
              <w:rPr>
                <w:b/>
              </w:rPr>
            </w:pPr>
            <w:r w:rsidRPr="00BA4021">
              <w:rPr>
                <w:b/>
              </w:rPr>
              <w:t>Електронна страница (web-site)</w:t>
            </w:r>
          </w:p>
        </w:tc>
        <w:tc>
          <w:tcPr>
            <w:tcW w:w="4819" w:type="dxa"/>
          </w:tcPr>
          <w:p w:rsidR="00721007" w:rsidRPr="00BA4021" w:rsidRDefault="001E7C80" w:rsidP="00942CE6">
            <w:pPr>
              <w:rPr>
                <w:lang w:val="en-US"/>
              </w:rPr>
            </w:pPr>
            <w:hyperlink r:id="rId10" w:history="1">
              <w:r w:rsidR="0006033A" w:rsidRPr="00BA4021">
                <w:rPr>
                  <w:rStyle w:val="Hyperlink"/>
                  <w:color w:val="1F497D"/>
                  <w:lang w:val="en-US"/>
                </w:rPr>
                <w:t>www.speedy.bg</w:t>
              </w:r>
            </w:hyperlink>
          </w:p>
        </w:tc>
      </w:tr>
    </w:tbl>
    <w:p w:rsidR="004B1411" w:rsidRDefault="004B1411" w:rsidP="00942CE6">
      <w:pPr>
        <w:rPr>
          <w:lang w:val="en-US"/>
        </w:rPr>
      </w:pPr>
    </w:p>
    <w:p w:rsidR="001B5086" w:rsidRDefault="001B5086" w:rsidP="00942CE6">
      <w:r>
        <w:t xml:space="preserve">През 2011 г. и 2012 г. акционерната структура на </w:t>
      </w:r>
      <w:r w:rsidR="00DB65BC">
        <w:t>„Спиди” АД</w:t>
      </w:r>
      <w:r>
        <w:t xml:space="preserve"> се променя и от акционерно дружество се преобразува в еднолично акционерно дружество:</w:t>
      </w:r>
    </w:p>
    <w:p w:rsidR="001B5086" w:rsidRDefault="00BF5868" w:rsidP="00BF5868">
      <w:r>
        <w:rPr>
          <w:b/>
        </w:rPr>
        <w:t xml:space="preserve">1) </w:t>
      </w:r>
      <w:r w:rsidR="002A493E" w:rsidRPr="00BF5868">
        <w:rPr>
          <w:b/>
        </w:rPr>
        <w:t>На 04 Август 2011 г.</w:t>
      </w:r>
      <w:r>
        <w:t xml:space="preserve"> при преобразуване чрез отделяне, 995 040 акции на „Спиди” ЕАД, притежавани от „Омникар-БГ” ЕООД, се отделят в новоучредяващо се дружество „Консепт инвест” ЕАД, ЕИК 201657129. Последното с решение от 19.12.11 г. променя наименованието си на „Спиди Груп” АД.</w:t>
      </w:r>
    </w:p>
    <w:p w:rsidR="001B5086" w:rsidRPr="00BF5868" w:rsidRDefault="00BF5868" w:rsidP="00BF5868">
      <w:pPr>
        <w:rPr>
          <w:b/>
        </w:rPr>
      </w:pPr>
      <w:r>
        <w:rPr>
          <w:b/>
        </w:rPr>
        <w:t xml:space="preserve">2) </w:t>
      </w:r>
      <w:r w:rsidR="001B5086" w:rsidRPr="00BF5868">
        <w:rPr>
          <w:b/>
        </w:rPr>
        <w:t xml:space="preserve">На 09 Май 2012 г. </w:t>
      </w:r>
    </w:p>
    <w:p w:rsidR="001B5086" w:rsidRDefault="001B5086" w:rsidP="00942CE6">
      <w:r>
        <w:t>„АЛЕКС-Г” ЕООД, ЕИК: 825321979, е внесло като непарична вноска 368 590 (триста шестдесет и осем хиляди петстотин и деветдесет) обикновени поименни налични акции с право на глас с номинална стойност 1 (един) лв. всяка една от капитала на „СПИДИ” АД, ЕИК: 131371780, чиято оценка съобразно експертиза по чл.72, ал.2 от ТЗ, извършена от три вещи лица, назначени с Акт 20120322223151/26.03.2012г. и Акт 20120322223151-2/27.03.2012г на АВ, е в размер на 10.43 лв. за акция или общо 3 844 393.70 лв.</w:t>
      </w:r>
    </w:p>
    <w:p w:rsidR="001B5086" w:rsidRDefault="001B5086" w:rsidP="00942CE6">
      <w:r>
        <w:t>И</w:t>
      </w:r>
    </w:p>
    <w:p w:rsidR="001B5086" w:rsidRDefault="001B5086" w:rsidP="00942CE6">
      <w:r>
        <w:t>СЛАВЧО КИРИЛОВ ПАНТАЛЕЕВ, ЕГН: 5703164682, е внесъл като непарична вноска 118 570 (сто и осемнадесет хиляди петстотин и седемдесет) обикновени поименни налични акции с право на глас с номинална стойност 1 (един) лв. всяка една от капитала на „СПИДИ” АД, ЕИК: 131371780, чиято оценка съобразно експертиза по чл.72, ал.2 от ТЗ, извършена от три вещи лица, назначени с Акт 20120322223151/26.03.2012г. и Акт 20120322223151-2/27.03.2012г на АВ, е в размер на 10.43 лв. за акция или общо 1 236 685.10 лв.;</w:t>
      </w:r>
    </w:p>
    <w:p w:rsidR="002A493E" w:rsidRDefault="002A493E" w:rsidP="00942CE6">
      <w:r>
        <w:t>В резултат на гореизброените действия, „Спиди Груп” АД става едноличен собственик на капитал</w:t>
      </w:r>
      <w:r w:rsidR="00BF5868">
        <w:t>а</w:t>
      </w:r>
      <w:r>
        <w:t xml:space="preserve"> на „СПИДИ” ЕАД</w:t>
      </w:r>
    </w:p>
    <w:p w:rsidR="002A493E" w:rsidRPr="001B5086" w:rsidRDefault="002A493E" w:rsidP="00942CE6"/>
    <w:p w:rsidR="00C62535" w:rsidRPr="00C62535" w:rsidRDefault="00C62535" w:rsidP="001B5086">
      <w:r w:rsidRPr="00C62535">
        <w:t xml:space="preserve">„Спиди" </w:t>
      </w:r>
      <w:r w:rsidR="001B5086">
        <w:t>Е</w:t>
      </w:r>
      <w:r w:rsidRPr="00C62535">
        <w:t>АД извършва дейността си в съответствие с българското законодателство, съобразно общите изисквания на Търговския закон и специфичните изисквания на Закона за публичното предлагане на ценни книжа.</w:t>
      </w:r>
    </w:p>
    <w:p w:rsidR="00C62535" w:rsidRPr="00C62535" w:rsidRDefault="00C62535" w:rsidP="00C62535">
      <w:pPr>
        <w:spacing w:after="120"/>
      </w:pPr>
      <w:r w:rsidRPr="00C62535">
        <w:t>Важни въпроси за инвеститорите във връзка с публичното предлагане на акциите се уреждат и в:</w:t>
      </w:r>
    </w:p>
    <w:p w:rsidR="00C62535" w:rsidRPr="00C62535" w:rsidRDefault="00C62535" w:rsidP="00C62535">
      <w:pPr>
        <w:pStyle w:val="a0"/>
        <w:numPr>
          <w:ilvl w:val="0"/>
          <w:numId w:val="25"/>
        </w:numPr>
        <w:shd w:val="clear" w:color="auto" w:fill="auto"/>
        <w:tabs>
          <w:tab w:val="left" w:pos="446"/>
        </w:tabs>
        <w:spacing w:before="0" w:after="0" w:line="398" w:lineRule="exact"/>
        <w:ind w:left="0" w:firstLine="0"/>
        <w:rPr>
          <w:rFonts w:ascii="Times New Roman" w:hAnsi="Times New Roman" w:cs="Times New Roman"/>
          <w:sz w:val="24"/>
          <w:szCs w:val="24"/>
        </w:rPr>
      </w:pPr>
      <w:r w:rsidRPr="00C62535">
        <w:rPr>
          <w:rFonts w:ascii="Times New Roman" w:hAnsi="Times New Roman" w:cs="Times New Roman"/>
          <w:sz w:val="24"/>
          <w:szCs w:val="24"/>
        </w:rPr>
        <w:t>Закона за пазарите на финансови инструменти;</w:t>
      </w:r>
    </w:p>
    <w:p w:rsidR="00C62535" w:rsidRPr="00C62535" w:rsidRDefault="00C62535" w:rsidP="00C62535">
      <w:pPr>
        <w:pStyle w:val="a0"/>
        <w:numPr>
          <w:ilvl w:val="0"/>
          <w:numId w:val="25"/>
        </w:numPr>
        <w:shd w:val="clear" w:color="auto" w:fill="auto"/>
        <w:tabs>
          <w:tab w:val="left" w:pos="446"/>
        </w:tabs>
        <w:spacing w:before="0" w:after="0" w:line="398" w:lineRule="exact"/>
        <w:ind w:left="0" w:firstLine="0"/>
        <w:rPr>
          <w:rFonts w:ascii="Times New Roman" w:hAnsi="Times New Roman" w:cs="Times New Roman"/>
          <w:sz w:val="24"/>
          <w:szCs w:val="24"/>
        </w:rPr>
      </w:pPr>
      <w:r w:rsidRPr="00C62535">
        <w:rPr>
          <w:rFonts w:ascii="Times New Roman" w:hAnsi="Times New Roman" w:cs="Times New Roman"/>
          <w:sz w:val="24"/>
          <w:szCs w:val="24"/>
        </w:rPr>
        <w:t>Закон срещу пазарните злоупотреби с финансови инструменти;</w:t>
      </w:r>
    </w:p>
    <w:p w:rsidR="00C62535" w:rsidRPr="00C62535" w:rsidRDefault="00C62535" w:rsidP="00C62535">
      <w:pPr>
        <w:pStyle w:val="a0"/>
        <w:numPr>
          <w:ilvl w:val="0"/>
          <w:numId w:val="25"/>
        </w:numPr>
        <w:shd w:val="clear" w:color="auto" w:fill="auto"/>
        <w:tabs>
          <w:tab w:val="left" w:pos="456"/>
        </w:tabs>
        <w:spacing w:before="0" w:after="0" w:line="398" w:lineRule="exact"/>
        <w:ind w:left="0" w:firstLine="0"/>
        <w:rPr>
          <w:rFonts w:ascii="Times New Roman" w:hAnsi="Times New Roman" w:cs="Times New Roman"/>
          <w:sz w:val="24"/>
          <w:szCs w:val="24"/>
        </w:rPr>
      </w:pPr>
      <w:r w:rsidRPr="00C62535">
        <w:rPr>
          <w:rFonts w:ascii="Times New Roman" w:hAnsi="Times New Roman" w:cs="Times New Roman"/>
          <w:sz w:val="24"/>
          <w:szCs w:val="24"/>
        </w:rPr>
        <w:t>Наредба № 38 за изискванията към дейността на инвестиционните посредници;</w:t>
      </w:r>
    </w:p>
    <w:p w:rsidR="00C62535" w:rsidRPr="00C62535" w:rsidRDefault="00C62535" w:rsidP="00C62535">
      <w:pPr>
        <w:pStyle w:val="a0"/>
        <w:numPr>
          <w:ilvl w:val="0"/>
          <w:numId w:val="25"/>
        </w:numPr>
        <w:shd w:val="clear" w:color="auto" w:fill="auto"/>
        <w:tabs>
          <w:tab w:val="left" w:pos="476"/>
        </w:tabs>
        <w:spacing w:before="0" w:after="115" w:line="278" w:lineRule="exact"/>
        <w:ind w:left="0" w:right="60" w:firstLine="0"/>
        <w:rPr>
          <w:rFonts w:ascii="Times New Roman" w:hAnsi="Times New Roman" w:cs="Times New Roman"/>
          <w:sz w:val="24"/>
          <w:szCs w:val="24"/>
        </w:rPr>
      </w:pPr>
      <w:r w:rsidRPr="00C62535">
        <w:rPr>
          <w:rFonts w:ascii="Times New Roman" w:hAnsi="Times New Roman" w:cs="Times New Roman"/>
          <w:sz w:val="24"/>
          <w:szCs w:val="24"/>
        </w:rPr>
        <w:t>Наредба № 2 на КФН за проспектите при публично предлагане на ценни книжа и допускане до търговия на регулиран пазар на ценни книжа и за разкриването на информация от публичните дружества и другите емитенти на ценни книжа (ДВ, бр. 90 от 2003г., изм. ДВ. Бр. 82 от 12.10.2007 г., изм., бр. 37 от 8.04.2008 г.);</w:t>
      </w:r>
    </w:p>
    <w:p w:rsidR="00C62535" w:rsidRPr="00C62535" w:rsidRDefault="00C62535" w:rsidP="00C62535">
      <w:pPr>
        <w:pStyle w:val="a0"/>
        <w:numPr>
          <w:ilvl w:val="0"/>
          <w:numId w:val="25"/>
        </w:numPr>
        <w:shd w:val="clear" w:color="auto" w:fill="auto"/>
        <w:tabs>
          <w:tab w:val="left" w:pos="376"/>
        </w:tabs>
        <w:spacing w:before="0" w:after="88" w:line="210" w:lineRule="exact"/>
        <w:ind w:left="0" w:firstLine="0"/>
        <w:rPr>
          <w:rFonts w:ascii="Times New Roman" w:hAnsi="Times New Roman" w:cs="Times New Roman"/>
          <w:sz w:val="24"/>
          <w:szCs w:val="24"/>
        </w:rPr>
      </w:pPr>
      <w:r w:rsidRPr="00C62535">
        <w:rPr>
          <w:rFonts w:ascii="Times New Roman" w:hAnsi="Times New Roman" w:cs="Times New Roman"/>
          <w:sz w:val="24"/>
          <w:szCs w:val="24"/>
        </w:rPr>
        <w:t>Наредба № 39 от 2007 г. за разкриване на дялово участие в публично дружество;</w:t>
      </w:r>
    </w:p>
    <w:p w:rsidR="00C62535" w:rsidRPr="00C62535" w:rsidRDefault="00C62535" w:rsidP="00C62535">
      <w:pPr>
        <w:pStyle w:val="a0"/>
        <w:numPr>
          <w:ilvl w:val="0"/>
          <w:numId w:val="25"/>
        </w:numPr>
        <w:shd w:val="clear" w:color="auto" w:fill="auto"/>
        <w:tabs>
          <w:tab w:val="left" w:pos="376"/>
        </w:tabs>
        <w:spacing w:before="0" w:after="0" w:line="278" w:lineRule="exact"/>
        <w:ind w:left="0" w:right="20" w:firstLine="0"/>
        <w:rPr>
          <w:rFonts w:ascii="Times New Roman" w:hAnsi="Times New Roman" w:cs="Times New Roman"/>
          <w:sz w:val="24"/>
          <w:szCs w:val="24"/>
        </w:rPr>
      </w:pPr>
      <w:r w:rsidRPr="00C62535">
        <w:rPr>
          <w:rFonts w:ascii="Times New Roman" w:hAnsi="Times New Roman" w:cs="Times New Roman"/>
          <w:sz w:val="24"/>
          <w:szCs w:val="24"/>
        </w:rPr>
        <w:t>Наредба № 22 от 29.07.2005 г. за условията и реда за вписване и отписване на публични дружества, други емитенти на ценни книжа и емисии ценни книжа в регистъра на Комисията за финансов надзор;</w:t>
      </w:r>
    </w:p>
    <w:p w:rsidR="00C62535" w:rsidRPr="00C62535" w:rsidRDefault="00C62535" w:rsidP="00C62535">
      <w:pPr>
        <w:pStyle w:val="a0"/>
        <w:numPr>
          <w:ilvl w:val="0"/>
          <w:numId w:val="25"/>
        </w:numPr>
        <w:shd w:val="clear" w:color="auto" w:fill="auto"/>
        <w:tabs>
          <w:tab w:val="left" w:pos="376"/>
        </w:tabs>
        <w:spacing w:before="0" w:after="0" w:line="398" w:lineRule="exact"/>
        <w:ind w:left="0" w:firstLine="0"/>
        <w:rPr>
          <w:rFonts w:ascii="Times New Roman" w:hAnsi="Times New Roman" w:cs="Times New Roman"/>
          <w:sz w:val="24"/>
          <w:szCs w:val="24"/>
        </w:rPr>
      </w:pPr>
      <w:r w:rsidRPr="00C62535">
        <w:rPr>
          <w:rFonts w:ascii="Times New Roman" w:hAnsi="Times New Roman" w:cs="Times New Roman"/>
          <w:sz w:val="24"/>
          <w:szCs w:val="24"/>
        </w:rPr>
        <w:t>Наредба № 8 от 12.11.2003 г. за Централния депозитар на ценни книжа;</w:t>
      </w:r>
    </w:p>
    <w:p w:rsidR="00C62535" w:rsidRPr="00C62535" w:rsidRDefault="00C62535" w:rsidP="00C62535">
      <w:pPr>
        <w:pStyle w:val="a0"/>
        <w:numPr>
          <w:ilvl w:val="0"/>
          <w:numId w:val="25"/>
        </w:numPr>
        <w:shd w:val="clear" w:color="auto" w:fill="auto"/>
        <w:tabs>
          <w:tab w:val="left" w:pos="376"/>
        </w:tabs>
        <w:spacing w:before="0" w:after="0" w:line="398" w:lineRule="exact"/>
        <w:ind w:left="0" w:firstLine="0"/>
        <w:rPr>
          <w:rFonts w:ascii="Times New Roman" w:hAnsi="Times New Roman" w:cs="Times New Roman"/>
          <w:sz w:val="24"/>
          <w:szCs w:val="24"/>
        </w:rPr>
      </w:pPr>
      <w:r w:rsidRPr="00C62535">
        <w:rPr>
          <w:rFonts w:ascii="Times New Roman" w:hAnsi="Times New Roman" w:cs="Times New Roman"/>
          <w:sz w:val="24"/>
          <w:szCs w:val="24"/>
        </w:rPr>
        <w:t>Регламент 809/2004 на Европейска комисия;</w:t>
      </w:r>
    </w:p>
    <w:p w:rsidR="00C62535" w:rsidRPr="00C62535" w:rsidRDefault="00C62535" w:rsidP="00C62535">
      <w:pPr>
        <w:pStyle w:val="a0"/>
        <w:numPr>
          <w:ilvl w:val="0"/>
          <w:numId w:val="25"/>
        </w:numPr>
        <w:shd w:val="clear" w:color="auto" w:fill="auto"/>
        <w:tabs>
          <w:tab w:val="left" w:pos="456"/>
        </w:tabs>
        <w:spacing w:before="0" w:after="0" w:line="398" w:lineRule="exact"/>
        <w:ind w:left="0" w:firstLine="0"/>
        <w:rPr>
          <w:rFonts w:ascii="Times New Roman" w:hAnsi="Times New Roman" w:cs="Times New Roman"/>
          <w:sz w:val="24"/>
          <w:szCs w:val="24"/>
        </w:rPr>
      </w:pPr>
      <w:r w:rsidRPr="00C62535">
        <w:rPr>
          <w:rFonts w:ascii="Times New Roman" w:hAnsi="Times New Roman" w:cs="Times New Roman"/>
          <w:sz w:val="24"/>
          <w:szCs w:val="24"/>
        </w:rPr>
        <w:t>Закон за корпоративното подоходно облагане;</w:t>
      </w:r>
    </w:p>
    <w:p w:rsidR="00C62535" w:rsidRPr="00C62535" w:rsidRDefault="00C62535" w:rsidP="00C62535">
      <w:pPr>
        <w:pStyle w:val="a0"/>
        <w:numPr>
          <w:ilvl w:val="0"/>
          <w:numId w:val="25"/>
        </w:numPr>
        <w:shd w:val="clear" w:color="auto" w:fill="auto"/>
        <w:tabs>
          <w:tab w:val="left" w:pos="456"/>
        </w:tabs>
        <w:spacing w:before="0" w:after="0" w:line="398" w:lineRule="exact"/>
        <w:ind w:left="0" w:firstLine="0"/>
        <w:rPr>
          <w:rFonts w:ascii="Times New Roman" w:hAnsi="Times New Roman" w:cs="Times New Roman"/>
          <w:sz w:val="24"/>
          <w:szCs w:val="24"/>
        </w:rPr>
      </w:pPr>
      <w:r w:rsidRPr="00C62535">
        <w:rPr>
          <w:rFonts w:ascii="Times New Roman" w:hAnsi="Times New Roman" w:cs="Times New Roman"/>
          <w:sz w:val="24"/>
          <w:szCs w:val="24"/>
        </w:rPr>
        <w:t>Закон за данъците върху доходите на физическите лица;</w:t>
      </w:r>
    </w:p>
    <w:p w:rsidR="00C62535" w:rsidRPr="00C62535" w:rsidRDefault="00C62535" w:rsidP="00C62535">
      <w:pPr>
        <w:pStyle w:val="a0"/>
        <w:numPr>
          <w:ilvl w:val="0"/>
          <w:numId w:val="25"/>
        </w:numPr>
        <w:shd w:val="clear" w:color="auto" w:fill="auto"/>
        <w:tabs>
          <w:tab w:val="left" w:pos="366"/>
        </w:tabs>
        <w:spacing w:before="0" w:after="0" w:line="398" w:lineRule="exact"/>
        <w:ind w:left="0" w:firstLine="0"/>
        <w:rPr>
          <w:rFonts w:ascii="Times New Roman" w:hAnsi="Times New Roman" w:cs="Times New Roman"/>
          <w:sz w:val="24"/>
          <w:szCs w:val="24"/>
        </w:rPr>
      </w:pPr>
      <w:r w:rsidRPr="00C62535">
        <w:rPr>
          <w:rFonts w:ascii="Times New Roman" w:hAnsi="Times New Roman" w:cs="Times New Roman"/>
          <w:sz w:val="24"/>
          <w:szCs w:val="24"/>
        </w:rPr>
        <w:t>Закон за местните данъци и такси;</w:t>
      </w:r>
    </w:p>
    <w:p w:rsidR="00C62535" w:rsidRPr="00C62535" w:rsidRDefault="00C62535" w:rsidP="00C62535">
      <w:pPr>
        <w:pStyle w:val="a0"/>
        <w:numPr>
          <w:ilvl w:val="0"/>
          <w:numId w:val="25"/>
        </w:numPr>
        <w:shd w:val="clear" w:color="auto" w:fill="auto"/>
        <w:tabs>
          <w:tab w:val="left" w:pos="376"/>
        </w:tabs>
        <w:spacing w:before="0" w:after="0" w:line="398" w:lineRule="exact"/>
        <w:ind w:left="0" w:firstLine="0"/>
        <w:rPr>
          <w:rFonts w:ascii="Times New Roman" w:hAnsi="Times New Roman" w:cs="Times New Roman"/>
          <w:sz w:val="24"/>
          <w:szCs w:val="24"/>
        </w:rPr>
      </w:pPr>
      <w:r w:rsidRPr="00C62535">
        <w:rPr>
          <w:rFonts w:ascii="Times New Roman" w:hAnsi="Times New Roman" w:cs="Times New Roman"/>
          <w:sz w:val="24"/>
          <w:szCs w:val="24"/>
        </w:rPr>
        <w:t>Валутен закон.</w:t>
      </w:r>
    </w:p>
    <w:p w:rsidR="00C62535" w:rsidRPr="004B1411" w:rsidRDefault="00C62535" w:rsidP="00C62535">
      <w:pPr>
        <w:rPr>
          <w:lang w:val="en-US"/>
        </w:rPr>
      </w:pPr>
      <w:r w:rsidRPr="00C62535">
        <w:t>Към търговията на ценните книжа на регулиран пазар отношение имат Правилника на „БФБ - София" АД и Правилника на „Централен депозитар" АД.</w:t>
      </w:r>
    </w:p>
    <w:p w:rsidR="000C61B0" w:rsidRPr="000C61B0" w:rsidRDefault="000C61B0" w:rsidP="000C61B0">
      <w:pPr>
        <w:pStyle w:val="Heading1"/>
        <w:numPr>
          <w:ilvl w:val="1"/>
          <w:numId w:val="11"/>
        </w:numPr>
        <w:ind w:left="567" w:hanging="567"/>
        <w:rPr>
          <w:rFonts w:ascii="Times New Roman" w:hAnsi="Times New Roman"/>
          <w:b w:val="0"/>
          <w:i/>
          <w:smallCaps/>
          <w:sz w:val="24"/>
          <w:szCs w:val="24"/>
        </w:rPr>
      </w:pPr>
      <w:bookmarkStart w:id="40" w:name="_Ref324339686"/>
      <w:bookmarkStart w:id="41" w:name="_Ref324339687"/>
      <w:bookmarkStart w:id="42" w:name="_Ref324339725"/>
      <w:bookmarkStart w:id="43" w:name="_Toc324376911"/>
      <w:bookmarkStart w:id="44" w:name="_Toc324380070"/>
      <w:r w:rsidRPr="000C61B0">
        <w:rPr>
          <w:rFonts w:ascii="Times New Roman" w:hAnsi="Times New Roman"/>
          <w:b w:val="0"/>
          <w:i/>
          <w:smallCaps/>
          <w:sz w:val="24"/>
          <w:szCs w:val="24"/>
        </w:rPr>
        <w:t xml:space="preserve">Важни </w:t>
      </w:r>
      <w:r w:rsidR="00FC3657" w:rsidRPr="000C61B0">
        <w:rPr>
          <w:rFonts w:ascii="Times New Roman" w:hAnsi="Times New Roman"/>
          <w:b w:val="0"/>
          <w:i/>
          <w:smallCaps/>
          <w:sz w:val="24"/>
          <w:szCs w:val="24"/>
        </w:rPr>
        <w:t>събития в развитието на емитента</w:t>
      </w:r>
      <w:bookmarkEnd w:id="40"/>
      <w:bookmarkEnd w:id="41"/>
      <w:bookmarkEnd w:id="42"/>
      <w:bookmarkEnd w:id="43"/>
      <w:bookmarkEnd w:id="44"/>
    </w:p>
    <w:p w:rsidR="000C61B0" w:rsidRDefault="000C61B0" w:rsidP="00942CE6"/>
    <w:p w:rsidR="008D1EA1" w:rsidRPr="00D70BF4" w:rsidRDefault="00D70BF4" w:rsidP="00BE0C31">
      <w:pPr>
        <w:spacing w:after="120"/>
      </w:pPr>
      <w:r w:rsidRPr="00D70BF4">
        <w:t>„СПИДИ” ЕАД</w:t>
      </w:r>
      <w:r w:rsidR="00A33E26" w:rsidRPr="00D70BF4">
        <w:t xml:space="preserve"> започва дейност през</w:t>
      </w:r>
      <w:r w:rsidR="008948DE" w:rsidRPr="00D70BF4">
        <w:t xml:space="preserve"> Февруари</w:t>
      </w:r>
      <w:r w:rsidR="00A33E26" w:rsidRPr="00D70BF4">
        <w:t xml:space="preserve"> 2005 г.</w:t>
      </w:r>
      <w:r w:rsidR="00FE0145" w:rsidRPr="00D70BF4">
        <w:t xml:space="preserve"> с основен капитал от 50 000 лв.</w:t>
      </w:r>
      <w:r w:rsidR="003037A5" w:rsidRPr="00D70BF4">
        <w:t xml:space="preserve"> и предмет на дейност предоставяне на куриерски услуги, спедиторска дейност, обработка, складиране и дистрибуция на документи, стоки и товари, вътрешен и международен транспорт, всякакви други дейности, незабранени със закон.</w:t>
      </w:r>
      <w:r w:rsidR="00A33E26" w:rsidRPr="00D70BF4">
        <w:t xml:space="preserve"> През същата година </w:t>
      </w:r>
      <w:r w:rsidRPr="00D70BF4">
        <w:t>се регистрира в</w:t>
      </w:r>
      <w:r w:rsidR="00A33E26" w:rsidRPr="00D70BF4">
        <w:t xml:space="preserve"> Комисията за регулиране на съобщенията като оператор на неуниверсална пощенска услуга, както и лиценз </w:t>
      </w:r>
      <w:r w:rsidR="003037A5" w:rsidRPr="00D70BF4">
        <w:t>№</w:t>
      </w:r>
      <w:r w:rsidR="00FE0145" w:rsidRPr="00D70BF4">
        <w:rPr>
          <w:lang w:val="en-US"/>
        </w:rPr>
        <w:t xml:space="preserve"> 04080 </w:t>
      </w:r>
      <w:r w:rsidR="00A33E26" w:rsidRPr="00D70BF4">
        <w:t>от Изпълнителна агенция „Пътища” за извършване на превоз на товари</w:t>
      </w:r>
      <w:r w:rsidR="008948DE" w:rsidRPr="00D70BF4">
        <w:t>.</w:t>
      </w:r>
    </w:p>
    <w:p w:rsidR="00FE0145" w:rsidRPr="00773AE6" w:rsidRDefault="008948DE" w:rsidP="00BE0C31">
      <w:pPr>
        <w:spacing w:after="120"/>
      </w:pPr>
      <w:r>
        <w:t xml:space="preserve">В резултат на бързото развитие на компанията, акционерите на </w:t>
      </w:r>
      <w:r w:rsidR="00D70BF4">
        <w:t>„СПИДИ” ЕАД</w:t>
      </w:r>
      <w:r>
        <w:t xml:space="preserve"> извършват </w:t>
      </w:r>
      <w:r w:rsidR="00FE0145" w:rsidRPr="00773AE6">
        <w:t>няколко</w:t>
      </w:r>
      <w:r w:rsidRPr="00773AE6">
        <w:t xml:space="preserve"> </w:t>
      </w:r>
      <w:r w:rsidR="00FE0145" w:rsidRPr="00773AE6">
        <w:t xml:space="preserve">увеличения </w:t>
      </w:r>
      <w:r w:rsidRPr="00773AE6">
        <w:t>на капитала</w:t>
      </w:r>
      <w:r w:rsidR="00FE0145" w:rsidRPr="00773AE6">
        <w:t>:</w:t>
      </w:r>
    </w:p>
    <w:p w:rsidR="00FE0145" w:rsidRDefault="00FE0145" w:rsidP="00DB0648">
      <w:pPr>
        <w:numPr>
          <w:ilvl w:val="0"/>
          <w:numId w:val="14"/>
        </w:numPr>
        <w:spacing w:after="120"/>
        <w:ind w:left="426" w:hanging="426"/>
      </w:pPr>
      <w:r>
        <w:t>на</w:t>
      </w:r>
      <w:r w:rsidR="008948DE">
        <w:t xml:space="preserve"> </w:t>
      </w:r>
      <w:r>
        <w:t>21.07.</w:t>
      </w:r>
      <w:r w:rsidR="008948DE">
        <w:t>2005</w:t>
      </w:r>
      <w:r>
        <w:t xml:space="preserve"> г. – от 50 000 лв. на 200 000 лв.</w:t>
      </w:r>
    </w:p>
    <w:p w:rsidR="00FE0145" w:rsidRDefault="00FE0145" w:rsidP="00DB0648">
      <w:pPr>
        <w:numPr>
          <w:ilvl w:val="0"/>
          <w:numId w:val="14"/>
        </w:numPr>
        <w:spacing w:after="120"/>
        <w:ind w:left="426" w:hanging="426"/>
      </w:pPr>
      <w:r>
        <w:t>на 28.06.</w:t>
      </w:r>
      <w:r w:rsidR="008948DE">
        <w:t>2006</w:t>
      </w:r>
      <w:r>
        <w:t xml:space="preserve"> г. – от 200 000 лв. на 250 000 лв.</w:t>
      </w:r>
    </w:p>
    <w:p w:rsidR="00FE0145" w:rsidRDefault="00FE0145" w:rsidP="00DB0648">
      <w:pPr>
        <w:numPr>
          <w:ilvl w:val="0"/>
          <w:numId w:val="14"/>
        </w:numPr>
        <w:spacing w:after="120"/>
        <w:ind w:left="426" w:hanging="426"/>
      </w:pPr>
      <w:r>
        <w:t>на 18.04.</w:t>
      </w:r>
      <w:r w:rsidR="008948DE">
        <w:t>2007</w:t>
      </w:r>
      <w:r>
        <w:t xml:space="preserve"> г. – от 250 000 лв. на 350 000 лв.</w:t>
      </w:r>
    </w:p>
    <w:p w:rsidR="00FE0145" w:rsidRDefault="00FE0145" w:rsidP="00DB0648">
      <w:pPr>
        <w:numPr>
          <w:ilvl w:val="0"/>
          <w:numId w:val="14"/>
        </w:numPr>
        <w:spacing w:after="120"/>
        <w:ind w:left="426" w:hanging="426"/>
      </w:pPr>
      <w:r>
        <w:t>на 11.12.</w:t>
      </w:r>
      <w:r w:rsidR="008948DE">
        <w:t>2007</w:t>
      </w:r>
      <w:r>
        <w:t xml:space="preserve"> г. – от 350 000 лв. на 500 000 лв.</w:t>
      </w:r>
    </w:p>
    <w:p w:rsidR="00154FAB" w:rsidRDefault="00FE0145" w:rsidP="00DB0648">
      <w:pPr>
        <w:numPr>
          <w:ilvl w:val="0"/>
          <w:numId w:val="14"/>
        </w:numPr>
        <w:spacing w:after="120"/>
        <w:ind w:left="426" w:hanging="426"/>
      </w:pPr>
      <w:r>
        <w:t xml:space="preserve">на 07.06.2011 г. </w:t>
      </w:r>
      <w:r w:rsidR="00BE78BC">
        <w:t>–</w:t>
      </w:r>
      <w:r>
        <w:t xml:space="preserve"> </w:t>
      </w:r>
      <w:r w:rsidR="00BE78BC">
        <w:t>от 500 000 лв на 1 482 200 лв., чрез апортна вноска на 98 200 дяла с номинална стойност 10 лв. или общо в размер на 982 200 лв., представляваща 100% от капитала на „Спиди” ООД. Оценката е съобразно оценителска експертиза по чл.</w:t>
      </w:r>
      <w:r w:rsidR="008076DA">
        <w:t xml:space="preserve"> </w:t>
      </w:r>
      <w:r w:rsidR="00BE78BC">
        <w:t>72, ал.</w:t>
      </w:r>
      <w:r w:rsidR="008076DA">
        <w:t xml:space="preserve"> </w:t>
      </w:r>
      <w:r w:rsidR="00BE78BC">
        <w:t>2 от ТЗ, извършена от три вещи лица, назначени с Акт за назначаване № 20110415114028/19.04.2011 г</w:t>
      </w:r>
      <w:r w:rsidR="00154FAB">
        <w:t>. Дяловете са внесени както следва:</w:t>
      </w:r>
    </w:p>
    <w:p w:rsidR="00154FAB" w:rsidRDefault="00154FAB" w:rsidP="00BE0C31">
      <w:pPr>
        <w:numPr>
          <w:ilvl w:val="1"/>
          <w:numId w:val="13"/>
        </w:numPr>
        <w:spacing w:after="120"/>
        <w:ind w:left="709" w:hanging="283"/>
      </w:pPr>
      <w:r>
        <w:t xml:space="preserve">„АЛЕКС - Г” ЕООД, ЕИК: 825321979, е внесло като непарична вноска 24 359 (двадесет и четири хиляди триста петдесет и девет) дяла с номинална стойност 10 (десет) лв. всеки един от дружествения капитал на «СПИДИ» </w:t>
      </w:r>
      <w:r w:rsidR="005723A8">
        <w:t>Е</w:t>
      </w:r>
      <w:r>
        <w:t>ООД, ЕИК: 115260535, с оценка по чл.72, ал.2 от ТЗ в размер на 243 590 лв.;</w:t>
      </w:r>
    </w:p>
    <w:p w:rsidR="00154FAB" w:rsidRDefault="00154FAB" w:rsidP="00BE0C31">
      <w:pPr>
        <w:numPr>
          <w:ilvl w:val="1"/>
          <w:numId w:val="13"/>
        </w:numPr>
        <w:spacing w:after="120"/>
        <w:ind w:left="709" w:hanging="283"/>
      </w:pPr>
      <w:r>
        <w:t xml:space="preserve">„ОМНИКАР-БГ” ЕООД, ЕИК: 115816882, е внесло като непарична вноска 66 004 (шестдесет и шест хиляди и четири) дяла с номинална стойност 10 (десет) лв. всеки един от дружествения капитал на «СПИДИ» </w:t>
      </w:r>
      <w:r w:rsidR="005723A8">
        <w:t>Е</w:t>
      </w:r>
      <w:r>
        <w:t>ООД, ЕИК: 115260535, с оценка по чл.72, ал.2 от ТЗ в размер на 660 040 лв.;</w:t>
      </w:r>
    </w:p>
    <w:p w:rsidR="00A33E26" w:rsidRDefault="00154FAB" w:rsidP="00BE0C31">
      <w:pPr>
        <w:numPr>
          <w:ilvl w:val="1"/>
          <w:numId w:val="13"/>
        </w:numPr>
        <w:spacing w:after="120"/>
        <w:ind w:left="709" w:hanging="283"/>
      </w:pPr>
      <w:r>
        <w:t>Славчо Кирилов Панталеев, ЕГН: 5703144682, е внесъл като непарична вноска 7 857 (седем хиляди осемстотин петдесет и седем) дяла с номинална стойност 10 (десет) лв. всеки един от дружествения капитал на «СПИДИ»</w:t>
      </w:r>
      <w:r w:rsidR="005723A8">
        <w:t xml:space="preserve"> Е</w:t>
      </w:r>
      <w:r>
        <w:t>ООД, ЕИК: 115260535, с оценка по чл.72, ал.2 от ТЗ в размер на 78 570 лв.</w:t>
      </w:r>
    </w:p>
    <w:p w:rsidR="002F6F64" w:rsidRDefault="002F6F64" w:rsidP="00BE0C31">
      <w:pPr>
        <w:spacing w:after="120"/>
        <w:ind w:left="709"/>
      </w:pPr>
      <w:r>
        <w:t xml:space="preserve">„Спиди” ЕООД е регистрирано през 1998 г. в гр. Пловдив и извършва </w:t>
      </w:r>
      <w:r w:rsidRPr="00A808C0">
        <w:t>предоставяне на куриерски услуги, спедиторска дейност, обработка, складиране и дистрибуция на документи, стоки и товари, вътрешен и международен транспорт</w:t>
      </w:r>
      <w:r w:rsidR="009D49A0">
        <w:t xml:space="preserve">. </w:t>
      </w:r>
      <w:r w:rsidR="00897F56">
        <w:t xml:space="preserve">С </w:t>
      </w:r>
      <w:r w:rsidR="00FF1959">
        <w:t>прид</w:t>
      </w:r>
      <w:r w:rsidR="00FF1959">
        <w:rPr>
          <w:lang w:val="en-US"/>
        </w:rPr>
        <w:t>о</w:t>
      </w:r>
      <w:r w:rsidR="009D49A0">
        <w:t xml:space="preserve">биването на </w:t>
      </w:r>
      <w:r w:rsidR="00897F56">
        <w:t xml:space="preserve">„Спиди” </w:t>
      </w:r>
      <w:r w:rsidR="005723A8">
        <w:t>Е</w:t>
      </w:r>
      <w:r w:rsidR="00897F56">
        <w:t>ООД, в дружеството се консолидира и 100% от дъщерното дружество „Трансбалкан” СРЛ, Румъния, което е създадено с цел обслужване дейносттите по доставка на пратки в Румъния, но към момента дейността му остава силно ограничена</w:t>
      </w:r>
      <w:r w:rsidR="00843ACB">
        <w:t xml:space="preserve"> и </w:t>
      </w:r>
      <w:r w:rsidR="00EA7465">
        <w:t>приноса към консолидираните приходи на групата е под 0,1%.</w:t>
      </w:r>
    </w:p>
    <w:p w:rsidR="008076DA" w:rsidRDefault="008076DA" w:rsidP="00BE0C31">
      <w:pPr>
        <w:spacing w:after="120"/>
      </w:pPr>
      <w:r>
        <w:t>Основната дейност от основаването до момента е свързана с предлагане на куриерски и транспортни услуги от врата до врата с фирмен транспорт. През годините от създаването си, компанията постоянно разширява гамата на предлаганите услуги, като диверсифицира съществуващите и предлага на своите клиенти нови услуги, с които да подпомогне и оптимизира техния бизнес.</w:t>
      </w:r>
    </w:p>
    <w:p w:rsidR="00EA7465" w:rsidRDefault="00EA7465" w:rsidP="00BE0C31">
      <w:pPr>
        <w:spacing w:after="120"/>
      </w:pPr>
      <w:r>
        <w:t>Дейността на двете</w:t>
      </w:r>
      <w:r w:rsidR="003B37A1">
        <w:t xml:space="preserve"> дружества, </w:t>
      </w:r>
      <w:r w:rsidR="00D70BF4">
        <w:t>„СПИДИ” ЕАД</w:t>
      </w:r>
      <w:r w:rsidR="003B37A1">
        <w:t xml:space="preserve"> и „Спиди” ЕООД е тясно обвързана още преди консолидацията. </w:t>
      </w:r>
      <w:r w:rsidR="00752177">
        <w:t xml:space="preserve">Приходите на „Спиди” ЕООД  почти изцяло се формират от дейността му като подизпълнител на акционерното дружество. В него са концентрирани </w:t>
      </w:r>
      <w:r w:rsidR="00DB0648">
        <w:t>с</w:t>
      </w:r>
      <w:r w:rsidR="00752177">
        <w:t xml:space="preserve">лужителите, извършващи куриерската дейност, сортирането и транспорта на пратките, а </w:t>
      </w:r>
      <w:r w:rsidR="00D70BF4">
        <w:t>„СПИДИ” ЕАД</w:t>
      </w:r>
      <w:r w:rsidR="00752177">
        <w:t xml:space="preserve"> отговаря за продажби</w:t>
      </w:r>
      <w:r w:rsidR="00B76834">
        <w:t>те и административната дейност.</w:t>
      </w:r>
    </w:p>
    <w:p w:rsidR="008D1EA1" w:rsidRDefault="008D1EA1" w:rsidP="00BE0C31">
      <w:pPr>
        <w:spacing w:after="120"/>
      </w:pPr>
      <w:r>
        <w:t>За периода на своята дейност,</w:t>
      </w:r>
      <w:r w:rsidR="004013E1">
        <w:t xml:space="preserve"> фирмата </w:t>
      </w:r>
      <w:r w:rsidR="00DB0648">
        <w:t>изгради мрежа от 86</w:t>
      </w:r>
      <w:r>
        <w:t xml:space="preserve"> офиса в 55 населени места в страната и собствен автопарк, което дава възможност за 100% покритие на територията на Република България за целите на фирмата и предлаганите услуги</w:t>
      </w:r>
      <w:r w:rsidR="004E217C">
        <w:t>.</w:t>
      </w:r>
      <w:r>
        <w:t xml:space="preserve"> </w:t>
      </w:r>
      <w:r w:rsidR="004E217C">
        <w:t xml:space="preserve">В </w:t>
      </w:r>
      <w:r>
        <w:t xml:space="preserve">резултат на </w:t>
      </w:r>
      <w:r w:rsidR="004E217C">
        <w:t xml:space="preserve">това постигна пазарен дял, който утвърди </w:t>
      </w:r>
      <w:r w:rsidR="00D70BF4">
        <w:t>„СПИДИ” ЕАД</w:t>
      </w:r>
      <w:r w:rsidR="004E217C">
        <w:t xml:space="preserve"> като най-голямата частна компания за куриерски услуги и втория най-голям оператор на пощенски услуги в страната, единствено след бившият монополист, „Българс</w:t>
      </w:r>
      <w:r w:rsidR="004D07A0">
        <w:t>к</w:t>
      </w:r>
      <w:r w:rsidR="004E217C">
        <w:t>и пощи” АД.</w:t>
      </w:r>
    </w:p>
    <w:p w:rsidR="004013E1" w:rsidRDefault="004013E1" w:rsidP="00BE0C31">
      <w:pPr>
        <w:spacing w:after="120"/>
      </w:pPr>
      <w:r>
        <w:t xml:space="preserve">От ноември 2010 г. </w:t>
      </w:r>
      <w:r w:rsidR="008A4CDF">
        <w:t>„СПИДИ” ЕАД</w:t>
      </w:r>
      <w:r>
        <w:t xml:space="preserve"> е новият </w:t>
      </w:r>
      <w:r w:rsidR="00DB0648">
        <w:t xml:space="preserve">ексклузивен </w:t>
      </w:r>
      <w:r>
        <w:t xml:space="preserve">партньор на DPD  в България и вече може да предложи на своите клиенти сигурни и ефикасни сухопътни доставки на пратки до европейските държави, както и експресни куриерски услуги до </w:t>
      </w:r>
      <w:r w:rsidR="00E03F84">
        <w:t>всяка точка на света с високо качество</w:t>
      </w:r>
      <w:r>
        <w:t>.</w:t>
      </w:r>
    </w:p>
    <w:p w:rsidR="005653F2" w:rsidRPr="005653F2" w:rsidRDefault="005653F2" w:rsidP="00BE0C31">
      <w:pPr>
        <w:spacing w:after="120"/>
      </w:pPr>
      <w:r w:rsidRPr="00183A4E">
        <w:t>"</w:t>
      </w:r>
      <w:r w:rsidR="008A4CDF" w:rsidRPr="00183A4E">
        <w:t>СПИДИ</w:t>
      </w:r>
      <w:r w:rsidRPr="00183A4E">
        <w:t xml:space="preserve">" </w:t>
      </w:r>
      <w:r w:rsidR="008A4CDF">
        <w:t>Е</w:t>
      </w:r>
      <w:r w:rsidRPr="00183A4E">
        <w:t>АД е първата българска куриер</w:t>
      </w:r>
      <w:r>
        <w:t xml:space="preserve">ска компания, сертифицирана по </w:t>
      </w:r>
      <w:r w:rsidRPr="005653F2">
        <w:t xml:space="preserve">стандарта за </w:t>
      </w:r>
      <w:r w:rsidR="00DB0648" w:rsidRPr="005653F2">
        <w:t>качество</w:t>
      </w:r>
      <w:r w:rsidR="00DB0648">
        <w:t xml:space="preserve"> </w:t>
      </w:r>
      <w:r w:rsidR="00DB0648">
        <w:rPr>
          <w:lang w:val="en-US"/>
        </w:rPr>
        <w:t>ISO 9001:2000 (</w:t>
      </w:r>
      <w:r w:rsidR="00DB0648">
        <w:t>заменен по-късно от</w:t>
      </w:r>
      <w:r w:rsidR="00DB0648" w:rsidRPr="005653F2">
        <w:t xml:space="preserve"> ISO 9001:2008</w:t>
      </w:r>
      <w:r w:rsidR="00DB0648">
        <w:t>)</w:t>
      </w:r>
      <w:r w:rsidRPr="005653F2">
        <w:t>, който е внедрен още през 2005</w:t>
      </w:r>
      <w:r w:rsidR="00D70BF4">
        <w:t xml:space="preserve"> </w:t>
      </w:r>
      <w:r w:rsidRPr="005653F2">
        <w:t>г.</w:t>
      </w:r>
    </w:p>
    <w:p w:rsidR="00C62535" w:rsidRPr="00C62535" w:rsidRDefault="00C62535" w:rsidP="00C62535">
      <w:pPr>
        <w:spacing w:after="120"/>
      </w:pPr>
      <w:r w:rsidRPr="00C62535">
        <w:t>На извънредно Общо събрание на акционери</w:t>
      </w:r>
      <w:r w:rsidR="00553013">
        <w:t xml:space="preserve">те на „Спиди“ </w:t>
      </w:r>
      <w:r w:rsidR="008A4CDF">
        <w:t>Е</w:t>
      </w:r>
      <w:r w:rsidR="00553013">
        <w:t>АД, проведено на 10</w:t>
      </w:r>
      <w:r w:rsidRPr="00C62535">
        <w:t xml:space="preserve">.05.2012 г., е взето решение Дружеството да придобие статут на публично дружество, съгласно ЗППЦК, при условие и след одобрение на Проспекта за допускане до търговия на регулиран пазар на акциите на дружеството от Комисията за финансов надзор и след като дружеството бъде вписано в регистъра на публичните дружества, воден от КФН, както и за регистрация на акциите на дружеството за търговия на „БФБ – София“ АД. </w:t>
      </w:r>
    </w:p>
    <w:p w:rsidR="00C62535" w:rsidRPr="00C62535" w:rsidRDefault="00C62535" w:rsidP="00C62535">
      <w:pPr>
        <w:spacing w:after="120"/>
      </w:pPr>
      <w:r w:rsidRPr="00C62535">
        <w:t>На същото общо събрание е приет нов проекто-устав на дружеството, който влиза в сила след одобряване на проспекта за допускане до търговия на регулиран пазар на акциите на дружеството от КФН, след вписване и обявяване на устава на Дружеството в търговския регистър.</w:t>
      </w:r>
    </w:p>
    <w:p w:rsidR="00C62535" w:rsidRPr="00C62535" w:rsidRDefault="00C62535" w:rsidP="00C62535">
      <w:pPr>
        <w:spacing w:after="120"/>
      </w:pPr>
      <w:r w:rsidRPr="00C62535">
        <w:t>Емитентът притежава повече от 5 на сто от капитала в други дружества, към датата на изготвяне на настоящия документ</w:t>
      </w:r>
      <w:r>
        <w:t xml:space="preserve">, </w:t>
      </w:r>
      <w:r w:rsidRPr="00C62535">
        <w:t xml:space="preserve">а именно 100% от капитала на „Спиди“ </w:t>
      </w:r>
      <w:r w:rsidR="001924B3">
        <w:t>Е</w:t>
      </w:r>
      <w:r w:rsidRPr="00C62535">
        <w:t>ООД и 100% от капитала на „Трансбалкан“ SRL.</w:t>
      </w:r>
    </w:p>
    <w:p w:rsidR="00C62535" w:rsidRPr="00304549" w:rsidRDefault="00C62535" w:rsidP="00C62535">
      <w:pPr>
        <w:spacing w:after="120"/>
      </w:pPr>
      <w:r w:rsidRPr="00C62535">
        <w:t>Към момента на изготвяне на настоящия регистрационен документ няма заведени искови молби за откриване на производство по несъстоятелност на Дружеството</w:t>
      </w:r>
      <w:r w:rsidRPr="00304549">
        <w:t>.</w:t>
      </w:r>
    </w:p>
    <w:p w:rsidR="00C62535" w:rsidRDefault="00C62535" w:rsidP="00C62535">
      <w:pPr>
        <w:spacing w:after="120"/>
      </w:pPr>
      <w:r w:rsidRPr="00C62535">
        <w:t>До момента Дружеството не е осъществявало прехвърляне или залог на предприятието.</w:t>
      </w:r>
      <w:r w:rsidRPr="00304549">
        <w:t xml:space="preserve"> </w:t>
      </w:r>
    </w:p>
    <w:p w:rsidR="00C62535" w:rsidRPr="00C62535" w:rsidRDefault="00C62535" w:rsidP="00C62535">
      <w:pPr>
        <w:spacing w:after="120"/>
      </w:pPr>
      <w:r w:rsidRPr="00C62535">
        <w:t>Дружеството не е придобивало и не се е разпореждало с други активи на значителна стойност, извън обичайния ход на дейността му.</w:t>
      </w:r>
    </w:p>
    <w:p w:rsidR="008076DA" w:rsidRDefault="00C62535" w:rsidP="00C62535">
      <w:pPr>
        <w:spacing w:after="120"/>
      </w:pPr>
      <w:r w:rsidRPr="00C62535">
        <w:t xml:space="preserve">Към настоящия момент „Спиди“ </w:t>
      </w:r>
      <w:r w:rsidR="005723A8">
        <w:t>Е</w:t>
      </w:r>
      <w:r w:rsidRPr="00C62535">
        <w:t>АД не е било обект на търгово предложение за закупуване или замяна на акции, нито Дружеството е отправяло такива.</w:t>
      </w:r>
    </w:p>
    <w:p w:rsidR="006A5A28" w:rsidRDefault="006A5A28">
      <w:pPr>
        <w:autoSpaceDE/>
        <w:autoSpaceDN/>
        <w:adjustRightInd/>
        <w:spacing w:after="0"/>
        <w:jc w:val="left"/>
        <w:rPr>
          <w:bCs/>
          <w:i/>
          <w:smallCaps/>
          <w:kern w:val="32"/>
        </w:rPr>
      </w:pPr>
      <w:r>
        <w:rPr>
          <w:b/>
          <w:i/>
          <w:smallCaps/>
        </w:rPr>
        <w:br w:type="page"/>
      </w:r>
    </w:p>
    <w:p w:rsidR="00FC3657" w:rsidRPr="00F77EE5" w:rsidRDefault="00FC3657" w:rsidP="00F77EE5">
      <w:pPr>
        <w:pStyle w:val="Heading1"/>
        <w:numPr>
          <w:ilvl w:val="1"/>
          <w:numId w:val="11"/>
        </w:numPr>
        <w:ind w:left="567" w:hanging="567"/>
        <w:rPr>
          <w:rFonts w:ascii="Times New Roman" w:hAnsi="Times New Roman"/>
          <w:b w:val="0"/>
          <w:i/>
          <w:smallCaps/>
          <w:sz w:val="24"/>
          <w:szCs w:val="24"/>
        </w:rPr>
      </w:pPr>
      <w:bookmarkStart w:id="45" w:name="_Toc324376912"/>
      <w:bookmarkStart w:id="46" w:name="_Toc324380071"/>
      <w:r w:rsidRPr="00F77EE5">
        <w:rPr>
          <w:rFonts w:ascii="Times New Roman" w:hAnsi="Times New Roman"/>
          <w:b w:val="0"/>
          <w:i/>
          <w:smallCaps/>
          <w:sz w:val="24"/>
          <w:szCs w:val="24"/>
        </w:rPr>
        <w:t>Пр</w:t>
      </w:r>
      <w:r w:rsidR="00F04420">
        <w:rPr>
          <w:rFonts w:ascii="Times New Roman" w:hAnsi="Times New Roman"/>
          <w:b w:val="0"/>
          <w:i/>
          <w:smallCaps/>
          <w:sz w:val="24"/>
          <w:szCs w:val="24"/>
        </w:rPr>
        <w:t>еглед на направените инвестиции</w:t>
      </w:r>
      <w:bookmarkEnd w:id="45"/>
      <w:bookmarkEnd w:id="46"/>
    </w:p>
    <w:p w:rsidR="00FC3657" w:rsidRPr="005A37C9" w:rsidRDefault="00F77EE5" w:rsidP="00BE0C31">
      <w:pPr>
        <w:pStyle w:val="Heading1"/>
        <w:numPr>
          <w:ilvl w:val="2"/>
          <w:numId w:val="11"/>
        </w:numPr>
        <w:spacing w:after="120"/>
        <w:ind w:left="709" w:hanging="709"/>
        <w:rPr>
          <w:rFonts w:ascii="Times New Roman" w:hAnsi="Times New Roman"/>
          <w:b w:val="0"/>
          <w:bCs w:val="0"/>
          <w:i/>
          <w:kern w:val="0"/>
          <w:sz w:val="24"/>
          <w:szCs w:val="24"/>
        </w:rPr>
      </w:pPr>
      <w:bookmarkStart w:id="47" w:name="_Toc324376913"/>
      <w:bookmarkStart w:id="48" w:name="_Toc324380072"/>
      <w:r w:rsidRPr="005A37C9">
        <w:rPr>
          <w:rFonts w:ascii="Times New Roman" w:hAnsi="Times New Roman"/>
          <w:b w:val="0"/>
          <w:bCs w:val="0"/>
          <w:i/>
          <w:kern w:val="0"/>
          <w:sz w:val="24"/>
          <w:szCs w:val="24"/>
        </w:rPr>
        <w:t xml:space="preserve">Описание </w:t>
      </w:r>
      <w:r w:rsidR="00D70BF4">
        <w:rPr>
          <w:rFonts w:ascii="Times New Roman" w:hAnsi="Times New Roman"/>
          <w:b w:val="0"/>
          <w:bCs w:val="0"/>
          <w:i/>
          <w:kern w:val="0"/>
          <w:sz w:val="24"/>
          <w:szCs w:val="24"/>
        </w:rPr>
        <w:t>и размер на инвестициите.</w:t>
      </w:r>
      <w:bookmarkEnd w:id="47"/>
      <w:bookmarkEnd w:id="48"/>
    </w:p>
    <w:p w:rsidR="00F04420" w:rsidRDefault="00F77EE5" w:rsidP="00BE0C31">
      <w:pPr>
        <w:spacing w:after="120"/>
      </w:pPr>
      <w:r>
        <w:t xml:space="preserve">През последните три години инвестициите са насочени основно към подобряването на производителността на персонала и по-оптималното и ефективно използване на наличните ресурси. </w:t>
      </w:r>
      <w:r w:rsidR="00F04420">
        <w:t xml:space="preserve">Дружеството е възприело политика да не инвестира в недвижими имоти и всички офис, логистични и сортировъчни центрове са под наем. </w:t>
      </w:r>
      <w:r w:rsidR="000B5E87">
        <w:t xml:space="preserve">Това дава възможност за по-голяма гъвкавост при организацията и преструктурирането на дейностите </w:t>
      </w:r>
      <w:r w:rsidR="00C164AA">
        <w:t>предвид</w:t>
      </w:r>
      <w:r w:rsidR="000B5E87">
        <w:t xml:space="preserve"> динамичното развитие на компанията и от друга страна остава значителен свободен ресурс за инвестиране в проекти с по-голяма възвръщаемост.</w:t>
      </w:r>
    </w:p>
    <w:p w:rsidR="00A640D8" w:rsidRDefault="00F77EE5" w:rsidP="00BE0C31">
      <w:pPr>
        <w:spacing w:after="120"/>
      </w:pPr>
      <w:r>
        <w:t xml:space="preserve">Инвестиционната програма </w:t>
      </w:r>
      <w:r w:rsidR="00F04420">
        <w:t>с</w:t>
      </w:r>
      <w:r>
        <w:t xml:space="preserve">е </w:t>
      </w:r>
      <w:r w:rsidR="00F04420">
        <w:t>реализира</w:t>
      </w:r>
      <w:r>
        <w:t xml:space="preserve"> основно в две насоки:</w:t>
      </w:r>
    </w:p>
    <w:p w:rsidR="00C164AA" w:rsidRDefault="00F04420" w:rsidP="00BE0C31">
      <w:pPr>
        <w:numPr>
          <w:ilvl w:val="0"/>
          <w:numId w:val="15"/>
        </w:numPr>
        <w:spacing w:after="120"/>
        <w:ind w:left="993" w:hanging="426"/>
      </w:pPr>
      <w:r w:rsidRPr="003959AF">
        <w:rPr>
          <w:i/>
        </w:rPr>
        <w:t>Подновяване на автомобилния парк.</w:t>
      </w:r>
      <w:r w:rsidR="003959AF">
        <w:t xml:space="preserve"> През последните </w:t>
      </w:r>
      <w:r w:rsidR="005723A8">
        <w:t xml:space="preserve">пет </w:t>
      </w:r>
      <w:r w:rsidR="003959AF">
        <w:t>години беше реализирана програма за подмяна на остарелите автомобили с нови.</w:t>
      </w:r>
      <w:r w:rsidR="00C164AA">
        <w:t xml:space="preserve"> Това понижи възрастта на притежаваните автомобили</w:t>
      </w:r>
      <w:r w:rsidR="00E032E5">
        <w:t xml:space="preserve"> от над 10 г. през 2005 г.</w:t>
      </w:r>
      <w:r w:rsidR="00C164AA">
        <w:t xml:space="preserve"> </w:t>
      </w:r>
      <w:r w:rsidR="00E032E5">
        <w:t>до</w:t>
      </w:r>
      <w:r w:rsidR="00C164AA">
        <w:t xml:space="preserve"> среднат</w:t>
      </w:r>
      <w:r w:rsidR="00E032E5">
        <w:t>а възраст на автомобилния парк от</w:t>
      </w:r>
      <w:r w:rsidR="00C164AA">
        <w:t xml:space="preserve"> </w:t>
      </w:r>
      <w:r w:rsidR="00E032E5">
        <w:t>3</w:t>
      </w:r>
      <w:r w:rsidR="00C164AA">
        <w:t xml:space="preserve"> г.</w:t>
      </w:r>
      <w:r w:rsidR="003959AF">
        <w:t xml:space="preserve"> </w:t>
      </w:r>
      <w:r w:rsidR="00E032E5">
        <w:t xml:space="preserve">към момента. </w:t>
      </w:r>
      <w:r w:rsidR="003959AF">
        <w:t>Положителният ефект се реализира от по-ниските разходи за поддръжка на автомобилите</w:t>
      </w:r>
      <w:r w:rsidR="00635903">
        <w:t xml:space="preserve"> с близо 35%</w:t>
      </w:r>
      <w:r w:rsidR="00302C85">
        <w:t>, както</w:t>
      </w:r>
      <w:r w:rsidR="003959AF">
        <w:t xml:space="preserve"> и икономии и подобрена производителност на куриерите, поради </w:t>
      </w:r>
      <w:r w:rsidR="00302C85">
        <w:t>минимизирането</w:t>
      </w:r>
      <w:r w:rsidR="003959AF">
        <w:t xml:space="preserve"> на </w:t>
      </w:r>
      <w:r w:rsidR="00302C85">
        <w:t>нарушаването на работния проце</w:t>
      </w:r>
      <w:r w:rsidR="00C164AA">
        <w:t xml:space="preserve">с поради повреда на автомобила. Влошената конюнктура на пазара на нови автомобили позволи </w:t>
      </w:r>
      <w:r w:rsidR="008D4680">
        <w:t>д</w:t>
      </w:r>
      <w:r w:rsidR="00C164AA">
        <w:t xml:space="preserve">а се постигне </w:t>
      </w:r>
      <w:r w:rsidR="008D4680">
        <w:t xml:space="preserve">атрактивна цена </w:t>
      </w:r>
      <w:r w:rsidR="00502677">
        <w:t xml:space="preserve">при </w:t>
      </w:r>
      <w:r w:rsidR="008D4680">
        <w:t>покупката</w:t>
      </w:r>
      <w:r w:rsidR="00C164AA">
        <w:t xml:space="preserve"> на новопридобитите </w:t>
      </w:r>
      <w:r w:rsidR="008D4680">
        <w:t>автомобили.</w:t>
      </w:r>
    </w:p>
    <w:p w:rsidR="00755EAE" w:rsidRDefault="00755EAE" w:rsidP="00BE0C31">
      <w:pPr>
        <w:spacing w:after="120"/>
        <w:ind w:left="993"/>
      </w:pPr>
      <w:r>
        <w:t xml:space="preserve">Модернизирането на автомобилният парк се съпътства и с </w:t>
      </w:r>
      <w:r w:rsidRPr="00755EAE">
        <w:t>оборудване с проследяващи устройства и въвеждане на система за управление на автопарк</w:t>
      </w:r>
      <w:r>
        <w:t>а.</w:t>
      </w:r>
    </w:p>
    <w:p w:rsidR="0040038C" w:rsidRDefault="00277252" w:rsidP="00BE0C31">
      <w:pPr>
        <w:numPr>
          <w:ilvl w:val="0"/>
          <w:numId w:val="15"/>
        </w:numPr>
        <w:spacing w:after="120"/>
        <w:ind w:left="993" w:hanging="426"/>
      </w:pPr>
      <w:r w:rsidRPr="000D3F14">
        <w:rPr>
          <w:i/>
        </w:rPr>
        <w:t>С</w:t>
      </w:r>
      <w:r w:rsidR="0040038C">
        <w:rPr>
          <w:i/>
        </w:rPr>
        <w:t>офтуеъ</w:t>
      </w:r>
      <w:r w:rsidRPr="000D3F14">
        <w:rPr>
          <w:i/>
        </w:rPr>
        <w:t>р и техническо оборудване</w:t>
      </w:r>
      <w:r w:rsidR="000D3F14">
        <w:rPr>
          <w:i/>
        </w:rPr>
        <w:t xml:space="preserve">. </w:t>
      </w:r>
      <w:r w:rsidR="000D3F14">
        <w:t>През последните</w:t>
      </w:r>
      <w:r w:rsidR="005723A8">
        <w:t xml:space="preserve"> пет</w:t>
      </w:r>
      <w:r w:rsidR="000D3F14">
        <w:t xml:space="preserve"> години приоритетно усилия и средства се влагат в автоматизация и компютъризиране на процесите и внедряването на уеб-базирани приложения. </w:t>
      </w:r>
      <w:r w:rsidR="0040038C">
        <w:t xml:space="preserve">Към момента може да се каже, че </w:t>
      </w:r>
      <w:r w:rsidR="00D70BF4">
        <w:t>„СПИДИ” ЕАД</w:t>
      </w:r>
      <w:r w:rsidR="0040038C">
        <w:t xml:space="preserve"> има </w:t>
      </w:r>
      <w:r w:rsidR="0040038C" w:rsidRPr="000E6D77">
        <w:t>най-развитата ИТ инфраструктура в индустрията - вътрешно разработен софтуеър, който интегрира системите на различните дейности в реално време.</w:t>
      </w:r>
      <w:r w:rsidR="0040038C">
        <w:t xml:space="preserve"> </w:t>
      </w:r>
      <w:r w:rsidR="00B5302C">
        <w:t>Голяма част от</w:t>
      </w:r>
      <w:r w:rsidR="0040038C">
        <w:t xml:space="preserve"> инвестициите в разработването на софтуеър</w:t>
      </w:r>
      <w:r w:rsidR="00B5302C">
        <w:t xml:space="preserve"> не се капитализират</w:t>
      </w:r>
      <w:r w:rsidR="0040038C">
        <w:t xml:space="preserve">, </w:t>
      </w:r>
      <w:r w:rsidR="00B5302C">
        <w:t>а</w:t>
      </w:r>
      <w:r w:rsidR="00462136">
        <w:t xml:space="preserve"> се отчитат като текущ разход, в съответствие със счетоводните стандарти, тъй като се разработват самостоятелно от отдела за „Информационни технологии”.</w:t>
      </w:r>
    </w:p>
    <w:p w:rsidR="001C6EA4" w:rsidRPr="000E6D77" w:rsidRDefault="001C6EA4" w:rsidP="00BE0C31">
      <w:pPr>
        <w:spacing w:after="120"/>
        <w:ind w:left="993"/>
      </w:pPr>
      <w:r>
        <w:t xml:space="preserve">Посредством </w:t>
      </w:r>
      <w:r w:rsidR="00D4667B">
        <w:t>разраб</w:t>
      </w:r>
      <w:r>
        <w:t>отения софтуеър над 90% от пратките подлежат на контролно разтегляне на всеки пакет и означаването му с travel label със собствен бар код, включващ информация за дестинацията на пакета, вида на услугата и точното тегло. С помощта на бар кода системата обработва автоматично пратката като представената в него информация е достатъчна</w:t>
      </w:r>
      <w:r w:rsidR="005723A8">
        <w:t>,</w:t>
      </w:r>
      <w:r>
        <w:t xml:space="preserve"> за да се регистрира и проследява пратката в системата от момента на поставяне на стикера</w:t>
      </w:r>
      <w:r w:rsidR="004A363A">
        <w:t xml:space="preserve"> от куриера при приемането й</w:t>
      </w:r>
      <w:r>
        <w:t xml:space="preserve"> до предаването й на клиента получател. Същата е интегрирана с модула за корпоративни клиенти</w:t>
      </w:r>
      <w:r w:rsidR="004A363A">
        <w:t xml:space="preserve"> - </w:t>
      </w:r>
      <w:r>
        <w:t>уеб базирано приложение, което позволяв</w:t>
      </w:r>
      <w:r w:rsidR="004A363A">
        <w:t xml:space="preserve">а </w:t>
      </w:r>
      <w:r>
        <w:t xml:space="preserve"> електронно генериране на транспортния до</w:t>
      </w:r>
      <w:r w:rsidR="004A363A">
        <w:t xml:space="preserve">кумент, с който пътува пратката, </w:t>
      </w:r>
      <w:r>
        <w:t xml:space="preserve"> постоянна двустранна връзка</w:t>
      </w:r>
      <w:r w:rsidR="004A363A">
        <w:t xml:space="preserve"> с оперативната система на компанията, </w:t>
      </w:r>
      <w:r>
        <w:t>информация в реално в</w:t>
      </w:r>
      <w:r w:rsidR="004A363A">
        <w:t xml:space="preserve">реме за статуса на всяка пратка, </w:t>
      </w:r>
      <w:r>
        <w:t xml:space="preserve">набор от разнообразни справки с цел оптимизиране работата и отчетността при потребителя. </w:t>
      </w:r>
      <w:r w:rsidR="00D70BF4">
        <w:t>„СПИДИ” ЕАД</w:t>
      </w:r>
      <w:r w:rsidR="004A363A">
        <w:t xml:space="preserve"> </w:t>
      </w:r>
      <w:r>
        <w:t>предоставя и поддържа безплатно софтуерния модул, а директния</w:t>
      </w:r>
      <w:r w:rsidR="005723A8">
        <w:t>т</w:t>
      </w:r>
      <w:r>
        <w:t xml:space="preserve"> достъп до сървъра осигурява възможност за проследяване движението на пратките и финансовото им отражение в месечните задължения на клиентите.</w:t>
      </w:r>
    </w:p>
    <w:p w:rsidR="00132672" w:rsidRDefault="000D3F14" w:rsidP="00BE0C31">
      <w:pPr>
        <w:spacing w:after="120"/>
        <w:ind w:left="993"/>
      </w:pPr>
      <w:r>
        <w:t>Значителна инвестиция беше оборудването</w:t>
      </w:r>
      <w:r w:rsidR="00462136">
        <w:t xml:space="preserve"> през </w:t>
      </w:r>
      <w:r w:rsidR="00A95D71">
        <w:t xml:space="preserve">2008 и </w:t>
      </w:r>
      <w:r w:rsidR="00462136">
        <w:t>2009 г.</w:t>
      </w:r>
      <w:r>
        <w:t xml:space="preserve"> на всички куриери</w:t>
      </w:r>
      <w:r w:rsidR="000E6D77">
        <w:t xml:space="preserve"> с персонални покет-терминални устройства</w:t>
      </w:r>
      <w:r w:rsidR="00A95D71">
        <w:t xml:space="preserve"> – общо 553 броя</w:t>
      </w:r>
      <w:r w:rsidR="00932494">
        <w:t xml:space="preserve">, заедно с </w:t>
      </w:r>
      <w:r w:rsidR="00132672">
        <w:t xml:space="preserve">770 </w:t>
      </w:r>
      <w:r w:rsidR="00932494">
        <w:t>принт</w:t>
      </w:r>
      <w:r w:rsidR="00132672">
        <w:t>иращи устр</w:t>
      </w:r>
      <w:r w:rsidR="00430E0F">
        <w:t xml:space="preserve">ойства </w:t>
      </w:r>
      <w:r w:rsidR="00616DAD">
        <w:t>(основната част от инвестицията е извършена през 2008 г.)</w:t>
      </w:r>
      <w:r w:rsidR="00132672">
        <w:t>.</w:t>
      </w:r>
      <w:r w:rsidR="000E6D77">
        <w:t xml:space="preserve"> </w:t>
      </w:r>
      <w:r w:rsidR="00132672">
        <w:t>Това</w:t>
      </w:r>
      <w:r w:rsidR="000E6D77">
        <w:t xml:space="preserve"> позволява да приемат и предават заявките и пратките, както и да обработват документите свързани с пратките автоматизирано и в реално време.</w:t>
      </w:r>
      <w:r w:rsidR="000253AB">
        <w:t xml:space="preserve"> </w:t>
      </w:r>
      <w:r w:rsidR="000253AB" w:rsidRPr="000253AB">
        <w:t>След попълване данните за пратката, нейното тегло, вида на избраната услуга и получателя, програмата автоматично изчислява всички цени, разстояния и срокове за доставка, съобразно актуалната към момента тарифа на компанията.</w:t>
      </w:r>
      <w:r w:rsidR="005723A8">
        <w:t xml:space="preserve"> След 2009 г. се закупуват под</w:t>
      </w:r>
      <w:r w:rsidR="00132672">
        <w:t>обни устройства единствено за подмяна</w:t>
      </w:r>
      <w:r w:rsidR="00616DAD">
        <w:t xml:space="preserve"> на повредени устройства</w:t>
      </w:r>
      <w:r w:rsidR="00132672">
        <w:t xml:space="preserve"> и оборудване на нови служители, поради което и инвестициите са значително по-малки</w:t>
      </w:r>
      <w:r w:rsidR="009E4572">
        <w:t>.</w:t>
      </w:r>
    </w:p>
    <w:p w:rsidR="000E6D77" w:rsidRDefault="00462136" w:rsidP="00BE0C31">
      <w:pPr>
        <w:spacing w:after="120"/>
        <w:ind w:left="993"/>
      </w:pPr>
      <w:r>
        <w:t>Също така всички складове бяха оборудвани с модерни технически съоръжения – поточни линии с ролкови пътища, камери за видео наблюдение, компютри, снабдени със сканиращи устройства.</w:t>
      </w:r>
      <w:r w:rsidR="000253AB">
        <w:t xml:space="preserve"> </w:t>
      </w:r>
    </w:p>
    <w:p w:rsidR="00982851" w:rsidRPr="00032F48" w:rsidRDefault="00D51AF1" w:rsidP="00032F48">
      <w:pPr>
        <w:spacing w:after="120"/>
        <w:jc w:val="center"/>
        <w:rPr>
          <w:i/>
          <w:u w:val="single"/>
        </w:rPr>
      </w:pPr>
      <w:r>
        <w:rPr>
          <w:i/>
          <w:u w:val="single"/>
        </w:rPr>
        <w:t>Извършени</w:t>
      </w:r>
      <w:r w:rsidR="00982851" w:rsidRPr="00032F48">
        <w:rPr>
          <w:i/>
          <w:u w:val="single"/>
        </w:rPr>
        <w:t xml:space="preserve"> инвестиции</w:t>
      </w:r>
    </w:p>
    <w:tbl>
      <w:tblPr>
        <w:tblStyle w:val="MediumShading2-Accent11"/>
        <w:tblW w:w="9781" w:type="dxa"/>
        <w:tblInd w:w="108" w:type="dxa"/>
        <w:tblLayout w:type="fixed"/>
        <w:tblLook w:val="04E0"/>
      </w:tblPr>
      <w:tblGrid>
        <w:gridCol w:w="3686"/>
        <w:gridCol w:w="1010"/>
        <w:gridCol w:w="1010"/>
        <w:gridCol w:w="1010"/>
        <w:gridCol w:w="1010"/>
        <w:gridCol w:w="1010"/>
        <w:gridCol w:w="1045"/>
      </w:tblGrid>
      <w:tr w:rsidR="00F243FA" w:rsidRPr="00E44379" w:rsidTr="00E44379">
        <w:trPr>
          <w:cnfStyle w:val="100000000000"/>
          <w:trHeight w:val="300"/>
        </w:trPr>
        <w:tc>
          <w:tcPr>
            <w:cnfStyle w:val="001000000100"/>
            <w:tcW w:w="3686" w:type="dxa"/>
            <w:noWrap/>
            <w:vAlign w:val="center"/>
            <w:hideMark/>
          </w:tcPr>
          <w:p w:rsidR="00F243FA" w:rsidRPr="00E44379" w:rsidRDefault="00F243FA" w:rsidP="00E44379">
            <w:pPr>
              <w:tabs>
                <w:tab w:val="right" w:pos="2477"/>
              </w:tabs>
              <w:autoSpaceDE/>
              <w:autoSpaceDN/>
              <w:adjustRightInd/>
              <w:spacing w:after="0"/>
              <w:jc w:val="center"/>
              <w:rPr>
                <w:rFonts w:asciiTheme="minorHAnsi" w:hAnsiTheme="minorHAnsi" w:cstheme="minorHAnsi"/>
                <w:sz w:val="22"/>
                <w:szCs w:val="22"/>
                <w:lang w:eastAsia="bg-BG"/>
              </w:rPr>
            </w:pPr>
            <w:r w:rsidRPr="00E44379">
              <w:rPr>
                <w:rFonts w:asciiTheme="minorHAnsi" w:hAnsiTheme="minorHAnsi" w:cstheme="minorHAnsi"/>
                <w:sz w:val="22"/>
                <w:szCs w:val="22"/>
                <w:lang w:eastAsia="bg-BG"/>
              </w:rPr>
              <w:t>В хил. лв.</w:t>
            </w:r>
          </w:p>
        </w:tc>
        <w:tc>
          <w:tcPr>
            <w:tcW w:w="1010" w:type="dxa"/>
            <w:noWrap/>
            <w:vAlign w:val="center"/>
            <w:hideMark/>
          </w:tcPr>
          <w:p w:rsidR="00F243FA" w:rsidRPr="00E44379" w:rsidRDefault="00F243FA" w:rsidP="00E44379">
            <w:pPr>
              <w:autoSpaceDE/>
              <w:autoSpaceDN/>
              <w:adjustRightInd/>
              <w:spacing w:after="0"/>
              <w:jc w:val="center"/>
              <w:cnfStyle w:val="100000000000"/>
              <w:rPr>
                <w:rFonts w:asciiTheme="minorHAnsi" w:hAnsiTheme="minorHAnsi" w:cstheme="minorHAnsi"/>
                <w:bCs w:val="0"/>
                <w:color w:val="000000"/>
                <w:sz w:val="22"/>
                <w:szCs w:val="22"/>
                <w:lang w:eastAsia="bg-BG"/>
              </w:rPr>
            </w:pPr>
            <w:r w:rsidRPr="00E44379">
              <w:rPr>
                <w:rFonts w:asciiTheme="minorHAnsi" w:hAnsiTheme="minorHAnsi" w:cstheme="minorHAnsi"/>
                <w:bCs w:val="0"/>
                <w:color w:val="000000"/>
                <w:sz w:val="22"/>
                <w:szCs w:val="22"/>
                <w:lang w:eastAsia="bg-BG"/>
              </w:rPr>
              <w:t>2009</w:t>
            </w:r>
          </w:p>
        </w:tc>
        <w:tc>
          <w:tcPr>
            <w:tcW w:w="1010" w:type="dxa"/>
            <w:noWrap/>
            <w:vAlign w:val="center"/>
            <w:hideMark/>
          </w:tcPr>
          <w:p w:rsidR="00F243FA" w:rsidRPr="00E44379" w:rsidRDefault="00F243FA" w:rsidP="00E44379">
            <w:pPr>
              <w:autoSpaceDE/>
              <w:autoSpaceDN/>
              <w:adjustRightInd/>
              <w:spacing w:after="0"/>
              <w:jc w:val="center"/>
              <w:cnfStyle w:val="100000000000"/>
              <w:rPr>
                <w:rFonts w:asciiTheme="minorHAnsi" w:hAnsiTheme="minorHAnsi" w:cstheme="minorHAnsi"/>
                <w:bCs w:val="0"/>
                <w:color w:val="000000"/>
                <w:sz w:val="22"/>
                <w:szCs w:val="22"/>
                <w:lang w:eastAsia="bg-BG"/>
              </w:rPr>
            </w:pPr>
            <w:r w:rsidRPr="00E44379">
              <w:rPr>
                <w:rFonts w:asciiTheme="minorHAnsi" w:hAnsiTheme="minorHAnsi" w:cstheme="minorHAnsi"/>
                <w:bCs w:val="0"/>
                <w:color w:val="000000"/>
                <w:sz w:val="22"/>
                <w:szCs w:val="22"/>
                <w:lang w:eastAsia="bg-BG"/>
              </w:rPr>
              <w:t>2010</w:t>
            </w:r>
          </w:p>
        </w:tc>
        <w:tc>
          <w:tcPr>
            <w:tcW w:w="1010" w:type="dxa"/>
            <w:noWrap/>
            <w:vAlign w:val="center"/>
            <w:hideMark/>
          </w:tcPr>
          <w:p w:rsidR="00F243FA" w:rsidRPr="00E44379" w:rsidRDefault="00F243FA" w:rsidP="00E44379">
            <w:pPr>
              <w:autoSpaceDE/>
              <w:autoSpaceDN/>
              <w:adjustRightInd/>
              <w:spacing w:after="0"/>
              <w:jc w:val="center"/>
              <w:cnfStyle w:val="100000000000"/>
              <w:rPr>
                <w:rFonts w:asciiTheme="minorHAnsi" w:hAnsiTheme="minorHAnsi" w:cstheme="minorHAnsi"/>
                <w:bCs w:val="0"/>
                <w:color w:val="000000"/>
                <w:sz w:val="22"/>
                <w:szCs w:val="22"/>
                <w:lang w:eastAsia="bg-BG"/>
              </w:rPr>
            </w:pPr>
            <w:r w:rsidRPr="00E44379">
              <w:rPr>
                <w:rFonts w:asciiTheme="minorHAnsi" w:hAnsiTheme="minorHAnsi" w:cstheme="minorHAnsi"/>
                <w:bCs w:val="0"/>
                <w:color w:val="000000"/>
                <w:sz w:val="22"/>
                <w:szCs w:val="22"/>
                <w:lang w:eastAsia="bg-BG"/>
              </w:rPr>
              <w:t>2011</w:t>
            </w:r>
          </w:p>
        </w:tc>
        <w:tc>
          <w:tcPr>
            <w:tcW w:w="1010" w:type="dxa"/>
            <w:tcBorders>
              <w:right w:val="single" w:sz="12" w:space="0" w:color="auto"/>
            </w:tcBorders>
            <w:noWrap/>
            <w:vAlign w:val="center"/>
            <w:hideMark/>
          </w:tcPr>
          <w:p w:rsidR="00F243FA" w:rsidRPr="00E44379" w:rsidRDefault="00F243FA" w:rsidP="00E44379">
            <w:pPr>
              <w:autoSpaceDE/>
              <w:autoSpaceDN/>
              <w:adjustRightInd/>
              <w:spacing w:after="0"/>
              <w:jc w:val="center"/>
              <w:cnfStyle w:val="100000000000"/>
              <w:rPr>
                <w:rFonts w:asciiTheme="minorHAnsi" w:hAnsiTheme="minorHAnsi" w:cstheme="minorHAnsi"/>
                <w:bCs w:val="0"/>
                <w:color w:val="000000"/>
                <w:sz w:val="22"/>
                <w:szCs w:val="22"/>
                <w:lang w:eastAsia="bg-BG"/>
              </w:rPr>
            </w:pPr>
            <w:r w:rsidRPr="00E44379">
              <w:rPr>
                <w:rFonts w:asciiTheme="minorHAnsi" w:hAnsiTheme="minorHAnsi" w:cstheme="minorHAnsi"/>
                <w:bCs w:val="0"/>
                <w:color w:val="000000"/>
                <w:sz w:val="22"/>
                <w:szCs w:val="22"/>
                <w:lang w:eastAsia="bg-BG"/>
              </w:rPr>
              <w:t>21.05.12</w:t>
            </w:r>
          </w:p>
        </w:tc>
        <w:tc>
          <w:tcPr>
            <w:tcW w:w="1010" w:type="dxa"/>
            <w:tcBorders>
              <w:left w:val="single" w:sz="12" w:space="0" w:color="auto"/>
            </w:tcBorders>
            <w:noWrap/>
            <w:vAlign w:val="center"/>
            <w:hideMark/>
          </w:tcPr>
          <w:p w:rsidR="00F243FA" w:rsidRPr="00E44379" w:rsidRDefault="00F243FA" w:rsidP="00E44379">
            <w:pPr>
              <w:autoSpaceDE/>
              <w:autoSpaceDN/>
              <w:adjustRightInd/>
              <w:spacing w:after="0"/>
              <w:jc w:val="center"/>
              <w:cnfStyle w:val="100000000000"/>
              <w:rPr>
                <w:rFonts w:asciiTheme="minorHAnsi" w:hAnsiTheme="minorHAnsi" w:cstheme="minorHAnsi"/>
                <w:bCs w:val="0"/>
                <w:color w:val="000000"/>
                <w:sz w:val="22"/>
                <w:szCs w:val="22"/>
                <w:lang w:eastAsia="bg-BG"/>
              </w:rPr>
            </w:pPr>
            <w:r w:rsidRPr="00E44379">
              <w:rPr>
                <w:rFonts w:asciiTheme="minorHAnsi" w:hAnsiTheme="minorHAnsi" w:cstheme="minorHAnsi"/>
                <w:bCs w:val="0"/>
                <w:color w:val="000000"/>
                <w:sz w:val="22"/>
                <w:szCs w:val="22"/>
                <w:lang w:eastAsia="bg-BG"/>
              </w:rPr>
              <w:t>2011 К</w:t>
            </w:r>
          </w:p>
        </w:tc>
        <w:tc>
          <w:tcPr>
            <w:tcW w:w="1045" w:type="dxa"/>
            <w:tcBorders>
              <w:right w:val="single" w:sz="12" w:space="0" w:color="auto"/>
            </w:tcBorders>
            <w:noWrap/>
            <w:vAlign w:val="center"/>
            <w:hideMark/>
          </w:tcPr>
          <w:p w:rsidR="00F243FA" w:rsidRPr="00E44379" w:rsidRDefault="00F243FA" w:rsidP="00E44379">
            <w:pPr>
              <w:autoSpaceDE/>
              <w:autoSpaceDN/>
              <w:adjustRightInd/>
              <w:spacing w:after="0"/>
              <w:jc w:val="center"/>
              <w:cnfStyle w:val="100000000000"/>
              <w:rPr>
                <w:rFonts w:asciiTheme="minorHAnsi" w:hAnsiTheme="minorHAnsi" w:cstheme="minorHAnsi"/>
                <w:bCs w:val="0"/>
                <w:color w:val="000000"/>
                <w:sz w:val="22"/>
                <w:szCs w:val="22"/>
                <w:lang w:eastAsia="bg-BG"/>
              </w:rPr>
            </w:pPr>
            <w:r w:rsidRPr="00E44379">
              <w:rPr>
                <w:rFonts w:asciiTheme="minorHAnsi" w:hAnsiTheme="minorHAnsi" w:cstheme="minorHAnsi"/>
                <w:bCs w:val="0"/>
                <w:color w:val="000000"/>
                <w:sz w:val="22"/>
                <w:szCs w:val="22"/>
                <w:lang w:eastAsia="bg-BG"/>
              </w:rPr>
              <w:t>21.05.12консолидирани</w:t>
            </w:r>
          </w:p>
        </w:tc>
      </w:tr>
      <w:tr w:rsidR="00E44379" w:rsidRPr="00F05A3A" w:rsidTr="00E44379">
        <w:trPr>
          <w:cnfStyle w:val="000000100000"/>
          <w:trHeight w:val="300"/>
        </w:trPr>
        <w:tc>
          <w:tcPr>
            <w:cnfStyle w:val="001000000000"/>
            <w:tcW w:w="3686" w:type="dxa"/>
            <w:noWrap/>
            <w:hideMark/>
          </w:tcPr>
          <w:p w:rsidR="00E44379" w:rsidRPr="00F05A3A" w:rsidRDefault="00E44379" w:rsidP="005E7A63">
            <w:pPr>
              <w:autoSpaceDE/>
              <w:autoSpaceDN/>
              <w:adjustRightInd/>
              <w:spacing w:after="0"/>
              <w:jc w:val="left"/>
              <w:rPr>
                <w:rFonts w:asciiTheme="minorHAnsi" w:hAnsiTheme="minorHAnsi" w:cstheme="minorHAnsi"/>
                <w:bCs w:val="0"/>
                <w:sz w:val="22"/>
                <w:szCs w:val="22"/>
                <w:lang w:eastAsia="bg-BG"/>
              </w:rPr>
            </w:pPr>
            <w:r w:rsidRPr="00F05A3A">
              <w:rPr>
                <w:rFonts w:asciiTheme="minorHAnsi" w:hAnsiTheme="minorHAnsi" w:cstheme="minorHAnsi"/>
                <w:bCs w:val="0"/>
                <w:sz w:val="22"/>
                <w:szCs w:val="22"/>
                <w:lang w:eastAsia="bg-BG"/>
              </w:rPr>
              <w:t>Дълготрайни материални активи</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1 243</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1 753</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2 681</w:t>
            </w:r>
          </w:p>
        </w:tc>
        <w:tc>
          <w:tcPr>
            <w:tcW w:w="1010" w:type="dxa"/>
            <w:tcBorders>
              <w:right w:val="single" w:sz="12" w:space="0" w:color="auto"/>
            </w:tcBorders>
            <w:noWrap/>
            <w:hideMark/>
          </w:tcPr>
          <w:p w:rsidR="00E44379" w:rsidRPr="00F05A3A" w:rsidRDefault="00E44379">
            <w:pPr>
              <w:jc w:val="right"/>
              <w:cnfStyle w:val="000000100000"/>
              <w:rPr>
                <w:rFonts w:asciiTheme="minorHAnsi" w:hAnsiTheme="minorHAnsi" w:cstheme="minorHAnsi"/>
                <w:b/>
                <w:bCs/>
                <w:color w:val="000000"/>
                <w:sz w:val="22"/>
                <w:szCs w:val="22"/>
              </w:rPr>
            </w:pPr>
            <w:r>
              <w:rPr>
                <w:rFonts w:asciiTheme="minorHAnsi" w:hAnsiTheme="minorHAnsi" w:cstheme="minorHAnsi"/>
                <w:b/>
                <w:bCs/>
                <w:color w:val="000000"/>
                <w:sz w:val="22"/>
                <w:szCs w:val="22"/>
              </w:rPr>
              <w:t>2 063</w:t>
            </w:r>
          </w:p>
        </w:tc>
        <w:tc>
          <w:tcPr>
            <w:tcW w:w="1010" w:type="dxa"/>
            <w:tcBorders>
              <w:left w:val="single" w:sz="12" w:space="0" w:color="auto"/>
            </w:tcBorders>
            <w:noWrap/>
            <w:hideMark/>
          </w:tcPr>
          <w:p w:rsidR="00E44379" w:rsidRPr="00F05A3A" w:rsidRDefault="00E44379">
            <w:pPr>
              <w:jc w:val="right"/>
              <w:cnfStyle w:val="0000001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2 708</w:t>
            </w:r>
          </w:p>
        </w:tc>
        <w:tc>
          <w:tcPr>
            <w:tcW w:w="1045" w:type="dxa"/>
            <w:tcBorders>
              <w:right w:val="single" w:sz="12" w:space="0" w:color="auto"/>
            </w:tcBorders>
            <w:noWrap/>
            <w:hideMark/>
          </w:tcPr>
          <w:p w:rsidR="00E44379" w:rsidRPr="00F05A3A" w:rsidRDefault="00E44379" w:rsidP="0080674A">
            <w:pPr>
              <w:jc w:val="right"/>
              <w:cnfStyle w:val="000000100000"/>
              <w:rPr>
                <w:rFonts w:asciiTheme="minorHAnsi" w:hAnsiTheme="minorHAnsi" w:cstheme="minorHAnsi"/>
                <w:b/>
                <w:bCs/>
                <w:color w:val="000000"/>
                <w:sz w:val="22"/>
                <w:szCs w:val="22"/>
              </w:rPr>
            </w:pPr>
            <w:r>
              <w:rPr>
                <w:rFonts w:asciiTheme="minorHAnsi" w:hAnsiTheme="minorHAnsi" w:cstheme="minorHAnsi"/>
                <w:b/>
                <w:bCs/>
                <w:color w:val="000000"/>
                <w:sz w:val="22"/>
                <w:szCs w:val="22"/>
              </w:rPr>
              <w:t>2 063</w:t>
            </w:r>
          </w:p>
        </w:tc>
      </w:tr>
      <w:tr w:rsidR="00E44379" w:rsidRPr="00F05A3A" w:rsidTr="00E44379">
        <w:trPr>
          <w:trHeight w:val="315"/>
        </w:trPr>
        <w:tc>
          <w:tcPr>
            <w:cnfStyle w:val="001000000000"/>
            <w:tcW w:w="3686" w:type="dxa"/>
            <w:noWrap/>
            <w:hideMark/>
          </w:tcPr>
          <w:p w:rsidR="00E44379" w:rsidRPr="00F05A3A" w:rsidRDefault="00E44379" w:rsidP="00921943">
            <w:pPr>
              <w:autoSpaceDE/>
              <w:autoSpaceDN/>
              <w:adjustRightInd/>
              <w:spacing w:after="0"/>
              <w:ind w:left="284"/>
              <w:jc w:val="left"/>
              <w:rPr>
                <w:rFonts w:asciiTheme="minorHAnsi" w:hAnsiTheme="minorHAnsi" w:cstheme="minorHAnsi"/>
                <w:b w:val="0"/>
                <w:sz w:val="22"/>
                <w:szCs w:val="22"/>
                <w:lang w:eastAsia="bg-BG"/>
              </w:rPr>
            </w:pPr>
            <w:r w:rsidRPr="00F05A3A">
              <w:rPr>
                <w:rFonts w:asciiTheme="minorHAnsi" w:hAnsiTheme="minorHAnsi" w:cstheme="minorHAnsi"/>
                <w:b w:val="0"/>
                <w:sz w:val="22"/>
                <w:szCs w:val="22"/>
                <w:lang w:eastAsia="bg-BG"/>
              </w:rPr>
              <w:t>машини</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221</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95</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89</w:t>
            </w:r>
          </w:p>
        </w:tc>
        <w:tc>
          <w:tcPr>
            <w:tcW w:w="1010" w:type="dxa"/>
            <w:tcBorders>
              <w:right w:val="single" w:sz="12" w:space="0" w:color="auto"/>
            </w:tcBorders>
            <w:noWrap/>
            <w:hideMark/>
          </w:tcPr>
          <w:p w:rsidR="00E44379" w:rsidRPr="00F05A3A" w:rsidRDefault="00E44379">
            <w:pPr>
              <w:jc w:val="right"/>
              <w:cnfStyle w:val="000000000000"/>
              <w:rPr>
                <w:rFonts w:asciiTheme="minorHAnsi" w:hAnsiTheme="minorHAnsi" w:cstheme="minorHAnsi"/>
                <w:color w:val="000000"/>
                <w:sz w:val="22"/>
                <w:szCs w:val="22"/>
              </w:rPr>
            </w:pPr>
            <w:r>
              <w:rPr>
                <w:rFonts w:asciiTheme="minorHAnsi" w:hAnsiTheme="minorHAnsi" w:cstheme="minorHAnsi"/>
                <w:color w:val="000000"/>
                <w:sz w:val="22"/>
                <w:szCs w:val="22"/>
              </w:rPr>
              <w:t>35</w:t>
            </w:r>
          </w:p>
        </w:tc>
        <w:tc>
          <w:tcPr>
            <w:tcW w:w="1010" w:type="dxa"/>
            <w:tcBorders>
              <w:left w:val="single" w:sz="12" w:space="0" w:color="auto"/>
            </w:tcBorders>
            <w:noWrap/>
            <w:hideMark/>
          </w:tcPr>
          <w:p w:rsidR="00E44379" w:rsidRPr="00F05A3A" w:rsidRDefault="00E44379">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90</w:t>
            </w:r>
          </w:p>
        </w:tc>
        <w:tc>
          <w:tcPr>
            <w:tcW w:w="1045" w:type="dxa"/>
            <w:tcBorders>
              <w:right w:val="single" w:sz="12" w:space="0" w:color="auto"/>
            </w:tcBorders>
            <w:noWrap/>
            <w:hideMark/>
          </w:tcPr>
          <w:p w:rsidR="00E44379" w:rsidRPr="00F05A3A" w:rsidRDefault="00E44379" w:rsidP="0080674A">
            <w:pPr>
              <w:jc w:val="right"/>
              <w:cnfStyle w:val="000000000000"/>
              <w:rPr>
                <w:rFonts w:asciiTheme="minorHAnsi" w:hAnsiTheme="minorHAnsi" w:cstheme="minorHAnsi"/>
                <w:color w:val="000000"/>
                <w:sz w:val="22"/>
                <w:szCs w:val="22"/>
              </w:rPr>
            </w:pPr>
            <w:r>
              <w:rPr>
                <w:rFonts w:asciiTheme="minorHAnsi" w:hAnsiTheme="minorHAnsi" w:cstheme="minorHAnsi"/>
                <w:color w:val="000000"/>
                <w:sz w:val="22"/>
                <w:szCs w:val="22"/>
              </w:rPr>
              <w:t>35</w:t>
            </w:r>
          </w:p>
        </w:tc>
      </w:tr>
      <w:tr w:rsidR="00E44379" w:rsidRPr="00F05A3A" w:rsidTr="00E44379">
        <w:trPr>
          <w:cnfStyle w:val="000000100000"/>
          <w:trHeight w:val="315"/>
        </w:trPr>
        <w:tc>
          <w:tcPr>
            <w:cnfStyle w:val="001000000000"/>
            <w:tcW w:w="3686" w:type="dxa"/>
            <w:noWrap/>
            <w:hideMark/>
          </w:tcPr>
          <w:p w:rsidR="00E44379" w:rsidRPr="00F05A3A" w:rsidRDefault="00E44379" w:rsidP="00921943">
            <w:pPr>
              <w:autoSpaceDE/>
              <w:autoSpaceDN/>
              <w:adjustRightInd/>
              <w:spacing w:after="0"/>
              <w:ind w:left="284"/>
              <w:jc w:val="left"/>
              <w:rPr>
                <w:rFonts w:asciiTheme="minorHAnsi" w:hAnsiTheme="minorHAnsi" w:cstheme="minorHAnsi"/>
                <w:b w:val="0"/>
                <w:sz w:val="22"/>
                <w:szCs w:val="22"/>
                <w:lang w:eastAsia="bg-BG"/>
              </w:rPr>
            </w:pPr>
            <w:r w:rsidRPr="00F05A3A">
              <w:rPr>
                <w:rFonts w:asciiTheme="minorHAnsi" w:hAnsiTheme="minorHAnsi" w:cstheme="minorHAnsi"/>
                <w:b w:val="0"/>
                <w:sz w:val="22"/>
                <w:szCs w:val="22"/>
                <w:lang w:eastAsia="bg-BG"/>
              </w:rPr>
              <w:t>транспортни средства</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802</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1 141</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2 338</w:t>
            </w:r>
          </w:p>
        </w:tc>
        <w:tc>
          <w:tcPr>
            <w:tcW w:w="1010" w:type="dxa"/>
            <w:tcBorders>
              <w:right w:val="single" w:sz="12" w:space="0" w:color="auto"/>
            </w:tcBorders>
            <w:noWrap/>
            <w:hideMark/>
          </w:tcPr>
          <w:p w:rsidR="00E44379" w:rsidRPr="00F05A3A" w:rsidRDefault="00E44379">
            <w:pPr>
              <w:jc w:val="right"/>
              <w:cnfStyle w:val="000000100000"/>
              <w:rPr>
                <w:rFonts w:asciiTheme="minorHAnsi" w:hAnsiTheme="minorHAnsi" w:cstheme="minorHAnsi"/>
                <w:color w:val="000000"/>
                <w:sz w:val="22"/>
                <w:szCs w:val="22"/>
              </w:rPr>
            </w:pPr>
            <w:r>
              <w:rPr>
                <w:rFonts w:asciiTheme="minorHAnsi" w:hAnsiTheme="minorHAnsi" w:cstheme="minorHAnsi"/>
                <w:color w:val="000000"/>
                <w:sz w:val="22"/>
                <w:szCs w:val="22"/>
              </w:rPr>
              <w:t>1 734</w:t>
            </w:r>
          </w:p>
        </w:tc>
        <w:tc>
          <w:tcPr>
            <w:tcW w:w="1010" w:type="dxa"/>
            <w:tcBorders>
              <w:left w:val="single" w:sz="12" w:space="0" w:color="auto"/>
            </w:tcBorders>
            <w:noWrap/>
            <w:hideMark/>
          </w:tcPr>
          <w:p w:rsidR="00E44379" w:rsidRPr="00F05A3A" w:rsidRDefault="00E44379">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2 365</w:t>
            </w:r>
          </w:p>
        </w:tc>
        <w:tc>
          <w:tcPr>
            <w:tcW w:w="1045" w:type="dxa"/>
            <w:tcBorders>
              <w:right w:val="single" w:sz="12" w:space="0" w:color="auto"/>
            </w:tcBorders>
            <w:noWrap/>
            <w:hideMark/>
          </w:tcPr>
          <w:p w:rsidR="00E44379" w:rsidRPr="00F05A3A" w:rsidRDefault="00E44379" w:rsidP="0080674A">
            <w:pPr>
              <w:jc w:val="right"/>
              <w:cnfStyle w:val="000000100000"/>
              <w:rPr>
                <w:rFonts w:asciiTheme="minorHAnsi" w:hAnsiTheme="minorHAnsi" w:cstheme="minorHAnsi"/>
                <w:color w:val="000000"/>
                <w:sz w:val="22"/>
                <w:szCs w:val="22"/>
              </w:rPr>
            </w:pPr>
            <w:r>
              <w:rPr>
                <w:rFonts w:asciiTheme="minorHAnsi" w:hAnsiTheme="minorHAnsi" w:cstheme="minorHAnsi"/>
                <w:color w:val="000000"/>
                <w:sz w:val="22"/>
                <w:szCs w:val="22"/>
              </w:rPr>
              <w:t>1 734</w:t>
            </w:r>
          </w:p>
        </w:tc>
      </w:tr>
      <w:tr w:rsidR="00E44379" w:rsidRPr="00F05A3A" w:rsidTr="00E44379">
        <w:trPr>
          <w:trHeight w:val="315"/>
        </w:trPr>
        <w:tc>
          <w:tcPr>
            <w:cnfStyle w:val="001000000000"/>
            <w:tcW w:w="3686" w:type="dxa"/>
            <w:noWrap/>
            <w:hideMark/>
          </w:tcPr>
          <w:p w:rsidR="00E44379" w:rsidRPr="00F05A3A" w:rsidRDefault="00E44379" w:rsidP="00921943">
            <w:pPr>
              <w:autoSpaceDE/>
              <w:autoSpaceDN/>
              <w:adjustRightInd/>
              <w:spacing w:after="0"/>
              <w:ind w:left="284"/>
              <w:jc w:val="left"/>
              <w:rPr>
                <w:rFonts w:asciiTheme="minorHAnsi" w:hAnsiTheme="minorHAnsi" w:cstheme="minorHAnsi"/>
                <w:b w:val="0"/>
                <w:sz w:val="22"/>
                <w:szCs w:val="22"/>
                <w:lang w:eastAsia="bg-BG"/>
              </w:rPr>
            </w:pPr>
            <w:r w:rsidRPr="00F05A3A">
              <w:rPr>
                <w:rFonts w:asciiTheme="minorHAnsi" w:hAnsiTheme="minorHAnsi" w:cstheme="minorHAnsi"/>
                <w:b w:val="0"/>
                <w:sz w:val="22"/>
                <w:szCs w:val="22"/>
                <w:lang w:eastAsia="bg-BG"/>
              </w:rPr>
              <w:t>стопански инвентар</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102</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224</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11</w:t>
            </w:r>
          </w:p>
        </w:tc>
        <w:tc>
          <w:tcPr>
            <w:tcW w:w="1010" w:type="dxa"/>
            <w:tcBorders>
              <w:right w:val="single" w:sz="12" w:space="0" w:color="auto"/>
            </w:tcBorders>
            <w:noWrap/>
            <w:hideMark/>
          </w:tcPr>
          <w:p w:rsidR="00E44379" w:rsidRPr="00F05A3A" w:rsidRDefault="00E44379">
            <w:pPr>
              <w:jc w:val="right"/>
              <w:cnfStyle w:val="000000000000"/>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010" w:type="dxa"/>
            <w:tcBorders>
              <w:left w:val="single" w:sz="12" w:space="0" w:color="auto"/>
            </w:tcBorders>
            <w:noWrap/>
            <w:hideMark/>
          </w:tcPr>
          <w:p w:rsidR="00E44379" w:rsidRPr="00F05A3A" w:rsidRDefault="00E44379">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11</w:t>
            </w:r>
          </w:p>
        </w:tc>
        <w:tc>
          <w:tcPr>
            <w:tcW w:w="1045" w:type="dxa"/>
            <w:tcBorders>
              <w:right w:val="single" w:sz="12" w:space="0" w:color="auto"/>
            </w:tcBorders>
            <w:noWrap/>
            <w:hideMark/>
          </w:tcPr>
          <w:p w:rsidR="00E44379" w:rsidRPr="00F05A3A" w:rsidRDefault="00E44379" w:rsidP="0080674A">
            <w:pPr>
              <w:jc w:val="right"/>
              <w:cnfStyle w:val="000000000000"/>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E44379" w:rsidRPr="00F05A3A" w:rsidTr="00E44379">
        <w:trPr>
          <w:cnfStyle w:val="000000100000"/>
          <w:trHeight w:val="315"/>
        </w:trPr>
        <w:tc>
          <w:tcPr>
            <w:cnfStyle w:val="001000000000"/>
            <w:tcW w:w="3686" w:type="dxa"/>
            <w:noWrap/>
            <w:hideMark/>
          </w:tcPr>
          <w:p w:rsidR="00E44379" w:rsidRPr="00F05A3A" w:rsidRDefault="00E44379" w:rsidP="00921943">
            <w:pPr>
              <w:autoSpaceDE/>
              <w:autoSpaceDN/>
              <w:adjustRightInd/>
              <w:spacing w:after="0"/>
              <w:ind w:left="284"/>
              <w:jc w:val="left"/>
              <w:rPr>
                <w:rFonts w:asciiTheme="minorHAnsi" w:hAnsiTheme="minorHAnsi" w:cstheme="minorHAnsi"/>
                <w:b w:val="0"/>
                <w:sz w:val="22"/>
                <w:szCs w:val="22"/>
                <w:lang w:eastAsia="bg-BG"/>
              </w:rPr>
            </w:pPr>
            <w:r w:rsidRPr="00F05A3A">
              <w:rPr>
                <w:rFonts w:asciiTheme="minorHAnsi" w:hAnsiTheme="minorHAnsi" w:cstheme="minorHAnsi"/>
                <w:b w:val="0"/>
                <w:sz w:val="22"/>
                <w:szCs w:val="22"/>
                <w:lang w:eastAsia="bg-BG"/>
              </w:rPr>
              <w:t>компютърна техника</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118</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292</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242</w:t>
            </w:r>
          </w:p>
        </w:tc>
        <w:tc>
          <w:tcPr>
            <w:tcW w:w="1010" w:type="dxa"/>
            <w:tcBorders>
              <w:right w:val="single" w:sz="12" w:space="0" w:color="auto"/>
            </w:tcBorders>
            <w:noWrap/>
            <w:hideMark/>
          </w:tcPr>
          <w:p w:rsidR="00E44379" w:rsidRPr="00F05A3A" w:rsidRDefault="00E44379">
            <w:pPr>
              <w:jc w:val="right"/>
              <w:cnfStyle w:val="000000100000"/>
              <w:rPr>
                <w:rFonts w:asciiTheme="minorHAnsi" w:hAnsiTheme="minorHAnsi" w:cstheme="minorHAnsi"/>
                <w:color w:val="000000"/>
                <w:sz w:val="22"/>
                <w:szCs w:val="22"/>
              </w:rPr>
            </w:pPr>
            <w:r>
              <w:rPr>
                <w:rFonts w:asciiTheme="minorHAnsi" w:hAnsiTheme="minorHAnsi" w:cstheme="minorHAnsi"/>
                <w:color w:val="000000"/>
                <w:sz w:val="22"/>
                <w:szCs w:val="22"/>
              </w:rPr>
              <w:t>289</w:t>
            </w:r>
          </w:p>
        </w:tc>
        <w:tc>
          <w:tcPr>
            <w:tcW w:w="1010" w:type="dxa"/>
            <w:tcBorders>
              <w:left w:val="single" w:sz="12" w:space="0" w:color="auto"/>
            </w:tcBorders>
            <w:noWrap/>
            <w:hideMark/>
          </w:tcPr>
          <w:p w:rsidR="00E44379" w:rsidRPr="00F05A3A" w:rsidRDefault="00E44379">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242</w:t>
            </w:r>
          </w:p>
        </w:tc>
        <w:tc>
          <w:tcPr>
            <w:tcW w:w="1045" w:type="dxa"/>
            <w:tcBorders>
              <w:right w:val="single" w:sz="12" w:space="0" w:color="auto"/>
            </w:tcBorders>
            <w:noWrap/>
            <w:hideMark/>
          </w:tcPr>
          <w:p w:rsidR="00E44379" w:rsidRPr="00F05A3A" w:rsidRDefault="00E44379" w:rsidP="0080674A">
            <w:pPr>
              <w:jc w:val="right"/>
              <w:cnfStyle w:val="000000100000"/>
              <w:rPr>
                <w:rFonts w:asciiTheme="minorHAnsi" w:hAnsiTheme="minorHAnsi" w:cstheme="minorHAnsi"/>
                <w:color w:val="000000"/>
                <w:sz w:val="22"/>
                <w:szCs w:val="22"/>
              </w:rPr>
            </w:pPr>
            <w:r>
              <w:rPr>
                <w:rFonts w:asciiTheme="minorHAnsi" w:hAnsiTheme="minorHAnsi" w:cstheme="minorHAnsi"/>
                <w:color w:val="000000"/>
                <w:sz w:val="22"/>
                <w:szCs w:val="22"/>
              </w:rPr>
              <w:t>289</w:t>
            </w:r>
          </w:p>
        </w:tc>
      </w:tr>
      <w:tr w:rsidR="00E44379" w:rsidRPr="00F05A3A" w:rsidTr="00E44379">
        <w:trPr>
          <w:trHeight w:val="315"/>
        </w:trPr>
        <w:tc>
          <w:tcPr>
            <w:cnfStyle w:val="001000000000"/>
            <w:tcW w:w="3686" w:type="dxa"/>
            <w:noWrap/>
            <w:hideMark/>
          </w:tcPr>
          <w:p w:rsidR="00E44379" w:rsidRPr="00F05A3A" w:rsidRDefault="00E44379" w:rsidP="005E7A63">
            <w:pPr>
              <w:autoSpaceDE/>
              <w:autoSpaceDN/>
              <w:adjustRightInd/>
              <w:spacing w:after="0"/>
              <w:jc w:val="left"/>
              <w:rPr>
                <w:rFonts w:asciiTheme="minorHAnsi" w:hAnsiTheme="minorHAnsi" w:cstheme="minorHAnsi"/>
                <w:b w:val="0"/>
                <w:sz w:val="22"/>
                <w:szCs w:val="22"/>
                <w:lang w:eastAsia="bg-BG"/>
              </w:rPr>
            </w:pPr>
            <w:r w:rsidRPr="00F05A3A">
              <w:rPr>
                <w:rFonts w:asciiTheme="minorHAnsi" w:hAnsiTheme="minorHAnsi" w:cstheme="minorHAnsi"/>
                <w:b w:val="0"/>
                <w:sz w:val="22"/>
                <w:szCs w:val="22"/>
                <w:lang w:eastAsia="bg-BG"/>
              </w:rPr>
              <w:t> </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 </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 </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 </w:t>
            </w:r>
          </w:p>
        </w:tc>
        <w:tc>
          <w:tcPr>
            <w:tcW w:w="1010" w:type="dxa"/>
            <w:tcBorders>
              <w:right w:val="single" w:sz="12" w:space="0" w:color="auto"/>
            </w:tcBorders>
            <w:noWrap/>
            <w:hideMark/>
          </w:tcPr>
          <w:p w:rsidR="00E44379" w:rsidRPr="00F05A3A" w:rsidRDefault="00E44379">
            <w:pPr>
              <w:cnfStyle w:val="000000000000"/>
              <w:rPr>
                <w:rFonts w:asciiTheme="minorHAnsi" w:hAnsiTheme="minorHAnsi" w:cstheme="minorHAnsi"/>
                <w:color w:val="000000"/>
                <w:sz w:val="22"/>
                <w:szCs w:val="22"/>
              </w:rPr>
            </w:pPr>
          </w:p>
        </w:tc>
        <w:tc>
          <w:tcPr>
            <w:tcW w:w="1010" w:type="dxa"/>
            <w:tcBorders>
              <w:left w:val="single" w:sz="12" w:space="0" w:color="auto"/>
            </w:tcBorders>
            <w:noWrap/>
            <w:hideMark/>
          </w:tcPr>
          <w:p w:rsidR="00E44379" w:rsidRPr="00F05A3A" w:rsidRDefault="00E44379">
            <w:pPr>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 </w:t>
            </w:r>
          </w:p>
        </w:tc>
        <w:tc>
          <w:tcPr>
            <w:tcW w:w="1045" w:type="dxa"/>
            <w:tcBorders>
              <w:right w:val="single" w:sz="12" w:space="0" w:color="auto"/>
            </w:tcBorders>
            <w:noWrap/>
            <w:hideMark/>
          </w:tcPr>
          <w:p w:rsidR="00E44379" w:rsidRPr="00F05A3A" w:rsidRDefault="00E44379" w:rsidP="0080674A">
            <w:pPr>
              <w:cnfStyle w:val="000000000000"/>
              <w:rPr>
                <w:rFonts w:asciiTheme="minorHAnsi" w:hAnsiTheme="minorHAnsi" w:cstheme="minorHAnsi"/>
                <w:color w:val="000000"/>
                <w:sz w:val="22"/>
                <w:szCs w:val="22"/>
              </w:rPr>
            </w:pPr>
          </w:p>
        </w:tc>
      </w:tr>
      <w:tr w:rsidR="00E44379" w:rsidRPr="00F05A3A" w:rsidTr="00E44379">
        <w:trPr>
          <w:cnfStyle w:val="000000100000"/>
          <w:trHeight w:val="315"/>
        </w:trPr>
        <w:tc>
          <w:tcPr>
            <w:cnfStyle w:val="001000000000"/>
            <w:tcW w:w="3686" w:type="dxa"/>
            <w:noWrap/>
            <w:hideMark/>
          </w:tcPr>
          <w:p w:rsidR="00E44379" w:rsidRPr="00F05A3A" w:rsidRDefault="00E44379" w:rsidP="005E7A63">
            <w:pPr>
              <w:autoSpaceDE/>
              <w:autoSpaceDN/>
              <w:adjustRightInd/>
              <w:spacing w:after="0"/>
              <w:jc w:val="left"/>
              <w:rPr>
                <w:rFonts w:asciiTheme="minorHAnsi" w:hAnsiTheme="minorHAnsi" w:cstheme="minorHAnsi"/>
                <w:bCs w:val="0"/>
                <w:sz w:val="22"/>
                <w:szCs w:val="22"/>
                <w:lang w:eastAsia="bg-BG"/>
              </w:rPr>
            </w:pPr>
            <w:r w:rsidRPr="00F05A3A">
              <w:rPr>
                <w:rFonts w:asciiTheme="minorHAnsi" w:hAnsiTheme="minorHAnsi" w:cstheme="minorHAnsi"/>
                <w:bCs w:val="0"/>
                <w:sz w:val="22"/>
                <w:szCs w:val="22"/>
                <w:lang w:eastAsia="bg-BG"/>
              </w:rPr>
              <w:t>Нематериални дълготрайни активи</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750</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454</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606</w:t>
            </w:r>
          </w:p>
        </w:tc>
        <w:tc>
          <w:tcPr>
            <w:tcW w:w="1010" w:type="dxa"/>
            <w:tcBorders>
              <w:right w:val="single" w:sz="12" w:space="0" w:color="auto"/>
            </w:tcBorders>
            <w:noWrap/>
            <w:hideMark/>
          </w:tcPr>
          <w:p w:rsidR="00E44379" w:rsidRPr="00F05A3A" w:rsidRDefault="00E44379">
            <w:pPr>
              <w:jc w:val="right"/>
              <w:cnfStyle w:val="000000100000"/>
              <w:rPr>
                <w:rFonts w:asciiTheme="minorHAnsi" w:hAnsiTheme="minorHAnsi" w:cstheme="minorHAnsi"/>
                <w:b/>
                <w:bCs/>
                <w:color w:val="000000"/>
                <w:sz w:val="22"/>
                <w:szCs w:val="22"/>
              </w:rPr>
            </w:pPr>
            <w:r>
              <w:rPr>
                <w:rFonts w:asciiTheme="minorHAnsi" w:hAnsiTheme="minorHAnsi" w:cstheme="minorHAnsi"/>
                <w:b/>
                <w:bCs/>
                <w:color w:val="000000"/>
                <w:sz w:val="22"/>
                <w:szCs w:val="22"/>
              </w:rPr>
              <w:t>153</w:t>
            </w:r>
          </w:p>
        </w:tc>
        <w:tc>
          <w:tcPr>
            <w:tcW w:w="1010" w:type="dxa"/>
            <w:tcBorders>
              <w:left w:val="single" w:sz="12" w:space="0" w:color="auto"/>
            </w:tcBorders>
            <w:noWrap/>
            <w:hideMark/>
          </w:tcPr>
          <w:p w:rsidR="00E44379" w:rsidRPr="00F05A3A" w:rsidRDefault="00E44379">
            <w:pPr>
              <w:jc w:val="right"/>
              <w:cnfStyle w:val="0000001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607</w:t>
            </w:r>
          </w:p>
        </w:tc>
        <w:tc>
          <w:tcPr>
            <w:tcW w:w="1045" w:type="dxa"/>
            <w:tcBorders>
              <w:right w:val="single" w:sz="12" w:space="0" w:color="auto"/>
            </w:tcBorders>
            <w:noWrap/>
            <w:hideMark/>
          </w:tcPr>
          <w:p w:rsidR="00E44379" w:rsidRPr="00F05A3A" w:rsidRDefault="00E44379" w:rsidP="0080674A">
            <w:pPr>
              <w:jc w:val="right"/>
              <w:cnfStyle w:val="000000100000"/>
              <w:rPr>
                <w:rFonts w:asciiTheme="minorHAnsi" w:hAnsiTheme="minorHAnsi" w:cstheme="minorHAnsi"/>
                <w:b/>
                <w:bCs/>
                <w:color w:val="000000"/>
                <w:sz w:val="22"/>
                <w:szCs w:val="22"/>
              </w:rPr>
            </w:pPr>
            <w:r>
              <w:rPr>
                <w:rFonts w:asciiTheme="minorHAnsi" w:hAnsiTheme="minorHAnsi" w:cstheme="minorHAnsi"/>
                <w:b/>
                <w:bCs/>
                <w:color w:val="000000"/>
                <w:sz w:val="22"/>
                <w:szCs w:val="22"/>
              </w:rPr>
              <w:t>153</w:t>
            </w:r>
          </w:p>
        </w:tc>
      </w:tr>
      <w:tr w:rsidR="00E44379" w:rsidRPr="00F05A3A" w:rsidTr="00E44379">
        <w:trPr>
          <w:trHeight w:val="315"/>
        </w:trPr>
        <w:tc>
          <w:tcPr>
            <w:cnfStyle w:val="001000000000"/>
            <w:tcW w:w="3686" w:type="dxa"/>
            <w:noWrap/>
            <w:hideMark/>
          </w:tcPr>
          <w:p w:rsidR="00E44379" w:rsidRPr="00F05A3A" w:rsidRDefault="00E44379" w:rsidP="00921943">
            <w:pPr>
              <w:autoSpaceDE/>
              <w:autoSpaceDN/>
              <w:adjustRightInd/>
              <w:spacing w:after="0"/>
              <w:ind w:left="284"/>
              <w:jc w:val="left"/>
              <w:rPr>
                <w:rFonts w:asciiTheme="minorHAnsi" w:hAnsiTheme="minorHAnsi" w:cstheme="minorHAnsi"/>
                <w:b w:val="0"/>
                <w:sz w:val="22"/>
                <w:szCs w:val="22"/>
                <w:lang w:eastAsia="bg-BG"/>
              </w:rPr>
            </w:pPr>
            <w:r w:rsidRPr="00F05A3A">
              <w:rPr>
                <w:rFonts w:asciiTheme="minorHAnsi" w:hAnsiTheme="minorHAnsi" w:cstheme="minorHAnsi"/>
                <w:b w:val="0"/>
                <w:sz w:val="22"/>
                <w:szCs w:val="22"/>
                <w:lang w:eastAsia="bg-BG"/>
              </w:rPr>
              <w:t>програмни продукти</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315</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262</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320</w:t>
            </w:r>
          </w:p>
        </w:tc>
        <w:tc>
          <w:tcPr>
            <w:tcW w:w="1010" w:type="dxa"/>
            <w:tcBorders>
              <w:right w:val="single" w:sz="12" w:space="0" w:color="auto"/>
            </w:tcBorders>
            <w:noWrap/>
            <w:hideMark/>
          </w:tcPr>
          <w:p w:rsidR="00E44379" w:rsidRPr="00F05A3A" w:rsidRDefault="00E44379">
            <w:pPr>
              <w:jc w:val="right"/>
              <w:cnfStyle w:val="000000000000"/>
              <w:rPr>
                <w:rFonts w:asciiTheme="minorHAnsi" w:hAnsiTheme="minorHAnsi" w:cstheme="minorHAnsi"/>
                <w:color w:val="000000"/>
                <w:sz w:val="22"/>
                <w:szCs w:val="22"/>
              </w:rPr>
            </w:pPr>
            <w:r>
              <w:rPr>
                <w:rFonts w:asciiTheme="minorHAnsi" w:hAnsiTheme="minorHAnsi" w:cstheme="minorHAnsi"/>
                <w:color w:val="000000"/>
                <w:sz w:val="22"/>
                <w:szCs w:val="22"/>
              </w:rPr>
              <w:t>109</w:t>
            </w:r>
          </w:p>
        </w:tc>
        <w:tc>
          <w:tcPr>
            <w:tcW w:w="1010" w:type="dxa"/>
            <w:tcBorders>
              <w:left w:val="single" w:sz="12" w:space="0" w:color="auto"/>
            </w:tcBorders>
            <w:noWrap/>
            <w:hideMark/>
          </w:tcPr>
          <w:p w:rsidR="00E44379" w:rsidRPr="00F05A3A" w:rsidRDefault="00E44379">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320</w:t>
            </w:r>
          </w:p>
        </w:tc>
        <w:tc>
          <w:tcPr>
            <w:tcW w:w="1045" w:type="dxa"/>
            <w:tcBorders>
              <w:right w:val="single" w:sz="12" w:space="0" w:color="auto"/>
            </w:tcBorders>
            <w:noWrap/>
            <w:hideMark/>
          </w:tcPr>
          <w:p w:rsidR="00E44379" w:rsidRPr="00F05A3A" w:rsidRDefault="00E44379" w:rsidP="0080674A">
            <w:pPr>
              <w:jc w:val="right"/>
              <w:cnfStyle w:val="000000000000"/>
              <w:rPr>
                <w:rFonts w:asciiTheme="minorHAnsi" w:hAnsiTheme="minorHAnsi" w:cstheme="minorHAnsi"/>
                <w:color w:val="000000"/>
                <w:sz w:val="22"/>
                <w:szCs w:val="22"/>
              </w:rPr>
            </w:pPr>
            <w:r>
              <w:rPr>
                <w:rFonts w:asciiTheme="minorHAnsi" w:hAnsiTheme="minorHAnsi" w:cstheme="minorHAnsi"/>
                <w:color w:val="000000"/>
                <w:sz w:val="22"/>
                <w:szCs w:val="22"/>
              </w:rPr>
              <w:t>109</w:t>
            </w:r>
          </w:p>
        </w:tc>
      </w:tr>
      <w:tr w:rsidR="00E44379" w:rsidRPr="00F05A3A" w:rsidTr="00E44379">
        <w:trPr>
          <w:cnfStyle w:val="000000100000"/>
          <w:trHeight w:val="315"/>
        </w:trPr>
        <w:tc>
          <w:tcPr>
            <w:cnfStyle w:val="001000000000"/>
            <w:tcW w:w="3686" w:type="dxa"/>
            <w:noWrap/>
            <w:hideMark/>
          </w:tcPr>
          <w:p w:rsidR="00E44379" w:rsidRPr="00F05A3A" w:rsidRDefault="00E44379" w:rsidP="00921943">
            <w:pPr>
              <w:autoSpaceDE/>
              <w:autoSpaceDN/>
              <w:adjustRightInd/>
              <w:spacing w:after="0"/>
              <w:ind w:left="284"/>
              <w:jc w:val="left"/>
              <w:rPr>
                <w:rFonts w:asciiTheme="minorHAnsi" w:hAnsiTheme="minorHAnsi" w:cstheme="minorHAnsi"/>
                <w:b w:val="0"/>
                <w:sz w:val="22"/>
                <w:szCs w:val="22"/>
                <w:lang w:eastAsia="bg-BG"/>
              </w:rPr>
            </w:pPr>
            <w:r w:rsidRPr="00F05A3A">
              <w:rPr>
                <w:rFonts w:asciiTheme="minorHAnsi" w:hAnsiTheme="minorHAnsi" w:cstheme="minorHAnsi"/>
                <w:b w:val="0"/>
                <w:sz w:val="22"/>
                <w:szCs w:val="22"/>
                <w:lang w:eastAsia="bg-BG"/>
              </w:rPr>
              <w:t>други НДМА</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435</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192</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286</w:t>
            </w:r>
          </w:p>
        </w:tc>
        <w:tc>
          <w:tcPr>
            <w:tcW w:w="1010" w:type="dxa"/>
            <w:tcBorders>
              <w:right w:val="single" w:sz="12" w:space="0" w:color="auto"/>
            </w:tcBorders>
            <w:noWrap/>
            <w:hideMark/>
          </w:tcPr>
          <w:p w:rsidR="00E44379" w:rsidRPr="00F05A3A" w:rsidRDefault="00E44379">
            <w:pPr>
              <w:jc w:val="right"/>
              <w:cnfStyle w:val="000000100000"/>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1010" w:type="dxa"/>
            <w:tcBorders>
              <w:left w:val="single" w:sz="12" w:space="0" w:color="auto"/>
            </w:tcBorders>
            <w:noWrap/>
            <w:hideMark/>
          </w:tcPr>
          <w:p w:rsidR="00E44379" w:rsidRPr="00F05A3A" w:rsidRDefault="00E44379">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287</w:t>
            </w:r>
          </w:p>
        </w:tc>
        <w:tc>
          <w:tcPr>
            <w:tcW w:w="1045" w:type="dxa"/>
            <w:tcBorders>
              <w:right w:val="single" w:sz="12" w:space="0" w:color="auto"/>
            </w:tcBorders>
            <w:noWrap/>
            <w:hideMark/>
          </w:tcPr>
          <w:p w:rsidR="00E44379" w:rsidRPr="00F05A3A" w:rsidRDefault="00E44379" w:rsidP="0080674A">
            <w:pPr>
              <w:jc w:val="right"/>
              <w:cnfStyle w:val="000000100000"/>
              <w:rPr>
                <w:rFonts w:asciiTheme="minorHAnsi" w:hAnsiTheme="minorHAnsi" w:cstheme="minorHAnsi"/>
                <w:color w:val="000000"/>
                <w:sz w:val="22"/>
                <w:szCs w:val="22"/>
              </w:rPr>
            </w:pPr>
            <w:r>
              <w:rPr>
                <w:rFonts w:asciiTheme="minorHAnsi" w:hAnsiTheme="minorHAnsi" w:cstheme="minorHAnsi"/>
                <w:color w:val="000000"/>
                <w:sz w:val="22"/>
                <w:szCs w:val="22"/>
              </w:rPr>
              <w:t>44</w:t>
            </w:r>
          </w:p>
        </w:tc>
      </w:tr>
      <w:tr w:rsidR="00E44379" w:rsidRPr="00F05A3A" w:rsidTr="00E44379">
        <w:trPr>
          <w:trHeight w:val="315"/>
        </w:trPr>
        <w:tc>
          <w:tcPr>
            <w:cnfStyle w:val="001000000000"/>
            <w:tcW w:w="3686" w:type="dxa"/>
            <w:noWrap/>
            <w:hideMark/>
          </w:tcPr>
          <w:p w:rsidR="00E44379" w:rsidRPr="00F05A3A" w:rsidRDefault="00E44379" w:rsidP="005E7A63">
            <w:pPr>
              <w:autoSpaceDE/>
              <w:autoSpaceDN/>
              <w:adjustRightInd/>
              <w:spacing w:after="0"/>
              <w:jc w:val="left"/>
              <w:rPr>
                <w:rFonts w:asciiTheme="minorHAnsi" w:hAnsiTheme="minorHAnsi" w:cstheme="minorHAnsi"/>
                <w:b w:val="0"/>
                <w:sz w:val="22"/>
                <w:szCs w:val="22"/>
                <w:lang w:eastAsia="bg-BG"/>
              </w:rPr>
            </w:pPr>
            <w:r w:rsidRPr="00F05A3A">
              <w:rPr>
                <w:rFonts w:asciiTheme="minorHAnsi" w:hAnsiTheme="minorHAnsi" w:cstheme="minorHAnsi"/>
                <w:b w:val="0"/>
                <w:sz w:val="22"/>
                <w:szCs w:val="22"/>
                <w:lang w:eastAsia="bg-BG"/>
              </w:rPr>
              <w:t> </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 </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 </w:t>
            </w:r>
          </w:p>
        </w:tc>
        <w:tc>
          <w:tcPr>
            <w:tcW w:w="1010" w:type="dxa"/>
            <w:noWrap/>
            <w:hideMark/>
          </w:tcPr>
          <w:p w:rsidR="00E44379" w:rsidRPr="00F05A3A" w:rsidRDefault="00E44379" w:rsidP="005E7A63">
            <w:pPr>
              <w:autoSpaceDE/>
              <w:autoSpaceDN/>
              <w:adjustRightInd/>
              <w:spacing w:after="0"/>
              <w:jc w:val="right"/>
              <w:cnfStyle w:val="000000000000"/>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 </w:t>
            </w:r>
          </w:p>
        </w:tc>
        <w:tc>
          <w:tcPr>
            <w:tcW w:w="1010" w:type="dxa"/>
            <w:tcBorders>
              <w:right w:val="single" w:sz="12" w:space="0" w:color="auto"/>
            </w:tcBorders>
            <w:noWrap/>
            <w:hideMark/>
          </w:tcPr>
          <w:p w:rsidR="00E44379" w:rsidRPr="00F05A3A" w:rsidRDefault="00E44379">
            <w:pPr>
              <w:cnfStyle w:val="000000000000"/>
              <w:rPr>
                <w:rFonts w:asciiTheme="minorHAnsi" w:hAnsiTheme="minorHAnsi" w:cstheme="minorHAnsi"/>
                <w:color w:val="000000"/>
                <w:sz w:val="22"/>
                <w:szCs w:val="22"/>
              </w:rPr>
            </w:pPr>
          </w:p>
        </w:tc>
        <w:tc>
          <w:tcPr>
            <w:tcW w:w="1010" w:type="dxa"/>
            <w:tcBorders>
              <w:left w:val="single" w:sz="12" w:space="0" w:color="auto"/>
            </w:tcBorders>
            <w:noWrap/>
            <w:hideMark/>
          </w:tcPr>
          <w:p w:rsidR="00E44379" w:rsidRPr="00F05A3A" w:rsidRDefault="00E44379">
            <w:pPr>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 </w:t>
            </w:r>
          </w:p>
        </w:tc>
        <w:tc>
          <w:tcPr>
            <w:tcW w:w="1045" w:type="dxa"/>
            <w:tcBorders>
              <w:right w:val="single" w:sz="12" w:space="0" w:color="auto"/>
            </w:tcBorders>
            <w:noWrap/>
            <w:hideMark/>
          </w:tcPr>
          <w:p w:rsidR="00E44379" w:rsidRPr="00F05A3A" w:rsidRDefault="00E44379" w:rsidP="0080674A">
            <w:pPr>
              <w:cnfStyle w:val="000000000000"/>
              <w:rPr>
                <w:rFonts w:asciiTheme="minorHAnsi" w:hAnsiTheme="minorHAnsi" w:cstheme="minorHAnsi"/>
                <w:color w:val="000000"/>
                <w:sz w:val="22"/>
                <w:szCs w:val="22"/>
              </w:rPr>
            </w:pPr>
          </w:p>
        </w:tc>
      </w:tr>
      <w:tr w:rsidR="00E44379" w:rsidRPr="00F05A3A" w:rsidTr="00E44379">
        <w:trPr>
          <w:cnfStyle w:val="000000100000"/>
          <w:trHeight w:val="315"/>
        </w:trPr>
        <w:tc>
          <w:tcPr>
            <w:cnfStyle w:val="001000000000"/>
            <w:tcW w:w="3686" w:type="dxa"/>
            <w:noWrap/>
            <w:hideMark/>
          </w:tcPr>
          <w:p w:rsidR="00E44379" w:rsidRPr="00F05A3A" w:rsidRDefault="00E44379" w:rsidP="005E7A63">
            <w:pPr>
              <w:autoSpaceDE/>
              <w:autoSpaceDN/>
              <w:adjustRightInd/>
              <w:spacing w:after="0"/>
              <w:jc w:val="left"/>
              <w:rPr>
                <w:rFonts w:asciiTheme="minorHAnsi" w:hAnsiTheme="minorHAnsi" w:cstheme="minorHAnsi"/>
                <w:bCs w:val="0"/>
                <w:sz w:val="22"/>
                <w:szCs w:val="22"/>
                <w:lang w:eastAsia="bg-BG"/>
              </w:rPr>
            </w:pPr>
            <w:r w:rsidRPr="00F05A3A">
              <w:rPr>
                <w:rFonts w:asciiTheme="minorHAnsi" w:hAnsiTheme="minorHAnsi" w:cstheme="minorHAnsi"/>
                <w:bCs w:val="0"/>
                <w:sz w:val="22"/>
                <w:szCs w:val="22"/>
                <w:lang w:eastAsia="bg-BG"/>
              </w:rPr>
              <w:t>Финансови активи</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0</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0</w:t>
            </w:r>
          </w:p>
        </w:tc>
        <w:tc>
          <w:tcPr>
            <w:tcW w:w="1010" w:type="dxa"/>
            <w:noWrap/>
            <w:hideMark/>
          </w:tcPr>
          <w:p w:rsidR="00E44379" w:rsidRPr="00F05A3A" w:rsidRDefault="00E44379" w:rsidP="005E7A63">
            <w:pPr>
              <w:autoSpaceDE/>
              <w:autoSpaceDN/>
              <w:adjustRightInd/>
              <w:spacing w:after="0"/>
              <w:jc w:val="right"/>
              <w:cnfStyle w:val="0000001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982</w:t>
            </w:r>
          </w:p>
        </w:tc>
        <w:tc>
          <w:tcPr>
            <w:tcW w:w="1010" w:type="dxa"/>
            <w:tcBorders>
              <w:right w:val="single" w:sz="12" w:space="0" w:color="auto"/>
            </w:tcBorders>
            <w:noWrap/>
            <w:hideMark/>
          </w:tcPr>
          <w:p w:rsidR="00E44379" w:rsidRPr="00F05A3A" w:rsidRDefault="00E44379" w:rsidP="00ED444E">
            <w:pPr>
              <w:jc w:val="right"/>
              <w:cnfStyle w:val="000000100000"/>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p>
        </w:tc>
        <w:tc>
          <w:tcPr>
            <w:tcW w:w="1010" w:type="dxa"/>
            <w:tcBorders>
              <w:left w:val="single" w:sz="12" w:space="0" w:color="auto"/>
            </w:tcBorders>
            <w:noWrap/>
            <w:hideMark/>
          </w:tcPr>
          <w:p w:rsidR="00E44379" w:rsidRPr="00F05A3A" w:rsidRDefault="00E44379" w:rsidP="00ED444E">
            <w:pPr>
              <w:jc w:val="right"/>
              <w:cnfStyle w:val="0000001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0</w:t>
            </w:r>
          </w:p>
        </w:tc>
        <w:tc>
          <w:tcPr>
            <w:tcW w:w="1045" w:type="dxa"/>
            <w:tcBorders>
              <w:right w:val="single" w:sz="12" w:space="0" w:color="auto"/>
            </w:tcBorders>
            <w:noWrap/>
            <w:hideMark/>
          </w:tcPr>
          <w:p w:rsidR="00E44379" w:rsidRPr="00F05A3A" w:rsidRDefault="00E44379" w:rsidP="0080674A">
            <w:pPr>
              <w:jc w:val="right"/>
              <w:cnfStyle w:val="000000100000"/>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p>
        </w:tc>
      </w:tr>
      <w:tr w:rsidR="00E44379" w:rsidRPr="00F05A3A" w:rsidTr="00E44379">
        <w:trPr>
          <w:cnfStyle w:val="010000000000"/>
          <w:trHeight w:val="330"/>
        </w:trPr>
        <w:tc>
          <w:tcPr>
            <w:cnfStyle w:val="001000000000"/>
            <w:tcW w:w="3686" w:type="dxa"/>
            <w:noWrap/>
            <w:hideMark/>
          </w:tcPr>
          <w:p w:rsidR="00E44379" w:rsidRPr="00F05A3A" w:rsidRDefault="00E44379" w:rsidP="005E7A63">
            <w:pPr>
              <w:autoSpaceDE/>
              <w:autoSpaceDN/>
              <w:adjustRightInd/>
              <w:spacing w:after="0"/>
              <w:jc w:val="left"/>
              <w:rPr>
                <w:rFonts w:asciiTheme="minorHAnsi" w:hAnsiTheme="minorHAnsi" w:cstheme="minorHAnsi"/>
                <w:bCs w:val="0"/>
                <w:sz w:val="22"/>
                <w:szCs w:val="22"/>
                <w:lang w:eastAsia="bg-BG"/>
              </w:rPr>
            </w:pPr>
            <w:r w:rsidRPr="00F05A3A">
              <w:rPr>
                <w:rFonts w:asciiTheme="minorHAnsi" w:hAnsiTheme="minorHAnsi" w:cstheme="minorHAnsi"/>
                <w:bCs w:val="0"/>
                <w:sz w:val="22"/>
                <w:szCs w:val="22"/>
                <w:lang w:eastAsia="bg-BG"/>
              </w:rPr>
              <w:t>ОБЩО ИНВЕСТИЦИИ</w:t>
            </w:r>
          </w:p>
        </w:tc>
        <w:tc>
          <w:tcPr>
            <w:tcW w:w="1010" w:type="dxa"/>
            <w:noWrap/>
            <w:hideMark/>
          </w:tcPr>
          <w:p w:rsidR="00E44379" w:rsidRPr="00F05A3A" w:rsidRDefault="00E44379" w:rsidP="005E7A63">
            <w:pPr>
              <w:autoSpaceDE/>
              <w:autoSpaceDN/>
              <w:adjustRightInd/>
              <w:spacing w:after="0"/>
              <w:jc w:val="right"/>
              <w:cnfStyle w:val="0100000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1 993</w:t>
            </w:r>
          </w:p>
        </w:tc>
        <w:tc>
          <w:tcPr>
            <w:tcW w:w="1010" w:type="dxa"/>
            <w:noWrap/>
            <w:hideMark/>
          </w:tcPr>
          <w:p w:rsidR="00E44379" w:rsidRPr="00F05A3A" w:rsidRDefault="00E44379" w:rsidP="005E7A63">
            <w:pPr>
              <w:autoSpaceDE/>
              <w:autoSpaceDN/>
              <w:adjustRightInd/>
              <w:spacing w:after="0"/>
              <w:jc w:val="right"/>
              <w:cnfStyle w:val="0100000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2 207</w:t>
            </w:r>
          </w:p>
        </w:tc>
        <w:tc>
          <w:tcPr>
            <w:tcW w:w="1010" w:type="dxa"/>
            <w:noWrap/>
            <w:hideMark/>
          </w:tcPr>
          <w:p w:rsidR="00E44379" w:rsidRPr="00F05A3A" w:rsidRDefault="00E44379" w:rsidP="005E7A63">
            <w:pPr>
              <w:autoSpaceDE/>
              <w:autoSpaceDN/>
              <w:adjustRightInd/>
              <w:spacing w:after="0"/>
              <w:jc w:val="right"/>
              <w:cnfStyle w:val="010000000000"/>
              <w:rPr>
                <w:rFonts w:asciiTheme="minorHAnsi" w:hAnsiTheme="minorHAnsi" w:cstheme="minorHAnsi"/>
                <w:b/>
                <w:bCs/>
                <w:color w:val="000000"/>
                <w:sz w:val="22"/>
                <w:szCs w:val="22"/>
                <w:lang w:eastAsia="bg-BG"/>
              </w:rPr>
            </w:pPr>
            <w:r w:rsidRPr="00F05A3A">
              <w:rPr>
                <w:rFonts w:asciiTheme="minorHAnsi" w:hAnsiTheme="minorHAnsi" w:cstheme="minorHAnsi"/>
                <w:b/>
                <w:bCs/>
                <w:color w:val="000000"/>
                <w:sz w:val="22"/>
                <w:szCs w:val="22"/>
                <w:lang w:eastAsia="bg-BG"/>
              </w:rPr>
              <w:t>4 269</w:t>
            </w:r>
          </w:p>
        </w:tc>
        <w:tc>
          <w:tcPr>
            <w:tcW w:w="1010" w:type="dxa"/>
            <w:tcBorders>
              <w:right w:val="single" w:sz="12" w:space="0" w:color="auto"/>
            </w:tcBorders>
            <w:noWrap/>
            <w:hideMark/>
          </w:tcPr>
          <w:p w:rsidR="00E44379" w:rsidRPr="00F05A3A" w:rsidRDefault="00E44379">
            <w:pPr>
              <w:jc w:val="right"/>
              <w:cnfStyle w:val="010000000000"/>
              <w:rPr>
                <w:rFonts w:asciiTheme="minorHAnsi" w:hAnsiTheme="minorHAnsi" w:cstheme="minorHAnsi"/>
                <w:b/>
                <w:bCs/>
                <w:color w:val="000000"/>
                <w:sz w:val="22"/>
                <w:szCs w:val="22"/>
              </w:rPr>
            </w:pPr>
            <w:r>
              <w:rPr>
                <w:rFonts w:asciiTheme="minorHAnsi" w:hAnsiTheme="minorHAnsi" w:cstheme="minorHAnsi"/>
                <w:b/>
                <w:bCs/>
                <w:color w:val="000000"/>
                <w:sz w:val="22"/>
                <w:szCs w:val="22"/>
              </w:rPr>
              <w:t>2 216</w:t>
            </w:r>
          </w:p>
        </w:tc>
        <w:tc>
          <w:tcPr>
            <w:tcW w:w="1010" w:type="dxa"/>
            <w:tcBorders>
              <w:left w:val="single" w:sz="12" w:space="0" w:color="auto"/>
            </w:tcBorders>
            <w:noWrap/>
            <w:hideMark/>
          </w:tcPr>
          <w:p w:rsidR="00E44379" w:rsidRPr="00F05A3A" w:rsidRDefault="00E44379">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3 315</w:t>
            </w:r>
          </w:p>
        </w:tc>
        <w:tc>
          <w:tcPr>
            <w:tcW w:w="1045" w:type="dxa"/>
            <w:tcBorders>
              <w:right w:val="single" w:sz="12" w:space="0" w:color="auto"/>
            </w:tcBorders>
            <w:noWrap/>
            <w:hideMark/>
          </w:tcPr>
          <w:p w:rsidR="00E44379" w:rsidRPr="00F05A3A" w:rsidRDefault="00E44379" w:rsidP="0080674A">
            <w:pPr>
              <w:jc w:val="right"/>
              <w:cnfStyle w:val="010000000000"/>
              <w:rPr>
                <w:rFonts w:asciiTheme="minorHAnsi" w:hAnsiTheme="minorHAnsi" w:cstheme="minorHAnsi"/>
                <w:b/>
                <w:bCs/>
                <w:color w:val="000000"/>
                <w:sz w:val="22"/>
                <w:szCs w:val="22"/>
              </w:rPr>
            </w:pPr>
            <w:r>
              <w:rPr>
                <w:rFonts w:asciiTheme="minorHAnsi" w:hAnsiTheme="minorHAnsi" w:cstheme="minorHAnsi"/>
                <w:b/>
                <w:bCs/>
                <w:color w:val="000000"/>
                <w:sz w:val="22"/>
                <w:szCs w:val="22"/>
              </w:rPr>
              <w:t>2 216</w:t>
            </w:r>
          </w:p>
        </w:tc>
      </w:tr>
    </w:tbl>
    <w:p w:rsidR="00A904E3" w:rsidRPr="00A904E3" w:rsidRDefault="00A904E3" w:rsidP="00A904E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100E65" w:rsidRDefault="00100E65" w:rsidP="00BE0C31">
      <w:pPr>
        <w:spacing w:after="120"/>
      </w:pPr>
    </w:p>
    <w:p w:rsidR="009E5BDB" w:rsidRPr="009B6CC2" w:rsidRDefault="00727D90" w:rsidP="00BE0C31">
      <w:pPr>
        <w:spacing w:after="120"/>
      </w:pPr>
      <w:r>
        <w:t xml:space="preserve">Общият ефект е, че и машини и служители се натоварват </w:t>
      </w:r>
      <w:r w:rsidR="00616DAD">
        <w:t>з</w:t>
      </w:r>
      <w:r w:rsidR="00910FC1">
        <w:t>н</w:t>
      </w:r>
      <w:r w:rsidR="00616DAD">
        <w:t>ач</w:t>
      </w:r>
      <w:r w:rsidR="00910FC1">
        <w:t>и</w:t>
      </w:r>
      <w:r w:rsidR="00616DAD">
        <w:t>телно</w:t>
      </w:r>
      <w:r>
        <w:t xml:space="preserve"> </w:t>
      </w:r>
      <w:r w:rsidR="00616DAD">
        <w:t>по-оптимално</w:t>
      </w:r>
      <w:r>
        <w:t>, и съответно до значително подобрение на ефективността. Пример за ефекта от направените инв</w:t>
      </w:r>
      <w:r w:rsidR="00324E5A">
        <w:t>естиции е, че през 2011</w:t>
      </w:r>
      <w:r>
        <w:t xml:space="preserve"> г. бяха превозен</w:t>
      </w:r>
      <w:r w:rsidRPr="003B78E1">
        <w:t xml:space="preserve">и </w:t>
      </w:r>
      <w:r w:rsidR="003B78E1" w:rsidRPr="003B78E1">
        <w:t xml:space="preserve">6,5 млн. </w:t>
      </w:r>
      <w:r w:rsidRPr="003B78E1">
        <w:t>пр</w:t>
      </w:r>
      <w:r>
        <w:t xml:space="preserve">атки </w:t>
      </w:r>
      <w:r w:rsidR="009B6CC2">
        <w:t>с</w:t>
      </w:r>
      <w:r w:rsidRPr="003B78E1">
        <w:t xml:space="preserve"> </w:t>
      </w:r>
      <w:r w:rsidR="00D70BF4">
        <w:t>964</w:t>
      </w:r>
      <w:r w:rsidRPr="003B78E1">
        <w:t xml:space="preserve"> служители</w:t>
      </w:r>
      <w:r>
        <w:t xml:space="preserve"> (общо за </w:t>
      </w:r>
      <w:r w:rsidR="00D70BF4">
        <w:t>„СПИДИ” ЕАД</w:t>
      </w:r>
      <w:r w:rsidRPr="00701511">
        <w:t xml:space="preserve"> и „Спиди” </w:t>
      </w:r>
      <w:r w:rsidR="001924B3">
        <w:t>Е</w:t>
      </w:r>
      <w:r w:rsidRPr="00701511">
        <w:t>ООД)</w:t>
      </w:r>
      <w:r w:rsidR="00324E5A" w:rsidRPr="00701511">
        <w:t xml:space="preserve"> в сравнение с превозени </w:t>
      </w:r>
      <w:r w:rsidR="00701511" w:rsidRPr="00701511">
        <w:t>4,8</w:t>
      </w:r>
      <w:r w:rsidR="009B6CC2" w:rsidRPr="00701511">
        <w:t xml:space="preserve"> млн.</w:t>
      </w:r>
      <w:r w:rsidR="00324E5A" w:rsidRPr="00701511">
        <w:t xml:space="preserve"> пратки при наети </w:t>
      </w:r>
      <w:r w:rsidR="00910FC1" w:rsidRPr="00701511">
        <w:t>10</w:t>
      </w:r>
      <w:r w:rsidR="00701511" w:rsidRPr="00701511">
        <w:t>48</w:t>
      </w:r>
      <w:r w:rsidR="00324E5A">
        <w:t xml:space="preserve"> служители (общо за </w:t>
      </w:r>
      <w:r w:rsidR="00D70BF4">
        <w:t>„СПИДИ” ЕАД</w:t>
      </w:r>
      <w:r w:rsidR="00324E5A">
        <w:t xml:space="preserve"> и „Спиди” </w:t>
      </w:r>
      <w:r w:rsidR="005723A8">
        <w:t>Е</w:t>
      </w:r>
      <w:r w:rsidR="00324E5A">
        <w:t>ООД)</w:t>
      </w:r>
      <w:r w:rsidR="00C164AA">
        <w:t xml:space="preserve"> през 2008</w:t>
      </w:r>
      <w:r w:rsidR="00324E5A">
        <w:t xml:space="preserve"> г.</w:t>
      </w:r>
      <w:r w:rsidR="00462136">
        <w:t xml:space="preserve"> Освен оптимизиране на разходите, извършените инвестиции </w:t>
      </w:r>
      <w:r w:rsidR="002E63C8">
        <w:t xml:space="preserve">допринасят и за повишаването на качеството на извършваните услуги. за сравнение, при </w:t>
      </w:r>
      <w:r w:rsidR="00F97477">
        <w:t>норматив</w:t>
      </w:r>
      <w:r w:rsidR="002E63C8">
        <w:t xml:space="preserve"> за добро качество от </w:t>
      </w:r>
      <w:r w:rsidR="002E63C8" w:rsidRPr="00F97477">
        <w:t>9</w:t>
      </w:r>
      <w:r w:rsidR="00F97477" w:rsidRPr="00F97477">
        <w:t>5</w:t>
      </w:r>
      <w:r w:rsidR="002E63C8" w:rsidRPr="00F97477">
        <w:t xml:space="preserve">% (процент от </w:t>
      </w:r>
      <w:r w:rsidR="002E63C8" w:rsidRPr="009B6CC2">
        <w:t xml:space="preserve">пратките доставени </w:t>
      </w:r>
      <w:r w:rsidR="0017544A" w:rsidRPr="009B6CC2">
        <w:t>без рекламации</w:t>
      </w:r>
      <w:r w:rsidR="002E63C8" w:rsidRPr="009B6CC2">
        <w:t>),</w:t>
      </w:r>
      <w:r w:rsidR="00616DAD" w:rsidRPr="009B6CC2">
        <w:t xml:space="preserve"> за </w:t>
      </w:r>
      <w:r w:rsidR="00D70BF4">
        <w:t>„СПИДИ” ЕАД</w:t>
      </w:r>
      <w:r w:rsidR="00616DAD" w:rsidRPr="009B6CC2">
        <w:t xml:space="preserve"> това ниво е 99.2</w:t>
      </w:r>
      <w:r w:rsidR="002E63C8" w:rsidRPr="009B6CC2">
        <w:t>%.</w:t>
      </w:r>
    </w:p>
    <w:p w:rsidR="00C164AA" w:rsidRDefault="00C164AA" w:rsidP="00BE0C31">
      <w:pPr>
        <w:spacing w:after="120"/>
      </w:pPr>
      <w:r>
        <w:t>При закупуването на нови автомобили</w:t>
      </w:r>
      <w:r w:rsidR="00D70BF4">
        <w:t xml:space="preserve"> и компютърно оборудване</w:t>
      </w:r>
      <w:r>
        <w:t xml:space="preserve"> се </w:t>
      </w:r>
      <w:r w:rsidR="008D4680">
        <w:t xml:space="preserve">използва </w:t>
      </w:r>
      <w:r w:rsidR="00277252">
        <w:t>лизингово финансиране. Всички останали инвестиции се финансират със собствени средства.</w:t>
      </w:r>
    </w:p>
    <w:p w:rsidR="00231E14" w:rsidRDefault="00231E14" w:rsidP="00BE0C31">
      <w:pPr>
        <w:spacing w:after="120"/>
      </w:pPr>
      <w:r>
        <w:t>Другите нематериални дълготрайни активи са извършените ремонти и подобрения в наетите помещания.</w:t>
      </w:r>
    </w:p>
    <w:p w:rsidR="004C51B9" w:rsidRDefault="004C51B9" w:rsidP="00BE0C31">
      <w:pPr>
        <w:spacing w:after="120"/>
      </w:pPr>
      <w:r>
        <w:t xml:space="preserve">През 2011 г. </w:t>
      </w:r>
      <w:r w:rsidR="00D70BF4">
        <w:t>„СПИДИ” ЕАД</w:t>
      </w:r>
      <w:r>
        <w:t>, придобива 100% от капита</w:t>
      </w:r>
      <w:r w:rsidR="005E1EFA">
        <w:t>л</w:t>
      </w:r>
      <w:r>
        <w:t xml:space="preserve">а на „Спиди” </w:t>
      </w:r>
      <w:r w:rsidR="005723A8">
        <w:t>Е</w:t>
      </w:r>
      <w:r>
        <w:t>ООД</w:t>
      </w:r>
      <w:r w:rsidR="002F6F64">
        <w:t>. Придобиването е осъществено ч</w:t>
      </w:r>
      <w:r w:rsidR="00584321">
        <w:t xml:space="preserve">рез </w:t>
      </w:r>
      <w:r w:rsidR="002F6F64">
        <w:t>апортиране на акциите в капитала на емитента</w:t>
      </w:r>
      <w:r w:rsidR="00D51F25">
        <w:t xml:space="preserve">. </w:t>
      </w:r>
      <w:r w:rsidR="00584321">
        <w:t xml:space="preserve">Консолидирането на двете дружества </w:t>
      </w:r>
      <w:r w:rsidR="00EA5C72">
        <w:t xml:space="preserve">е с цел правно обединяване на дружества, чиято дейност на практика е интегрирана – приходите на „Спиди” ЕООД се формират почти изцяло от извършването на подизпълнителски дейности на </w:t>
      </w:r>
      <w:r w:rsidR="00D70BF4">
        <w:t>„СПИДИ” ЕАД</w:t>
      </w:r>
      <w:r w:rsidR="00EA5C72">
        <w:t>.</w:t>
      </w:r>
    </w:p>
    <w:p w:rsidR="00727D90" w:rsidRDefault="005E1EFA" w:rsidP="00942CE6">
      <w:r>
        <w:t>През текущата година, емитентът е инвестирал основно в покупката на нови транспортни средства и подмяна на остарялото техническо оборудване.</w:t>
      </w:r>
    </w:p>
    <w:p w:rsidR="005E1EFA" w:rsidRPr="006A11EA" w:rsidRDefault="005E1EFA" w:rsidP="00942CE6"/>
    <w:p w:rsidR="00FC3657" w:rsidRPr="006361DA" w:rsidRDefault="00D70BF4" w:rsidP="00BE0C31">
      <w:pPr>
        <w:pStyle w:val="Heading1"/>
        <w:numPr>
          <w:ilvl w:val="2"/>
          <w:numId w:val="11"/>
        </w:numPr>
        <w:spacing w:after="120"/>
        <w:ind w:left="709" w:hanging="709"/>
        <w:rPr>
          <w:rFonts w:ascii="Times New Roman" w:hAnsi="Times New Roman"/>
          <w:b w:val="0"/>
          <w:bCs w:val="0"/>
          <w:i/>
          <w:kern w:val="0"/>
          <w:sz w:val="24"/>
          <w:szCs w:val="24"/>
        </w:rPr>
      </w:pPr>
      <w:bookmarkStart w:id="49" w:name="_Toc324376914"/>
      <w:bookmarkStart w:id="50" w:name="_Toc324380073"/>
      <w:r w:rsidRPr="006361DA">
        <w:rPr>
          <w:rFonts w:ascii="Times New Roman" w:hAnsi="Times New Roman"/>
          <w:b w:val="0"/>
          <w:bCs w:val="0"/>
          <w:i/>
          <w:kern w:val="0"/>
          <w:sz w:val="24"/>
          <w:szCs w:val="24"/>
        </w:rPr>
        <w:t xml:space="preserve">Описание </w:t>
      </w:r>
      <w:r w:rsidR="00FC3657" w:rsidRPr="006361DA">
        <w:rPr>
          <w:rFonts w:ascii="Times New Roman" w:hAnsi="Times New Roman"/>
          <w:b w:val="0"/>
          <w:bCs w:val="0"/>
          <w:i/>
          <w:kern w:val="0"/>
          <w:sz w:val="24"/>
          <w:szCs w:val="24"/>
        </w:rPr>
        <w:t xml:space="preserve">на </w:t>
      </w:r>
      <w:r w:rsidR="0034411F" w:rsidRPr="006361DA">
        <w:rPr>
          <w:rFonts w:ascii="Times New Roman" w:hAnsi="Times New Roman"/>
          <w:b w:val="0"/>
          <w:bCs w:val="0"/>
          <w:i/>
          <w:kern w:val="0"/>
          <w:sz w:val="24"/>
          <w:szCs w:val="24"/>
        </w:rPr>
        <w:t>инвестициите извършвани в момента</w:t>
      </w:r>
      <w:r>
        <w:rPr>
          <w:rFonts w:ascii="Times New Roman" w:hAnsi="Times New Roman"/>
          <w:b w:val="0"/>
          <w:bCs w:val="0"/>
          <w:i/>
          <w:kern w:val="0"/>
          <w:sz w:val="24"/>
          <w:szCs w:val="24"/>
        </w:rPr>
        <w:t>.</w:t>
      </w:r>
      <w:bookmarkEnd w:id="49"/>
      <w:bookmarkEnd w:id="50"/>
    </w:p>
    <w:p w:rsidR="009432CE" w:rsidRDefault="006361DA" w:rsidP="00BE0C31">
      <w:pPr>
        <w:spacing w:after="120"/>
      </w:pPr>
      <w:r>
        <w:t xml:space="preserve">Към момента, емитента прилага регулярната си инвестиционна програма по подмяна на </w:t>
      </w:r>
      <w:r w:rsidR="009432CE">
        <w:t>повредените</w:t>
      </w:r>
      <w:r>
        <w:t xml:space="preserve"> и амортизирани транспортни средства и оборудване</w:t>
      </w:r>
      <w:r w:rsidR="009432CE">
        <w:t xml:space="preserve"> на новите служители със необходимата техника. Запазва се и размерът на инвестициите в разработването и зак</w:t>
      </w:r>
      <w:r w:rsidR="00A03BA2">
        <w:t>упуването на софтуеър, с цел усъ</w:t>
      </w:r>
      <w:r w:rsidR="009432CE">
        <w:t>вър</w:t>
      </w:r>
      <w:r w:rsidR="00D70BF4">
        <w:t>шенстване и добавянето на нови ф</w:t>
      </w:r>
      <w:r w:rsidR="009432CE">
        <w:t>ункционалности на съществуващото програмно осигуряване.</w:t>
      </w:r>
    </w:p>
    <w:p w:rsidR="009432CE" w:rsidRPr="00820057" w:rsidRDefault="009432CE" w:rsidP="00BE0C31">
      <w:pPr>
        <w:spacing w:after="120"/>
      </w:pPr>
      <w:r w:rsidRPr="00820057">
        <w:t>Тази година ще бъде въведен в екс</w:t>
      </w:r>
      <w:r w:rsidR="00A03BA2">
        <w:t>плоатация нов сортировъчен центъ</w:t>
      </w:r>
      <w:r w:rsidRPr="00820057">
        <w:t xml:space="preserve">р в гр. София, за чието оборудване ще бъдат инвестирани </w:t>
      </w:r>
      <w:r w:rsidR="00B73FF1">
        <w:t xml:space="preserve">общо </w:t>
      </w:r>
      <w:r w:rsidR="00820057" w:rsidRPr="00820057">
        <w:t>150 000</w:t>
      </w:r>
      <w:r w:rsidRPr="00820057">
        <w:t xml:space="preserve"> лв.</w:t>
      </w:r>
      <w:r w:rsidR="00A03BA2">
        <w:t xml:space="preserve"> собствени средства и лизингово финансиране.</w:t>
      </w:r>
    </w:p>
    <w:p w:rsidR="00D70BF4" w:rsidRDefault="00D70BF4" w:rsidP="00BE0C31">
      <w:pPr>
        <w:spacing w:after="120"/>
      </w:pPr>
      <w:r>
        <w:t>Инвестициите се извършват единствено в страната.</w:t>
      </w:r>
    </w:p>
    <w:p w:rsidR="006361DA" w:rsidRDefault="006361DA" w:rsidP="00BE0C31">
      <w:pPr>
        <w:spacing w:after="120"/>
      </w:pPr>
      <w:r>
        <w:t>Както и до момента финансирането на инвестициите е за сметка на положителния оперативен паричен поток, с изключение на транспортните средства</w:t>
      </w:r>
      <w:r w:rsidR="00D70BF4">
        <w:t xml:space="preserve"> и компютърното оборудване</w:t>
      </w:r>
      <w:r>
        <w:t>,</w:t>
      </w:r>
      <w:r w:rsidR="00A03BA2">
        <w:t xml:space="preserve"> които се придобиват на лизинг.</w:t>
      </w:r>
    </w:p>
    <w:p w:rsidR="00910FC1" w:rsidRPr="006361DA" w:rsidRDefault="00910FC1" w:rsidP="00BE0C31">
      <w:pPr>
        <w:spacing w:after="120"/>
      </w:pPr>
    </w:p>
    <w:p w:rsidR="0034411F" w:rsidRPr="00C41ADF" w:rsidRDefault="001A72B9" w:rsidP="00BE0C31">
      <w:pPr>
        <w:pStyle w:val="Heading1"/>
        <w:numPr>
          <w:ilvl w:val="2"/>
          <w:numId w:val="11"/>
        </w:numPr>
        <w:spacing w:after="120"/>
        <w:ind w:left="709" w:hanging="709"/>
        <w:rPr>
          <w:rFonts w:ascii="Times New Roman" w:hAnsi="Times New Roman"/>
          <w:b w:val="0"/>
          <w:bCs w:val="0"/>
          <w:i/>
          <w:kern w:val="0"/>
          <w:sz w:val="24"/>
          <w:szCs w:val="24"/>
        </w:rPr>
      </w:pPr>
      <w:bookmarkStart w:id="51" w:name="_Toc324376915"/>
      <w:bookmarkStart w:id="52" w:name="_Toc324380074"/>
      <w:r w:rsidRPr="00C41ADF">
        <w:rPr>
          <w:rFonts w:ascii="Times New Roman" w:hAnsi="Times New Roman"/>
          <w:b w:val="0"/>
          <w:bCs w:val="0"/>
          <w:i/>
          <w:kern w:val="0"/>
          <w:sz w:val="24"/>
          <w:szCs w:val="24"/>
        </w:rPr>
        <w:t xml:space="preserve">Поети </w:t>
      </w:r>
      <w:r w:rsidR="0034411F" w:rsidRPr="00C41ADF">
        <w:rPr>
          <w:rFonts w:ascii="Times New Roman" w:hAnsi="Times New Roman"/>
          <w:b w:val="0"/>
          <w:bCs w:val="0"/>
          <w:i/>
          <w:kern w:val="0"/>
          <w:sz w:val="24"/>
          <w:szCs w:val="24"/>
        </w:rPr>
        <w:t>ангажименти от страна на мениджмънта</w:t>
      </w:r>
      <w:r>
        <w:rPr>
          <w:rFonts w:ascii="Times New Roman" w:hAnsi="Times New Roman"/>
          <w:b w:val="0"/>
          <w:bCs w:val="0"/>
          <w:i/>
          <w:kern w:val="0"/>
          <w:sz w:val="24"/>
          <w:szCs w:val="24"/>
        </w:rPr>
        <w:t xml:space="preserve"> за извършване на инвестиции.</w:t>
      </w:r>
      <w:bookmarkEnd w:id="51"/>
      <w:bookmarkEnd w:id="52"/>
    </w:p>
    <w:p w:rsidR="00643882" w:rsidRPr="00820057" w:rsidRDefault="00643882" w:rsidP="00BE0C31">
      <w:pPr>
        <w:spacing w:after="120"/>
      </w:pPr>
      <w:r w:rsidRPr="00820057">
        <w:t xml:space="preserve">Няма </w:t>
      </w:r>
      <w:r w:rsidR="00C41ADF" w:rsidRPr="00820057">
        <w:t xml:space="preserve">поети твърди ангажименти за извършването на инвестиции от страна на </w:t>
      </w:r>
      <w:r w:rsidR="00D70BF4">
        <w:t>„СПИДИ” ЕАД</w:t>
      </w:r>
    </w:p>
    <w:p w:rsidR="006A5A28" w:rsidRDefault="006A5A28" w:rsidP="006A5A28">
      <w:pPr>
        <w:rPr>
          <w:kern w:val="32"/>
        </w:rPr>
      </w:pPr>
      <w:r>
        <w:br w:type="page"/>
      </w:r>
    </w:p>
    <w:p w:rsidR="00FC3657" w:rsidRPr="00D51F25" w:rsidRDefault="00FC3657" w:rsidP="00D51F25">
      <w:pPr>
        <w:pStyle w:val="Heading1"/>
        <w:numPr>
          <w:ilvl w:val="1"/>
          <w:numId w:val="11"/>
        </w:numPr>
        <w:ind w:left="567" w:hanging="567"/>
        <w:rPr>
          <w:rFonts w:ascii="Times New Roman" w:hAnsi="Times New Roman"/>
          <w:b w:val="0"/>
          <w:i/>
          <w:smallCaps/>
          <w:sz w:val="24"/>
          <w:szCs w:val="24"/>
        </w:rPr>
      </w:pPr>
      <w:bookmarkStart w:id="53" w:name="_Toc324376916"/>
      <w:bookmarkStart w:id="54" w:name="_Toc324380075"/>
      <w:r w:rsidRPr="00D51F25">
        <w:rPr>
          <w:rFonts w:ascii="Times New Roman" w:hAnsi="Times New Roman"/>
          <w:b w:val="0"/>
          <w:i/>
          <w:smallCaps/>
          <w:sz w:val="24"/>
          <w:szCs w:val="24"/>
        </w:rPr>
        <w:t>Пр</w:t>
      </w:r>
      <w:r w:rsidR="00D51F25">
        <w:rPr>
          <w:rFonts w:ascii="Times New Roman" w:hAnsi="Times New Roman"/>
          <w:b w:val="0"/>
          <w:i/>
          <w:smallCaps/>
          <w:sz w:val="24"/>
          <w:szCs w:val="24"/>
        </w:rPr>
        <w:t>еглед на дейността</w:t>
      </w:r>
      <w:bookmarkEnd w:id="53"/>
      <w:bookmarkEnd w:id="54"/>
    </w:p>
    <w:p w:rsidR="00FC3657" w:rsidRPr="00D9348E" w:rsidRDefault="00D70BF4" w:rsidP="00BE0C31">
      <w:pPr>
        <w:pStyle w:val="Heading1"/>
        <w:numPr>
          <w:ilvl w:val="2"/>
          <w:numId w:val="11"/>
        </w:numPr>
        <w:spacing w:after="120"/>
        <w:ind w:left="709" w:hanging="709"/>
        <w:rPr>
          <w:rFonts w:ascii="Times New Roman" w:hAnsi="Times New Roman"/>
          <w:b w:val="0"/>
          <w:i/>
          <w:sz w:val="24"/>
          <w:szCs w:val="24"/>
        </w:rPr>
      </w:pPr>
      <w:bookmarkStart w:id="55" w:name="_Toc324376917"/>
      <w:bookmarkStart w:id="56" w:name="_Toc324380076"/>
      <w:r w:rsidRPr="00D9348E">
        <w:rPr>
          <w:rFonts w:ascii="Times New Roman" w:hAnsi="Times New Roman"/>
          <w:b w:val="0"/>
          <w:i/>
          <w:sz w:val="24"/>
          <w:szCs w:val="24"/>
        </w:rPr>
        <w:t xml:space="preserve">Основни </w:t>
      </w:r>
      <w:r w:rsidR="00FC3657" w:rsidRPr="00D9348E">
        <w:rPr>
          <w:rFonts w:ascii="Times New Roman" w:hAnsi="Times New Roman"/>
          <w:b w:val="0"/>
          <w:i/>
          <w:sz w:val="24"/>
          <w:szCs w:val="24"/>
        </w:rPr>
        <w:t>сфери на дейност</w:t>
      </w:r>
      <w:bookmarkEnd w:id="55"/>
      <w:bookmarkEnd w:id="56"/>
    </w:p>
    <w:p w:rsidR="00D37609" w:rsidRDefault="00D70BF4" w:rsidP="00BE0C31">
      <w:pPr>
        <w:spacing w:after="120"/>
        <w:ind w:left="709"/>
      </w:pPr>
      <w:r>
        <w:t>„СПИДИ” ЕАД</w:t>
      </w:r>
      <w:r w:rsidR="00212F52">
        <w:t xml:space="preserve"> е силно фокусирано върху развитието на </w:t>
      </w:r>
      <w:r w:rsidR="00212F52" w:rsidRPr="00183A4E">
        <w:t xml:space="preserve">основната </w:t>
      </w:r>
      <w:r w:rsidR="00212F52">
        <w:t xml:space="preserve">си </w:t>
      </w:r>
      <w:r w:rsidR="005A37C9" w:rsidRPr="00183A4E">
        <w:t>дейност</w:t>
      </w:r>
      <w:r w:rsidR="00212F52">
        <w:t xml:space="preserve"> - </w:t>
      </w:r>
      <w:r w:rsidR="005A37C9" w:rsidRPr="00183A4E">
        <w:t>предлагане на кур</w:t>
      </w:r>
      <w:r w:rsidR="005A37C9">
        <w:t>иерски услуги от врата до врата</w:t>
      </w:r>
      <w:r w:rsidR="00212F52">
        <w:t xml:space="preserve">, която </w:t>
      </w:r>
      <w:r w:rsidR="00212F52" w:rsidRPr="00F46FD4">
        <w:t xml:space="preserve">формира между </w:t>
      </w:r>
      <w:r w:rsidR="00F46FD4" w:rsidRPr="00F46FD4">
        <w:t>91% и 93</w:t>
      </w:r>
      <w:r w:rsidR="00212F52" w:rsidRPr="00F46FD4">
        <w:t xml:space="preserve">% от приходите на компанията през последните три години. </w:t>
      </w:r>
      <w:r w:rsidR="00D37609" w:rsidRPr="00F46FD4">
        <w:t>Стратегия</w:t>
      </w:r>
      <w:r w:rsidR="00D37609">
        <w:t>та</w:t>
      </w:r>
      <w:r w:rsidR="00D9348E">
        <w:t xml:space="preserve"> в развитието на дейността е </w:t>
      </w:r>
      <w:r w:rsidR="00D37609">
        <w:t xml:space="preserve">обслужването на транспортната и логистична дейност на корпоративни клиенти. Това определя и </w:t>
      </w:r>
      <w:r w:rsidR="00E84E09">
        <w:t>вида</w:t>
      </w:r>
      <w:r w:rsidR="00D37609">
        <w:t xml:space="preserve"> на </w:t>
      </w:r>
      <w:r w:rsidR="00E84E09">
        <w:t xml:space="preserve">преобладаващата част от </w:t>
      </w:r>
      <w:r w:rsidR="00D37609">
        <w:t>превозваните товари –</w:t>
      </w:r>
      <w:r w:rsidR="000D252A">
        <w:t xml:space="preserve"> </w:t>
      </w:r>
      <w:r w:rsidR="00A3328C">
        <w:t xml:space="preserve">големи </w:t>
      </w:r>
      <w:r w:rsidR="000D252A">
        <w:t>пратки</w:t>
      </w:r>
      <w:r w:rsidR="00D37609">
        <w:t xml:space="preserve"> до 6 </w:t>
      </w:r>
      <w:r w:rsidR="00E84E09">
        <w:t xml:space="preserve">тона. </w:t>
      </w:r>
      <w:r w:rsidR="000D252A">
        <w:t xml:space="preserve">Извършва се и доставка на малки куриерски пратки – писма </w:t>
      </w:r>
      <w:r w:rsidR="003E05C5">
        <w:t>и документи</w:t>
      </w:r>
      <w:r w:rsidR="006E74CE">
        <w:t xml:space="preserve">, но тя в основната си част </w:t>
      </w:r>
      <w:r w:rsidR="003E05C5">
        <w:t>се разглежда като</w:t>
      </w:r>
      <w:r w:rsidR="006E74CE">
        <w:t xml:space="preserve"> допълваща дейност при обслужването на корпоративните клиенти.</w:t>
      </w:r>
    </w:p>
    <w:p w:rsidR="006E74CE" w:rsidRDefault="00932494" w:rsidP="00BE0C31">
      <w:pPr>
        <w:spacing w:after="120"/>
        <w:ind w:left="709"/>
      </w:pPr>
      <w:r>
        <w:t>С</w:t>
      </w:r>
      <w:r w:rsidR="00210C28">
        <w:t>поред срока на доставка извършваните</w:t>
      </w:r>
      <w:r>
        <w:t xml:space="preserve"> услуги се делят на експресна (доставката се извършва в рамките на един работен ден) и икономична (доставката се извършва в рамките на два работни дни). </w:t>
      </w:r>
      <w:r w:rsidR="00210C28">
        <w:t>Експресната е със значително по-голяма тежест при формирането на приходите, но след 2008 г. икономичната увеличи своя дял в приходите за сметка на експресната услуга, поради търсене на по-ниски цени от страна на клиентите.</w:t>
      </w:r>
    </w:p>
    <w:p w:rsidR="00DE4053" w:rsidRDefault="00EF66F6" w:rsidP="00BE0C31">
      <w:pPr>
        <w:spacing w:after="120"/>
        <w:ind w:left="709"/>
      </w:pPr>
      <w:r>
        <w:t xml:space="preserve">Останалите </w:t>
      </w:r>
      <w:r w:rsidR="004B2963">
        <w:t xml:space="preserve">куриерски </w:t>
      </w:r>
      <w:r>
        <w:t>услуги, които общо имат дял о</w:t>
      </w:r>
      <w:r w:rsidRPr="004B2963">
        <w:t xml:space="preserve">т </w:t>
      </w:r>
      <w:r w:rsidR="004B2963" w:rsidRPr="004B2963">
        <w:t>15</w:t>
      </w:r>
      <w:r w:rsidRPr="004B2963">
        <w:t>%</w:t>
      </w:r>
      <w:r w:rsidR="00222E76" w:rsidRPr="004B2963">
        <w:t xml:space="preserve"> </w:t>
      </w:r>
      <w:r w:rsidRPr="004B2963">
        <w:t>в</w:t>
      </w:r>
      <w:r>
        <w:t xml:space="preserve"> </w:t>
      </w:r>
      <w:r w:rsidR="00222E76">
        <w:t>общите приходи са международните пратки, карго и палети. Последните са въведени през 2007 г.</w:t>
      </w:r>
      <w:r w:rsidR="00E964BD">
        <w:t>, но</w:t>
      </w:r>
      <w:r w:rsidR="00222E76">
        <w:t xml:space="preserve"> реализират </w:t>
      </w:r>
      <w:r w:rsidR="00E964BD">
        <w:t xml:space="preserve">бърз </w:t>
      </w:r>
      <w:r w:rsidR="00222E76">
        <w:t xml:space="preserve">ръст </w:t>
      </w:r>
      <w:r w:rsidR="00E964BD">
        <w:t xml:space="preserve">и </w:t>
      </w:r>
      <w:r w:rsidR="00616DAD">
        <w:t>видим</w:t>
      </w:r>
      <w:r w:rsidR="00E964BD">
        <w:t xml:space="preserve"> принос към </w:t>
      </w:r>
      <w:r>
        <w:t xml:space="preserve">увеличението в </w:t>
      </w:r>
      <w:r w:rsidR="00E964BD">
        <w:t>приходите през последните 3 г.</w:t>
      </w:r>
      <w:r w:rsidR="008125B4">
        <w:t xml:space="preserve"> Палетите представляват стандартизирани опаковки с размери </w:t>
      </w:r>
      <w:r w:rsidR="008125B4" w:rsidRPr="008125B4">
        <w:t>1,2х1,2х0,8 м</w:t>
      </w:r>
      <w:r w:rsidR="008125B4">
        <w:t xml:space="preserve">, които </w:t>
      </w:r>
      <w:r w:rsidR="00CB7967">
        <w:t xml:space="preserve">които позволяват </w:t>
      </w:r>
      <w:r w:rsidR="008125B4">
        <w:t>на клиента сам</w:t>
      </w:r>
      <w:r w:rsidR="00CB7967">
        <w:t xml:space="preserve"> да</w:t>
      </w:r>
      <w:r w:rsidR="008125B4">
        <w:t xml:space="preserve"> подготв</w:t>
      </w:r>
      <w:r w:rsidR="00CB7967">
        <w:t>и</w:t>
      </w:r>
      <w:r w:rsidR="008125B4">
        <w:t xml:space="preserve"> пратката и е готова за товарене при пристигането на куриера. </w:t>
      </w:r>
      <w:r w:rsidR="00E964BD">
        <w:t>Предимството на палетите са</w:t>
      </w:r>
      <w:r w:rsidR="00222E76">
        <w:t xml:space="preserve"> атрактивните ценови условия за клиента</w:t>
      </w:r>
      <w:r w:rsidR="006D1960">
        <w:t>, тъй като п</w:t>
      </w:r>
      <w:r w:rsidR="00E964BD">
        <w:t xml:space="preserve">алетите дават възможност да се </w:t>
      </w:r>
      <w:r w:rsidR="006D1960">
        <w:t>оптимизира пространството в транспортните средства и е по-ритмично постъпването на заявките</w:t>
      </w:r>
      <w:r w:rsidR="00A3328C">
        <w:t>, което дава възможност на емитента да из</w:t>
      </w:r>
      <w:r w:rsidR="008125B4">
        <w:t>в</w:t>
      </w:r>
      <w:r w:rsidR="00A3328C">
        <w:t>ър</w:t>
      </w:r>
      <w:r w:rsidR="008125B4">
        <w:t>шв</w:t>
      </w:r>
      <w:r w:rsidR="00A3328C">
        <w:t>а доставките с по-ниски разходи</w:t>
      </w:r>
      <w:r w:rsidR="00222E76">
        <w:t>.</w:t>
      </w:r>
    </w:p>
    <w:p w:rsidR="00210C28" w:rsidRPr="00C64E91" w:rsidRDefault="00222E76" w:rsidP="00BE0C31">
      <w:pPr>
        <w:spacing w:after="120"/>
        <w:ind w:left="709"/>
        <w:rPr>
          <w:lang w:val="en-US"/>
        </w:rPr>
      </w:pPr>
      <w:r>
        <w:t>Международните пратки също реализират</w:t>
      </w:r>
      <w:r w:rsidR="006D1960">
        <w:t xml:space="preserve"> стабилен ръст</w:t>
      </w:r>
      <w:r>
        <w:t xml:space="preserve">, а след установяването на партньорските отношения с </w:t>
      </w:r>
      <w:r>
        <w:rPr>
          <w:lang w:val="en-US"/>
        </w:rPr>
        <w:t>DPD</w:t>
      </w:r>
      <w:r w:rsidR="006D1960">
        <w:rPr>
          <w:lang w:val="en-US"/>
        </w:rPr>
        <w:t xml:space="preserve">, </w:t>
      </w:r>
      <w:r w:rsidR="006D1960">
        <w:t>което реално се маркетира активно от 2011 г.</w:t>
      </w:r>
      <w:r>
        <w:t>, може да се очаква у</w:t>
      </w:r>
      <w:r w:rsidR="00C64E91">
        <w:t>скоряване на този ръст и по-конкретно от п</w:t>
      </w:r>
      <w:r w:rsidR="00FC2C97">
        <w:t>ратките с тегло до 31,5 кг., кое</w:t>
      </w:r>
      <w:r w:rsidR="00C64E91">
        <w:t xml:space="preserve">то е максималното тегло на пратка, която се обслужва от </w:t>
      </w:r>
      <w:r w:rsidR="00C64E91">
        <w:rPr>
          <w:lang w:val="en-US"/>
        </w:rPr>
        <w:t>DPD.</w:t>
      </w:r>
      <w:r w:rsidR="00FC2C97">
        <w:rPr>
          <w:lang w:val="en-US"/>
        </w:rPr>
        <w:t xml:space="preserve"> </w:t>
      </w:r>
      <w:r w:rsidR="00FC2C97">
        <w:t>Чрез партньорството си с DPD клиентите на Спиди имат достъп до може би най-добре развитата мрежа за сухопътни доставки в Европа, която разполага с 500 депа в повече от 40 държави, оперира с 15 000 превозни средства и обработва дневно 2 ми</w:t>
      </w:r>
      <w:r w:rsidR="00BC3C3F">
        <w:t>лиона пратки с 22 000 служители</w:t>
      </w:r>
      <w:r w:rsidR="00FC2C97">
        <w:rPr>
          <w:lang w:val="en-US"/>
        </w:rPr>
        <w:t>.</w:t>
      </w:r>
    </w:p>
    <w:p w:rsidR="00E84E09" w:rsidRDefault="00222E76" w:rsidP="00BE0C31">
      <w:pPr>
        <w:spacing w:after="120"/>
        <w:ind w:left="709"/>
      </w:pPr>
      <w:r>
        <w:t xml:space="preserve">В </w:t>
      </w:r>
      <w:r w:rsidR="006D1960">
        <w:t>допълнение към</w:t>
      </w:r>
      <w:r>
        <w:t xml:space="preserve"> основната дейност</w:t>
      </w:r>
      <w:r w:rsidR="006D1960">
        <w:t>, Дружеството предлага и няколко съпътстващи услуги като наложен платеж, обратна разписка и обратни документи, фиксиран час на доставка, опаковка на пратките, магазинаж</w:t>
      </w:r>
      <w:r w:rsidR="00D70BF4">
        <w:t>, застраховки, но тези услуги все още са с нисък принос към общите приходи.</w:t>
      </w:r>
    </w:p>
    <w:p w:rsidR="00C64E91" w:rsidRPr="00756F99" w:rsidRDefault="00C64E91" w:rsidP="00BE0C31">
      <w:pPr>
        <w:spacing w:after="120"/>
        <w:ind w:left="709"/>
      </w:pPr>
      <w:r>
        <w:t>През последните години се увеличава дела на допълнителните приходи от 2,5 млн лв. през 2009 г. до 4,2 млн. лв</w:t>
      </w:r>
      <w:r w:rsidRPr="00756F99">
        <w:t>. през 2011 г</w:t>
      </w:r>
      <w:r w:rsidR="00756F99" w:rsidRPr="00756F99">
        <w:t xml:space="preserve">. </w:t>
      </w:r>
      <w:r w:rsidR="00756F99">
        <w:t>въпреки растящият им дял, тези приходи са с минимален принос към общатата рентабилност, доколкото 60% от тях се формират от префактурирани разходи на гориво по доставна цена (2</w:t>
      </w:r>
      <w:r w:rsidR="00786802">
        <w:t>,43</w:t>
      </w:r>
      <w:r w:rsidR="00756F99">
        <w:t xml:space="preserve"> млн. лв.). Положително влияние оказват </w:t>
      </w:r>
      <w:r w:rsidR="00913780">
        <w:t>нарастването на приходите от застраховки, които достигат 751 хил. лв. през 2011 г.</w:t>
      </w:r>
      <w:r w:rsidR="00786802">
        <w:t xml:space="preserve"> Останалата част от „Други приходи” се дължат на приходи от получени застрахователни обезщетения, продажба на материали и ДМА и др., никой от коит</w:t>
      </w:r>
      <w:r w:rsidR="00BC3C3F">
        <w:t>о</w:t>
      </w:r>
      <w:r w:rsidR="00786802">
        <w:t xml:space="preserve"> на надхвърля 200 хил. лв. и не оказва </w:t>
      </w:r>
      <w:r w:rsidR="00F67964">
        <w:t>съществено влияние върху резул</w:t>
      </w:r>
      <w:r w:rsidR="00BC3C3F">
        <w:t>т</w:t>
      </w:r>
      <w:r w:rsidR="00F67964">
        <w:t>атите на дружеството.</w:t>
      </w:r>
    </w:p>
    <w:p w:rsidR="00C64E91" w:rsidRDefault="00C64E91" w:rsidP="00BE0C31">
      <w:pPr>
        <w:spacing w:after="120"/>
        <w:ind w:left="709"/>
      </w:pPr>
      <w:r w:rsidRPr="00756F99">
        <w:t>Въвеждането и налаганет</w:t>
      </w:r>
      <w:r>
        <w:t>о на нови продукти отнема значително време и постепен</w:t>
      </w:r>
      <w:r w:rsidR="00EF66F6">
        <w:t>е</w:t>
      </w:r>
      <w:r>
        <w:t>н</w:t>
      </w:r>
      <w:r w:rsidR="00EF66F6">
        <w:t xml:space="preserve"> процес</w:t>
      </w:r>
      <w:r>
        <w:t>. По тази причина няма въведен нов прод</w:t>
      </w:r>
      <w:r w:rsidR="004B0783">
        <w:t xml:space="preserve">укт през последните </w:t>
      </w:r>
      <w:r>
        <w:t>три финансови години, който към момента да е оказал значително влияние върху приходите.</w:t>
      </w:r>
    </w:p>
    <w:p w:rsidR="00FC3657" w:rsidRPr="00396FBA" w:rsidRDefault="00D37609" w:rsidP="00BE0C31">
      <w:pPr>
        <w:pStyle w:val="Heading1"/>
        <w:numPr>
          <w:ilvl w:val="2"/>
          <w:numId w:val="11"/>
        </w:numPr>
        <w:spacing w:after="120"/>
        <w:ind w:left="709" w:hanging="709"/>
        <w:rPr>
          <w:rFonts w:ascii="Times New Roman" w:hAnsi="Times New Roman"/>
          <w:b w:val="0"/>
          <w:i/>
          <w:sz w:val="24"/>
          <w:szCs w:val="24"/>
        </w:rPr>
      </w:pPr>
      <w:bookmarkStart w:id="57" w:name="_Toc324376918"/>
      <w:bookmarkStart w:id="58" w:name="_Toc324380077"/>
      <w:r w:rsidRPr="00396FBA">
        <w:rPr>
          <w:rFonts w:ascii="Times New Roman" w:hAnsi="Times New Roman"/>
          <w:b w:val="0"/>
          <w:i/>
          <w:sz w:val="24"/>
          <w:szCs w:val="24"/>
        </w:rPr>
        <w:t xml:space="preserve">Основни </w:t>
      </w:r>
      <w:r w:rsidR="00FC3657" w:rsidRPr="00396FBA">
        <w:rPr>
          <w:rFonts w:ascii="Times New Roman" w:hAnsi="Times New Roman"/>
          <w:b w:val="0"/>
          <w:i/>
          <w:sz w:val="24"/>
          <w:szCs w:val="24"/>
        </w:rPr>
        <w:t>пазари на емитента</w:t>
      </w:r>
      <w:r w:rsidR="00D70BF4">
        <w:rPr>
          <w:rFonts w:ascii="Times New Roman" w:hAnsi="Times New Roman"/>
          <w:b w:val="0"/>
          <w:i/>
          <w:sz w:val="24"/>
          <w:szCs w:val="24"/>
        </w:rPr>
        <w:t>.</w:t>
      </w:r>
      <w:bookmarkEnd w:id="57"/>
      <w:bookmarkEnd w:id="58"/>
    </w:p>
    <w:p w:rsidR="00550A49" w:rsidRDefault="00A77B71" w:rsidP="00BE0C31">
      <w:pPr>
        <w:spacing w:after="120"/>
        <w:ind w:left="709"/>
      </w:pPr>
      <w:r>
        <w:t xml:space="preserve">Основните пазари, който могат </w:t>
      </w:r>
      <w:r w:rsidR="006B6D65">
        <w:t>д</w:t>
      </w:r>
      <w:r w:rsidR="00FA209C">
        <w:t>а се откроят са вътрешния</w:t>
      </w:r>
      <w:r>
        <w:t xml:space="preserve"> и междунродния</w:t>
      </w:r>
      <w:r w:rsidR="00FA209C">
        <w:t>, като последния</w:t>
      </w:r>
      <w:r w:rsidR="00BC3C3F">
        <w:t>т</w:t>
      </w:r>
      <w:r w:rsidR="00FA209C">
        <w:t>, въпреки значителният потенциал, с който разп</w:t>
      </w:r>
      <w:r w:rsidR="00BC3C3F">
        <w:t>о</w:t>
      </w:r>
      <w:r w:rsidR="00FA209C">
        <w:t>лага, все още фо</w:t>
      </w:r>
      <w:r w:rsidR="00BC3C3F">
        <w:t>р</w:t>
      </w:r>
      <w:r w:rsidR="00FA209C">
        <w:t>мира малка част от постъпления</w:t>
      </w:r>
      <w:r w:rsidR="008E48D8">
        <w:t>та</w:t>
      </w:r>
      <w:r w:rsidR="00D51AF1">
        <w:t>.</w:t>
      </w:r>
      <w:r w:rsidR="002D11A7">
        <w:t xml:space="preserve"> Външният пазар обхваща пратките доставени извън страната или </w:t>
      </w:r>
      <w:r w:rsidR="007803DC">
        <w:t>получени от чужбина и доставени в страната.</w:t>
      </w:r>
    </w:p>
    <w:p w:rsidR="00D51AF1" w:rsidRPr="00D51AF1" w:rsidRDefault="00D51AF1" w:rsidP="00D51AF1">
      <w:pPr>
        <w:spacing w:after="120"/>
        <w:jc w:val="center"/>
        <w:rPr>
          <w:i/>
          <w:u w:val="single"/>
        </w:rPr>
      </w:pPr>
      <w:r w:rsidRPr="00D51AF1">
        <w:rPr>
          <w:i/>
          <w:u w:val="single"/>
        </w:rPr>
        <w:t>Разпределение на приходите по пазари</w:t>
      </w:r>
    </w:p>
    <w:tbl>
      <w:tblPr>
        <w:tblStyle w:val="MediumShading2-Accent11"/>
        <w:tblW w:w="9072" w:type="dxa"/>
        <w:tblInd w:w="817" w:type="dxa"/>
        <w:tblLayout w:type="fixed"/>
        <w:tblLook w:val="04E0"/>
      </w:tblPr>
      <w:tblGrid>
        <w:gridCol w:w="2990"/>
        <w:gridCol w:w="1216"/>
        <w:gridCol w:w="1216"/>
        <w:gridCol w:w="1217"/>
        <w:gridCol w:w="1216"/>
        <w:gridCol w:w="1217"/>
      </w:tblGrid>
      <w:tr w:rsidR="006B79A1" w:rsidRPr="00F05A3A" w:rsidTr="007115DE">
        <w:trPr>
          <w:cnfStyle w:val="100000000000"/>
          <w:trHeight w:val="300"/>
        </w:trPr>
        <w:tc>
          <w:tcPr>
            <w:cnfStyle w:val="001000000100"/>
            <w:tcW w:w="2990" w:type="dxa"/>
            <w:noWrap/>
            <w:hideMark/>
          </w:tcPr>
          <w:p w:rsidR="006B79A1" w:rsidRPr="00F05A3A" w:rsidRDefault="00D85A05" w:rsidP="00F243FA">
            <w:pPr>
              <w:autoSpaceDE/>
              <w:autoSpaceDN/>
              <w:adjustRightInd/>
              <w:spacing w:after="0"/>
              <w:jc w:val="center"/>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 xml:space="preserve">В </w:t>
            </w:r>
            <w:r w:rsidR="006B79A1" w:rsidRPr="00F05A3A">
              <w:rPr>
                <w:rFonts w:asciiTheme="minorHAnsi" w:hAnsiTheme="minorHAnsi" w:cstheme="minorHAnsi"/>
                <w:bCs w:val="0"/>
                <w:color w:val="000000"/>
                <w:sz w:val="22"/>
                <w:szCs w:val="22"/>
                <w:lang w:eastAsia="bg-BG"/>
              </w:rPr>
              <w:t>хил. лв.</w:t>
            </w:r>
          </w:p>
        </w:tc>
        <w:tc>
          <w:tcPr>
            <w:tcW w:w="1216" w:type="dxa"/>
            <w:noWrap/>
            <w:hideMark/>
          </w:tcPr>
          <w:p w:rsidR="006B79A1" w:rsidRPr="00F05A3A" w:rsidRDefault="006B79A1" w:rsidP="008E48D8">
            <w:pPr>
              <w:autoSpaceDE/>
              <w:autoSpaceDN/>
              <w:adjustRightInd/>
              <w:spacing w:after="0"/>
              <w:jc w:val="center"/>
              <w:cnfStyle w:val="100000000000"/>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2009</w:t>
            </w:r>
          </w:p>
        </w:tc>
        <w:tc>
          <w:tcPr>
            <w:tcW w:w="1216" w:type="dxa"/>
            <w:noWrap/>
            <w:hideMark/>
          </w:tcPr>
          <w:p w:rsidR="006B79A1" w:rsidRPr="00F05A3A" w:rsidRDefault="006B79A1" w:rsidP="008E48D8">
            <w:pPr>
              <w:autoSpaceDE/>
              <w:autoSpaceDN/>
              <w:adjustRightInd/>
              <w:spacing w:after="0"/>
              <w:jc w:val="center"/>
              <w:cnfStyle w:val="100000000000"/>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2010</w:t>
            </w:r>
          </w:p>
        </w:tc>
        <w:tc>
          <w:tcPr>
            <w:tcW w:w="1217" w:type="dxa"/>
            <w:noWrap/>
            <w:hideMark/>
          </w:tcPr>
          <w:p w:rsidR="006B79A1" w:rsidRPr="00F05A3A" w:rsidRDefault="006B79A1" w:rsidP="008E48D8">
            <w:pPr>
              <w:autoSpaceDE/>
              <w:autoSpaceDN/>
              <w:adjustRightInd/>
              <w:spacing w:after="0"/>
              <w:jc w:val="center"/>
              <w:cnfStyle w:val="100000000000"/>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2011</w:t>
            </w:r>
          </w:p>
        </w:tc>
        <w:tc>
          <w:tcPr>
            <w:tcW w:w="1216" w:type="dxa"/>
            <w:noWrap/>
            <w:hideMark/>
          </w:tcPr>
          <w:p w:rsidR="006B79A1" w:rsidRPr="00F05A3A" w:rsidRDefault="006B79A1" w:rsidP="008E48D8">
            <w:pPr>
              <w:autoSpaceDE/>
              <w:autoSpaceDN/>
              <w:adjustRightInd/>
              <w:spacing w:after="0"/>
              <w:jc w:val="center"/>
              <w:cnfStyle w:val="100000000000"/>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Q1 11</w:t>
            </w:r>
          </w:p>
        </w:tc>
        <w:tc>
          <w:tcPr>
            <w:tcW w:w="1217" w:type="dxa"/>
            <w:noWrap/>
            <w:hideMark/>
          </w:tcPr>
          <w:p w:rsidR="006B79A1" w:rsidRPr="00F05A3A" w:rsidRDefault="006B79A1" w:rsidP="008E48D8">
            <w:pPr>
              <w:autoSpaceDE/>
              <w:autoSpaceDN/>
              <w:adjustRightInd/>
              <w:spacing w:after="0"/>
              <w:jc w:val="center"/>
              <w:cnfStyle w:val="100000000000"/>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Q1 12</w:t>
            </w:r>
          </w:p>
        </w:tc>
      </w:tr>
      <w:tr w:rsidR="006B79A1" w:rsidRPr="00F05A3A" w:rsidTr="007115DE">
        <w:trPr>
          <w:cnfStyle w:val="000000100000"/>
          <w:trHeight w:val="300"/>
        </w:trPr>
        <w:tc>
          <w:tcPr>
            <w:cnfStyle w:val="001000000000"/>
            <w:tcW w:w="2990" w:type="dxa"/>
            <w:noWrap/>
            <w:hideMark/>
          </w:tcPr>
          <w:p w:rsidR="006B79A1" w:rsidRPr="002D11A7" w:rsidRDefault="00D85A05" w:rsidP="002D11A7">
            <w:pPr>
              <w:jc w:val="left"/>
              <w:rPr>
                <w:rFonts w:asciiTheme="minorHAnsi" w:hAnsiTheme="minorHAnsi" w:cstheme="minorHAnsi"/>
                <w:sz w:val="22"/>
                <w:szCs w:val="22"/>
              </w:rPr>
            </w:pPr>
            <w:r w:rsidRPr="002D11A7">
              <w:rPr>
                <w:rFonts w:asciiTheme="minorHAnsi" w:hAnsiTheme="minorHAnsi" w:cstheme="minorHAnsi"/>
                <w:sz w:val="22"/>
                <w:szCs w:val="22"/>
              </w:rPr>
              <w:t xml:space="preserve">Вътрешен </w:t>
            </w:r>
            <w:r w:rsidR="006B79A1" w:rsidRPr="002D11A7">
              <w:rPr>
                <w:rFonts w:asciiTheme="minorHAnsi" w:hAnsiTheme="minorHAnsi" w:cstheme="minorHAnsi"/>
                <w:sz w:val="22"/>
                <w:szCs w:val="22"/>
              </w:rPr>
              <w:t>пазар</w:t>
            </w:r>
          </w:p>
        </w:tc>
        <w:tc>
          <w:tcPr>
            <w:tcW w:w="1216" w:type="dxa"/>
            <w:noWrap/>
            <w:hideMark/>
          </w:tcPr>
          <w:p w:rsidR="006B79A1" w:rsidRPr="00F05A3A" w:rsidRDefault="006B79A1">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31 554</w:t>
            </w:r>
          </w:p>
        </w:tc>
        <w:tc>
          <w:tcPr>
            <w:tcW w:w="1216" w:type="dxa"/>
            <w:noWrap/>
            <w:hideMark/>
          </w:tcPr>
          <w:p w:rsidR="006B79A1" w:rsidRPr="00F05A3A" w:rsidRDefault="006B79A1">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34 900</w:t>
            </w:r>
          </w:p>
        </w:tc>
        <w:tc>
          <w:tcPr>
            <w:tcW w:w="1217" w:type="dxa"/>
            <w:noWrap/>
            <w:hideMark/>
          </w:tcPr>
          <w:p w:rsidR="006B79A1" w:rsidRPr="00F05A3A" w:rsidRDefault="006B79A1">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40 400</w:t>
            </w:r>
          </w:p>
        </w:tc>
        <w:tc>
          <w:tcPr>
            <w:tcW w:w="1216" w:type="dxa"/>
            <w:noWrap/>
            <w:hideMark/>
          </w:tcPr>
          <w:p w:rsidR="006B79A1" w:rsidRPr="00F05A3A" w:rsidRDefault="006B79A1">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6 498</w:t>
            </w:r>
          </w:p>
        </w:tc>
        <w:tc>
          <w:tcPr>
            <w:tcW w:w="1217" w:type="dxa"/>
            <w:noWrap/>
            <w:hideMark/>
          </w:tcPr>
          <w:p w:rsidR="006B79A1" w:rsidRPr="00F05A3A" w:rsidRDefault="006B79A1">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7 679</w:t>
            </w:r>
          </w:p>
        </w:tc>
      </w:tr>
      <w:tr w:rsidR="006B79A1" w:rsidRPr="00F05A3A" w:rsidTr="007115DE">
        <w:trPr>
          <w:trHeight w:val="300"/>
        </w:trPr>
        <w:tc>
          <w:tcPr>
            <w:cnfStyle w:val="001000000000"/>
            <w:tcW w:w="2990" w:type="dxa"/>
            <w:noWrap/>
            <w:hideMark/>
          </w:tcPr>
          <w:p w:rsidR="006B79A1" w:rsidRPr="002D11A7" w:rsidRDefault="006B79A1" w:rsidP="002D11A7">
            <w:pPr>
              <w:jc w:val="right"/>
              <w:rPr>
                <w:rFonts w:asciiTheme="minorHAnsi" w:hAnsiTheme="minorHAnsi" w:cstheme="minorHAnsi"/>
                <w:sz w:val="22"/>
                <w:szCs w:val="22"/>
              </w:rPr>
            </w:pPr>
            <w:r w:rsidRPr="002D11A7">
              <w:rPr>
                <w:rFonts w:asciiTheme="minorHAnsi" w:hAnsiTheme="minorHAnsi" w:cstheme="minorHAnsi"/>
                <w:sz w:val="22"/>
                <w:szCs w:val="22"/>
              </w:rPr>
              <w:t>% от общите приходи</w:t>
            </w:r>
          </w:p>
        </w:tc>
        <w:tc>
          <w:tcPr>
            <w:tcW w:w="1216" w:type="dxa"/>
            <w:noWrap/>
            <w:hideMark/>
          </w:tcPr>
          <w:p w:rsidR="006B79A1" w:rsidRPr="00F05A3A" w:rsidRDefault="006B79A1">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96%</w:t>
            </w:r>
          </w:p>
        </w:tc>
        <w:tc>
          <w:tcPr>
            <w:tcW w:w="1216" w:type="dxa"/>
            <w:noWrap/>
            <w:hideMark/>
          </w:tcPr>
          <w:p w:rsidR="006B79A1" w:rsidRPr="00F05A3A" w:rsidRDefault="006B79A1">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95%</w:t>
            </w:r>
          </w:p>
        </w:tc>
        <w:tc>
          <w:tcPr>
            <w:tcW w:w="1217" w:type="dxa"/>
            <w:noWrap/>
            <w:hideMark/>
          </w:tcPr>
          <w:p w:rsidR="006B79A1" w:rsidRPr="00F05A3A" w:rsidRDefault="006B79A1">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93%</w:t>
            </w:r>
          </w:p>
        </w:tc>
        <w:tc>
          <w:tcPr>
            <w:tcW w:w="1216" w:type="dxa"/>
            <w:noWrap/>
            <w:hideMark/>
          </w:tcPr>
          <w:p w:rsidR="006B79A1" w:rsidRPr="00F05A3A" w:rsidRDefault="006B79A1">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93%</w:t>
            </w:r>
          </w:p>
        </w:tc>
        <w:tc>
          <w:tcPr>
            <w:tcW w:w="1217" w:type="dxa"/>
            <w:noWrap/>
            <w:hideMark/>
          </w:tcPr>
          <w:p w:rsidR="006B79A1" w:rsidRPr="00F05A3A" w:rsidRDefault="006B79A1">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92%</w:t>
            </w:r>
          </w:p>
        </w:tc>
      </w:tr>
      <w:tr w:rsidR="006B79A1" w:rsidRPr="00F05A3A" w:rsidTr="007115DE">
        <w:trPr>
          <w:cnfStyle w:val="000000100000"/>
          <w:trHeight w:val="300"/>
        </w:trPr>
        <w:tc>
          <w:tcPr>
            <w:cnfStyle w:val="001000000000"/>
            <w:tcW w:w="2990" w:type="dxa"/>
            <w:noWrap/>
            <w:hideMark/>
          </w:tcPr>
          <w:p w:rsidR="006B79A1" w:rsidRPr="002D11A7" w:rsidRDefault="00D85A05" w:rsidP="002D11A7">
            <w:pPr>
              <w:jc w:val="left"/>
              <w:rPr>
                <w:rFonts w:asciiTheme="minorHAnsi" w:hAnsiTheme="minorHAnsi" w:cstheme="minorHAnsi"/>
                <w:sz w:val="22"/>
                <w:szCs w:val="22"/>
              </w:rPr>
            </w:pPr>
            <w:r w:rsidRPr="002D11A7">
              <w:rPr>
                <w:rFonts w:asciiTheme="minorHAnsi" w:hAnsiTheme="minorHAnsi" w:cstheme="minorHAnsi"/>
                <w:sz w:val="22"/>
                <w:szCs w:val="22"/>
              </w:rPr>
              <w:t xml:space="preserve">Външен </w:t>
            </w:r>
            <w:r w:rsidR="006B79A1" w:rsidRPr="002D11A7">
              <w:rPr>
                <w:rFonts w:asciiTheme="minorHAnsi" w:hAnsiTheme="minorHAnsi" w:cstheme="minorHAnsi"/>
                <w:sz w:val="22"/>
                <w:szCs w:val="22"/>
              </w:rPr>
              <w:t>пазар</w:t>
            </w:r>
          </w:p>
        </w:tc>
        <w:tc>
          <w:tcPr>
            <w:tcW w:w="1216" w:type="dxa"/>
            <w:noWrap/>
            <w:hideMark/>
          </w:tcPr>
          <w:p w:rsidR="006B79A1" w:rsidRPr="00F05A3A" w:rsidRDefault="006B79A1">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1 293</w:t>
            </w:r>
          </w:p>
        </w:tc>
        <w:tc>
          <w:tcPr>
            <w:tcW w:w="1216" w:type="dxa"/>
            <w:noWrap/>
            <w:hideMark/>
          </w:tcPr>
          <w:p w:rsidR="006B79A1" w:rsidRPr="00F05A3A" w:rsidRDefault="006B79A1">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1 842</w:t>
            </w:r>
          </w:p>
        </w:tc>
        <w:tc>
          <w:tcPr>
            <w:tcW w:w="1217" w:type="dxa"/>
            <w:noWrap/>
            <w:hideMark/>
          </w:tcPr>
          <w:p w:rsidR="006B79A1" w:rsidRPr="00F05A3A" w:rsidRDefault="006B79A1">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3 003</w:t>
            </w:r>
          </w:p>
        </w:tc>
        <w:tc>
          <w:tcPr>
            <w:tcW w:w="1216" w:type="dxa"/>
            <w:noWrap/>
            <w:hideMark/>
          </w:tcPr>
          <w:p w:rsidR="006B79A1" w:rsidRPr="00F05A3A" w:rsidRDefault="006B79A1">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489</w:t>
            </w:r>
          </w:p>
        </w:tc>
        <w:tc>
          <w:tcPr>
            <w:tcW w:w="1217" w:type="dxa"/>
            <w:noWrap/>
            <w:hideMark/>
          </w:tcPr>
          <w:p w:rsidR="006B79A1" w:rsidRPr="00F05A3A" w:rsidRDefault="006B79A1">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648</w:t>
            </w:r>
          </w:p>
        </w:tc>
      </w:tr>
      <w:tr w:rsidR="006B79A1" w:rsidRPr="00F05A3A" w:rsidTr="007115DE">
        <w:trPr>
          <w:trHeight w:val="300"/>
        </w:trPr>
        <w:tc>
          <w:tcPr>
            <w:cnfStyle w:val="001000000000"/>
            <w:tcW w:w="2990" w:type="dxa"/>
            <w:noWrap/>
            <w:hideMark/>
          </w:tcPr>
          <w:p w:rsidR="006B79A1" w:rsidRPr="002D11A7" w:rsidRDefault="006B79A1" w:rsidP="002D11A7">
            <w:pPr>
              <w:jc w:val="right"/>
              <w:rPr>
                <w:rFonts w:asciiTheme="minorHAnsi" w:hAnsiTheme="minorHAnsi" w:cstheme="minorHAnsi"/>
                <w:sz w:val="22"/>
                <w:szCs w:val="22"/>
              </w:rPr>
            </w:pPr>
            <w:r w:rsidRPr="002D11A7">
              <w:rPr>
                <w:rFonts w:asciiTheme="minorHAnsi" w:hAnsiTheme="minorHAnsi" w:cstheme="minorHAnsi"/>
                <w:sz w:val="22"/>
                <w:szCs w:val="22"/>
              </w:rPr>
              <w:t>% от общите приходи</w:t>
            </w:r>
          </w:p>
        </w:tc>
        <w:tc>
          <w:tcPr>
            <w:tcW w:w="1216" w:type="dxa"/>
            <w:noWrap/>
            <w:hideMark/>
          </w:tcPr>
          <w:p w:rsidR="006B79A1" w:rsidRPr="00F05A3A" w:rsidRDefault="006B79A1">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4%</w:t>
            </w:r>
          </w:p>
        </w:tc>
        <w:tc>
          <w:tcPr>
            <w:tcW w:w="1216" w:type="dxa"/>
            <w:noWrap/>
            <w:hideMark/>
          </w:tcPr>
          <w:p w:rsidR="006B79A1" w:rsidRPr="00F05A3A" w:rsidRDefault="006B79A1">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5%</w:t>
            </w:r>
          </w:p>
        </w:tc>
        <w:tc>
          <w:tcPr>
            <w:tcW w:w="1217" w:type="dxa"/>
            <w:noWrap/>
            <w:hideMark/>
          </w:tcPr>
          <w:p w:rsidR="006B79A1" w:rsidRPr="00F05A3A" w:rsidRDefault="006B79A1">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7%</w:t>
            </w:r>
          </w:p>
        </w:tc>
        <w:tc>
          <w:tcPr>
            <w:tcW w:w="1216" w:type="dxa"/>
            <w:noWrap/>
            <w:hideMark/>
          </w:tcPr>
          <w:p w:rsidR="006B79A1" w:rsidRPr="00F05A3A" w:rsidRDefault="006B79A1">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7%</w:t>
            </w:r>
          </w:p>
        </w:tc>
        <w:tc>
          <w:tcPr>
            <w:tcW w:w="1217" w:type="dxa"/>
            <w:noWrap/>
            <w:hideMark/>
          </w:tcPr>
          <w:p w:rsidR="006B79A1" w:rsidRPr="00F05A3A" w:rsidRDefault="006B79A1">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8%</w:t>
            </w:r>
          </w:p>
        </w:tc>
      </w:tr>
      <w:tr w:rsidR="006B79A1" w:rsidRPr="00F05A3A" w:rsidTr="007115DE">
        <w:trPr>
          <w:cnfStyle w:val="010000000000"/>
          <w:trHeight w:val="315"/>
        </w:trPr>
        <w:tc>
          <w:tcPr>
            <w:cnfStyle w:val="001000000000"/>
            <w:tcW w:w="2990" w:type="dxa"/>
            <w:noWrap/>
            <w:hideMark/>
          </w:tcPr>
          <w:p w:rsidR="006B79A1" w:rsidRPr="00F05A3A" w:rsidRDefault="00D85A05" w:rsidP="008E48D8">
            <w:pPr>
              <w:autoSpaceDE/>
              <w:autoSpaceDN/>
              <w:adjustRightInd/>
              <w:spacing w:after="0"/>
              <w:jc w:val="left"/>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ОБЩО ПРИХОДИ</w:t>
            </w:r>
          </w:p>
        </w:tc>
        <w:tc>
          <w:tcPr>
            <w:tcW w:w="1216" w:type="dxa"/>
            <w:noWrap/>
            <w:hideMark/>
          </w:tcPr>
          <w:p w:rsidR="006B79A1" w:rsidRPr="00F05A3A" w:rsidRDefault="006B79A1">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32 847</w:t>
            </w:r>
          </w:p>
        </w:tc>
        <w:tc>
          <w:tcPr>
            <w:tcW w:w="1216" w:type="dxa"/>
            <w:noWrap/>
            <w:hideMark/>
          </w:tcPr>
          <w:p w:rsidR="006B79A1" w:rsidRPr="00F05A3A" w:rsidRDefault="006B79A1">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36 742</w:t>
            </w:r>
          </w:p>
        </w:tc>
        <w:tc>
          <w:tcPr>
            <w:tcW w:w="1217" w:type="dxa"/>
            <w:noWrap/>
            <w:hideMark/>
          </w:tcPr>
          <w:p w:rsidR="006B79A1" w:rsidRPr="00F05A3A" w:rsidRDefault="006B79A1">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43 403</w:t>
            </w:r>
          </w:p>
        </w:tc>
        <w:tc>
          <w:tcPr>
            <w:tcW w:w="1216" w:type="dxa"/>
            <w:noWrap/>
            <w:hideMark/>
          </w:tcPr>
          <w:p w:rsidR="006B79A1" w:rsidRPr="00F05A3A" w:rsidRDefault="006B79A1">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6 987</w:t>
            </w:r>
          </w:p>
        </w:tc>
        <w:tc>
          <w:tcPr>
            <w:tcW w:w="1217" w:type="dxa"/>
            <w:noWrap/>
            <w:hideMark/>
          </w:tcPr>
          <w:p w:rsidR="006B79A1" w:rsidRPr="00F05A3A" w:rsidRDefault="006B79A1">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8 327</w:t>
            </w:r>
          </w:p>
        </w:tc>
      </w:tr>
    </w:tbl>
    <w:p w:rsidR="00D85A05" w:rsidRPr="00A15034" w:rsidRDefault="00D85A05" w:rsidP="00D85A05">
      <w:pPr>
        <w:ind w:left="709"/>
        <w:jc w:val="right"/>
        <w:rPr>
          <w:i/>
        </w:rPr>
      </w:pPr>
      <w:r>
        <w:rPr>
          <w:i/>
        </w:rPr>
        <w:t>Бележка: Консолидираните и неконсолидираните приходи от пратки съвпадат</w:t>
      </w:r>
    </w:p>
    <w:p w:rsidR="00A904E3" w:rsidRPr="00A904E3" w:rsidRDefault="00A904E3" w:rsidP="00A904E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D70BF4" w:rsidRDefault="00D70BF4" w:rsidP="00BE0C31">
      <w:pPr>
        <w:spacing w:after="120"/>
        <w:ind w:left="709"/>
      </w:pPr>
    </w:p>
    <w:p w:rsidR="008E48D8" w:rsidRDefault="00CB7967" w:rsidP="00BE0C31">
      <w:pPr>
        <w:spacing w:after="120"/>
        <w:ind w:left="709"/>
      </w:pPr>
      <w:r>
        <w:t xml:space="preserve">Компанията </w:t>
      </w:r>
      <w:r w:rsidR="008E48D8">
        <w:t xml:space="preserve">оперира </w:t>
      </w:r>
      <w:r>
        <w:t>на територията</w:t>
      </w:r>
      <w:r w:rsidR="008E48D8">
        <w:t xml:space="preserve"> цялата страна и към момента това е основния</w:t>
      </w:r>
      <w:r w:rsidR="00BC3C3F">
        <w:t>т</w:t>
      </w:r>
      <w:r w:rsidR="008E48D8">
        <w:t xml:space="preserve"> пазар на </w:t>
      </w:r>
      <w:r w:rsidR="00D70BF4">
        <w:t>„СПИДИ” ЕАД</w:t>
      </w:r>
      <w:r w:rsidR="008E48D8">
        <w:t>. Най-голям дял от приходите се генерира в София. Следващи по важност са големите областни центрове.</w:t>
      </w:r>
      <w:r w:rsidR="001506F2">
        <w:t xml:space="preserve"> </w:t>
      </w:r>
    </w:p>
    <w:p w:rsidR="00FB3D0E" w:rsidRPr="00D51AF1" w:rsidRDefault="004F10EA" w:rsidP="00D51AF1">
      <w:pPr>
        <w:spacing w:after="120"/>
        <w:jc w:val="center"/>
        <w:rPr>
          <w:i/>
          <w:u w:val="single"/>
        </w:rPr>
      </w:pPr>
      <w:r w:rsidRPr="00D51AF1">
        <w:rPr>
          <w:i/>
          <w:u w:val="single"/>
        </w:rPr>
        <w:t>При</w:t>
      </w:r>
      <w:r w:rsidR="008B640C" w:rsidRPr="00D51AF1">
        <w:rPr>
          <w:i/>
          <w:u w:val="single"/>
        </w:rPr>
        <w:t>ходи от куриерски услуги п</w:t>
      </w:r>
      <w:r w:rsidRPr="00D51AF1">
        <w:rPr>
          <w:i/>
          <w:u w:val="single"/>
        </w:rPr>
        <w:t>о</w:t>
      </w:r>
      <w:r w:rsidR="008B640C" w:rsidRPr="00D51AF1">
        <w:rPr>
          <w:i/>
          <w:u w:val="single"/>
        </w:rPr>
        <w:t xml:space="preserve"> </w:t>
      </w:r>
      <w:r w:rsidRPr="00D51AF1">
        <w:rPr>
          <w:i/>
          <w:u w:val="single"/>
        </w:rPr>
        <w:t>региони</w:t>
      </w:r>
    </w:p>
    <w:tbl>
      <w:tblPr>
        <w:tblStyle w:val="MediumShading2-Accent11"/>
        <w:tblW w:w="9072" w:type="dxa"/>
        <w:tblInd w:w="817" w:type="dxa"/>
        <w:tblLayout w:type="fixed"/>
        <w:tblLook w:val="04E0"/>
      </w:tblPr>
      <w:tblGrid>
        <w:gridCol w:w="2992"/>
        <w:gridCol w:w="1216"/>
        <w:gridCol w:w="1216"/>
        <w:gridCol w:w="1216"/>
        <w:gridCol w:w="1216"/>
        <w:gridCol w:w="1216"/>
      </w:tblGrid>
      <w:tr w:rsidR="00476B5F" w:rsidRPr="00F05A3A" w:rsidTr="007115DE">
        <w:trPr>
          <w:cnfStyle w:val="100000000000"/>
          <w:trHeight w:val="300"/>
        </w:trPr>
        <w:tc>
          <w:tcPr>
            <w:cnfStyle w:val="001000000100"/>
            <w:tcW w:w="2992" w:type="dxa"/>
            <w:noWrap/>
            <w:hideMark/>
          </w:tcPr>
          <w:p w:rsidR="00476B5F" w:rsidRPr="00F05A3A" w:rsidRDefault="00D85A05" w:rsidP="009D52FC">
            <w:pPr>
              <w:autoSpaceDE/>
              <w:autoSpaceDN/>
              <w:adjustRightInd/>
              <w:spacing w:after="0"/>
              <w:jc w:val="center"/>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 xml:space="preserve">В </w:t>
            </w:r>
            <w:r w:rsidR="00476B5F" w:rsidRPr="00F05A3A">
              <w:rPr>
                <w:rFonts w:asciiTheme="minorHAnsi" w:hAnsiTheme="minorHAnsi" w:cstheme="minorHAnsi"/>
                <w:bCs w:val="0"/>
                <w:color w:val="000000"/>
                <w:sz w:val="22"/>
                <w:szCs w:val="22"/>
                <w:lang w:eastAsia="bg-BG"/>
              </w:rPr>
              <w:t>хил. лв.</w:t>
            </w:r>
          </w:p>
        </w:tc>
        <w:tc>
          <w:tcPr>
            <w:tcW w:w="1216" w:type="dxa"/>
            <w:noWrap/>
            <w:hideMark/>
          </w:tcPr>
          <w:p w:rsidR="00476B5F" w:rsidRPr="00F05A3A" w:rsidRDefault="00476B5F" w:rsidP="00FB3D0E">
            <w:pPr>
              <w:autoSpaceDE/>
              <w:autoSpaceDN/>
              <w:adjustRightInd/>
              <w:spacing w:after="0"/>
              <w:jc w:val="center"/>
              <w:cnfStyle w:val="100000000000"/>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2009</w:t>
            </w:r>
          </w:p>
        </w:tc>
        <w:tc>
          <w:tcPr>
            <w:tcW w:w="1216" w:type="dxa"/>
            <w:noWrap/>
            <w:hideMark/>
          </w:tcPr>
          <w:p w:rsidR="00476B5F" w:rsidRPr="00F05A3A" w:rsidRDefault="00476B5F" w:rsidP="00FB3D0E">
            <w:pPr>
              <w:autoSpaceDE/>
              <w:autoSpaceDN/>
              <w:adjustRightInd/>
              <w:spacing w:after="0"/>
              <w:jc w:val="center"/>
              <w:cnfStyle w:val="100000000000"/>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2010</w:t>
            </w:r>
          </w:p>
        </w:tc>
        <w:tc>
          <w:tcPr>
            <w:tcW w:w="1216" w:type="dxa"/>
            <w:noWrap/>
            <w:hideMark/>
          </w:tcPr>
          <w:p w:rsidR="00476B5F" w:rsidRPr="00F05A3A" w:rsidRDefault="00476B5F" w:rsidP="00FB3D0E">
            <w:pPr>
              <w:autoSpaceDE/>
              <w:autoSpaceDN/>
              <w:adjustRightInd/>
              <w:spacing w:after="0"/>
              <w:jc w:val="center"/>
              <w:cnfStyle w:val="100000000000"/>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2011</w:t>
            </w:r>
          </w:p>
        </w:tc>
        <w:tc>
          <w:tcPr>
            <w:tcW w:w="1216" w:type="dxa"/>
            <w:noWrap/>
            <w:hideMark/>
          </w:tcPr>
          <w:p w:rsidR="00476B5F" w:rsidRPr="00F05A3A" w:rsidRDefault="00476B5F" w:rsidP="00FB3D0E">
            <w:pPr>
              <w:autoSpaceDE/>
              <w:autoSpaceDN/>
              <w:adjustRightInd/>
              <w:spacing w:after="0"/>
              <w:jc w:val="center"/>
              <w:cnfStyle w:val="100000000000"/>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Q1 11</w:t>
            </w:r>
          </w:p>
        </w:tc>
        <w:tc>
          <w:tcPr>
            <w:tcW w:w="1216" w:type="dxa"/>
            <w:noWrap/>
            <w:hideMark/>
          </w:tcPr>
          <w:p w:rsidR="00476B5F" w:rsidRPr="00F05A3A" w:rsidRDefault="00476B5F" w:rsidP="00FB3D0E">
            <w:pPr>
              <w:autoSpaceDE/>
              <w:autoSpaceDN/>
              <w:adjustRightInd/>
              <w:spacing w:after="0"/>
              <w:jc w:val="center"/>
              <w:cnfStyle w:val="100000000000"/>
              <w:rPr>
                <w:rFonts w:asciiTheme="minorHAnsi" w:hAnsiTheme="minorHAnsi" w:cstheme="minorHAnsi"/>
                <w:bCs w:val="0"/>
                <w:color w:val="000000"/>
                <w:sz w:val="22"/>
                <w:szCs w:val="22"/>
                <w:lang w:eastAsia="bg-BG"/>
              </w:rPr>
            </w:pPr>
            <w:r w:rsidRPr="00F05A3A">
              <w:rPr>
                <w:rFonts w:asciiTheme="minorHAnsi" w:hAnsiTheme="minorHAnsi" w:cstheme="minorHAnsi"/>
                <w:bCs w:val="0"/>
                <w:color w:val="000000"/>
                <w:sz w:val="22"/>
                <w:szCs w:val="22"/>
                <w:lang w:eastAsia="bg-BG"/>
              </w:rPr>
              <w:t>Q1 12</w:t>
            </w:r>
          </w:p>
        </w:tc>
      </w:tr>
      <w:tr w:rsidR="00476B5F" w:rsidRPr="00F05A3A" w:rsidTr="007115DE">
        <w:trPr>
          <w:cnfStyle w:val="000000100000"/>
          <w:trHeight w:val="315"/>
        </w:trPr>
        <w:tc>
          <w:tcPr>
            <w:cnfStyle w:val="001000000000"/>
            <w:tcW w:w="2992" w:type="dxa"/>
            <w:noWrap/>
            <w:hideMark/>
          </w:tcPr>
          <w:p w:rsidR="00476B5F" w:rsidRPr="00F05A3A" w:rsidRDefault="00476B5F" w:rsidP="00452737">
            <w:pPr>
              <w:jc w:val="left"/>
              <w:rPr>
                <w:rFonts w:asciiTheme="minorHAnsi" w:hAnsiTheme="minorHAnsi" w:cstheme="minorHAnsi"/>
                <w:sz w:val="22"/>
                <w:szCs w:val="22"/>
              </w:rPr>
            </w:pPr>
            <w:r w:rsidRPr="00F05A3A">
              <w:rPr>
                <w:rFonts w:asciiTheme="minorHAnsi" w:hAnsiTheme="minorHAnsi" w:cstheme="minorHAnsi"/>
                <w:sz w:val="22"/>
                <w:szCs w:val="22"/>
              </w:rPr>
              <w:t>Черноморски</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5 913</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6 715</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8 050</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1 228</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1 457</w:t>
            </w:r>
          </w:p>
        </w:tc>
      </w:tr>
      <w:tr w:rsidR="00476B5F" w:rsidRPr="00F05A3A" w:rsidTr="007115DE">
        <w:trPr>
          <w:trHeight w:val="315"/>
        </w:trPr>
        <w:tc>
          <w:tcPr>
            <w:cnfStyle w:val="001000000000"/>
            <w:tcW w:w="2992" w:type="dxa"/>
            <w:noWrap/>
            <w:hideMark/>
          </w:tcPr>
          <w:p w:rsidR="00476B5F" w:rsidRPr="00F05A3A" w:rsidRDefault="00476B5F" w:rsidP="00452737">
            <w:pPr>
              <w:jc w:val="left"/>
              <w:rPr>
                <w:rFonts w:asciiTheme="minorHAnsi" w:hAnsiTheme="minorHAnsi" w:cstheme="minorHAnsi"/>
                <w:sz w:val="22"/>
                <w:szCs w:val="22"/>
              </w:rPr>
            </w:pPr>
            <w:r w:rsidRPr="00F05A3A">
              <w:rPr>
                <w:rFonts w:asciiTheme="minorHAnsi" w:hAnsiTheme="minorHAnsi" w:cstheme="minorHAnsi"/>
                <w:sz w:val="22"/>
                <w:szCs w:val="22"/>
              </w:rPr>
              <w:t>Северен централен</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3 469</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4 065</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4 991</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782</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991</w:t>
            </w:r>
          </w:p>
        </w:tc>
      </w:tr>
      <w:tr w:rsidR="00476B5F" w:rsidRPr="00F05A3A" w:rsidTr="007115DE">
        <w:trPr>
          <w:cnfStyle w:val="000000100000"/>
          <w:trHeight w:val="315"/>
        </w:trPr>
        <w:tc>
          <w:tcPr>
            <w:cnfStyle w:val="001000000000"/>
            <w:tcW w:w="2992" w:type="dxa"/>
            <w:noWrap/>
            <w:hideMark/>
          </w:tcPr>
          <w:p w:rsidR="00476B5F" w:rsidRPr="00F05A3A" w:rsidRDefault="00476B5F" w:rsidP="00452737">
            <w:pPr>
              <w:jc w:val="left"/>
              <w:rPr>
                <w:rFonts w:asciiTheme="minorHAnsi" w:hAnsiTheme="minorHAnsi" w:cstheme="minorHAnsi"/>
                <w:sz w:val="22"/>
                <w:szCs w:val="22"/>
              </w:rPr>
            </w:pPr>
            <w:r w:rsidRPr="00F05A3A">
              <w:rPr>
                <w:rFonts w:asciiTheme="minorHAnsi" w:hAnsiTheme="minorHAnsi" w:cstheme="minorHAnsi"/>
                <w:sz w:val="22"/>
                <w:szCs w:val="22"/>
              </w:rPr>
              <w:t>Северозападен</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1 266</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1 474</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1 738</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281</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331</w:t>
            </w:r>
          </w:p>
        </w:tc>
      </w:tr>
      <w:tr w:rsidR="00476B5F" w:rsidRPr="00F05A3A" w:rsidTr="007115DE">
        <w:trPr>
          <w:trHeight w:val="315"/>
        </w:trPr>
        <w:tc>
          <w:tcPr>
            <w:cnfStyle w:val="001000000000"/>
            <w:tcW w:w="2992" w:type="dxa"/>
            <w:noWrap/>
            <w:hideMark/>
          </w:tcPr>
          <w:p w:rsidR="00476B5F" w:rsidRPr="00F05A3A" w:rsidRDefault="00476B5F" w:rsidP="00452737">
            <w:pPr>
              <w:jc w:val="left"/>
              <w:rPr>
                <w:rFonts w:asciiTheme="minorHAnsi" w:hAnsiTheme="minorHAnsi" w:cstheme="minorHAnsi"/>
                <w:sz w:val="22"/>
                <w:szCs w:val="22"/>
              </w:rPr>
            </w:pPr>
            <w:r w:rsidRPr="00F05A3A">
              <w:rPr>
                <w:rFonts w:asciiTheme="minorHAnsi" w:hAnsiTheme="minorHAnsi" w:cstheme="minorHAnsi"/>
                <w:sz w:val="22"/>
                <w:szCs w:val="22"/>
              </w:rPr>
              <w:t>Южен централен</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3 635</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4 264</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5 041</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820</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977</w:t>
            </w:r>
          </w:p>
        </w:tc>
      </w:tr>
      <w:tr w:rsidR="00476B5F" w:rsidRPr="00F05A3A" w:rsidTr="007115DE">
        <w:trPr>
          <w:cnfStyle w:val="000000100000"/>
          <w:trHeight w:val="315"/>
        </w:trPr>
        <w:tc>
          <w:tcPr>
            <w:cnfStyle w:val="001000000000"/>
            <w:tcW w:w="2992" w:type="dxa"/>
            <w:noWrap/>
            <w:hideMark/>
          </w:tcPr>
          <w:p w:rsidR="00476B5F" w:rsidRPr="00F05A3A" w:rsidRDefault="00476B5F" w:rsidP="00452737">
            <w:pPr>
              <w:jc w:val="left"/>
              <w:rPr>
                <w:rFonts w:asciiTheme="minorHAnsi" w:hAnsiTheme="minorHAnsi" w:cstheme="minorHAnsi"/>
                <w:sz w:val="22"/>
                <w:szCs w:val="22"/>
              </w:rPr>
            </w:pPr>
            <w:r w:rsidRPr="00F05A3A">
              <w:rPr>
                <w:rFonts w:asciiTheme="minorHAnsi" w:hAnsiTheme="minorHAnsi" w:cstheme="minorHAnsi"/>
                <w:sz w:val="22"/>
                <w:szCs w:val="22"/>
              </w:rPr>
              <w:t>Югоизточен</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2 999</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3 485</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4 232</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671</w:t>
            </w:r>
          </w:p>
        </w:tc>
        <w:tc>
          <w:tcPr>
            <w:tcW w:w="1216" w:type="dxa"/>
            <w:noWrap/>
            <w:hideMark/>
          </w:tcPr>
          <w:p w:rsidR="00476B5F" w:rsidRPr="00F05A3A" w:rsidRDefault="00476B5F">
            <w:pPr>
              <w:jc w:val="right"/>
              <w:cnfStyle w:val="000000100000"/>
              <w:rPr>
                <w:rFonts w:asciiTheme="minorHAnsi" w:hAnsiTheme="minorHAnsi" w:cstheme="minorHAnsi"/>
                <w:color w:val="000000"/>
                <w:sz w:val="22"/>
                <w:szCs w:val="22"/>
              </w:rPr>
            </w:pPr>
            <w:r w:rsidRPr="00F05A3A">
              <w:rPr>
                <w:rFonts w:asciiTheme="minorHAnsi" w:hAnsiTheme="minorHAnsi" w:cstheme="minorHAnsi"/>
                <w:color w:val="000000"/>
                <w:sz w:val="22"/>
                <w:szCs w:val="22"/>
              </w:rPr>
              <w:t>809</w:t>
            </w:r>
          </w:p>
        </w:tc>
      </w:tr>
      <w:tr w:rsidR="00476B5F" w:rsidRPr="00F05A3A" w:rsidTr="007115DE">
        <w:trPr>
          <w:trHeight w:val="315"/>
        </w:trPr>
        <w:tc>
          <w:tcPr>
            <w:cnfStyle w:val="001000000000"/>
            <w:tcW w:w="2992" w:type="dxa"/>
            <w:noWrap/>
            <w:hideMark/>
          </w:tcPr>
          <w:p w:rsidR="00476B5F" w:rsidRPr="00F05A3A" w:rsidRDefault="00476B5F" w:rsidP="00452737">
            <w:pPr>
              <w:jc w:val="left"/>
              <w:rPr>
                <w:rFonts w:asciiTheme="minorHAnsi" w:hAnsiTheme="minorHAnsi" w:cstheme="minorHAnsi"/>
                <w:sz w:val="22"/>
                <w:szCs w:val="22"/>
              </w:rPr>
            </w:pPr>
            <w:r w:rsidRPr="00F05A3A">
              <w:rPr>
                <w:rFonts w:asciiTheme="minorHAnsi" w:hAnsiTheme="minorHAnsi" w:cstheme="minorHAnsi"/>
                <w:sz w:val="22"/>
                <w:szCs w:val="22"/>
              </w:rPr>
              <w:t>София +Югозападен</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15 565</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16 738</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19 350</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3 205</w:t>
            </w:r>
          </w:p>
        </w:tc>
        <w:tc>
          <w:tcPr>
            <w:tcW w:w="1216" w:type="dxa"/>
            <w:noWrap/>
            <w:hideMark/>
          </w:tcPr>
          <w:p w:rsidR="00476B5F" w:rsidRPr="00F05A3A" w:rsidRDefault="00476B5F">
            <w:pPr>
              <w:jc w:val="right"/>
              <w:cnfStyle w:val="0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3 762</w:t>
            </w:r>
          </w:p>
        </w:tc>
      </w:tr>
      <w:tr w:rsidR="00476B5F" w:rsidRPr="00F05A3A" w:rsidTr="007115DE">
        <w:trPr>
          <w:cnfStyle w:val="010000000000"/>
          <w:trHeight w:val="315"/>
        </w:trPr>
        <w:tc>
          <w:tcPr>
            <w:cnfStyle w:val="001000000000"/>
            <w:tcW w:w="2992" w:type="dxa"/>
            <w:noWrap/>
            <w:hideMark/>
          </w:tcPr>
          <w:p w:rsidR="00476B5F" w:rsidRPr="00F05A3A" w:rsidRDefault="00476B5F" w:rsidP="00452737">
            <w:pPr>
              <w:autoSpaceDE/>
              <w:autoSpaceDN/>
              <w:adjustRightInd/>
              <w:spacing w:after="0"/>
              <w:jc w:val="left"/>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ОБЩО ПРИХОДИ</w:t>
            </w:r>
          </w:p>
        </w:tc>
        <w:tc>
          <w:tcPr>
            <w:tcW w:w="1216" w:type="dxa"/>
            <w:noWrap/>
            <w:hideMark/>
          </w:tcPr>
          <w:p w:rsidR="00476B5F" w:rsidRPr="00F05A3A" w:rsidRDefault="00476B5F">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32 847</w:t>
            </w:r>
          </w:p>
        </w:tc>
        <w:tc>
          <w:tcPr>
            <w:tcW w:w="1216" w:type="dxa"/>
            <w:noWrap/>
            <w:hideMark/>
          </w:tcPr>
          <w:p w:rsidR="00476B5F" w:rsidRPr="00F05A3A" w:rsidRDefault="00476B5F">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36 742</w:t>
            </w:r>
          </w:p>
        </w:tc>
        <w:tc>
          <w:tcPr>
            <w:tcW w:w="1216" w:type="dxa"/>
            <w:noWrap/>
            <w:hideMark/>
          </w:tcPr>
          <w:p w:rsidR="00476B5F" w:rsidRPr="00F05A3A" w:rsidRDefault="00476B5F">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43 403</w:t>
            </w:r>
          </w:p>
        </w:tc>
        <w:tc>
          <w:tcPr>
            <w:tcW w:w="1216" w:type="dxa"/>
            <w:noWrap/>
            <w:hideMark/>
          </w:tcPr>
          <w:p w:rsidR="00476B5F" w:rsidRPr="00F05A3A" w:rsidRDefault="00476B5F">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6 987</w:t>
            </w:r>
          </w:p>
        </w:tc>
        <w:tc>
          <w:tcPr>
            <w:tcW w:w="1216" w:type="dxa"/>
            <w:noWrap/>
            <w:hideMark/>
          </w:tcPr>
          <w:p w:rsidR="00476B5F" w:rsidRPr="00F05A3A" w:rsidRDefault="00476B5F">
            <w:pPr>
              <w:jc w:val="right"/>
              <w:cnfStyle w:val="010000000000"/>
              <w:rPr>
                <w:rFonts w:asciiTheme="minorHAnsi" w:hAnsiTheme="minorHAnsi" w:cstheme="minorHAnsi"/>
                <w:b/>
                <w:bCs/>
                <w:color w:val="000000"/>
                <w:sz w:val="22"/>
                <w:szCs w:val="22"/>
              </w:rPr>
            </w:pPr>
            <w:r w:rsidRPr="00F05A3A">
              <w:rPr>
                <w:rFonts w:asciiTheme="minorHAnsi" w:hAnsiTheme="minorHAnsi" w:cstheme="minorHAnsi"/>
                <w:b/>
                <w:bCs/>
                <w:color w:val="000000"/>
                <w:sz w:val="22"/>
                <w:szCs w:val="22"/>
              </w:rPr>
              <w:t>8 327</w:t>
            </w:r>
          </w:p>
        </w:tc>
      </w:tr>
    </w:tbl>
    <w:p w:rsidR="001506F2" w:rsidRPr="00A15034" w:rsidRDefault="00A15034" w:rsidP="00476B5F">
      <w:pPr>
        <w:ind w:left="709"/>
        <w:jc w:val="right"/>
        <w:rPr>
          <w:i/>
        </w:rPr>
      </w:pPr>
      <w:r>
        <w:rPr>
          <w:i/>
        </w:rPr>
        <w:t>Бележка: Консолидираните и неконсолидираните приходи от пратки съвпадат</w:t>
      </w:r>
    </w:p>
    <w:p w:rsidR="00A904E3" w:rsidRPr="00A904E3" w:rsidRDefault="00A904E3" w:rsidP="00A904E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476B5F" w:rsidRDefault="00D70BF4" w:rsidP="004B6F3E">
      <w:pPr>
        <w:ind w:left="709"/>
      </w:pPr>
      <w:r w:rsidRPr="001506F2">
        <w:t xml:space="preserve">Оперативната структура е разделена на 6 региона: </w:t>
      </w:r>
      <w:r>
        <w:t>Югоз</w:t>
      </w:r>
      <w:r w:rsidR="00BC3C3F">
        <w:t>а</w:t>
      </w:r>
      <w:r>
        <w:t>паден</w:t>
      </w:r>
      <w:r w:rsidRPr="001506F2">
        <w:t>, Южен-централен, Югоизточен</w:t>
      </w:r>
      <w:r>
        <w:t>,</w:t>
      </w:r>
      <w:r w:rsidRPr="001506F2">
        <w:t xml:space="preserve"> Черноморски, Северен-централен, и Северозападен</w:t>
      </w:r>
      <w:r>
        <w:t>.</w:t>
      </w:r>
      <w:r w:rsidRPr="001506F2">
        <w:t xml:space="preserve"> Съответно логистиката е орг</w:t>
      </w:r>
      <w:r w:rsidR="00BC3C3F">
        <w:t>анизирана в 6 разпределителни це</w:t>
      </w:r>
      <w:r w:rsidRPr="001506F2">
        <w:t>нтъра – Враца, Пловдив, София, В. Търново, Ст. Загора и Варна. По този начин логистичния</w:t>
      </w:r>
      <w:r w:rsidR="00BC3C3F">
        <w:t>т</w:t>
      </w:r>
      <w:r w:rsidRPr="001506F2">
        <w:t xml:space="preserve"> процес осигурява балансирана дистрибуция като всеки разпределителен център получава, сортира и подготвя пратките за куриерските направления в територията си.</w:t>
      </w:r>
      <w:r>
        <w:t xml:space="preserve"> </w:t>
      </w:r>
      <w:r w:rsidRPr="001506F2">
        <w:t>Разстоянията между отделните разпределителни центрове е не повече от 250 км, като това позволява камионите да го изминават за 3ч до 3ч 30 мин по два пъти за 24 ч. период.</w:t>
      </w:r>
    </w:p>
    <w:p w:rsidR="00FA209C" w:rsidRDefault="00FA209C" w:rsidP="00BE0C31">
      <w:pPr>
        <w:spacing w:after="120"/>
        <w:ind w:left="709"/>
      </w:pPr>
      <w:r>
        <w:t>От гледна точка на клиентите, основния</w:t>
      </w:r>
      <w:r w:rsidR="00BC3C3F">
        <w:t>т</w:t>
      </w:r>
      <w:r>
        <w:t xml:space="preserve"> пазар са корпоративните клиенти</w:t>
      </w:r>
      <w:r w:rsidR="001C7299">
        <w:t>, с които компанията работи на постоянен договор (</w:t>
      </w:r>
      <w:r w:rsidR="00550A49">
        <w:t xml:space="preserve">формират </w:t>
      </w:r>
      <w:r w:rsidR="006E50C1">
        <w:t>над 8</w:t>
      </w:r>
      <w:r w:rsidR="001C7299">
        <w:t>0% от продажбите). Останалата част от приходите идват от голям брой клиенти, които подават заявки еднократно или инцидентно.</w:t>
      </w:r>
    </w:p>
    <w:p w:rsidR="006E50C1" w:rsidRDefault="006E50C1" w:rsidP="006E50C1">
      <w:pPr>
        <w:spacing w:after="120"/>
        <w:jc w:val="center"/>
        <w:rPr>
          <w:i/>
          <w:u w:val="single"/>
        </w:rPr>
      </w:pPr>
    </w:p>
    <w:p w:rsidR="006E50C1" w:rsidRPr="00D51AF1" w:rsidRDefault="006E50C1" w:rsidP="006E50C1">
      <w:pPr>
        <w:spacing w:after="120"/>
        <w:jc w:val="center"/>
        <w:rPr>
          <w:i/>
          <w:u w:val="single"/>
        </w:rPr>
      </w:pPr>
      <w:r w:rsidRPr="00D51AF1">
        <w:rPr>
          <w:i/>
          <w:u w:val="single"/>
        </w:rPr>
        <w:t xml:space="preserve">Приходи от куриерски услуги по </w:t>
      </w:r>
      <w:r>
        <w:rPr>
          <w:i/>
          <w:u w:val="single"/>
        </w:rPr>
        <w:t>клиенти</w:t>
      </w:r>
    </w:p>
    <w:tbl>
      <w:tblPr>
        <w:tblStyle w:val="MediumShading2-Accent11"/>
        <w:tblW w:w="9072" w:type="dxa"/>
        <w:tblInd w:w="817" w:type="dxa"/>
        <w:tblLayout w:type="fixed"/>
        <w:tblLook w:val="04E0"/>
      </w:tblPr>
      <w:tblGrid>
        <w:gridCol w:w="2977"/>
        <w:gridCol w:w="1219"/>
        <w:gridCol w:w="1219"/>
        <w:gridCol w:w="1219"/>
        <w:gridCol w:w="1219"/>
        <w:gridCol w:w="1219"/>
      </w:tblGrid>
      <w:tr w:rsidR="006E50C1" w:rsidRPr="00B24BD6" w:rsidTr="007115DE">
        <w:trPr>
          <w:cnfStyle w:val="100000000000"/>
          <w:trHeight w:val="300"/>
        </w:trPr>
        <w:tc>
          <w:tcPr>
            <w:cnfStyle w:val="001000000100"/>
            <w:tcW w:w="2977" w:type="dxa"/>
            <w:noWrap/>
            <w:hideMark/>
          </w:tcPr>
          <w:p w:rsidR="006E50C1" w:rsidRPr="00B24BD6" w:rsidRDefault="00B24BD6" w:rsidP="00B24BD6">
            <w:pPr>
              <w:autoSpaceDE/>
              <w:autoSpaceDN/>
              <w:adjustRightInd/>
              <w:spacing w:after="0"/>
              <w:jc w:val="center"/>
              <w:rPr>
                <w:bCs w:val="0"/>
                <w:color w:val="000000"/>
                <w:sz w:val="22"/>
                <w:szCs w:val="22"/>
                <w:lang w:eastAsia="bg-BG"/>
              </w:rPr>
            </w:pPr>
            <w:r>
              <w:rPr>
                <w:bCs w:val="0"/>
                <w:color w:val="000000"/>
                <w:sz w:val="22"/>
                <w:szCs w:val="22"/>
                <w:lang w:eastAsia="bg-BG"/>
              </w:rPr>
              <w:t>Брой клиенти</w:t>
            </w:r>
          </w:p>
        </w:tc>
        <w:tc>
          <w:tcPr>
            <w:tcW w:w="1219" w:type="dxa"/>
            <w:noWrap/>
            <w:hideMark/>
          </w:tcPr>
          <w:p w:rsidR="006E50C1" w:rsidRPr="00B24BD6" w:rsidRDefault="006E50C1" w:rsidP="00143097">
            <w:pPr>
              <w:autoSpaceDE/>
              <w:autoSpaceDN/>
              <w:adjustRightInd/>
              <w:spacing w:after="0"/>
              <w:jc w:val="center"/>
              <w:cnfStyle w:val="100000000000"/>
              <w:rPr>
                <w:bCs w:val="0"/>
                <w:color w:val="000000"/>
                <w:sz w:val="22"/>
                <w:szCs w:val="22"/>
                <w:lang w:eastAsia="bg-BG"/>
              </w:rPr>
            </w:pPr>
            <w:r w:rsidRPr="00B24BD6">
              <w:rPr>
                <w:bCs w:val="0"/>
                <w:color w:val="000000"/>
                <w:sz w:val="22"/>
                <w:szCs w:val="22"/>
                <w:lang w:eastAsia="bg-BG"/>
              </w:rPr>
              <w:t>2009</w:t>
            </w:r>
          </w:p>
        </w:tc>
        <w:tc>
          <w:tcPr>
            <w:tcW w:w="1219" w:type="dxa"/>
            <w:noWrap/>
            <w:hideMark/>
          </w:tcPr>
          <w:p w:rsidR="006E50C1" w:rsidRPr="00B24BD6" w:rsidRDefault="006E50C1" w:rsidP="00143097">
            <w:pPr>
              <w:autoSpaceDE/>
              <w:autoSpaceDN/>
              <w:adjustRightInd/>
              <w:spacing w:after="0"/>
              <w:jc w:val="center"/>
              <w:cnfStyle w:val="100000000000"/>
              <w:rPr>
                <w:bCs w:val="0"/>
                <w:color w:val="000000"/>
                <w:sz w:val="22"/>
                <w:szCs w:val="22"/>
                <w:lang w:eastAsia="bg-BG"/>
              </w:rPr>
            </w:pPr>
            <w:r w:rsidRPr="00B24BD6">
              <w:rPr>
                <w:bCs w:val="0"/>
                <w:color w:val="000000"/>
                <w:sz w:val="22"/>
                <w:szCs w:val="22"/>
                <w:lang w:eastAsia="bg-BG"/>
              </w:rPr>
              <w:t>2010</w:t>
            </w:r>
          </w:p>
        </w:tc>
        <w:tc>
          <w:tcPr>
            <w:tcW w:w="1219" w:type="dxa"/>
            <w:noWrap/>
            <w:hideMark/>
          </w:tcPr>
          <w:p w:rsidR="006E50C1" w:rsidRPr="00B24BD6" w:rsidRDefault="006E50C1" w:rsidP="00143097">
            <w:pPr>
              <w:autoSpaceDE/>
              <w:autoSpaceDN/>
              <w:adjustRightInd/>
              <w:spacing w:after="0"/>
              <w:jc w:val="center"/>
              <w:cnfStyle w:val="100000000000"/>
              <w:rPr>
                <w:bCs w:val="0"/>
                <w:color w:val="000000"/>
                <w:sz w:val="22"/>
                <w:szCs w:val="22"/>
                <w:lang w:eastAsia="bg-BG"/>
              </w:rPr>
            </w:pPr>
            <w:r w:rsidRPr="00B24BD6">
              <w:rPr>
                <w:bCs w:val="0"/>
                <w:color w:val="000000"/>
                <w:sz w:val="22"/>
                <w:szCs w:val="22"/>
                <w:lang w:eastAsia="bg-BG"/>
              </w:rPr>
              <w:t>2011</w:t>
            </w:r>
          </w:p>
        </w:tc>
        <w:tc>
          <w:tcPr>
            <w:tcW w:w="1219" w:type="dxa"/>
            <w:noWrap/>
            <w:hideMark/>
          </w:tcPr>
          <w:p w:rsidR="006E50C1" w:rsidRPr="00B24BD6" w:rsidRDefault="006E50C1" w:rsidP="00143097">
            <w:pPr>
              <w:autoSpaceDE/>
              <w:autoSpaceDN/>
              <w:adjustRightInd/>
              <w:spacing w:after="0"/>
              <w:jc w:val="center"/>
              <w:cnfStyle w:val="100000000000"/>
              <w:rPr>
                <w:bCs w:val="0"/>
                <w:color w:val="000000"/>
                <w:sz w:val="22"/>
                <w:szCs w:val="22"/>
                <w:lang w:eastAsia="bg-BG"/>
              </w:rPr>
            </w:pPr>
            <w:r w:rsidRPr="00B24BD6">
              <w:rPr>
                <w:bCs w:val="0"/>
                <w:color w:val="000000"/>
                <w:sz w:val="22"/>
                <w:szCs w:val="22"/>
                <w:lang w:eastAsia="bg-BG"/>
              </w:rPr>
              <w:t>Q1 2011</w:t>
            </w:r>
          </w:p>
        </w:tc>
        <w:tc>
          <w:tcPr>
            <w:tcW w:w="1219" w:type="dxa"/>
            <w:noWrap/>
            <w:hideMark/>
          </w:tcPr>
          <w:p w:rsidR="006E50C1" w:rsidRPr="00B24BD6" w:rsidRDefault="006E50C1" w:rsidP="00143097">
            <w:pPr>
              <w:autoSpaceDE/>
              <w:autoSpaceDN/>
              <w:adjustRightInd/>
              <w:spacing w:after="0"/>
              <w:jc w:val="center"/>
              <w:cnfStyle w:val="100000000000"/>
              <w:rPr>
                <w:bCs w:val="0"/>
                <w:color w:val="000000"/>
                <w:sz w:val="22"/>
                <w:szCs w:val="22"/>
                <w:lang w:eastAsia="bg-BG"/>
              </w:rPr>
            </w:pPr>
            <w:r w:rsidRPr="00B24BD6">
              <w:rPr>
                <w:bCs w:val="0"/>
                <w:color w:val="000000"/>
                <w:sz w:val="22"/>
                <w:szCs w:val="22"/>
                <w:lang w:eastAsia="bg-BG"/>
              </w:rPr>
              <w:t>Q1 2012</w:t>
            </w:r>
          </w:p>
        </w:tc>
      </w:tr>
      <w:tr w:rsidR="006E50C1" w:rsidRPr="00D85FAC" w:rsidTr="007115DE">
        <w:trPr>
          <w:cnfStyle w:val="000000100000"/>
          <w:trHeight w:val="300"/>
        </w:trPr>
        <w:tc>
          <w:tcPr>
            <w:cnfStyle w:val="001000000000"/>
            <w:tcW w:w="2977" w:type="dxa"/>
            <w:noWrap/>
            <w:hideMark/>
          </w:tcPr>
          <w:p w:rsidR="006E50C1" w:rsidRPr="00D85FAC" w:rsidRDefault="006E50C1" w:rsidP="00143097">
            <w:pPr>
              <w:autoSpaceDE/>
              <w:autoSpaceDN/>
              <w:adjustRightInd/>
              <w:spacing w:after="0"/>
              <w:jc w:val="left"/>
              <w:rPr>
                <w:rFonts w:ascii="Calibri" w:hAnsi="Calibri" w:cs="Calibri"/>
                <w:sz w:val="22"/>
                <w:szCs w:val="22"/>
                <w:lang w:eastAsia="bg-BG"/>
              </w:rPr>
            </w:pPr>
            <w:r w:rsidRPr="00D85FAC">
              <w:rPr>
                <w:rFonts w:ascii="Calibri" w:hAnsi="Calibri" w:cs="Calibri"/>
                <w:sz w:val="22"/>
                <w:szCs w:val="22"/>
                <w:lang w:eastAsia="bg-BG"/>
              </w:rPr>
              <w:t>Корпоративни по договор</w:t>
            </w:r>
          </w:p>
        </w:tc>
        <w:tc>
          <w:tcPr>
            <w:tcW w:w="1219" w:type="dxa"/>
            <w:noWrap/>
            <w:hideMark/>
          </w:tcPr>
          <w:p w:rsidR="006E50C1" w:rsidRPr="00D85FAC" w:rsidRDefault="006E50C1" w:rsidP="00143097">
            <w:pPr>
              <w:autoSpaceDE/>
              <w:autoSpaceDN/>
              <w:adjustRightInd/>
              <w:spacing w:after="0"/>
              <w:jc w:val="right"/>
              <w:cnfStyle w:val="000000100000"/>
              <w:rPr>
                <w:rFonts w:ascii="Calibri" w:hAnsi="Calibri" w:cs="Calibri"/>
                <w:sz w:val="22"/>
                <w:szCs w:val="22"/>
                <w:lang w:eastAsia="bg-BG"/>
              </w:rPr>
            </w:pPr>
            <w:r w:rsidRPr="00D85FAC">
              <w:rPr>
                <w:rFonts w:ascii="Calibri" w:hAnsi="Calibri" w:cs="Calibri"/>
                <w:sz w:val="22"/>
                <w:szCs w:val="22"/>
                <w:lang w:eastAsia="bg-BG"/>
              </w:rPr>
              <w:t>13</w:t>
            </w:r>
            <w:r>
              <w:rPr>
                <w:rFonts w:ascii="Calibri" w:hAnsi="Calibri" w:cs="Calibri"/>
                <w:sz w:val="22"/>
                <w:szCs w:val="22"/>
                <w:lang w:eastAsia="bg-BG"/>
              </w:rPr>
              <w:t xml:space="preserve"> </w:t>
            </w:r>
            <w:r w:rsidRPr="00D85FAC">
              <w:rPr>
                <w:rFonts w:ascii="Calibri" w:hAnsi="Calibri" w:cs="Calibri"/>
                <w:sz w:val="22"/>
                <w:szCs w:val="22"/>
                <w:lang w:eastAsia="bg-BG"/>
              </w:rPr>
              <w:t>485</w:t>
            </w:r>
          </w:p>
        </w:tc>
        <w:tc>
          <w:tcPr>
            <w:tcW w:w="1219" w:type="dxa"/>
            <w:noWrap/>
            <w:hideMark/>
          </w:tcPr>
          <w:p w:rsidR="006E50C1" w:rsidRPr="00D85FAC" w:rsidRDefault="006E50C1" w:rsidP="00143097">
            <w:pPr>
              <w:autoSpaceDE/>
              <w:autoSpaceDN/>
              <w:adjustRightInd/>
              <w:spacing w:after="0"/>
              <w:jc w:val="right"/>
              <w:cnfStyle w:val="000000100000"/>
              <w:rPr>
                <w:rFonts w:ascii="Calibri" w:hAnsi="Calibri" w:cs="Calibri"/>
                <w:sz w:val="22"/>
                <w:szCs w:val="22"/>
                <w:lang w:eastAsia="bg-BG"/>
              </w:rPr>
            </w:pPr>
            <w:r w:rsidRPr="00D85FAC">
              <w:rPr>
                <w:rFonts w:ascii="Calibri" w:hAnsi="Calibri" w:cs="Calibri"/>
                <w:sz w:val="22"/>
                <w:szCs w:val="22"/>
                <w:lang w:eastAsia="bg-BG"/>
              </w:rPr>
              <w:t>14</w:t>
            </w:r>
            <w:r>
              <w:rPr>
                <w:rFonts w:ascii="Calibri" w:hAnsi="Calibri" w:cs="Calibri"/>
                <w:sz w:val="22"/>
                <w:szCs w:val="22"/>
                <w:lang w:eastAsia="bg-BG"/>
              </w:rPr>
              <w:t xml:space="preserve"> </w:t>
            </w:r>
            <w:r w:rsidRPr="00D85FAC">
              <w:rPr>
                <w:rFonts w:ascii="Calibri" w:hAnsi="Calibri" w:cs="Calibri"/>
                <w:sz w:val="22"/>
                <w:szCs w:val="22"/>
                <w:lang w:eastAsia="bg-BG"/>
              </w:rPr>
              <w:t>301</w:t>
            </w:r>
          </w:p>
        </w:tc>
        <w:tc>
          <w:tcPr>
            <w:tcW w:w="1219" w:type="dxa"/>
            <w:noWrap/>
            <w:hideMark/>
          </w:tcPr>
          <w:p w:rsidR="006E50C1" w:rsidRPr="00D85FAC" w:rsidRDefault="006E50C1" w:rsidP="00143097">
            <w:pPr>
              <w:autoSpaceDE/>
              <w:autoSpaceDN/>
              <w:adjustRightInd/>
              <w:spacing w:after="0"/>
              <w:jc w:val="right"/>
              <w:cnfStyle w:val="000000100000"/>
              <w:rPr>
                <w:rFonts w:ascii="Calibri" w:hAnsi="Calibri" w:cs="Calibri"/>
                <w:sz w:val="22"/>
                <w:szCs w:val="22"/>
                <w:lang w:eastAsia="bg-BG"/>
              </w:rPr>
            </w:pPr>
            <w:r w:rsidRPr="00D85FAC">
              <w:rPr>
                <w:rFonts w:ascii="Calibri" w:hAnsi="Calibri" w:cs="Calibri"/>
                <w:sz w:val="22"/>
                <w:szCs w:val="22"/>
                <w:lang w:eastAsia="bg-BG"/>
              </w:rPr>
              <w:t>15</w:t>
            </w:r>
            <w:r>
              <w:rPr>
                <w:rFonts w:ascii="Calibri" w:hAnsi="Calibri" w:cs="Calibri"/>
                <w:sz w:val="22"/>
                <w:szCs w:val="22"/>
                <w:lang w:eastAsia="bg-BG"/>
              </w:rPr>
              <w:t xml:space="preserve"> </w:t>
            </w:r>
            <w:r w:rsidRPr="00D85FAC">
              <w:rPr>
                <w:rFonts w:ascii="Calibri" w:hAnsi="Calibri" w:cs="Calibri"/>
                <w:sz w:val="22"/>
                <w:szCs w:val="22"/>
                <w:lang w:eastAsia="bg-BG"/>
              </w:rPr>
              <w:t>282</w:t>
            </w:r>
          </w:p>
        </w:tc>
        <w:tc>
          <w:tcPr>
            <w:tcW w:w="1219" w:type="dxa"/>
            <w:noWrap/>
            <w:hideMark/>
          </w:tcPr>
          <w:p w:rsidR="006E50C1" w:rsidRPr="00D85FAC" w:rsidRDefault="006E50C1" w:rsidP="00143097">
            <w:pPr>
              <w:autoSpaceDE/>
              <w:autoSpaceDN/>
              <w:adjustRightInd/>
              <w:spacing w:after="0"/>
              <w:jc w:val="right"/>
              <w:cnfStyle w:val="000000100000"/>
              <w:rPr>
                <w:rFonts w:ascii="Calibri" w:hAnsi="Calibri" w:cs="Calibri"/>
                <w:i/>
                <w:sz w:val="22"/>
                <w:szCs w:val="22"/>
                <w:lang w:eastAsia="bg-BG"/>
              </w:rPr>
            </w:pPr>
            <w:r w:rsidRPr="00D85FAC">
              <w:rPr>
                <w:rFonts w:ascii="Calibri" w:hAnsi="Calibri" w:cs="Calibri"/>
                <w:i/>
                <w:sz w:val="22"/>
                <w:szCs w:val="22"/>
                <w:lang w:eastAsia="bg-BG"/>
              </w:rPr>
              <w:t>11</w:t>
            </w:r>
            <w:r w:rsidRPr="003E6B84">
              <w:rPr>
                <w:rFonts w:ascii="Calibri" w:hAnsi="Calibri" w:cs="Calibri"/>
                <w:i/>
                <w:sz w:val="22"/>
                <w:szCs w:val="22"/>
                <w:lang w:eastAsia="bg-BG"/>
              </w:rPr>
              <w:t xml:space="preserve"> </w:t>
            </w:r>
            <w:r w:rsidRPr="00D85FAC">
              <w:rPr>
                <w:rFonts w:ascii="Calibri" w:hAnsi="Calibri" w:cs="Calibri"/>
                <w:i/>
                <w:sz w:val="22"/>
                <w:szCs w:val="22"/>
                <w:lang w:eastAsia="bg-BG"/>
              </w:rPr>
              <w:t>958</w:t>
            </w:r>
          </w:p>
        </w:tc>
        <w:tc>
          <w:tcPr>
            <w:tcW w:w="1219" w:type="dxa"/>
            <w:noWrap/>
            <w:hideMark/>
          </w:tcPr>
          <w:p w:rsidR="006E50C1" w:rsidRPr="00D85FAC" w:rsidRDefault="006E50C1" w:rsidP="00143097">
            <w:pPr>
              <w:autoSpaceDE/>
              <w:autoSpaceDN/>
              <w:adjustRightInd/>
              <w:spacing w:after="0"/>
              <w:jc w:val="right"/>
              <w:cnfStyle w:val="000000100000"/>
              <w:rPr>
                <w:rFonts w:ascii="Calibri" w:hAnsi="Calibri" w:cs="Calibri"/>
                <w:i/>
                <w:sz w:val="22"/>
                <w:szCs w:val="22"/>
                <w:lang w:eastAsia="bg-BG"/>
              </w:rPr>
            </w:pPr>
            <w:r w:rsidRPr="00D85FAC">
              <w:rPr>
                <w:rFonts w:ascii="Calibri" w:hAnsi="Calibri" w:cs="Calibri"/>
                <w:i/>
                <w:sz w:val="22"/>
                <w:szCs w:val="22"/>
                <w:lang w:eastAsia="bg-BG"/>
              </w:rPr>
              <w:t>13</w:t>
            </w:r>
            <w:r w:rsidRPr="003E6B84">
              <w:rPr>
                <w:rFonts w:ascii="Calibri" w:hAnsi="Calibri" w:cs="Calibri"/>
                <w:i/>
                <w:sz w:val="22"/>
                <w:szCs w:val="22"/>
                <w:lang w:eastAsia="bg-BG"/>
              </w:rPr>
              <w:t xml:space="preserve"> </w:t>
            </w:r>
            <w:r w:rsidRPr="00D85FAC">
              <w:rPr>
                <w:rFonts w:ascii="Calibri" w:hAnsi="Calibri" w:cs="Calibri"/>
                <w:i/>
                <w:sz w:val="22"/>
                <w:szCs w:val="22"/>
                <w:lang w:eastAsia="bg-BG"/>
              </w:rPr>
              <w:t>281</w:t>
            </w:r>
          </w:p>
        </w:tc>
      </w:tr>
      <w:tr w:rsidR="006E50C1" w:rsidRPr="00D85FAC" w:rsidTr="007115DE">
        <w:trPr>
          <w:trHeight w:val="300"/>
        </w:trPr>
        <w:tc>
          <w:tcPr>
            <w:cnfStyle w:val="001000000000"/>
            <w:tcW w:w="2977" w:type="dxa"/>
            <w:noWrap/>
            <w:hideMark/>
          </w:tcPr>
          <w:p w:rsidR="006E50C1" w:rsidRPr="00D85FAC" w:rsidRDefault="006E50C1" w:rsidP="00143097">
            <w:pPr>
              <w:autoSpaceDE/>
              <w:autoSpaceDN/>
              <w:adjustRightInd/>
              <w:spacing w:after="0"/>
              <w:jc w:val="left"/>
              <w:rPr>
                <w:rFonts w:ascii="Calibri" w:hAnsi="Calibri" w:cs="Calibri"/>
                <w:sz w:val="22"/>
                <w:szCs w:val="22"/>
                <w:lang w:eastAsia="bg-BG"/>
              </w:rPr>
            </w:pPr>
            <w:r w:rsidRPr="00D85FAC">
              <w:rPr>
                <w:rFonts w:ascii="Calibri" w:hAnsi="Calibri" w:cs="Calibri"/>
                <w:sz w:val="22"/>
                <w:szCs w:val="22"/>
                <w:lang w:eastAsia="bg-BG"/>
              </w:rPr>
              <w:t>Корпоративни без договор</w:t>
            </w:r>
          </w:p>
        </w:tc>
        <w:tc>
          <w:tcPr>
            <w:tcW w:w="1219" w:type="dxa"/>
            <w:noWrap/>
            <w:hideMark/>
          </w:tcPr>
          <w:p w:rsidR="006E50C1" w:rsidRPr="00D85FAC" w:rsidRDefault="006E50C1" w:rsidP="00143097">
            <w:pPr>
              <w:autoSpaceDE/>
              <w:autoSpaceDN/>
              <w:adjustRightInd/>
              <w:spacing w:after="0"/>
              <w:jc w:val="right"/>
              <w:cnfStyle w:val="000000000000"/>
              <w:rPr>
                <w:rFonts w:ascii="Calibri" w:hAnsi="Calibri" w:cs="Calibri"/>
                <w:sz w:val="22"/>
                <w:szCs w:val="22"/>
                <w:lang w:eastAsia="bg-BG"/>
              </w:rPr>
            </w:pPr>
            <w:r w:rsidRPr="00D85FAC">
              <w:rPr>
                <w:rFonts w:ascii="Calibri" w:hAnsi="Calibri" w:cs="Calibri"/>
                <w:sz w:val="22"/>
                <w:szCs w:val="22"/>
                <w:lang w:eastAsia="bg-BG"/>
              </w:rPr>
              <w:t>258</w:t>
            </w:r>
            <w:r>
              <w:rPr>
                <w:rFonts w:ascii="Calibri" w:hAnsi="Calibri" w:cs="Calibri"/>
                <w:sz w:val="22"/>
                <w:szCs w:val="22"/>
                <w:lang w:eastAsia="bg-BG"/>
              </w:rPr>
              <w:t xml:space="preserve"> </w:t>
            </w:r>
            <w:r w:rsidRPr="00D85FAC">
              <w:rPr>
                <w:rFonts w:ascii="Calibri" w:hAnsi="Calibri" w:cs="Calibri"/>
                <w:sz w:val="22"/>
                <w:szCs w:val="22"/>
                <w:lang w:eastAsia="bg-BG"/>
              </w:rPr>
              <w:t>324</w:t>
            </w:r>
          </w:p>
        </w:tc>
        <w:tc>
          <w:tcPr>
            <w:tcW w:w="1219" w:type="dxa"/>
            <w:noWrap/>
            <w:hideMark/>
          </w:tcPr>
          <w:p w:rsidR="006E50C1" w:rsidRPr="00D85FAC" w:rsidRDefault="006E50C1" w:rsidP="00143097">
            <w:pPr>
              <w:autoSpaceDE/>
              <w:autoSpaceDN/>
              <w:adjustRightInd/>
              <w:spacing w:after="0"/>
              <w:jc w:val="right"/>
              <w:cnfStyle w:val="000000000000"/>
              <w:rPr>
                <w:rFonts w:ascii="Calibri" w:hAnsi="Calibri" w:cs="Calibri"/>
                <w:sz w:val="22"/>
                <w:szCs w:val="22"/>
                <w:lang w:eastAsia="bg-BG"/>
              </w:rPr>
            </w:pPr>
            <w:r w:rsidRPr="00D85FAC">
              <w:rPr>
                <w:rFonts w:ascii="Calibri" w:hAnsi="Calibri" w:cs="Calibri"/>
                <w:sz w:val="22"/>
                <w:szCs w:val="22"/>
                <w:lang w:eastAsia="bg-BG"/>
              </w:rPr>
              <w:t>272</w:t>
            </w:r>
            <w:r>
              <w:rPr>
                <w:rFonts w:ascii="Calibri" w:hAnsi="Calibri" w:cs="Calibri"/>
                <w:sz w:val="22"/>
                <w:szCs w:val="22"/>
                <w:lang w:eastAsia="bg-BG"/>
              </w:rPr>
              <w:t xml:space="preserve"> </w:t>
            </w:r>
            <w:r w:rsidRPr="00D85FAC">
              <w:rPr>
                <w:rFonts w:ascii="Calibri" w:hAnsi="Calibri" w:cs="Calibri"/>
                <w:sz w:val="22"/>
                <w:szCs w:val="22"/>
                <w:lang w:eastAsia="bg-BG"/>
              </w:rPr>
              <w:t>260</w:t>
            </w:r>
          </w:p>
        </w:tc>
        <w:tc>
          <w:tcPr>
            <w:tcW w:w="1219" w:type="dxa"/>
            <w:noWrap/>
            <w:hideMark/>
          </w:tcPr>
          <w:p w:rsidR="006E50C1" w:rsidRPr="00D85FAC" w:rsidRDefault="006E50C1" w:rsidP="00143097">
            <w:pPr>
              <w:autoSpaceDE/>
              <w:autoSpaceDN/>
              <w:adjustRightInd/>
              <w:spacing w:after="0"/>
              <w:jc w:val="right"/>
              <w:cnfStyle w:val="000000000000"/>
              <w:rPr>
                <w:rFonts w:ascii="Calibri" w:hAnsi="Calibri" w:cs="Calibri"/>
                <w:sz w:val="22"/>
                <w:szCs w:val="22"/>
                <w:lang w:eastAsia="bg-BG"/>
              </w:rPr>
            </w:pPr>
            <w:r w:rsidRPr="00D85FAC">
              <w:rPr>
                <w:rFonts w:ascii="Calibri" w:hAnsi="Calibri" w:cs="Calibri"/>
                <w:sz w:val="22"/>
                <w:szCs w:val="22"/>
                <w:lang w:eastAsia="bg-BG"/>
              </w:rPr>
              <w:t>298</w:t>
            </w:r>
            <w:r>
              <w:rPr>
                <w:rFonts w:ascii="Calibri" w:hAnsi="Calibri" w:cs="Calibri"/>
                <w:sz w:val="22"/>
                <w:szCs w:val="22"/>
                <w:lang w:eastAsia="bg-BG"/>
              </w:rPr>
              <w:t xml:space="preserve"> </w:t>
            </w:r>
            <w:r w:rsidRPr="00D85FAC">
              <w:rPr>
                <w:rFonts w:ascii="Calibri" w:hAnsi="Calibri" w:cs="Calibri"/>
                <w:sz w:val="22"/>
                <w:szCs w:val="22"/>
                <w:lang w:eastAsia="bg-BG"/>
              </w:rPr>
              <w:t>816</w:t>
            </w:r>
          </w:p>
        </w:tc>
        <w:tc>
          <w:tcPr>
            <w:tcW w:w="1219" w:type="dxa"/>
            <w:noWrap/>
            <w:hideMark/>
          </w:tcPr>
          <w:p w:rsidR="006E50C1" w:rsidRPr="00D85FAC" w:rsidRDefault="006E50C1" w:rsidP="00143097">
            <w:pPr>
              <w:autoSpaceDE/>
              <w:autoSpaceDN/>
              <w:adjustRightInd/>
              <w:spacing w:after="0"/>
              <w:jc w:val="right"/>
              <w:cnfStyle w:val="000000000000"/>
              <w:rPr>
                <w:rFonts w:ascii="Calibri" w:hAnsi="Calibri" w:cs="Calibri"/>
                <w:i/>
                <w:sz w:val="22"/>
                <w:szCs w:val="22"/>
                <w:lang w:eastAsia="bg-BG"/>
              </w:rPr>
            </w:pPr>
            <w:r w:rsidRPr="00D85FAC">
              <w:rPr>
                <w:rFonts w:ascii="Calibri" w:hAnsi="Calibri" w:cs="Calibri"/>
                <w:i/>
                <w:sz w:val="22"/>
                <w:szCs w:val="22"/>
                <w:lang w:eastAsia="bg-BG"/>
              </w:rPr>
              <w:t>107</w:t>
            </w:r>
            <w:r w:rsidRPr="003E6B84">
              <w:rPr>
                <w:rFonts w:ascii="Calibri" w:hAnsi="Calibri" w:cs="Calibri"/>
                <w:i/>
                <w:sz w:val="22"/>
                <w:szCs w:val="22"/>
                <w:lang w:eastAsia="bg-BG"/>
              </w:rPr>
              <w:t xml:space="preserve"> </w:t>
            </w:r>
            <w:r w:rsidRPr="00D85FAC">
              <w:rPr>
                <w:rFonts w:ascii="Calibri" w:hAnsi="Calibri" w:cs="Calibri"/>
                <w:i/>
                <w:sz w:val="22"/>
                <w:szCs w:val="22"/>
                <w:lang w:eastAsia="bg-BG"/>
              </w:rPr>
              <w:t>200</w:t>
            </w:r>
          </w:p>
        </w:tc>
        <w:tc>
          <w:tcPr>
            <w:tcW w:w="1219" w:type="dxa"/>
            <w:noWrap/>
            <w:hideMark/>
          </w:tcPr>
          <w:p w:rsidR="006E50C1" w:rsidRPr="00D85FAC" w:rsidRDefault="006E50C1" w:rsidP="00143097">
            <w:pPr>
              <w:autoSpaceDE/>
              <w:autoSpaceDN/>
              <w:adjustRightInd/>
              <w:spacing w:after="0"/>
              <w:jc w:val="right"/>
              <w:cnfStyle w:val="000000000000"/>
              <w:rPr>
                <w:rFonts w:ascii="Calibri" w:hAnsi="Calibri" w:cs="Calibri"/>
                <w:i/>
                <w:sz w:val="22"/>
                <w:szCs w:val="22"/>
                <w:lang w:eastAsia="bg-BG"/>
              </w:rPr>
            </w:pPr>
            <w:r w:rsidRPr="00D85FAC">
              <w:rPr>
                <w:rFonts w:ascii="Calibri" w:hAnsi="Calibri" w:cs="Calibri"/>
                <w:i/>
                <w:sz w:val="22"/>
                <w:szCs w:val="22"/>
                <w:lang w:eastAsia="bg-BG"/>
              </w:rPr>
              <w:t>122</w:t>
            </w:r>
            <w:r w:rsidRPr="003E6B84">
              <w:rPr>
                <w:rFonts w:ascii="Calibri" w:hAnsi="Calibri" w:cs="Calibri"/>
                <w:i/>
                <w:sz w:val="22"/>
                <w:szCs w:val="22"/>
                <w:lang w:eastAsia="bg-BG"/>
              </w:rPr>
              <w:t xml:space="preserve"> </w:t>
            </w:r>
            <w:r w:rsidRPr="00D85FAC">
              <w:rPr>
                <w:rFonts w:ascii="Calibri" w:hAnsi="Calibri" w:cs="Calibri"/>
                <w:i/>
                <w:sz w:val="22"/>
                <w:szCs w:val="22"/>
                <w:lang w:eastAsia="bg-BG"/>
              </w:rPr>
              <w:t>422</w:t>
            </w:r>
          </w:p>
        </w:tc>
      </w:tr>
      <w:tr w:rsidR="006E50C1" w:rsidRPr="00D85FAC" w:rsidTr="007115DE">
        <w:trPr>
          <w:cnfStyle w:val="000000100000"/>
          <w:trHeight w:val="300"/>
        </w:trPr>
        <w:tc>
          <w:tcPr>
            <w:cnfStyle w:val="001000000000"/>
            <w:tcW w:w="2977" w:type="dxa"/>
            <w:noWrap/>
            <w:hideMark/>
          </w:tcPr>
          <w:p w:rsidR="006E50C1" w:rsidRPr="00D85FAC" w:rsidRDefault="006E50C1" w:rsidP="00143097">
            <w:pPr>
              <w:autoSpaceDE/>
              <w:autoSpaceDN/>
              <w:adjustRightInd/>
              <w:spacing w:after="0"/>
              <w:jc w:val="left"/>
              <w:rPr>
                <w:rFonts w:ascii="Calibri" w:hAnsi="Calibri" w:cs="Calibri"/>
                <w:sz w:val="22"/>
                <w:szCs w:val="22"/>
                <w:lang w:eastAsia="bg-BG"/>
              </w:rPr>
            </w:pPr>
            <w:r w:rsidRPr="00D85FAC">
              <w:rPr>
                <w:rFonts w:ascii="Calibri" w:hAnsi="Calibri" w:cs="Calibri"/>
                <w:sz w:val="22"/>
                <w:szCs w:val="22"/>
                <w:lang w:eastAsia="bg-BG"/>
              </w:rPr>
              <w:t>Индивидуални клиенти</w:t>
            </w:r>
          </w:p>
        </w:tc>
        <w:tc>
          <w:tcPr>
            <w:tcW w:w="1219" w:type="dxa"/>
            <w:noWrap/>
            <w:hideMark/>
          </w:tcPr>
          <w:p w:rsidR="006E50C1" w:rsidRPr="00D85FAC" w:rsidRDefault="006E50C1" w:rsidP="00143097">
            <w:pPr>
              <w:autoSpaceDE/>
              <w:autoSpaceDN/>
              <w:adjustRightInd/>
              <w:spacing w:after="0"/>
              <w:jc w:val="right"/>
              <w:cnfStyle w:val="000000100000"/>
              <w:rPr>
                <w:rFonts w:ascii="Calibri" w:hAnsi="Calibri" w:cs="Calibri"/>
                <w:sz w:val="22"/>
                <w:szCs w:val="22"/>
                <w:lang w:eastAsia="bg-BG"/>
              </w:rPr>
            </w:pPr>
            <w:r w:rsidRPr="00D85FAC">
              <w:rPr>
                <w:rFonts w:ascii="Calibri" w:hAnsi="Calibri" w:cs="Calibri"/>
                <w:sz w:val="22"/>
                <w:szCs w:val="22"/>
                <w:lang w:eastAsia="bg-BG"/>
              </w:rPr>
              <w:t>45</w:t>
            </w:r>
            <w:r>
              <w:rPr>
                <w:rFonts w:ascii="Calibri" w:hAnsi="Calibri" w:cs="Calibri"/>
                <w:sz w:val="22"/>
                <w:szCs w:val="22"/>
                <w:lang w:eastAsia="bg-BG"/>
              </w:rPr>
              <w:t xml:space="preserve"> </w:t>
            </w:r>
            <w:r w:rsidRPr="00D85FAC">
              <w:rPr>
                <w:rFonts w:ascii="Calibri" w:hAnsi="Calibri" w:cs="Calibri"/>
                <w:sz w:val="22"/>
                <w:szCs w:val="22"/>
                <w:lang w:eastAsia="bg-BG"/>
              </w:rPr>
              <w:t>765</w:t>
            </w:r>
          </w:p>
        </w:tc>
        <w:tc>
          <w:tcPr>
            <w:tcW w:w="1219" w:type="dxa"/>
            <w:noWrap/>
            <w:hideMark/>
          </w:tcPr>
          <w:p w:rsidR="006E50C1" w:rsidRPr="00D85FAC" w:rsidRDefault="006E50C1" w:rsidP="00143097">
            <w:pPr>
              <w:autoSpaceDE/>
              <w:autoSpaceDN/>
              <w:adjustRightInd/>
              <w:spacing w:after="0"/>
              <w:jc w:val="right"/>
              <w:cnfStyle w:val="000000100000"/>
              <w:rPr>
                <w:rFonts w:ascii="Calibri" w:hAnsi="Calibri" w:cs="Calibri"/>
                <w:sz w:val="22"/>
                <w:szCs w:val="22"/>
                <w:lang w:eastAsia="bg-BG"/>
              </w:rPr>
            </w:pPr>
            <w:r w:rsidRPr="00D85FAC">
              <w:rPr>
                <w:rFonts w:ascii="Calibri" w:hAnsi="Calibri" w:cs="Calibri"/>
                <w:sz w:val="22"/>
                <w:szCs w:val="22"/>
                <w:lang w:eastAsia="bg-BG"/>
              </w:rPr>
              <w:t>48</w:t>
            </w:r>
            <w:r>
              <w:rPr>
                <w:rFonts w:ascii="Calibri" w:hAnsi="Calibri" w:cs="Calibri"/>
                <w:sz w:val="22"/>
                <w:szCs w:val="22"/>
                <w:lang w:eastAsia="bg-BG"/>
              </w:rPr>
              <w:t xml:space="preserve"> </w:t>
            </w:r>
            <w:r w:rsidRPr="00D85FAC">
              <w:rPr>
                <w:rFonts w:ascii="Calibri" w:hAnsi="Calibri" w:cs="Calibri"/>
                <w:sz w:val="22"/>
                <w:szCs w:val="22"/>
                <w:lang w:eastAsia="bg-BG"/>
              </w:rPr>
              <w:t>045</w:t>
            </w:r>
          </w:p>
        </w:tc>
        <w:tc>
          <w:tcPr>
            <w:tcW w:w="1219" w:type="dxa"/>
            <w:noWrap/>
            <w:hideMark/>
          </w:tcPr>
          <w:p w:rsidR="006E50C1" w:rsidRPr="00D85FAC" w:rsidRDefault="006E50C1" w:rsidP="00143097">
            <w:pPr>
              <w:autoSpaceDE/>
              <w:autoSpaceDN/>
              <w:adjustRightInd/>
              <w:spacing w:after="0"/>
              <w:jc w:val="right"/>
              <w:cnfStyle w:val="000000100000"/>
              <w:rPr>
                <w:rFonts w:ascii="Calibri" w:hAnsi="Calibri" w:cs="Calibri"/>
                <w:sz w:val="22"/>
                <w:szCs w:val="22"/>
                <w:lang w:eastAsia="bg-BG"/>
              </w:rPr>
            </w:pPr>
            <w:r w:rsidRPr="00D85FAC">
              <w:rPr>
                <w:rFonts w:ascii="Calibri" w:hAnsi="Calibri" w:cs="Calibri"/>
                <w:sz w:val="22"/>
                <w:szCs w:val="22"/>
                <w:lang w:eastAsia="bg-BG"/>
              </w:rPr>
              <w:t>51</w:t>
            </w:r>
            <w:r>
              <w:rPr>
                <w:rFonts w:ascii="Calibri" w:hAnsi="Calibri" w:cs="Calibri"/>
                <w:sz w:val="22"/>
                <w:szCs w:val="22"/>
                <w:lang w:eastAsia="bg-BG"/>
              </w:rPr>
              <w:t xml:space="preserve"> </w:t>
            </w:r>
            <w:r w:rsidRPr="00D85FAC">
              <w:rPr>
                <w:rFonts w:ascii="Calibri" w:hAnsi="Calibri" w:cs="Calibri"/>
                <w:sz w:val="22"/>
                <w:szCs w:val="22"/>
                <w:lang w:eastAsia="bg-BG"/>
              </w:rPr>
              <w:t>188</w:t>
            </w:r>
          </w:p>
        </w:tc>
        <w:tc>
          <w:tcPr>
            <w:tcW w:w="1219" w:type="dxa"/>
            <w:noWrap/>
            <w:hideMark/>
          </w:tcPr>
          <w:p w:rsidR="006E50C1" w:rsidRPr="00D85FAC" w:rsidRDefault="006E50C1" w:rsidP="00143097">
            <w:pPr>
              <w:autoSpaceDE/>
              <w:autoSpaceDN/>
              <w:adjustRightInd/>
              <w:spacing w:after="0"/>
              <w:jc w:val="right"/>
              <w:cnfStyle w:val="000000100000"/>
              <w:rPr>
                <w:rFonts w:ascii="Calibri" w:hAnsi="Calibri" w:cs="Calibri"/>
                <w:i/>
                <w:sz w:val="22"/>
                <w:szCs w:val="22"/>
                <w:lang w:eastAsia="bg-BG"/>
              </w:rPr>
            </w:pPr>
            <w:r w:rsidRPr="00D85FAC">
              <w:rPr>
                <w:rFonts w:ascii="Calibri" w:hAnsi="Calibri" w:cs="Calibri"/>
                <w:i/>
                <w:sz w:val="22"/>
                <w:szCs w:val="22"/>
                <w:lang w:eastAsia="bg-BG"/>
              </w:rPr>
              <w:t>15</w:t>
            </w:r>
            <w:r w:rsidRPr="003E6B84">
              <w:rPr>
                <w:rFonts w:ascii="Calibri" w:hAnsi="Calibri" w:cs="Calibri"/>
                <w:i/>
                <w:sz w:val="22"/>
                <w:szCs w:val="22"/>
                <w:lang w:eastAsia="bg-BG"/>
              </w:rPr>
              <w:t xml:space="preserve"> </w:t>
            </w:r>
            <w:r w:rsidRPr="00D85FAC">
              <w:rPr>
                <w:rFonts w:ascii="Calibri" w:hAnsi="Calibri" w:cs="Calibri"/>
                <w:i/>
                <w:sz w:val="22"/>
                <w:szCs w:val="22"/>
                <w:lang w:eastAsia="bg-BG"/>
              </w:rPr>
              <w:t>157</w:t>
            </w:r>
          </w:p>
        </w:tc>
        <w:tc>
          <w:tcPr>
            <w:tcW w:w="1219" w:type="dxa"/>
            <w:noWrap/>
            <w:hideMark/>
          </w:tcPr>
          <w:p w:rsidR="006E50C1" w:rsidRPr="00D85FAC" w:rsidRDefault="006E50C1" w:rsidP="00143097">
            <w:pPr>
              <w:autoSpaceDE/>
              <w:autoSpaceDN/>
              <w:adjustRightInd/>
              <w:spacing w:after="0"/>
              <w:jc w:val="right"/>
              <w:cnfStyle w:val="000000100000"/>
              <w:rPr>
                <w:rFonts w:ascii="Calibri" w:hAnsi="Calibri" w:cs="Calibri"/>
                <w:i/>
                <w:sz w:val="22"/>
                <w:szCs w:val="22"/>
                <w:lang w:eastAsia="bg-BG"/>
              </w:rPr>
            </w:pPr>
            <w:r w:rsidRPr="00D85FAC">
              <w:rPr>
                <w:rFonts w:ascii="Calibri" w:hAnsi="Calibri" w:cs="Calibri"/>
                <w:i/>
                <w:sz w:val="22"/>
                <w:szCs w:val="22"/>
                <w:lang w:eastAsia="bg-BG"/>
              </w:rPr>
              <w:t>19</w:t>
            </w:r>
            <w:r w:rsidRPr="003E6B84">
              <w:rPr>
                <w:rFonts w:ascii="Calibri" w:hAnsi="Calibri" w:cs="Calibri"/>
                <w:i/>
                <w:sz w:val="22"/>
                <w:szCs w:val="22"/>
                <w:lang w:eastAsia="bg-BG"/>
              </w:rPr>
              <w:t xml:space="preserve"> </w:t>
            </w:r>
            <w:r w:rsidRPr="00D85FAC">
              <w:rPr>
                <w:rFonts w:ascii="Calibri" w:hAnsi="Calibri" w:cs="Calibri"/>
                <w:i/>
                <w:sz w:val="22"/>
                <w:szCs w:val="22"/>
                <w:lang w:eastAsia="bg-BG"/>
              </w:rPr>
              <w:t>245</w:t>
            </w:r>
          </w:p>
        </w:tc>
      </w:tr>
      <w:tr w:rsidR="00402B28" w:rsidRPr="00B24BD6" w:rsidTr="007115DE">
        <w:trPr>
          <w:cnfStyle w:val="010000000000"/>
          <w:trHeight w:val="300"/>
        </w:trPr>
        <w:tc>
          <w:tcPr>
            <w:cnfStyle w:val="001000000000"/>
            <w:tcW w:w="2977" w:type="dxa"/>
            <w:noWrap/>
            <w:hideMark/>
          </w:tcPr>
          <w:p w:rsidR="00402B28" w:rsidRPr="00F05A3A" w:rsidRDefault="00402B28" w:rsidP="003D3056">
            <w:pPr>
              <w:autoSpaceDE/>
              <w:autoSpaceDN/>
              <w:adjustRightInd/>
              <w:spacing w:after="0"/>
              <w:jc w:val="left"/>
              <w:rPr>
                <w:rFonts w:asciiTheme="minorHAnsi" w:hAnsiTheme="minorHAnsi" w:cstheme="minorHAnsi"/>
                <w:color w:val="000000"/>
                <w:sz w:val="22"/>
                <w:szCs w:val="22"/>
                <w:lang w:eastAsia="bg-BG"/>
              </w:rPr>
            </w:pPr>
            <w:r w:rsidRPr="00F05A3A">
              <w:rPr>
                <w:rFonts w:asciiTheme="minorHAnsi" w:hAnsiTheme="minorHAnsi" w:cstheme="minorHAnsi"/>
                <w:color w:val="000000"/>
                <w:sz w:val="22"/>
                <w:szCs w:val="22"/>
                <w:lang w:eastAsia="bg-BG"/>
              </w:rPr>
              <w:t xml:space="preserve">ОБЩО </w:t>
            </w:r>
            <w:r w:rsidR="003D3056">
              <w:rPr>
                <w:rFonts w:asciiTheme="minorHAnsi" w:hAnsiTheme="minorHAnsi" w:cstheme="minorHAnsi"/>
                <w:color w:val="000000"/>
                <w:sz w:val="22"/>
                <w:szCs w:val="22"/>
                <w:lang w:eastAsia="bg-BG"/>
              </w:rPr>
              <w:t>КЛИЕНТИ</w:t>
            </w:r>
          </w:p>
        </w:tc>
        <w:tc>
          <w:tcPr>
            <w:tcW w:w="1219" w:type="dxa"/>
            <w:noWrap/>
            <w:hideMark/>
          </w:tcPr>
          <w:p w:rsidR="00402B28" w:rsidRPr="00B24BD6" w:rsidRDefault="00402B28" w:rsidP="00143097">
            <w:pPr>
              <w:autoSpaceDE/>
              <w:autoSpaceDN/>
              <w:adjustRightInd/>
              <w:spacing w:after="0"/>
              <w:jc w:val="right"/>
              <w:cnfStyle w:val="010000000000"/>
              <w:rPr>
                <w:rFonts w:ascii="Calibri" w:hAnsi="Calibri" w:cs="Calibri"/>
                <w:b/>
                <w:sz w:val="22"/>
                <w:szCs w:val="22"/>
                <w:lang w:eastAsia="bg-BG"/>
              </w:rPr>
            </w:pPr>
            <w:r w:rsidRPr="00B24BD6">
              <w:rPr>
                <w:rFonts w:ascii="Calibri" w:hAnsi="Calibri" w:cs="Calibri"/>
                <w:b/>
                <w:sz w:val="22"/>
                <w:szCs w:val="22"/>
                <w:lang w:eastAsia="bg-BG"/>
              </w:rPr>
              <w:t>317 574</w:t>
            </w:r>
          </w:p>
        </w:tc>
        <w:tc>
          <w:tcPr>
            <w:tcW w:w="1219" w:type="dxa"/>
            <w:noWrap/>
            <w:hideMark/>
          </w:tcPr>
          <w:p w:rsidR="00402B28" w:rsidRPr="00B24BD6" w:rsidRDefault="00402B28" w:rsidP="00143097">
            <w:pPr>
              <w:autoSpaceDE/>
              <w:autoSpaceDN/>
              <w:adjustRightInd/>
              <w:spacing w:after="0"/>
              <w:jc w:val="right"/>
              <w:cnfStyle w:val="010000000000"/>
              <w:rPr>
                <w:rFonts w:ascii="Calibri" w:hAnsi="Calibri" w:cs="Calibri"/>
                <w:b/>
                <w:sz w:val="22"/>
                <w:szCs w:val="22"/>
                <w:lang w:eastAsia="bg-BG"/>
              </w:rPr>
            </w:pPr>
            <w:r w:rsidRPr="00B24BD6">
              <w:rPr>
                <w:rFonts w:ascii="Calibri" w:hAnsi="Calibri" w:cs="Calibri"/>
                <w:b/>
                <w:sz w:val="22"/>
                <w:szCs w:val="22"/>
                <w:lang w:eastAsia="bg-BG"/>
              </w:rPr>
              <w:t>334 606</w:t>
            </w:r>
          </w:p>
        </w:tc>
        <w:tc>
          <w:tcPr>
            <w:tcW w:w="1219" w:type="dxa"/>
            <w:noWrap/>
            <w:hideMark/>
          </w:tcPr>
          <w:p w:rsidR="00402B28" w:rsidRPr="00B24BD6" w:rsidRDefault="00402B28" w:rsidP="00143097">
            <w:pPr>
              <w:autoSpaceDE/>
              <w:autoSpaceDN/>
              <w:adjustRightInd/>
              <w:spacing w:after="0"/>
              <w:jc w:val="right"/>
              <w:cnfStyle w:val="010000000000"/>
              <w:rPr>
                <w:rFonts w:ascii="Calibri" w:hAnsi="Calibri" w:cs="Calibri"/>
                <w:b/>
                <w:sz w:val="22"/>
                <w:szCs w:val="22"/>
                <w:lang w:eastAsia="bg-BG"/>
              </w:rPr>
            </w:pPr>
            <w:r w:rsidRPr="00B24BD6">
              <w:rPr>
                <w:rFonts w:ascii="Calibri" w:hAnsi="Calibri" w:cs="Calibri"/>
                <w:b/>
                <w:sz w:val="22"/>
                <w:szCs w:val="22"/>
                <w:lang w:eastAsia="bg-BG"/>
              </w:rPr>
              <w:t>365 286</w:t>
            </w:r>
          </w:p>
        </w:tc>
        <w:tc>
          <w:tcPr>
            <w:tcW w:w="1219" w:type="dxa"/>
            <w:noWrap/>
            <w:hideMark/>
          </w:tcPr>
          <w:p w:rsidR="00402B28" w:rsidRPr="00B24BD6" w:rsidRDefault="00402B28" w:rsidP="00143097">
            <w:pPr>
              <w:autoSpaceDE/>
              <w:autoSpaceDN/>
              <w:adjustRightInd/>
              <w:spacing w:after="0"/>
              <w:jc w:val="right"/>
              <w:cnfStyle w:val="010000000000"/>
              <w:rPr>
                <w:rFonts w:ascii="Calibri" w:hAnsi="Calibri" w:cs="Calibri"/>
                <w:b/>
                <w:i/>
                <w:sz w:val="22"/>
                <w:szCs w:val="22"/>
                <w:lang w:eastAsia="bg-BG"/>
              </w:rPr>
            </w:pPr>
            <w:r w:rsidRPr="00B24BD6">
              <w:rPr>
                <w:rFonts w:ascii="Calibri" w:hAnsi="Calibri" w:cs="Calibri"/>
                <w:b/>
                <w:i/>
                <w:sz w:val="22"/>
                <w:szCs w:val="22"/>
                <w:lang w:eastAsia="bg-BG"/>
              </w:rPr>
              <w:t>134 315</w:t>
            </w:r>
          </w:p>
        </w:tc>
        <w:tc>
          <w:tcPr>
            <w:tcW w:w="1219" w:type="dxa"/>
            <w:noWrap/>
            <w:hideMark/>
          </w:tcPr>
          <w:p w:rsidR="00402B28" w:rsidRPr="00B24BD6" w:rsidRDefault="00402B28" w:rsidP="00143097">
            <w:pPr>
              <w:autoSpaceDE/>
              <w:autoSpaceDN/>
              <w:adjustRightInd/>
              <w:spacing w:after="0"/>
              <w:jc w:val="right"/>
              <w:cnfStyle w:val="010000000000"/>
              <w:rPr>
                <w:rFonts w:ascii="Calibri" w:hAnsi="Calibri" w:cs="Calibri"/>
                <w:b/>
                <w:i/>
                <w:sz w:val="22"/>
                <w:szCs w:val="22"/>
                <w:lang w:eastAsia="bg-BG"/>
              </w:rPr>
            </w:pPr>
            <w:r w:rsidRPr="00B24BD6">
              <w:rPr>
                <w:rFonts w:ascii="Calibri" w:hAnsi="Calibri" w:cs="Calibri"/>
                <w:b/>
                <w:i/>
                <w:sz w:val="22"/>
                <w:szCs w:val="22"/>
                <w:lang w:eastAsia="bg-BG"/>
              </w:rPr>
              <w:t>154 948</w:t>
            </w:r>
          </w:p>
        </w:tc>
      </w:tr>
    </w:tbl>
    <w:p w:rsidR="00B24BD6" w:rsidRDefault="00B24BD6" w:rsidP="006E50C1">
      <w:pPr>
        <w:ind w:left="709"/>
        <w:jc w:val="right"/>
        <w:rPr>
          <w:i/>
        </w:rPr>
      </w:pPr>
    </w:p>
    <w:tbl>
      <w:tblPr>
        <w:tblStyle w:val="MediumShading2-Accent11"/>
        <w:tblW w:w="9072" w:type="dxa"/>
        <w:tblInd w:w="817" w:type="dxa"/>
        <w:tblLayout w:type="fixed"/>
        <w:tblLook w:val="04E0"/>
      </w:tblPr>
      <w:tblGrid>
        <w:gridCol w:w="2977"/>
        <w:gridCol w:w="1219"/>
        <w:gridCol w:w="1219"/>
        <w:gridCol w:w="1219"/>
        <w:gridCol w:w="1219"/>
        <w:gridCol w:w="1219"/>
      </w:tblGrid>
      <w:tr w:rsidR="00B24BD6" w:rsidRPr="00B24BD6" w:rsidTr="007115DE">
        <w:trPr>
          <w:cnfStyle w:val="100000000000"/>
          <w:trHeight w:val="300"/>
        </w:trPr>
        <w:tc>
          <w:tcPr>
            <w:cnfStyle w:val="001000000100"/>
            <w:tcW w:w="2977" w:type="dxa"/>
            <w:noWrap/>
            <w:hideMark/>
          </w:tcPr>
          <w:p w:rsidR="00B24BD6" w:rsidRPr="00B24BD6" w:rsidRDefault="00B24BD6" w:rsidP="00402B28">
            <w:pPr>
              <w:autoSpaceDE/>
              <w:autoSpaceDN/>
              <w:adjustRightInd/>
              <w:spacing w:after="0"/>
              <w:jc w:val="center"/>
              <w:rPr>
                <w:bCs w:val="0"/>
                <w:color w:val="000000"/>
                <w:sz w:val="22"/>
                <w:szCs w:val="22"/>
                <w:lang w:eastAsia="bg-BG"/>
              </w:rPr>
            </w:pPr>
            <w:r w:rsidRPr="00B24BD6">
              <w:rPr>
                <w:bCs w:val="0"/>
                <w:color w:val="000000"/>
                <w:sz w:val="22"/>
                <w:szCs w:val="22"/>
                <w:lang w:eastAsia="bg-BG"/>
              </w:rPr>
              <w:t>В хил. лв.</w:t>
            </w:r>
          </w:p>
        </w:tc>
        <w:tc>
          <w:tcPr>
            <w:tcW w:w="1219" w:type="dxa"/>
            <w:noWrap/>
            <w:hideMark/>
          </w:tcPr>
          <w:p w:rsidR="00B24BD6" w:rsidRPr="00B24BD6" w:rsidRDefault="00B24BD6" w:rsidP="00402B28">
            <w:pPr>
              <w:autoSpaceDE/>
              <w:autoSpaceDN/>
              <w:adjustRightInd/>
              <w:spacing w:after="0"/>
              <w:jc w:val="center"/>
              <w:cnfStyle w:val="100000000000"/>
              <w:rPr>
                <w:bCs w:val="0"/>
                <w:color w:val="000000"/>
                <w:sz w:val="22"/>
                <w:szCs w:val="22"/>
                <w:lang w:eastAsia="bg-BG"/>
              </w:rPr>
            </w:pPr>
            <w:r w:rsidRPr="00B24BD6">
              <w:rPr>
                <w:bCs w:val="0"/>
                <w:color w:val="000000"/>
                <w:sz w:val="22"/>
                <w:szCs w:val="22"/>
                <w:lang w:eastAsia="bg-BG"/>
              </w:rPr>
              <w:t>2009</w:t>
            </w:r>
          </w:p>
        </w:tc>
        <w:tc>
          <w:tcPr>
            <w:tcW w:w="1219" w:type="dxa"/>
            <w:noWrap/>
            <w:hideMark/>
          </w:tcPr>
          <w:p w:rsidR="00B24BD6" w:rsidRPr="00B24BD6" w:rsidRDefault="00B24BD6" w:rsidP="00402B28">
            <w:pPr>
              <w:autoSpaceDE/>
              <w:autoSpaceDN/>
              <w:adjustRightInd/>
              <w:spacing w:after="0"/>
              <w:jc w:val="center"/>
              <w:cnfStyle w:val="100000000000"/>
              <w:rPr>
                <w:bCs w:val="0"/>
                <w:color w:val="000000"/>
                <w:sz w:val="22"/>
                <w:szCs w:val="22"/>
                <w:lang w:eastAsia="bg-BG"/>
              </w:rPr>
            </w:pPr>
            <w:r w:rsidRPr="00B24BD6">
              <w:rPr>
                <w:bCs w:val="0"/>
                <w:color w:val="000000"/>
                <w:sz w:val="22"/>
                <w:szCs w:val="22"/>
                <w:lang w:eastAsia="bg-BG"/>
              </w:rPr>
              <w:t>2010</w:t>
            </w:r>
          </w:p>
        </w:tc>
        <w:tc>
          <w:tcPr>
            <w:tcW w:w="1219" w:type="dxa"/>
            <w:noWrap/>
            <w:hideMark/>
          </w:tcPr>
          <w:p w:rsidR="00B24BD6" w:rsidRPr="00B24BD6" w:rsidRDefault="00B24BD6" w:rsidP="00402B28">
            <w:pPr>
              <w:autoSpaceDE/>
              <w:autoSpaceDN/>
              <w:adjustRightInd/>
              <w:spacing w:after="0"/>
              <w:jc w:val="center"/>
              <w:cnfStyle w:val="100000000000"/>
              <w:rPr>
                <w:bCs w:val="0"/>
                <w:color w:val="000000"/>
                <w:sz w:val="22"/>
                <w:szCs w:val="22"/>
                <w:lang w:eastAsia="bg-BG"/>
              </w:rPr>
            </w:pPr>
            <w:r w:rsidRPr="00B24BD6">
              <w:rPr>
                <w:bCs w:val="0"/>
                <w:color w:val="000000"/>
                <w:sz w:val="22"/>
                <w:szCs w:val="22"/>
                <w:lang w:eastAsia="bg-BG"/>
              </w:rPr>
              <w:t>2011</w:t>
            </w:r>
          </w:p>
        </w:tc>
        <w:tc>
          <w:tcPr>
            <w:tcW w:w="1219" w:type="dxa"/>
            <w:noWrap/>
            <w:hideMark/>
          </w:tcPr>
          <w:p w:rsidR="00B24BD6" w:rsidRPr="00B24BD6" w:rsidRDefault="00B24BD6" w:rsidP="00402B28">
            <w:pPr>
              <w:autoSpaceDE/>
              <w:autoSpaceDN/>
              <w:adjustRightInd/>
              <w:spacing w:after="0"/>
              <w:jc w:val="center"/>
              <w:cnfStyle w:val="100000000000"/>
              <w:rPr>
                <w:bCs w:val="0"/>
                <w:color w:val="000000"/>
                <w:sz w:val="22"/>
                <w:szCs w:val="22"/>
                <w:lang w:eastAsia="bg-BG"/>
              </w:rPr>
            </w:pPr>
            <w:r w:rsidRPr="00B24BD6">
              <w:rPr>
                <w:bCs w:val="0"/>
                <w:color w:val="000000"/>
                <w:sz w:val="22"/>
                <w:szCs w:val="22"/>
                <w:lang w:eastAsia="bg-BG"/>
              </w:rPr>
              <w:t>Q1 2011</w:t>
            </w:r>
          </w:p>
        </w:tc>
        <w:tc>
          <w:tcPr>
            <w:tcW w:w="1219" w:type="dxa"/>
            <w:noWrap/>
            <w:hideMark/>
          </w:tcPr>
          <w:p w:rsidR="00B24BD6" w:rsidRPr="00B24BD6" w:rsidRDefault="00B24BD6" w:rsidP="00402B28">
            <w:pPr>
              <w:autoSpaceDE/>
              <w:autoSpaceDN/>
              <w:adjustRightInd/>
              <w:spacing w:after="0"/>
              <w:jc w:val="center"/>
              <w:cnfStyle w:val="100000000000"/>
              <w:rPr>
                <w:bCs w:val="0"/>
                <w:color w:val="000000"/>
                <w:sz w:val="22"/>
                <w:szCs w:val="22"/>
                <w:lang w:eastAsia="bg-BG"/>
              </w:rPr>
            </w:pPr>
            <w:r w:rsidRPr="00B24BD6">
              <w:rPr>
                <w:bCs w:val="0"/>
                <w:color w:val="000000"/>
                <w:sz w:val="22"/>
                <w:szCs w:val="22"/>
                <w:lang w:eastAsia="bg-BG"/>
              </w:rPr>
              <w:t>Q1 2012</w:t>
            </w:r>
          </w:p>
        </w:tc>
      </w:tr>
      <w:tr w:rsidR="00B24BD6" w:rsidRPr="00D85FAC" w:rsidTr="007115DE">
        <w:trPr>
          <w:cnfStyle w:val="000000100000"/>
          <w:trHeight w:val="300"/>
        </w:trPr>
        <w:tc>
          <w:tcPr>
            <w:cnfStyle w:val="001000000000"/>
            <w:tcW w:w="2977" w:type="dxa"/>
            <w:noWrap/>
            <w:hideMark/>
          </w:tcPr>
          <w:p w:rsidR="00B24BD6" w:rsidRPr="00D85FAC" w:rsidRDefault="00B24BD6" w:rsidP="00402B28">
            <w:pPr>
              <w:autoSpaceDE/>
              <w:autoSpaceDN/>
              <w:adjustRightInd/>
              <w:spacing w:after="0"/>
              <w:jc w:val="left"/>
              <w:rPr>
                <w:rFonts w:ascii="Calibri" w:hAnsi="Calibri" w:cs="Calibri"/>
                <w:sz w:val="22"/>
                <w:szCs w:val="22"/>
                <w:lang w:eastAsia="bg-BG"/>
              </w:rPr>
            </w:pPr>
            <w:r w:rsidRPr="00D85FAC">
              <w:rPr>
                <w:rFonts w:ascii="Calibri" w:hAnsi="Calibri" w:cs="Calibri"/>
                <w:sz w:val="22"/>
                <w:szCs w:val="22"/>
                <w:lang w:eastAsia="bg-BG"/>
              </w:rPr>
              <w:t>Корпоративни по договор</w:t>
            </w:r>
          </w:p>
        </w:tc>
        <w:tc>
          <w:tcPr>
            <w:tcW w:w="1219" w:type="dxa"/>
            <w:noWrap/>
            <w:hideMark/>
          </w:tcPr>
          <w:p w:rsidR="00B24BD6" w:rsidRDefault="00B24BD6">
            <w:pPr>
              <w:jc w:val="right"/>
              <w:cnfStyle w:val="000000100000"/>
              <w:rPr>
                <w:rFonts w:ascii="Calibri" w:hAnsi="Calibri" w:cs="Calibri"/>
                <w:color w:val="000000"/>
                <w:sz w:val="22"/>
                <w:szCs w:val="22"/>
              </w:rPr>
            </w:pPr>
            <w:r>
              <w:rPr>
                <w:rFonts w:ascii="Calibri" w:hAnsi="Calibri" w:cs="Calibri"/>
                <w:color w:val="000000"/>
                <w:sz w:val="22"/>
                <w:szCs w:val="22"/>
              </w:rPr>
              <w:t>26 409</w:t>
            </w:r>
          </w:p>
        </w:tc>
        <w:tc>
          <w:tcPr>
            <w:tcW w:w="1219" w:type="dxa"/>
            <w:noWrap/>
            <w:hideMark/>
          </w:tcPr>
          <w:p w:rsidR="00B24BD6" w:rsidRDefault="00B24BD6">
            <w:pPr>
              <w:jc w:val="right"/>
              <w:cnfStyle w:val="000000100000"/>
              <w:rPr>
                <w:rFonts w:ascii="Calibri" w:hAnsi="Calibri" w:cs="Calibri"/>
                <w:color w:val="000000"/>
                <w:sz w:val="22"/>
                <w:szCs w:val="22"/>
              </w:rPr>
            </w:pPr>
            <w:r>
              <w:rPr>
                <w:rFonts w:ascii="Calibri" w:hAnsi="Calibri" w:cs="Calibri"/>
                <w:color w:val="000000"/>
                <w:sz w:val="22"/>
                <w:szCs w:val="22"/>
              </w:rPr>
              <w:t>29 504</w:t>
            </w:r>
          </w:p>
        </w:tc>
        <w:tc>
          <w:tcPr>
            <w:tcW w:w="1219" w:type="dxa"/>
            <w:noWrap/>
            <w:hideMark/>
          </w:tcPr>
          <w:p w:rsidR="00B24BD6" w:rsidRDefault="00B24BD6">
            <w:pPr>
              <w:jc w:val="right"/>
              <w:cnfStyle w:val="000000100000"/>
              <w:rPr>
                <w:rFonts w:ascii="Calibri" w:hAnsi="Calibri" w:cs="Calibri"/>
                <w:color w:val="000000"/>
                <w:sz w:val="22"/>
                <w:szCs w:val="22"/>
              </w:rPr>
            </w:pPr>
            <w:r>
              <w:rPr>
                <w:rFonts w:ascii="Calibri" w:hAnsi="Calibri" w:cs="Calibri"/>
                <w:color w:val="000000"/>
                <w:sz w:val="22"/>
                <w:szCs w:val="22"/>
              </w:rPr>
              <w:t>35 721</w:t>
            </w:r>
          </w:p>
        </w:tc>
        <w:tc>
          <w:tcPr>
            <w:tcW w:w="1219" w:type="dxa"/>
            <w:noWrap/>
            <w:hideMark/>
          </w:tcPr>
          <w:p w:rsidR="00B24BD6" w:rsidRDefault="00B24BD6">
            <w:pPr>
              <w:jc w:val="right"/>
              <w:cnfStyle w:val="000000100000"/>
              <w:rPr>
                <w:rFonts w:ascii="Calibri" w:hAnsi="Calibri" w:cs="Calibri"/>
                <w:color w:val="000000"/>
                <w:sz w:val="22"/>
                <w:szCs w:val="22"/>
              </w:rPr>
            </w:pPr>
            <w:r>
              <w:rPr>
                <w:rFonts w:ascii="Calibri" w:hAnsi="Calibri" w:cs="Calibri"/>
                <w:color w:val="000000"/>
                <w:sz w:val="22"/>
                <w:szCs w:val="22"/>
              </w:rPr>
              <w:t>5 799</w:t>
            </w:r>
          </w:p>
        </w:tc>
        <w:tc>
          <w:tcPr>
            <w:tcW w:w="1219" w:type="dxa"/>
            <w:noWrap/>
            <w:hideMark/>
          </w:tcPr>
          <w:p w:rsidR="00B24BD6" w:rsidRDefault="00B24BD6">
            <w:pPr>
              <w:jc w:val="right"/>
              <w:cnfStyle w:val="000000100000"/>
              <w:rPr>
                <w:rFonts w:ascii="Calibri" w:hAnsi="Calibri" w:cs="Calibri"/>
                <w:color w:val="000000"/>
                <w:sz w:val="22"/>
                <w:szCs w:val="22"/>
              </w:rPr>
            </w:pPr>
            <w:r>
              <w:rPr>
                <w:rFonts w:ascii="Calibri" w:hAnsi="Calibri" w:cs="Calibri"/>
                <w:color w:val="000000"/>
                <w:sz w:val="22"/>
                <w:szCs w:val="22"/>
              </w:rPr>
              <w:t>6 886</w:t>
            </w:r>
          </w:p>
        </w:tc>
      </w:tr>
      <w:tr w:rsidR="00B24BD6" w:rsidRPr="00D85FAC" w:rsidTr="007115DE">
        <w:trPr>
          <w:trHeight w:val="300"/>
        </w:trPr>
        <w:tc>
          <w:tcPr>
            <w:cnfStyle w:val="001000000000"/>
            <w:tcW w:w="2977" w:type="dxa"/>
            <w:noWrap/>
            <w:hideMark/>
          </w:tcPr>
          <w:p w:rsidR="00B24BD6" w:rsidRPr="00D85FAC" w:rsidRDefault="00B24BD6" w:rsidP="00402B28">
            <w:pPr>
              <w:autoSpaceDE/>
              <w:autoSpaceDN/>
              <w:adjustRightInd/>
              <w:spacing w:after="0"/>
              <w:jc w:val="left"/>
              <w:rPr>
                <w:rFonts w:ascii="Calibri" w:hAnsi="Calibri" w:cs="Calibri"/>
                <w:sz w:val="22"/>
                <w:szCs w:val="22"/>
                <w:lang w:eastAsia="bg-BG"/>
              </w:rPr>
            </w:pPr>
            <w:r w:rsidRPr="00D85FAC">
              <w:rPr>
                <w:rFonts w:ascii="Calibri" w:hAnsi="Calibri" w:cs="Calibri"/>
                <w:sz w:val="22"/>
                <w:szCs w:val="22"/>
                <w:lang w:eastAsia="bg-BG"/>
              </w:rPr>
              <w:t>Корпоративни без договор</w:t>
            </w:r>
          </w:p>
        </w:tc>
        <w:tc>
          <w:tcPr>
            <w:tcW w:w="1219" w:type="dxa"/>
            <w:noWrap/>
            <w:hideMark/>
          </w:tcPr>
          <w:p w:rsidR="00B24BD6" w:rsidRDefault="00B24BD6">
            <w:pPr>
              <w:jc w:val="right"/>
              <w:cnfStyle w:val="000000000000"/>
              <w:rPr>
                <w:rFonts w:ascii="Calibri" w:hAnsi="Calibri" w:cs="Calibri"/>
                <w:color w:val="000000"/>
                <w:sz w:val="22"/>
                <w:szCs w:val="22"/>
              </w:rPr>
            </w:pPr>
            <w:r>
              <w:rPr>
                <w:rFonts w:ascii="Calibri" w:hAnsi="Calibri" w:cs="Calibri"/>
                <w:color w:val="000000"/>
                <w:sz w:val="22"/>
                <w:szCs w:val="22"/>
              </w:rPr>
              <w:t>4 172</w:t>
            </w:r>
          </w:p>
        </w:tc>
        <w:tc>
          <w:tcPr>
            <w:tcW w:w="1219" w:type="dxa"/>
            <w:noWrap/>
            <w:hideMark/>
          </w:tcPr>
          <w:p w:rsidR="00B24BD6" w:rsidRDefault="00B24BD6">
            <w:pPr>
              <w:jc w:val="right"/>
              <w:cnfStyle w:val="000000000000"/>
              <w:rPr>
                <w:rFonts w:ascii="Calibri" w:hAnsi="Calibri" w:cs="Calibri"/>
                <w:color w:val="000000"/>
                <w:sz w:val="22"/>
                <w:szCs w:val="22"/>
              </w:rPr>
            </w:pPr>
            <w:r>
              <w:rPr>
                <w:rFonts w:ascii="Calibri" w:hAnsi="Calibri" w:cs="Calibri"/>
                <w:color w:val="000000"/>
                <w:sz w:val="22"/>
                <w:szCs w:val="22"/>
              </w:rPr>
              <w:t>4 556</w:t>
            </w:r>
          </w:p>
        </w:tc>
        <w:tc>
          <w:tcPr>
            <w:tcW w:w="1219" w:type="dxa"/>
            <w:noWrap/>
            <w:hideMark/>
          </w:tcPr>
          <w:p w:rsidR="00B24BD6" w:rsidRDefault="00B24BD6">
            <w:pPr>
              <w:jc w:val="right"/>
              <w:cnfStyle w:val="000000000000"/>
              <w:rPr>
                <w:rFonts w:ascii="Calibri" w:hAnsi="Calibri" w:cs="Calibri"/>
                <w:color w:val="000000"/>
                <w:sz w:val="22"/>
                <w:szCs w:val="22"/>
              </w:rPr>
            </w:pPr>
            <w:r>
              <w:rPr>
                <w:rFonts w:ascii="Calibri" w:hAnsi="Calibri" w:cs="Calibri"/>
                <w:color w:val="000000"/>
                <w:sz w:val="22"/>
                <w:szCs w:val="22"/>
              </w:rPr>
              <w:t>4 427</w:t>
            </w:r>
          </w:p>
        </w:tc>
        <w:tc>
          <w:tcPr>
            <w:tcW w:w="1219" w:type="dxa"/>
            <w:noWrap/>
            <w:hideMark/>
          </w:tcPr>
          <w:p w:rsidR="00B24BD6" w:rsidRDefault="00B24BD6">
            <w:pPr>
              <w:jc w:val="right"/>
              <w:cnfStyle w:val="000000000000"/>
              <w:rPr>
                <w:rFonts w:ascii="Calibri" w:hAnsi="Calibri" w:cs="Calibri"/>
                <w:color w:val="000000"/>
                <w:sz w:val="22"/>
                <w:szCs w:val="22"/>
              </w:rPr>
            </w:pPr>
            <w:r>
              <w:rPr>
                <w:rFonts w:ascii="Calibri" w:hAnsi="Calibri" w:cs="Calibri"/>
                <w:color w:val="000000"/>
                <w:sz w:val="22"/>
                <w:szCs w:val="22"/>
              </w:rPr>
              <w:t>692</w:t>
            </w:r>
          </w:p>
        </w:tc>
        <w:tc>
          <w:tcPr>
            <w:tcW w:w="1219" w:type="dxa"/>
            <w:noWrap/>
            <w:hideMark/>
          </w:tcPr>
          <w:p w:rsidR="00B24BD6" w:rsidRDefault="00B24BD6">
            <w:pPr>
              <w:jc w:val="right"/>
              <w:cnfStyle w:val="000000000000"/>
              <w:rPr>
                <w:rFonts w:ascii="Calibri" w:hAnsi="Calibri" w:cs="Calibri"/>
                <w:color w:val="000000"/>
                <w:sz w:val="22"/>
                <w:szCs w:val="22"/>
              </w:rPr>
            </w:pPr>
            <w:r>
              <w:rPr>
                <w:rFonts w:ascii="Calibri" w:hAnsi="Calibri" w:cs="Calibri"/>
                <w:color w:val="000000"/>
                <w:sz w:val="22"/>
                <w:szCs w:val="22"/>
              </w:rPr>
              <w:t>816</w:t>
            </w:r>
          </w:p>
        </w:tc>
      </w:tr>
      <w:tr w:rsidR="00B24BD6" w:rsidRPr="00D85FAC" w:rsidTr="007115DE">
        <w:trPr>
          <w:cnfStyle w:val="000000100000"/>
          <w:trHeight w:val="300"/>
        </w:trPr>
        <w:tc>
          <w:tcPr>
            <w:cnfStyle w:val="001000000000"/>
            <w:tcW w:w="2977" w:type="dxa"/>
            <w:noWrap/>
            <w:hideMark/>
          </w:tcPr>
          <w:p w:rsidR="00B24BD6" w:rsidRPr="00D85FAC" w:rsidRDefault="00B24BD6" w:rsidP="00402B28">
            <w:pPr>
              <w:autoSpaceDE/>
              <w:autoSpaceDN/>
              <w:adjustRightInd/>
              <w:spacing w:after="0"/>
              <w:jc w:val="left"/>
              <w:rPr>
                <w:rFonts w:ascii="Calibri" w:hAnsi="Calibri" w:cs="Calibri"/>
                <w:sz w:val="22"/>
                <w:szCs w:val="22"/>
                <w:lang w:eastAsia="bg-BG"/>
              </w:rPr>
            </w:pPr>
            <w:r w:rsidRPr="00D85FAC">
              <w:rPr>
                <w:rFonts w:ascii="Calibri" w:hAnsi="Calibri" w:cs="Calibri"/>
                <w:sz w:val="22"/>
                <w:szCs w:val="22"/>
                <w:lang w:eastAsia="bg-BG"/>
              </w:rPr>
              <w:t>Индивидуални клиенти</w:t>
            </w:r>
          </w:p>
        </w:tc>
        <w:tc>
          <w:tcPr>
            <w:tcW w:w="1219" w:type="dxa"/>
            <w:noWrap/>
            <w:hideMark/>
          </w:tcPr>
          <w:p w:rsidR="00B24BD6" w:rsidRDefault="00B24BD6">
            <w:pPr>
              <w:jc w:val="right"/>
              <w:cnfStyle w:val="000000100000"/>
              <w:rPr>
                <w:rFonts w:ascii="Calibri" w:hAnsi="Calibri" w:cs="Calibri"/>
                <w:color w:val="000000"/>
                <w:sz w:val="22"/>
                <w:szCs w:val="22"/>
              </w:rPr>
            </w:pPr>
            <w:r>
              <w:rPr>
                <w:rFonts w:ascii="Calibri" w:hAnsi="Calibri" w:cs="Calibri"/>
                <w:color w:val="000000"/>
                <w:sz w:val="22"/>
                <w:szCs w:val="22"/>
              </w:rPr>
              <w:t>2 266</w:t>
            </w:r>
          </w:p>
        </w:tc>
        <w:tc>
          <w:tcPr>
            <w:tcW w:w="1219" w:type="dxa"/>
            <w:noWrap/>
            <w:hideMark/>
          </w:tcPr>
          <w:p w:rsidR="00B24BD6" w:rsidRDefault="00B24BD6">
            <w:pPr>
              <w:jc w:val="right"/>
              <w:cnfStyle w:val="000000100000"/>
              <w:rPr>
                <w:rFonts w:ascii="Calibri" w:hAnsi="Calibri" w:cs="Calibri"/>
                <w:color w:val="000000"/>
                <w:sz w:val="22"/>
                <w:szCs w:val="22"/>
              </w:rPr>
            </w:pPr>
            <w:r>
              <w:rPr>
                <w:rFonts w:ascii="Calibri" w:hAnsi="Calibri" w:cs="Calibri"/>
                <w:color w:val="000000"/>
                <w:sz w:val="22"/>
                <w:szCs w:val="22"/>
              </w:rPr>
              <w:t>2 682</w:t>
            </w:r>
          </w:p>
        </w:tc>
        <w:tc>
          <w:tcPr>
            <w:tcW w:w="1219" w:type="dxa"/>
            <w:noWrap/>
            <w:hideMark/>
          </w:tcPr>
          <w:p w:rsidR="00B24BD6" w:rsidRDefault="00B24BD6">
            <w:pPr>
              <w:jc w:val="right"/>
              <w:cnfStyle w:val="000000100000"/>
              <w:rPr>
                <w:rFonts w:ascii="Calibri" w:hAnsi="Calibri" w:cs="Calibri"/>
                <w:color w:val="000000"/>
                <w:sz w:val="22"/>
                <w:szCs w:val="22"/>
              </w:rPr>
            </w:pPr>
            <w:r>
              <w:rPr>
                <w:rFonts w:ascii="Calibri" w:hAnsi="Calibri" w:cs="Calibri"/>
                <w:color w:val="000000"/>
                <w:sz w:val="22"/>
                <w:szCs w:val="22"/>
              </w:rPr>
              <w:t>3 255</w:t>
            </w:r>
          </w:p>
        </w:tc>
        <w:tc>
          <w:tcPr>
            <w:tcW w:w="1219" w:type="dxa"/>
            <w:noWrap/>
            <w:hideMark/>
          </w:tcPr>
          <w:p w:rsidR="00B24BD6" w:rsidRDefault="00B24BD6">
            <w:pPr>
              <w:jc w:val="right"/>
              <w:cnfStyle w:val="000000100000"/>
              <w:rPr>
                <w:rFonts w:ascii="Calibri" w:hAnsi="Calibri" w:cs="Calibri"/>
                <w:color w:val="000000"/>
                <w:sz w:val="22"/>
                <w:szCs w:val="22"/>
              </w:rPr>
            </w:pPr>
            <w:r>
              <w:rPr>
                <w:rFonts w:ascii="Calibri" w:hAnsi="Calibri" w:cs="Calibri"/>
                <w:color w:val="000000"/>
                <w:sz w:val="22"/>
                <w:szCs w:val="22"/>
              </w:rPr>
              <w:t>496</w:t>
            </w:r>
          </w:p>
        </w:tc>
        <w:tc>
          <w:tcPr>
            <w:tcW w:w="1219" w:type="dxa"/>
            <w:noWrap/>
            <w:hideMark/>
          </w:tcPr>
          <w:p w:rsidR="00B24BD6" w:rsidRDefault="00B24BD6">
            <w:pPr>
              <w:jc w:val="right"/>
              <w:cnfStyle w:val="000000100000"/>
              <w:rPr>
                <w:rFonts w:ascii="Calibri" w:hAnsi="Calibri" w:cs="Calibri"/>
                <w:color w:val="000000"/>
                <w:sz w:val="22"/>
                <w:szCs w:val="22"/>
              </w:rPr>
            </w:pPr>
            <w:r>
              <w:rPr>
                <w:rFonts w:ascii="Calibri" w:hAnsi="Calibri" w:cs="Calibri"/>
                <w:color w:val="000000"/>
                <w:sz w:val="22"/>
                <w:szCs w:val="22"/>
              </w:rPr>
              <w:t>625</w:t>
            </w:r>
          </w:p>
        </w:tc>
      </w:tr>
      <w:tr w:rsidR="00402B28" w:rsidRPr="00B24BD6" w:rsidTr="007115DE">
        <w:trPr>
          <w:cnfStyle w:val="010000000000"/>
          <w:trHeight w:val="300"/>
        </w:trPr>
        <w:tc>
          <w:tcPr>
            <w:cnfStyle w:val="001000000000"/>
            <w:tcW w:w="2977" w:type="dxa"/>
            <w:noWrap/>
            <w:hideMark/>
          </w:tcPr>
          <w:p w:rsidR="00402B28" w:rsidRPr="00D85A05" w:rsidRDefault="00402B28" w:rsidP="00402B28">
            <w:pPr>
              <w:autoSpaceDE/>
              <w:autoSpaceDN/>
              <w:adjustRightInd/>
              <w:spacing w:after="0"/>
              <w:jc w:val="left"/>
              <w:rPr>
                <w:color w:val="000000"/>
                <w:sz w:val="22"/>
                <w:szCs w:val="22"/>
                <w:lang w:eastAsia="bg-BG"/>
              </w:rPr>
            </w:pPr>
            <w:r w:rsidRPr="00D85A05">
              <w:rPr>
                <w:color w:val="000000"/>
                <w:sz w:val="22"/>
                <w:szCs w:val="22"/>
                <w:lang w:eastAsia="bg-BG"/>
              </w:rPr>
              <w:t>ОБЩО ПРИХОДИ</w:t>
            </w:r>
          </w:p>
        </w:tc>
        <w:tc>
          <w:tcPr>
            <w:tcW w:w="1219" w:type="dxa"/>
            <w:noWrap/>
            <w:hideMark/>
          </w:tcPr>
          <w:p w:rsidR="00402B28" w:rsidRDefault="00402B28">
            <w:pPr>
              <w:jc w:val="right"/>
              <w:cnfStyle w:val="010000000000"/>
              <w:rPr>
                <w:rFonts w:ascii="Calibri" w:hAnsi="Calibri" w:cs="Calibri"/>
                <w:b/>
                <w:bCs/>
                <w:color w:val="000000"/>
                <w:sz w:val="22"/>
                <w:szCs w:val="22"/>
              </w:rPr>
            </w:pPr>
            <w:r>
              <w:rPr>
                <w:rFonts w:ascii="Calibri" w:hAnsi="Calibri" w:cs="Calibri"/>
                <w:b/>
                <w:bCs/>
                <w:color w:val="000000"/>
                <w:sz w:val="22"/>
                <w:szCs w:val="22"/>
              </w:rPr>
              <w:t>32 847</w:t>
            </w:r>
          </w:p>
        </w:tc>
        <w:tc>
          <w:tcPr>
            <w:tcW w:w="1219" w:type="dxa"/>
            <w:noWrap/>
            <w:hideMark/>
          </w:tcPr>
          <w:p w:rsidR="00402B28" w:rsidRDefault="00402B28">
            <w:pPr>
              <w:jc w:val="right"/>
              <w:cnfStyle w:val="010000000000"/>
              <w:rPr>
                <w:rFonts w:ascii="Calibri" w:hAnsi="Calibri" w:cs="Calibri"/>
                <w:b/>
                <w:bCs/>
                <w:color w:val="000000"/>
                <w:sz w:val="22"/>
                <w:szCs w:val="22"/>
              </w:rPr>
            </w:pPr>
            <w:r>
              <w:rPr>
                <w:rFonts w:ascii="Calibri" w:hAnsi="Calibri" w:cs="Calibri"/>
                <w:b/>
                <w:bCs/>
                <w:color w:val="000000"/>
                <w:sz w:val="22"/>
                <w:szCs w:val="22"/>
              </w:rPr>
              <w:t>36 742</w:t>
            </w:r>
          </w:p>
        </w:tc>
        <w:tc>
          <w:tcPr>
            <w:tcW w:w="1219" w:type="dxa"/>
            <w:noWrap/>
            <w:hideMark/>
          </w:tcPr>
          <w:p w:rsidR="00402B28" w:rsidRDefault="00402B28">
            <w:pPr>
              <w:jc w:val="right"/>
              <w:cnfStyle w:val="010000000000"/>
              <w:rPr>
                <w:rFonts w:ascii="Calibri" w:hAnsi="Calibri" w:cs="Calibri"/>
                <w:b/>
                <w:bCs/>
                <w:color w:val="000000"/>
                <w:sz w:val="22"/>
                <w:szCs w:val="22"/>
              </w:rPr>
            </w:pPr>
            <w:r>
              <w:rPr>
                <w:rFonts w:ascii="Calibri" w:hAnsi="Calibri" w:cs="Calibri"/>
                <w:b/>
                <w:bCs/>
                <w:color w:val="000000"/>
                <w:sz w:val="22"/>
                <w:szCs w:val="22"/>
              </w:rPr>
              <w:t>43 403</w:t>
            </w:r>
          </w:p>
        </w:tc>
        <w:tc>
          <w:tcPr>
            <w:tcW w:w="1219" w:type="dxa"/>
            <w:noWrap/>
            <w:hideMark/>
          </w:tcPr>
          <w:p w:rsidR="00402B28" w:rsidRDefault="00402B28">
            <w:pPr>
              <w:jc w:val="right"/>
              <w:cnfStyle w:val="010000000000"/>
              <w:rPr>
                <w:rFonts w:ascii="Calibri" w:hAnsi="Calibri" w:cs="Calibri"/>
                <w:b/>
                <w:bCs/>
                <w:color w:val="000000"/>
                <w:sz w:val="22"/>
                <w:szCs w:val="22"/>
              </w:rPr>
            </w:pPr>
            <w:r>
              <w:rPr>
                <w:rFonts w:ascii="Calibri" w:hAnsi="Calibri" w:cs="Calibri"/>
                <w:b/>
                <w:bCs/>
                <w:color w:val="000000"/>
                <w:sz w:val="22"/>
                <w:szCs w:val="22"/>
              </w:rPr>
              <w:t>6 987</w:t>
            </w:r>
          </w:p>
        </w:tc>
        <w:tc>
          <w:tcPr>
            <w:tcW w:w="1219" w:type="dxa"/>
            <w:noWrap/>
            <w:hideMark/>
          </w:tcPr>
          <w:p w:rsidR="00402B28" w:rsidRDefault="00402B28">
            <w:pPr>
              <w:jc w:val="right"/>
              <w:cnfStyle w:val="010000000000"/>
              <w:rPr>
                <w:rFonts w:ascii="Calibri" w:hAnsi="Calibri" w:cs="Calibri"/>
                <w:b/>
                <w:bCs/>
                <w:color w:val="000000"/>
                <w:sz w:val="22"/>
                <w:szCs w:val="22"/>
              </w:rPr>
            </w:pPr>
            <w:r>
              <w:rPr>
                <w:rFonts w:ascii="Calibri" w:hAnsi="Calibri" w:cs="Calibri"/>
                <w:b/>
                <w:bCs/>
                <w:color w:val="000000"/>
                <w:sz w:val="22"/>
                <w:szCs w:val="22"/>
              </w:rPr>
              <w:t>8 327</w:t>
            </w:r>
          </w:p>
        </w:tc>
      </w:tr>
    </w:tbl>
    <w:p w:rsidR="006E50C1" w:rsidRPr="00864738" w:rsidRDefault="006E50C1" w:rsidP="006E50C1">
      <w:pPr>
        <w:ind w:left="709"/>
        <w:jc w:val="right"/>
        <w:rPr>
          <w:i/>
        </w:rPr>
      </w:pPr>
      <w:r w:rsidRPr="00864738">
        <w:rPr>
          <w:i/>
        </w:rPr>
        <w:t>Бележка: Консолидираните и неконсолидираните приходи от пратки съвпадат</w:t>
      </w:r>
    </w:p>
    <w:p w:rsidR="00A904E3" w:rsidRPr="00864738" w:rsidRDefault="00A904E3" w:rsidP="00A904E3">
      <w:pPr>
        <w:spacing w:after="120"/>
        <w:rPr>
          <w:i/>
        </w:rPr>
      </w:pPr>
      <w:r w:rsidRPr="00864738">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D51AF1" w:rsidRPr="00C65C03" w:rsidRDefault="00D51AF1" w:rsidP="00BE0C31">
      <w:pPr>
        <w:spacing w:after="120"/>
        <w:ind w:left="709"/>
        <w:rPr>
          <w:highlight w:val="yellow"/>
        </w:rPr>
      </w:pPr>
    </w:p>
    <w:p w:rsidR="00D51AF1" w:rsidRPr="004B6F3E" w:rsidRDefault="00D51AF1" w:rsidP="00D51AF1">
      <w:pPr>
        <w:spacing w:after="120"/>
        <w:ind w:left="709"/>
      </w:pPr>
      <w:r w:rsidRPr="006005D2">
        <w:t>На консолидирана база данните съвпадат</w:t>
      </w:r>
      <w:r w:rsidR="00864738" w:rsidRPr="006005D2">
        <w:t xml:space="preserve"> до над 99%</w:t>
      </w:r>
      <w:r w:rsidRPr="006005D2">
        <w:t xml:space="preserve">, тъй като „Спиди” </w:t>
      </w:r>
      <w:r w:rsidR="00ED1F3E" w:rsidRPr="006005D2">
        <w:t>Е</w:t>
      </w:r>
      <w:r w:rsidR="00864738" w:rsidRPr="006005D2">
        <w:t>ООД работи над 99%</w:t>
      </w:r>
      <w:r w:rsidRPr="006005D2">
        <w:t xml:space="preserve"> като подизпълнител на емитента.</w:t>
      </w:r>
    </w:p>
    <w:p w:rsidR="001C7299" w:rsidRDefault="001C7299" w:rsidP="00BE0C31">
      <w:pPr>
        <w:spacing w:after="120"/>
        <w:ind w:left="709"/>
      </w:pPr>
      <w:r>
        <w:t>Секторите</w:t>
      </w:r>
      <w:r w:rsidR="006C2D8F">
        <w:t xml:space="preserve">, </w:t>
      </w:r>
      <w:r>
        <w:t>в които работят основната част от клиентите на дружеството най-общо могат да се разделят на две групи:</w:t>
      </w:r>
    </w:p>
    <w:p w:rsidR="001C7299" w:rsidRDefault="00CB7967" w:rsidP="004B2890">
      <w:pPr>
        <w:pStyle w:val="ListParagraph"/>
        <w:numPr>
          <w:ilvl w:val="0"/>
          <w:numId w:val="18"/>
        </w:numPr>
      </w:pPr>
      <w:r>
        <w:rPr>
          <w:lang w:val="en-US"/>
        </w:rPr>
        <w:t>B2</w:t>
      </w:r>
      <w:r>
        <w:t xml:space="preserve">C </w:t>
      </w:r>
      <w:r w:rsidR="004B2890">
        <w:t>(</w:t>
      </w:r>
      <w:r w:rsidR="004B2890">
        <w:rPr>
          <w:lang w:val="en-US"/>
        </w:rPr>
        <w:t>business-to-customers) –</w:t>
      </w:r>
      <w:r w:rsidR="00032877">
        <w:rPr>
          <w:lang w:val="en-US"/>
        </w:rPr>
        <w:t xml:space="preserve"> </w:t>
      </w:r>
      <w:r w:rsidR="00CF09BE">
        <w:t>контрагент</w:t>
      </w:r>
      <w:r w:rsidR="00ED1F3E">
        <w:t>ът</w:t>
      </w:r>
      <w:r w:rsidR="00CF09BE">
        <w:t xml:space="preserve"> </w:t>
      </w:r>
      <w:r w:rsidR="004B2890">
        <w:t>обсл</w:t>
      </w:r>
      <w:r w:rsidR="00CF09BE">
        <w:t>уж</w:t>
      </w:r>
      <w:r w:rsidR="004B2890">
        <w:t xml:space="preserve">ва сравнително голям брой или географски разпръснати крайни </w:t>
      </w:r>
      <w:r w:rsidR="00032877">
        <w:t xml:space="preserve">клиенти. Такива са </w:t>
      </w:r>
      <w:r w:rsidR="00CF09BE">
        <w:t xml:space="preserve">компаниите за потребителски стоки, </w:t>
      </w:r>
      <w:r w:rsidR="00032877">
        <w:t>онлайн магазините, фирмите за каталожна търговия, мобилните оператори.</w:t>
      </w:r>
    </w:p>
    <w:p w:rsidR="004B6F3E" w:rsidRDefault="00032877" w:rsidP="00CB7967">
      <w:pPr>
        <w:pStyle w:val="ListParagraph"/>
        <w:numPr>
          <w:ilvl w:val="0"/>
          <w:numId w:val="18"/>
        </w:numPr>
      </w:pPr>
      <w:r>
        <w:t>В2</w:t>
      </w:r>
      <w:r>
        <w:rPr>
          <w:lang w:val="en-US"/>
        </w:rPr>
        <w:t>b</w:t>
      </w:r>
      <w:r>
        <w:t xml:space="preserve"> (</w:t>
      </w:r>
      <w:r>
        <w:rPr>
          <w:lang w:val="en-US"/>
        </w:rPr>
        <w:t xml:space="preserve">business-to-business) – </w:t>
      </w:r>
      <w:r w:rsidR="00CB7967">
        <w:t xml:space="preserve">доставка между юридически лица  В допълнение емитентът извършва и </w:t>
      </w:r>
      <w:r>
        <w:t>вътрешната логистика между различните звена и складове на компаниите, както и кореспонденцията между тях.</w:t>
      </w:r>
    </w:p>
    <w:p w:rsidR="00D70BF4" w:rsidRDefault="00D70BF4" w:rsidP="00D70BF4">
      <w:pPr>
        <w:pStyle w:val="ListParagraph"/>
        <w:ind w:left="1069"/>
      </w:pPr>
    </w:p>
    <w:p w:rsidR="00396FBA" w:rsidRPr="00AF0602" w:rsidRDefault="00396FBA" w:rsidP="00D37609">
      <w:pPr>
        <w:pStyle w:val="Heading1"/>
        <w:numPr>
          <w:ilvl w:val="2"/>
          <w:numId w:val="11"/>
        </w:numPr>
        <w:ind w:left="709" w:hanging="709"/>
        <w:rPr>
          <w:rFonts w:ascii="Times New Roman" w:hAnsi="Times New Roman"/>
          <w:b w:val="0"/>
          <w:i/>
          <w:sz w:val="24"/>
          <w:szCs w:val="24"/>
        </w:rPr>
      </w:pPr>
      <w:bookmarkStart w:id="59" w:name="_Toc324376919"/>
      <w:bookmarkStart w:id="60" w:name="_Toc324380078"/>
      <w:r w:rsidRPr="00AF0602">
        <w:rPr>
          <w:rFonts w:ascii="Times New Roman" w:hAnsi="Times New Roman"/>
          <w:b w:val="0"/>
          <w:i/>
          <w:sz w:val="24"/>
          <w:szCs w:val="24"/>
        </w:rPr>
        <w:t>Пазарът на пощенски услуги в България</w:t>
      </w:r>
      <w:bookmarkEnd w:id="59"/>
      <w:bookmarkEnd w:id="60"/>
    </w:p>
    <w:p w:rsidR="00396FBA" w:rsidRDefault="00436FE2" w:rsidP="00BE0C31">
      <w:pPr>
        <w:spacing w:after="120"/>
        <w:ind w:left="709"/>
      </w:pPr>
      <w:r>
        <w:t xml:space="preserve">Пазарът на пощенски услуги в страната се регулира от Комисията за регулиране на съобщенията и съгласно Закона </w:t>
      </w:r>
      <w:r w:rsidR="00ED1F3E">
        <w:t>за пощенски услуги условно се де</w:t>
      </w:r>
      <w:r>
        <w:t>ли на универсална пощенска услуга и неуниверсална пощенска услуга.</w:t>
      </w:r>
    </w:p>
    <w:p w:rsidR="00436FE2" w:rsidRPr="00436FE2" w:rsidRDefault="00436FE2" w:rsidP="00BE0C31">
      <w:pPr>
        <w:spacing w:after="120"/>
        <w:ind w:left="709"/>
      </w:pPr>
      <w:r w:rsidRPr="00436FE2">
        <w:t>В обхвата на универсалната пощенска услуга (УПУ)</w:t>
      </w:r>
      <w:r>
        <w:t xml:space="preserve"> се включват:</w:t>
      </w:r>
    </w:p>
    <w:p w:rsidR="00436FE2" w:rsidRPr="00436FE2" w:rsidRDefault="00436FE2" w:rsidP="00436FE2">
      <w:pPr>
        <w:pStyle w:val="ListParagraph"/>
        <w:numPr>
          <w:ilvl w:val="0"/>
          <w:numId w:val="21"/>
        </w:numPr>
        <w:ind w:left="1134" w:hanging="425"/>
      </w:pPr>
      <w:r w:rsidRPr="00436FE2">
        <w:t xml:space="preserve">приемане, пренасяне и доставяне на вътрешни и международни пощенски пратки, както следва: кореспондентски пратки (в т.ч. пощенска карта) до 2 кг; малки пакети до 2 кг; печатни произведения до 5 кг; секограми до 7 кг; </w:t>
      </w:r>
    </w:p>
    <w:p w:rsidR="00436FE2" w:rsidRPr="00436FE2" w:rsidRDefault="00436FE2" w:rsidP="00436FE2">
      <w:pPr>
        <w:pStyle w:val="ListParagraph"/>
        <w:numPr>
          <w:ilvl w:val="0"/>
          <w:numId w:val="21"/>
        </w:numPr>
        <w:ind w:left="1134" w:hanging="425"/>
      </w:pPr>
      <w:r w:rsidRPr="00436FE2">
        <w:t xml:space="preserve">приемане, пренасяне и доставяне на вътрешни и международни пощенски колети до 20 кг; </w:t>
      </w:r>
    </w:p>
    <w:p w:rsidR="00436FE2" w:rsidRPr="00436FE2" w:rsidRDefault="00436FE2" w:rsidP="00436FE2">
      <w:pPr>
        <w:pStyle w:val="ListParagraph"/>
        <w:numPr>
          <w:ilvl w:val="0"/>
          <w:numId w:val="21"/>
        </w:numPr>
        <w:ind w:left="1134" w:hanging="425"/>
      </w:pPr>
      <w:r w:rsidRPr="00436FE2">
        <w:t xml:space="preserve">допълнителни услуги “препоръка” и “обявена стойност”. </w:t>
      </w:r>
    </w:p>
    <w:p w:rsidR="00436FE2" w:rsidRPr="00436FE2" w:rsidRDefault="00436FE2" w:rsidP="00BE0C31">
      <w:pPr>
        <w:spacing w:after="120"/>
        <w:ind w:left="709"/>
      </w:pPr>
      <w:r w:rsidRPr="00436FE2">
        <w:t>В обхвата на неуниверсалните пощенски услуги (НПУ</w:t>
      </w:r>
      <w:r>
        <w:t>) се включват:</w:t>
      </w:r>
    </w:p>
    <w:p w:rsidR="00436FE2" w:rsidRPr="00436FE2" w:rsidRDefault="00436FE2" w:rsidP="00436FE2">
      <w:pPr>
        <w:pStyle w:val="ListParagraph"/>
        <w:numPr>
          <w:ilvl w:val="0"/>
          <w:numId w:val="21"/>
        </w:numPr>
        <w:ind w:left="1134" w:hanging="425"/>
      </w:pPr>
      <w:r w:rsidRPr="00436FE2">
        <w:t xml:space="preserve">куриерски услуги; </w:t>
      </w:r>
    </w:p>
    <w:p w:rsidR="00436FE2" w:rsidRPr="00436FE2" w:rsidRDefault="00436FE2" w:rsidP="00436FE2">
      <w:pPr>
        <w:pStyle w:val="ListParagraph"/>
        <w:numPr>
          <w:ilvl w:val="0"/>
          <w:numId w:val="21"/>
        </w:numPr>
        <w:ind w:left="1134" w:hanging="425"/>
      </w:pPr>
      <w:r w:rsidRPr="00436FE2">
        <w:t xml:space="preserve">приемане на съобщения, подадени във физическа или електронна форма от подателя, предаването им чрез електронни съобщителни средства и доставяне на тези съобщения на получателя като пощенски пратки (т.нар. хибридна поща); </w:t>
      </w:r>
    </w:p>
    <w:p w:rsidR="00436FE2" w:rsidRPr="00436FE2" w:rsidRDefault="00436FE2" w:rsidP="00436FE2">
      <w:pPr>
        <w:pStyle w:val="ListParagraph"/>
        <w:numPr>
          <w:ilvl w:val="0"/>
          <w:numId w:val="21"/>
        </w:numPr>
        <w:ind w:left="1134" w:hanging="425"/>
      </w:pPr>
      <w:r w:rsidRPr="00436FE2">
        <w:t>пощенски парични преводи</w:t>
      </w:r>
      <w:r>
        <w:t>.</w:t>
      </w:r>
    </w:p>
    <w:p w:rsidR="00436FE2" w:rsidRDefault="00436FE2" w:rsidP="00BE0C31">
      <w:pPr>
        <w:spacing w:after="120"/>
        <w:ind w:left="709"/>
      </w:pPr>
      <w:r>
        <w:t xml:space="preserve">За предлагането на УПУ и </w:t>
      </w:r>
      <w:r w:rsidRPr="00436FE2">
        <w:t>пощенски парични преводи</w:t>
      </w:r>
      <w:r>
        <w:t>, режимът е лицензионен, а за куриерските услуги и услугата „хибридна поща” се прилага уведомителен режим.</w:t>
      </w:r>
      <w:r w:rsidR="00654D89">
        <w:t xml:space="preserve"> По тази причина огромната ч</w:t>
      </w:r>
      <w:r w:rsidR="00DB5A48">
        <w:t xml:space="preserve">аст </w:t>
      </w:r>
      <w:r w:rsidR="004325F3">
        <w:t>от близо 96</w:t>
      </w:r>
      <w:r w:rsidR="00CB7967">
        <w:t>-</w:t>
      </w:r>
      <w:r w:rsidR="00DB5A48">
        <w:t xml:space="preserve">те </w:t>
      </w:r>
      <w:r w:rsidR="00654D89">
        <w:t>пощенски</w:t>
      </w:r>
      <w:r w:rsidR="00DB5A48">
        <w:t xml:space="preserve"> оператора</w:t>
      </w:r>
      <w:r w:rsidR="00654D89">
        <w:t xml:space="preserve"> работят в сегмента на НПУ, където и конкуренцията е по-интензивна. В сегмента на УПУ почти монополно положение има „Български пощи” АД</w:t>
      </w:r>
      <w:r w:rsidR="00FC191B">
        <w:t xml:space="preserve"> с близо 96</w:t>
      </w:r>
      <w:r w:rsidR="00654D89">
        <w:t>% дял</w:t>
      </w:r>
      <w:r w:rsidR="00FB1B2D">
        <w:t xml:space="preserve"> в сегмента</w:t>
      </w:r>
      <w:r w:rsidR="00654D89">
        <w:t>.</w:t>
      </w:r>
      <w:r w:rsidR="00D92CD1">
        <w:t xml:space="preserve"> </w:t>
      </w:r>
      <w:r w:rsidR="00F2011F">
        <w:t xml:space="preserve">Общият </w:t>
      </w:r>
      <w:r w:rsidR="00D92CD1">
        <w:t xml:space="preserve">брой </w:t>
      </w:r>
      <w:r w:rsidR="00F2011F">
        <w:t xml:space="preserve">на </w:t>
      </w:r>
      <w:r w:rsidR="00D92CD1">
        <w:t>регистрирани оператори</w:t>
      </w:r>
      <w:r w:rsidR="00F2011F">
        <w:t xml:space="preserve"> е сравнително голям, но</w:t>
      </w:r>
      <w:r w:rsidR="00D92CD1">
        <w:t xml:space="preserve"> 15те най-големи компании на пазара </w:t>
      </w:r>
      <w:r w:rsidR="00F9412E">
        <w:t xml:space="preserve">на НПУ </w:t>
      </w:r>
      <w:r w:rsidR="00D92CD1">
        <w:t>формират 93% от приходите</w:t>
      </w:r>
      <w:r w:rsidR="00F2011F">
        <w:t>, като 43 оператора са заявили, че не са извършвали дейност.</w:t>
      </w:r>
    </w:p>
    <w:p w:rsidR="00CB7967" w:rsidRDefault="00FE4C65" w:rsidP="00CB7967">
      <w:pPr>
        <w:spacing w:after="120"/>
        <w:ind w:left="709"/>
      </w:pPr>
      <w:r>
        <w:t>Въпреки наличието на регистрационен режим и специализиран регулатор, сегментът на НПУ е сравнително отворен и с нис</w:t>
      </w:r>
      <w:r w:rsidR="00B91D10">
        <w:t xml:space="preserve">ки бариери </w:t>
      </w:r>
      <w:r w:rsidR="00ED1F3E">
        <w:t xml:space="preserve">за </w:t>
      </w:r>
      <w:r w:rsidR="00B91D10">
        <w:t>започване на бизнеса. Ролята на регулатора е насочена към установяването на стандарти и гарантирането на минимално качество на услугата, което е в полза на пазара и компаниите с дълг</w:t>
      </w:r>
      <w:r w:rsidR="00CB7967">
        <w:t>о</w:t>
      </w:r>
      <w:r w:rsidR="00B91D10">
        <w:t>срочна и стратегическа визия за бизнеса.</w:t>
      </w:r>
      <w:r w:rsidR="00CB7967" w:rsidRPr="00CB7967">
        <w:t xml:space="preserve"> </w:t>
      </w:r>
    </w:p>
    <w:p w:rsidR="00CB7967" w:rsidRDefault="00CB7967" w:rsidP="00CB7967">
      <w:pPr>
        <w:spacing w:after="120"/>
        <w:ind w:left="709"/>
      </w:pPr>
      <w:r>
        <w:t xml:space="preserve">Според официалния годишен доклад за 2010 г. на Комисията за регулиране на съобщенията националният пазар на пощенски услуги възлиза на 237 млн. лева, като универсалните пощенски услуги са 53 млн. лева, а не-универсалните пощенски услуги </w:t>
      </w:r>
      <w:r w:rsidRPr="0042791F">
        <w:t>(</w:t>
      </w:r>
      <w:r>
        <w:t>включително куриерските</w:t>
      </w:r>
      <w:r w:rsidRPr="0042791F">
        <w:t>)</w:t>
      </w:r>
      <w:r>
        <w:t xml:space="preserve"> са в размер на 184 млн. лева (вкл. хибридна поща 36 млн.). Куриерските услуги са в размер на 148 млн. лв. като вътрешни пратки са 112,5 млн. лв., а международните са 35.5 млн. лв. Видно от данните в таблицата по-долу, пощенския пазар се възстановява бързо и може да се очаква, че през 2011 г. са достигнати предкризисните нива. Това се дължи основно на куриерските услуги и хибридна поща, които формират съответно 62% и 15% от всички пощенски приходи.</w:t>
      </w:r>
    </w:p>
    <w:p w:rsidR="00FE4C65" w:rsidRDefault="00FE4C65" w:rsidP="00BE0C31">
      <w:pPr>
        <w:spacing w:after="120"/>
        <w:ind w:left="709"/>
      </w:pPr>
    </w:p>
    <w:p w:rsidR="00041894" w:rsidRDefault="00041894" w:rsidP="00041894">
      <w:pPr>
        <w:ind w:left="709"/>
        <w:jc w:val="center"/>
      </w:pPr>
      <w:r w:rsidRPr="001E783A">
        <w:rPr>
          <w:noProof/>
          <w:lang w:eastAsia="bg-BG"/>
        </w:rPr>
        <w:drawing>
          <wp:inline distT="0" distB="0" distL="0" distR="0">
            <wp:extent cx="5219700" cy="2714625"/>
            <wp:effectExtent l="1905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1894" w:rsidRPr="00BB55D2" w:rsidRDefault="00D70BF4" w:rsidP="00041894">
      <w:pPr>
        <w:ind w:left="709"/>
        <w:jc w:val="right"/>
        <w:rPr>
          <w:i/>
        </w:rPr>
      </w:pPr>
      <w:r>
        <w:rPr>
          <w:i/>
        </w:rPr>
        <w:t>Източник: Комисия за регулиране на съобщенията</w:t>
      </w:r>
    </w:p>
    <w:p w:rsidR="00BB55D2" w:rsidRDefault="00EE5039" w:rsidP="00BE0C31">
      <w:pPr>
        <w:spacing w:after="120"/>
        <w:ind w:left="709"/>
      </w:pPr>
      <w:r>
        <w:t xml:space="preserve">Лидер на пазара на куриерски услуги е </w:t>
      </w:r>
      <w:r w:rsidR="00D70BF4">
        <w:t>„СПИДИ” ЕАД</w:t>
      </w:r>
      <w:r>
        <w:t xml:space="preserve"> с 20% пазарен дял при НПУ и 14,5% от целия пощенски пазар</w:t>
      </w:r>
      <w:r w:rsidR="004A0B2B">
        <w:t xml:space="preserve"> и</w:t>
      </w:r>
      <w:r>
        <w:t xml:space="preserve"> е втората най-голяма компания на пощенския пазар</w:t>
      </w:r>
      <w:r w:rsidR="00654D89">
        <w:t xml:space="preserve"> </w:t>
      </w:r>
      <w:r>
        <w:t>след бившия монополист</w:t>
      </w:r>
      <w:r w:rsidR="00041894">
        <w:t xml:space="preserve"> </w:t>
      </w:r>
      <w:r>
        <w:t xml:space="preserve">”Български пощи” АД. </w:t>
      </w:r>
      <w:r w:rsidR="004325F3">
        <w:t>Дел</w:t>
      </w:r>
      <w:r w:rsidR="001302C7">
        <w:t>ът</w:t>
      </w:r>
      <w:r w:rsidR="004325F3">
        <w:t xml:space="preserve"> на компанията в международните пратки е 5,2%. </w:t>
      </w:r>
      <w:r w:rsidR="004A0B2B">
        <w:t>Дружеството има предимството да работи на най-големия и най-бързоразвиващия се сегмент от пощенските услуги, като реализираният ръст на приходите изпреварва ръста на пазара като цяло, в резултат на което пазарния</w:t>
      </w:r>
      <w:r w:rsidR="001302C7">
        <w:t>т</w:t>
      </w:r>
      <w:r w:rsidR="004A0B2B">
        <w:t xml:space="preserve"> й дял</w:t>
      </w:r>
      <w:r w:rsidR="004A0B2B" w:rsidRPr="004A0B2B">
        <w:t xml:space="preserve"> </w:t>
      </w:r>
      <w:r w:rsidR="004A0B2B">
        <w:t>непрекъснато се увеличава.</w:t>
      </w:r>
    </w:p>
    <w:p w:rsidR="00EE5039" w:rsidRPr="000E17AB" w:rsidRDefault="00E9122F" w:rsidP="000E17AB">
      <w:pPr>
        <w:spacing w:after="120"/>
        <w:jc w:val="center"/>
        <w:rPr>
          <w:i/>
          <w:u w:val="single"/>
        </w:rPr>
      </w:pPr>
      <w:r w:rsidRPr="000E17AB">
        <w:rPr>
          <w:i/>
          <w:u w:val="single"/>
        </w:rPr>
        <w:t>Пазар на пощенски услуги в страната</w:t>
      </w:r>
    </w:p>
    <w:tbl>
      <w:tblPr>
        <w:tblStyle w:val="MediumShading2-Accent11"/>
        <w:tblW w:w="9072" w:type="dxa"/>
        <w:tblInd w:w="817" w:type="dxa"/>
        <w:tblLayout w:type="fixed"/>
        <w:tblLook w:val="04A0"/>
      </w:tblPr>
      <w:tblGrid>
        <w:gridCol w:w="4111"/>
        <w:gridCol w:w="1240"/>
        <w:gridCol w:w="1240"/>
        <w:gridCol w:w="1240"/>
        <w:gridCol w:w="1241"/>
      </w:tblGrid>
      <w:tr w:rsidR="00E907B9" w:rsidRPr="00F05A3A" w:rsidTr="007115DE">
        <w:trPr>
          <w:cnfStyle w:val="100000000000"/>
          <w:trHeight w:val="255"/>
        </w:trPr>
        <w:tc>
          <w:tcPr>
            <w:cnfStyle w:val="001000000100"/>
            <w:tcW w:w="4111" w:type="dxa"/>
            <w:noWrap/>
            <w:hideMark/>
          </w:tcPr>
          <w:p w:rsidR="00E907B9" w:rsidRPr="00F05A3A" w:rsidRDefault="00E907B9" w:rsidP="00E907B9">
            <w:pPr>
              <w:autoSpaceDE/>
              <w:autoSpaceDN/>
              <w:adjustRightInd/>
              <w:spacing w:after="0"/>
              <w:jc w:val="left"/>
              <w:rPr>
                <w:rFonts w:asciiTheme="minorHAnsi" w:hAnsiTheme="minorHAnsi" w:cstheme="minorHAnsi"/>
                <w:sz w:val="22"/>
                <w:szCs w:val="22"/>
                <w:lang w:eastAsia="bg-BG"/>
              </w:rPr>
            </w:pPr>
            <w:r w:rsidRPr="00F05A3A">
              <w:rPr>
                <w:rFonts w:asciiTheme="minorHAnsi" w:hAnsiTheme="minorHAnsi" w:cstheme="minorHAnsi"/>
                <w:sz w:val="22"/>
                <w:szCs w:val="22"/>
                <w:lang w:eastAsia="bg-BG"/>
              </w:rPr>
              <w:t> </w:t>
            </w:r>
          </w:p>
        </w:tc>
        <w:tc>
          <w:tcPr>
            <w:tcW w:w="1240" w:type="dxa"/>
            <w:noWrap/>
            <w:hideMark/>
          </w:tcPr>
          <w:p w:rsidR="00E907B9" w:rsidRPr="00F05A3A" w:rsidRDefault="00E907B9" w:rsidP="00E907B9">
            <w:pPr>
              <w:autoSpaceDE/>
              <w:autoSpaceDN/>
              <w:adjustRightInd/>
              <w:spacing w:after="0"/>
              <w:jc w:val="center"/>
              <w:cnfStyle w:val="100000000000"/>
              <w:rPr>
                <w:rFonts w:asciiTheme="minorHAnsi" w:hAnsiTheme="minorHAnsi" w:cstheme="minorHAnsi"/>
                <w:bCs w:val="0"/>
                <w:sz w:val="22"/>
                <w:szCs w:val="22"/>
                <w:lang w:eastAsia="bg-BG"/>
              </w:rPr>
            </w:pPr>
            <w:r w:rsidRPr="00F05A3A">
              <w:rPr>
                <w:rFonts w:asciiTheme="minorHAnsi" w:hAnsiTheme="minorHAnsi" w:cstheme="minorHAnsi"/>
                <w:bCs w:val="0"/>
                <w:sz w:val="22"/>
                <w:szCs w:val="22"/>
                <w:lang w:eastAsia="bg-BG"/>
              </w:rPr>
              <w:t>2007</w:t>
            </w:r>
          </w:p>
        </w:tc>
        <w:tc>
          <w:tcPr>
            <w:tcW w:w="1240" w:type="dxa"/>
            <w:noWrap/>
            <w:hideMark/>
          </w:tcPr>
          <w:p w:rsidR="00E907B9" w:rsidRPr="00F05A3A" w:rsidRDefault="00E907B9" w:rsidP="00E907B9">
            <w:pPr>
              <w:autoSpaceDE/>
              <w:autoSpaceDN/>
              <w:adjustRightInd/>
              <w:spacing w:after="0"/>
              <w:jc w:val="center"/>
              <w:cnfStyle w:val="100000000000"/>
              <w:rPr>
                <w:rFonts w:asciiTheme="minorHAnsi" w:hAnsiTheme="minorHAnsi" w:cstheme="minorHAnsi"/>
                <w:bCs w:val="0"/>
                <w:sz w:val="22"/>
                <w:szCs w:val="22"/>
                <w:lang w:eastAsia="bg-BG"/>
              </w:rPr>
            </w:pPr>
            <w:r w:rsidRPr="00F05A3A">
              <w:rPr>
                <w:rFonts w:asciiTheme="minorHAnsi" w:hAnsiTheme="minorHAnsi" w:cstheme="minorHAnsi"/>
                <w:bCs w:val="0"/>
                <w:sz w:val="22"/>
                <w:szCs w:val="22"/>
                <w:lang w:eastAsia="bg-BG"/>
              </w:rPr>
              <w:t>2008</w:t>
            </w:r>
          </w:p>
        </w:tc>
        <w:tc>
          <w:tcPr>
            <w:tcW w:w="1240" w:type="dxa"/>
            <w:noWrap/>
            <w:hideMark/>
          </w:tcPr>
          <w:p w:rsidR="00E907B9" w:rsidRPr="00F05A3A" w:rsidRDefault="00E907B9" w:rsidP="00E907B9">
            <w:pPr>
              <w:autoSpaceDE/>
              <w:autoSpaceDN/>
              <w:adjustRightInd/>
              <w:spacing w:after="0"/>
              <w:jc w:val="center"/>
              <w:cnfStyle w:val="100000000000"/>
              <w:rPr>
                <w:rFonts w:asciiTheme="minorHAnsi" w:hAnsiTheme="minorHAnsi" w:cstheme="minorHAnsi"/>
                <w:bCs w:val="0"/>
                <w:sz w:val="22"/>
                <w:szCs w:val="22"/>
                <w:lang w:eastAsia="bg-BG"/>
              </w:rPr>
            </w:pPr>
            <w:r w:rsidRPr="00F05A3A">
              <w:rPr>
                <w:rFonts w:asciiTheme="minorHAnsi" w:hAnsiTheme="minorHAnsi" w:cstheme="minorHAnsi"/>
                <w:bCs w:val="0"/>
                <w:sz w:val="22"/>
                <w:szCs w:val="22"/>
                <w:lang w:eastAsia="bg-BG"/>
              </w:rPr>
              <w:t>2009</w:t>
            </w:r>
          </w:p>
        </w:tc>
        <w:tc>
          <w:tcPr>
            <w:tcW w:w="1241" w:type="dxa"/>
            <w:noWrap/>
            <w:hideMark/>
          </w:tcPr>
          <w:p w:rsidR="00E907B9" w:rsidRPr="00F05A3A" w:rsidRDefault="00E907B9" w:rsidP="00E907B9">
            <w:pPr>
              <w:autoSpaceDE/>
              <w:autoSpaceDN/>
              <w:adjustRightInd/>
              <w:spacing w:after="0"/>
              <w:jc w:val="center"/>
              <w:cnfStyle w:val="100000000000"/>
              <w:rPr>
                <w:rFonts w:asciiTheme="minorHAnsi" w:hAnsiTheme="minorHAnsi" w:cstheme="minorHAnsi"/>
                <w:bCs w:val="0"/>
                <w:sz w:val="22"/>
                <w:szCs w:val="22"/>
                <w:lang w:eastAsia="bg-BG"/>
              </w:rPr>
            </w:pPr>
            <w:r w:rsidRPr="00F05A3A">
              <w:rPr>
                <w:rFonts w:asciiTheme="minorHAnsi" w:hAnsiTheme="minorHAnsi" w:cstheme="minorHAnsi"/>
                <w:bCs w:val="0"/>
                <w:sz w:val="22"/>
                <w:szCs w:val="22"/>
                <w:lang w:eastAsia="bg-BG"/>
              </w:rPr>
              <w:t>2010</w:t>
            </w:r>
          </w:p>
        </w:tc>
      </w:tr>
      <w:tr w:rsidR="00E907B9" w:rsidRPr="00F05A3A" w:rsidTr="007115DE">
        <w:trPr>
          <w:cnfStyle w:val="000000100000"/>
          <w:trHeight w:val="255"/>
        </w:trPr>
        <w:tc>
          <w:tcPr>
            <w:cnfStyle w:val="001000000000"/>
            <w:tcW w:w="4111" w:type="dxa"/>
            <w:noWrap/>
            <w:hideMark/>
          </w:tcPr>
          <w:p w:rsidR="00E907B9" w:rsidRPr="00F05A3A" w:rsidRDefault="00E907B9" w:rsidP="00BB55D2">
            <w:pPr>
              <w:autoSpaceDE/>
              <w:autoSpaceDN/>
              <w:adjustRightInd/>
              <w:spacing w:after="0"/>
              <w:jc w:val="left"/>
              <w:rPr>
                <w:rFonts w:asciiTheme="minorHAnsi" w:hAnsiTheme="minorHAnsi" w:cstheme="minorHAnsi"/>
                <w:sz w:val="22"/>
                <w:szCs w:val="22"/>
                <w:lang w:eastAsia="bg-BG"/>
              </w:rPr>
            </w:pPr>
            <w:r w:rsidRPr="00F05A3A">
              <w:rPr>
                <w:rFonts w:asciiTheme="minorHAnsi" w:hAnsiTheme="minorHAnsi" w:cstheme="minorHAnsi"/>
                <w:sz w:val="22"/>
                <w:szCs w:val="22"/>
                <w:lang w:eastAsia="bg-BG"/>
              </w:rPr>
              <w:t>Пазар на пощенски услуги, млн. лв.</w:t>
            </w:r>
            <w:r w:rsidR="00BB55D2" w:rsidRPr="00F05A3A">
              <w:rPr>
                <w:rStyle w:val="FootnoteReference"/>
                <w:rFonts w:asciiTheme="minorHAnsi" w:hAnsiTheme="minorHAnsi" w:cstheme="minorHAnsi"/>
                <w:sz w:val="22"/>
                <w:szCs w:val="22"/>
                <w:lang w:eastAsia="bg-BG"/>
              </w:rPr>
              <w:footnoteReference w:customMarkFollows="1" w:id="1"/>
              <w:sym w:font="Symbol" w:char="F02A"/>
            </w:r>
          </w:p>
        </w:tc>
        <w:tc>
          <w:tcPr>
            <w:tcW w:w="1240"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206</w:t>
            </w:r>
          </w:p>
        </w:tc>
        <w:tc>
          <w:tcPr>
            <w:tcW w:w="1240"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248</w:t>
            </w:r>
          </w:p>
        </w:tc>
        <w:tc>
          <w:tcPr>
            <w:tcW w:w="1240"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226</w:t>
            </w:r>
          </w:p>
        </w:tc>
        <w:tc>
          <w:tcPr>
            <w:tcW w:w="1241"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237</w:t>
            </w:r>
          </w:p>
        </w:tc>
      </w:tr>
      <w:tr w:rsidR="00E907B9" w:rsidRPr="00F05A3A" w:rsidTr="007115DE">
        <w:trPr>
          <w:trHeight w:val="255"/>
        </w:trPr>
        <w:tc>
          <w:tcPr>
            <w:cnfStyle w:val="001000000000"/>
            <w:tcW w:w="4111" w:type="dxa"/>
            <w:noWrap/>
            <w:hideMark/>
          </w:tcPr>
          <w:p w:rsidR="00E907B9" w:rsidRPr="00F05A3A" w:rsidRDefault="00E907B9" w:rsidP="00E907B9">
            <w:pPr>
              <w:autoSpaceDE/>
              <w:autoSpaceDN/>
              <w:adjustRightInd/>
              <w:spacing w:after="0"/>
              <w:jc w:val="left"/>
              <w:rPr>
                <w:rFonts w:asciiTheme="minorHAnsi" w:hAnsiTheme="minorHAnsi" w:cstheme="minorHAnsi"/>
                <w:sz w:val="22"/>
                <w:szCs w:val="22"/>
                <w:lang w:eastAsia="bg-BG"/>
              </w:rPr>
            </w:pPr>
            <w:r w:rsidRPr="00F05A3A">
              <w:rPr>
                <w:rFonts w:asciiTheme="minorHAnsi" w:hAnsiTheme="minorHAnsi" w:cstheme="minorHAnsi"/>
                <w:sz w:val="22"/>
                <w:szCs w:val="22"/>
                <w:lang w:eastAsia="bg-BG"/>
              </w:rPr>
              <w:t>УПУ, млн. лв.</w:t>
            </w:r>
          </w:p>
        </w:tc>
        <w:tc>
          <w:tcPr>
            <w:tcW w:w="1240" w:type="dxa"/>
            <w:noWrap/>
            <w:hideMark/>
          </w:tcPr>
          <w:p w:rsidR="00E907B9" w:rsidRPr="00F05A3A" w:rsidRDefault="00E907B9" w:rsidP="00E907B9">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65</w:t>
            </w:r>
          </w:p>
        </w:tc>
        <w:tc>
          <w:tcPr>
            <w:tcW w:w="1240" w:type="dxa"/>
            <w:noWrap/>
            <w:hideMark/>
          </w:tcPr>
          <w:p w:rsidR="00E907B9" w:rsidRPr="00F05A3A" w:rsidRDefault="00E907B9" w:rsidP="00E907B9">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69</w:t>
            </w:r>
          </w:p>
        </w:tc>
        <w:tc>
          <w:tcPr>
            <w:tcW w:w="1240" w:type="dxa"/>
            <w:noWrap/>
            <w:hideMark/>
          </w:tcPr>
          <w:p w:rsidR="00E907B9" w:rsidRPr="00F05A3A" w:rsidRDefault="00E907B9" w:rsidP="00E907B9">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59</w:t>
            </w:r>
          </w:p>
        </w:tc>
        <w:tc>
          <w:tcPr>
            <w:tcW w:w="1241" w:type="dxa"/>
            <w:noWrap/>
            <w:hideMark/>
          </w:tcPr>
          <w:p w:rsidR="00E907B9" w:rsidRPr="00F05A3A" w:rsidRDefault="00E907B9" w:rsidP="00E907B9">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53</w:t>
            </w:r>
          </w:p>
        </w:tc>
      </w:tr>
      <w:tr w:rsidR="00E907B9" w:rsidRPr="00F05A3A" w:rsidTr="007115DE">
        <w:trPr>
          <w:cnfStyle w:val="000000100000"/>
          <w:trHeight w:val="255"/>
        </w:trPr>
        <w:tc>
          <w:tcPr>
            <w:cnfStyle w:val="001000000000"/>
            <w:tcW w:w="4111" w:type="dxa"/>
            <w:noWrap/>
            <w:hideMark/>
          </w:tcPr>
          <w:p w:rsidR="00E907B9" w:rsidRPr="00F05A3A" w:rsidRDefault="00E907B9" w:rsidP="00E907B9">
            <w:pPr>
              <w:autoSpaceDE/>
              <w:autoSpaceDN/>
              <w:adjustRightInd/>
              <w:spacing w:after="0"/>
              <w:jc w:val="left"/>
              <w:rPr>
                <w:rFonts w:asciiTheme="minorHAnsi" w:hAnsiTheme="minorHAnsi" w:cstheme="minorHAnsi"/>
                <w:sz w:val="22"/>
                <w:szCs w:val="22"/>
                <w:lang w:eastAsia="bg-BG"/>
              </w:rPr>
            </w:pPr>
            <w:r w:rsidRPr="00F05A3A">
              <w:rPr>
                <w:rFonts w:asciiTheme="minorHAnsi" w:hAnsiTheme="minorHAnsi" w:cstheme="minorHAnsi"/>
                <w:sz w:val="22"/>
                <w:szCs w:val="22"/>
                <w:lang w:eastAsia="bg-BG"/>
              </w:rPr>
              <w:t>НПУ, млн. лв.</w:t>
            </w:r>
          </w:p>
        </w:tc>
        <w:tc>
          <w:tcPr>
            <w:tcW w:w="1240"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141</w:t>
            </w:r>
          </w:p>
        </w:tc>
        <w:tc>
          <w:tcPr>
            <w:tcW w:w="1240"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179</w:t>
            </w:r>
          </w:p>
        </w:tc>
        <w:tc>
          <w:tcPr>
            <w:tcW w:w="1240"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167</w:t>
            </w:r>
          </w:p>
        </w:tc>
        <w:tc>
          <w:tcPr>
            <w:tcW w:w="1241"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184</w:t>
            </w:r>
          </w:p>
        </w:tc>
      </w:tr>
      <w:tr w:rsidR="00E907B9" w:rsidRPr="00F05A3A" w:rsidTr="007115DE">
        <w:trPr>
          <w:trHeight w:val="255"/>
        </w:trPr>
        <w:tc>
          <w:tcPr>
            <w:cnfStyle w:val="001000000000"/>
            <w:tcW w:w="4111" w:type="dxa"/>
            <w:noWrap/>
            <w:hideMark/>
          </w:tcPr>
          <w:p w:rsidR="00E907B9" w:rsidRPr="00F05A3A" w:rsidRDefault="00E907B9" w:rsidP="00E907B9">
            <w:pPr>
              <w:autoSpaceDE/>
              <w:autoSpaceDN/>
              <w:adjustRightInd/>
              <w:spacing w:after="0"/>
              <w:jc w:val="left"/>
              <w:rPr>
                <w:rFonts w:asciiTheme="minorHAnsi" w:hAnsiTheme="minorHAnsi" w:cstheme="minorHAnsi"/>
                <w:sz w:val="22"/>
                <w:szCs w:val="22"/>
                <w:lang w:eastAsia="bg-BG"/>
              </w:rPr>
            </w:pPr>
            <w:r w:rsidRPr="00F05A3A">
              <w:rPr>
                <w:rFonts w:asciiTheme="minorHAnsi" w:hAnsiTheme="minorHAnsi" w:cstheme="minorHAnsi"/>
                <w:sz w:val="22"/>
                <w:szCs w:val="22"/>
                <w:lang w:eastAsia="bg-BG"/>
              </w:rPr>
              <w:t xml:space="preserve">Пазарен дял на </w:t>
            </w:r>
            <w:r w:rsidR="00D70BF4">
              <w:rPr>
                <w:rFonts w:asciiTheme="minorHAnsi" w:hAnsiTheme="minorHAnsi" w:cstheme="minorHAnsi"/>
                <w:sz w:val="22"/>
                <w:szCs w:val="22"/>
                <w:lang w:eastAsia="bg-BG"/>
              </w:rPr>
              <w:t>„СПИДИ” ЕАД</w:t>
            </w:r>
          </w:p>
        </w:tc>
        <w:tc>
          <w:tcPr>
            <w:tcW w:w="1240" w:type="dxa"/>
            <w:noWrap/>
            <w:hideMark/>
          </w:tcPr>
          <w:p w:rsidR="00E907B9" w:rsidRPr="00F05A3A" w:rsidRDefault="00E907B9" w:rsidP="00E907B9">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8,9%</w:t>
            </w:r>
          </w:p>
        </w:tc>
        <w:tc>
          <w:tcPr>
            <w:tcW w:w="1240" w:type="dxa"/>
            <w:noWrap/>
            <w:hideMark/>
          </w:tcPr>
          <w:p w:rsidR="00E907B9" w:rsidRPr="00F05A3A" w:rsidRDefault="00E907B9" w:rsidP="00E907B9">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10,3%</w:t>
            </w:r>
          </w:p>
        </w:tc>
        <w:tc>
          <w:tcPr>
            <w:tcW w:w="1240" w:type="dxa"/>
            <w:noWrap/>
            <w:hideMark/>
          </w:tcPr>
          <w:p w:rsidR="00E907B9" w:rsidRPr="00F05A3A" w:rsidRDefault="00E907B9" w:rsidP="00E907B9">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13,6%</w:t>
            </w:r>
          </w:p>
        </w:tc>
        <w:tc>
          <w:tcPr>
            <w:tcW w:w="1241" w:type="dxa"/>
            <w:noWrap/>
            <w:hideMark/>
          </w:tcPr>
          <w:p w:rsidR="00E907B9" w:rsidRPr="00F05A3A" w:rsidRDefault="00E907B9" w:rsidP="00E907B9">
            <w:pPr>
              <w:autoSpaceDE/>
              <w:autoSpaceDN/>
              <w:adjustRightInd/>
              <w:spacing w:after="0"/>
              <w:jc w:val="right"/>
              <w:cnfStyle w:val="0000000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14,5%</w:t>
            </w:r>
          </w:p>
        </w:tc>
      </w:tr>
      <w:tr w:rsidR="00E907B9" w:rsidRPr="00F05A3A" w:rsidTr="007115DE">
        <w:trPr>
          <w:cnfStyle w:val="000000100000"/>
          <w:trHeight w:val="255"/>
        </w:trPr>
        <w:tc>
          <w:tcPr>
            <w:cnfStyle w:val="001000000000"/>
            <w:tcW w:w="4111" w:type="dxa"/>
            <w:noWrap/>
            <w:hideMark/>
          </w:tcPr>
          <w:p w:rsidR="00E907B9" w:rsidRPr="00F05A3A" w:rsidRDefault="00E907B9" w:rsidP="00E907B9">
            <w:pPr>
              <w:autoSpaceDE/>
              <w:autoSpaceDN/>
              <w:adjustRightInd/>
              <w:spacing w:after="0"/>
              <w:jc w:val="left"/>
              <w:rPr>
                <w:rFonts w:asciiTheme="minorHAnsi" w:hAnsiTheme="minorHAnsi" w:cstheme="minorHAnsi"/>
                <w:sz w:val="22"/>
                <w:szCs w:val="22"/>
                <w:lang w:eastAsia="bg-BG"/>
              </w:rPr>
            </w:pPr>
            <w:r w:rsidRPr="00F05A3A">
              <w:rPr>
                <w:rFonts w:asciiTheme="minorHAnsi" w:hAnsiTheme="minorHAnsi" w:cstheme="minorHAnsi"/>
                <w:sz w:val="22"/>
                <w:szCs w:val="22"/>
                <w:lang w:eastAsia="bg-BG"/>
              </w:rPr>
              <w:t xml:space="preserve">Пазарен дял на </w:t>
            </w:r>
            <w:r w:rsidR="00D70BF4">
              <w:rPr>
                <w:rFonts w:asciiTheme="minorHAnsi" w:hAnsiTheme="minorHAnsi" w:cstheme="minorHAnsi"/>
                <w:sz w:val="22"/>
                <w:szCs w:val="22"/>
                <w:lang w:eastAsia="bg-BG"/>
              </w:rPr>
              <w:t>„СПИДИ” ЕАД</w:t>
            </w:r>
            <w:r w:rsidRPr="00F05A3A">
              <w:rPr>
                <w:rFonts w:asciiTheme="minorHAnsi" w:hAnsiTheme="minorHAnsi" w:cstheme="minorHAnsi"/>
                <w:sz w:val="22"/>
                <w:szCs w:val="22"/>
                <w:lang w:eastAsia="bg-BG"/>
              </w:rPr>
              <w:t xml:space="preserve"> от НПУ</w:t>
            </w:r>
          </w:p>
        </w:tc>
        <w:tc>
          <w:tcPr>
            <w:tcW w:w="1240"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15,1%</w:t>
            </w:r>
          </w:p>
        </w:tc>
        <w:tc>
          <w:tcPr>
            <w:tcW w:w="1240"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18,8%</w:t>
            </w:r>
          </w:p>
        </w:tc>
        <w:tc>
          <w:tcPr>
            <w:tcW w:w="1240"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19,7%</w:t>
            </w:r>
          </w:p>
        </w:tc>
        <w:tc>
          <w:tcPr>
            <w:tcW w:w="1241" w:type="dxa"/>
            <w:noWrap/>
            <w:hideMark/>
          </w:tcPr>
          <w:p w:rsidR="00E907B9" w:rsidRPr="00F05A3A" w:rsidRDefault="00E907B9" w:rsidP="00E907B9">
            <w:pPr>
              <w:autoSpaceDE/>
              <w:autoSpaceDN/>
              <w:adjustRightInd/>
              <w:spacing w:after="0"/>
              <w:jc w:val="right"/>
              <w:cnfStyle w:val="000000100000"/>
              <w:rPr>
                <w:rFonts w:asciiTheme="minorHAnsi" w:hAnsiTheme="minorHAnsi" w:cstheme="minorHAnsi"/>
                <w:sz w:val="22"/>
                <w:szCs w:val="22"/>
                <w:lang w:eastAsia="bg-BG"/>
              </w:rPr>
            </w:pPr>
            <w:r w:rsidRPr="00F05A3A">
              <w:rPr>
                <w:rFonts w:asciiTheme="minorHAnsi" w:hAnsiTheme="minorHAnsi" w:cstheme="minorHAnsi"/>
                <w:sz w:val="22"/>
                <w:szCs w:val="22"/>
                <w:lang w:eastAsia="bg-BG"/>
              </w:rPr>
              <w:t>20,0%</w:t>
            </w:r>
          </w:p>
        </w:tc>
      </w:tr>
    </w:tbl>
    <w:p w:rsidR="00E907B9" w:rsidRPr="00BB55D2" w:rsidRDefault="00D70BF4" w:rsidP="00BB55D2">
      <w:pPr>
        <w:ind w:left="709"/>
        <w:jc w:val="right"/>
        <w:rPr>
          <w:i/>
        </w:rPr>
      </w:pPr>
      <w:r>
        <w:rPr>
          <w:i/>
        </w:rPr>
        <w:t>Източник: Комисия за регулиране на съобщенията</w:t>
      </w:r>
    </w:p>
    <w:p w:rsidR="00D70BF4" w:rsidRDefault="00D70BF4" w:rsidP="00BE0C31">
      <w:pPr>
        <w:spacing w:after="120"/>
        <w:ind w:left="709"/>
      </w:pPr>
    </w:p>
    <w:p w:rsidR="00E907B9" w:rsidRDefault="00D92CD1" w:rsidP="00BE0C31">
      <w:pPr>
        <w:spacing w:after="120"/>
        <w:ind w:left="709"/>
      </w:pPr>
      <w:r>
        <w:t xml:space="preserve">Основният конкурент на </w:t>
      </w:r>
      <w:r w:rsidR="00D70BF4">
        <w:t>„СПИДИ” ЕАД</w:t>
      </w:r>
      <w:r w:rsidR="00453050">
        <w:t xml:space="preserve"> е „Еконт Експрес” ООД, кой</w:t>
      </w:r>
      <w:r>
        <w:t>то има пазарен дял бл</w:t>
      </w:r>
      <w:r w:rsidR="00F1171A">
        <w:t>изък до този на емитента,  но фо</w:t>
      </w:r>
      <w:r>
        <w:t>кусъ</w:t>
      </w:r>
      <w:r w:rsidR="00CB7967">
        <w:t>т е повече върху малките пратки и физическите лица/компаниите, чиито клиенти са физически лица.</w:t>
      </w:r>
    </w:p>
    <w:p w:rsidR="004325F3" w:rsidRPr="00396FBA" w:rsidRDefault="004325F3" w:rsidP="004325F3">
      <w:pPr>
        <w:ind w:left="709"/>
      </w:pPr>
    </w:p>
    <w:p w:rsidR="0034411F" w:rsidRDefault="00596273" w:rsidP="00D37609">
      <w:pPr>
        <w:pStyle w:val="Heading1"/>
        <w:numPr>
          <w:ilvl w:val="2"/>
          <w:numId w:val="11"/>
        </w:numPr>
        <w:ind w:left="709" w:hanging="709"/>
        <w:rPr>
          <w:rFonts w:ascii="Times New Roman" w:hAnsi="Times New Roman"/>
          <w:b w:val="0"/>
          <w:i/>
          <w:sz w:val="24"/>
          <w:szCs w:val="24"/>
        </w:rPr>
      </w:pPr>
      <w:bookmarkStart w:id="61" w:name="_Toc324376920"/>
      <w:bookmarkStart w:id="62" w:name="_Toc324380079"/>
      <w:r w:rsidRPr="00D37609">
        <w:rPr>
          <w:rFonts w:ascii="Times New Roman" w:hAnsi="Times New Roman"/>
          <w:b w:val="0"/>
          <w:i/>
          <w:sz w:val="24"/>
          <w:szCs w:val="24"/>
        </w:rPr>
        <w:t>Основания</w:t>
      </w:r>
      <w:r w:rsidR="0034411F" w:rsidRPr="00D37609">
        <w:rPr>
          <w:rFonts w:ascii="Times New Roman" w:hAnsi="Times New Roman"/>
          <w:b w:val="0"/>
          <w:i/>
          <w:sz w:val="24"/>
          <w:szCs w:val="24"/>
        </w:rPr>
        <w:t>, на базата на които емитента е направил изявление във връзка с конкур</w:t>
      </w:r>
      <w:r w:rsidR="001924B3">
        <w:rPr>
          <w:rFonts w:ascii="Times New Roman" w:hAnsi="Times New Roman"/>
          <w:b w:val="0"/>
          <w:i/>
          <w:sz w:val="24"/>
          <w:szCs w:val="24"/>
        </w:rPr>
        <w:t>е</w:t>
      </w:r>
      <w:r w:rsidR="0034411F" w:rsidRPr="00D37609">
        <w:rPr>
          <w:rFonts w:ascii="Times New Roman" w:hAnsi="Times New Roman"/>
          <w:b w:val="0"/>
          <w:i/>
          <w:sz w:val="24"/>
          <w:szCs w:val="24"/>
        </w:rPr>
        <w:t>нтната си позиция</w:t>
      </w:r>
      <w:bookmarkEnd w:id="61"/>
      <w:bookmarkEnd w:id="62"/>
    </w:p>
    <w:p w:rsidR="001A12B6" w:rsidRDefault="00781933" w:rsidP="00BE0C31">
      <w:pPr>
        <w:spacing w:after="120"/>
        <w:ind w:left="709"/>
      </w:pPr>
      <w:r>
        <w:t xml:space="preserve">Основното конкурентно предимство на </w:t>
      </w:r>
      <w:r w:rsidR="00D70BF4">
        <w:t>„СПИДИ” ЕАД</w:t>
      </w:r>
      <w:r>
        <w:t xml:space="preserve"> е наличието на най-развитата ИТ инфраструктура в индустрията – вътрешно разработен</w:t>
      </w:r>
      <w:r w:rsidR="00564A0D">
        <w:t xml:space="preserve"> или закупен</w:t>
      </w:r>
      <w:r>
        <w:t xml:space="preserve"> софтуеър, който интегрира информационните системи на различните дейности в реално време. Това позволява постигането на висока ефективност, о</w:t>
      </w:r>
      <w:r w:rsidR="00564A0D">
        <w:t>тчетност,</w:t>
      </w:r>
      <w:r>
        <w:t xml:space="preserve"> контрол</w:t>
      </w:r>
      <w:r w:rsidR="00564A0D">
        <w:t xml:space="preserve"> и вземането от страна на мениджмънта на информирани управленски решения</w:t>
      </w:r>
      <w:r>
        <w:t>.</w:t>
      </w:r>
      <w:r w:rsidR="00843ACB">
        <w:t xml:space="preserve"> </w:t>
      </w:r>
      <w:r w:rsidR="00FC0C73">
        <w:t xml:space="preserve">От </w:t>
      </w:r>
      <w:r w:rsidR="00A935DB">
        <w:t>създаването на компанията, не</w:t>
      </w:r>
      <w:r w:rsidR="00FC0C73">
        <w:t>прекъснато се инвестира в</w:t>
      </w:r>
      <w:r w:rsidR="00453050">
        <w:t>ъв</w:t>
      </w:r>
      <w:r w:rsidR="00FC0C73">
        <w:t xml:space="preserve"> въвеждането на нови програмни продукти</w:t>
      </w:r>
      <w:r w:rsidR="00A935DB">
        <w:t>. Първоначално беше разр</w:t>
      </w:r>
      <w:r w:rsidR="00453050">
        <w:t>а</w:t>
      </w:r>
      <w:r w:rsidR="00A935DB">
        <w:t>ботена система, която съхранява данни за</w:t>
      </w:r>
      <w:r w:rsidR="00CB7967">
        <w:t xml:space="preserve"> х</w:t>
      </w:r>
      <w:r w:rsidR="00A935DB">
        <w:t>арактеристиките на пратките и за тяхното проследяване. В последствие беше закупен софтуеър, който надгради съществуващата система и позволи да се интегрира с мобилните терминали на куриерите и оборудването в сортировъчните центрове. Закупената географска информационна система и системата за управление на автомобилния парк</w:t>
      </w:r>
      <w:r w:rsidR="00EA03CD">
        <w:t>,</w:t>
      </w:r>
      <w:r w:rsidR="00564A0D">
        <w:t xml:space="preserve"> обвързан с </w:t>
      </w:r>
      <w:r w:rsidR="00564A0D" w:rsidRPr="00396FBA">
        <w:t>GPS</w:t>
      </w:r>
      <w:r w:rsidR="00564A0D">
        <w:t xml:space="preserve"> устройствата на автомобилите</w:t>
      </w:r>
      <w:r w:rsidR="00EA03CD">
        <w:t>,</w:t>
      </w:r>
      <w:r w:rsidR="00564A0D">
        <w:t xml:space="preserve"> значително подобрява работата на кол-центъра по обработката на заявките</w:t>
      </w:r>
      <w:r w:rsidR="00EA03CD">
        <w:t>,</w:t>
      </w:r>
      <w:r w:rsidR="00564A0D">
        <w:t xml:space="preserve"> </w:t>
      </w:r>
      <w:r w:rsidR="00EA03CD">
        <w:t>улеснява</w:t>
      </w:r>
      <w:r w:rsidR="00564A0D">
        <w:t xml:space="preserve"> дейността на куриерите и предоставя </w:t>
      </w:r>
      <w:r w:rsidR="00EA03CD">
        <w:t>важна информация з</w:t>
      </w:r>
      <w:r w:rsidR="001735B4">
        <w:tab/>
      </w:r>
      <w:r w:rsidR="00564A0D">
        <w:t>а активността на клиентите и служителите.</w:t>
      </w:r>
    </w:p>
    <w:p w:rsidR="005B6844" w:rsidRPr="00701511" w:rsidRDefault="005B6844" w:rsidP="00BE0C31">
      <w:pPr>
        <w:spacing w:after="120"/>
        <w:ind w:left="709"/>
      </w:pPr>
      <w:r>
        <w:t>Изключително голям прогрес беше постигнат с усъвършенстването на систем</w:t>
      </w:r>
      <w:r w:rsidR="00514220">
        <w:t xml:space="preserve">ата за управление на персонала, което стартира през 2008 г. В резултат на това производителността, мотивацията и възнагражденията на служителите значително се </w:t>
      </w:r>
      <w:r w:rsidR="00514220" w:rsidRPr="00701511">
        <w:t xml:space="preserve">повишиха и позволиха </w:t>
      </w:r>
      <w:r w:rsidR="003B1FB0" w:rsidRPr="00701511">
        <w:t xml:space="preserve">да се намали средната численост на персонала с </w:t>
      </w:r>
      <w:r w:rsidR="00D70BF4">
        <w:t>10</w:t>
      </w:r>
      <w:r w:rsidR="003B1FB0" w:rsidRPr="00701511">
        <w:t xml:space="preserve">%, въпреки увеличението на пренесените пратки с </w:t>
      </w:r>
      <w:r w:rsidR="00701511" w:rsidRPr="00701511">
        <w:t>36</w:t>
      </w:r>
      <w:r w:rsidR="003B1FB0" w:rsidRPr="00701511">
        <w:t>% в сравнение с 2008 г.</w:t>
      </w:r>
    </w:p>
    <w:p w:rsidR="00781933" w:rsidRDefault="00781933" w:rsidP="00BE0C31">
      <w:pPr>
        <w:spacing w:after="120"/>
        <w:ind w:left="709"/>
      </w:pPr>
      <w:r>
        <w:t>Друго предимство е оптимизирания</w:t>
      </w:r>
      <w:r w:rsidR="00453050">
        <w:t>т</w:t>
      </w:r>
      <w:r>
        <w:t xml:space="preserve"> транспортен модел, който съкращава сроковете за обра</w:t>
      </w:r>
      <w:r w:rsidR="00756C47">
        <w:t xml:space="preserve">ботка и транспорт на товарите. </w:t>
      </w:r>
      <w:r w:rsidR="00842CDC">
        <w:t>Логистиката е организирана по начин, по който от една страна маршрута на автомобилите е максимално съкратен, като се отчитат точките, които трябва да бъдат достигнати, за което подпомага и достигнатите икономии от мащаба.</w:t>
      </w:r>
      <w:r w:rsidR="001506F2">
        <w:t xml:space="preserve"> </w:t>
      </w:r>
      <w:r w:rsidR="001506F2" w:rsidRPr="001506F2">
        <w:t>Логистичната схема, също така, осигурява оптимизация чрез свързване на свободните камиони с наличните окрупнени товари, както и ранен час на доставка на пратките в офисите – 6:00 ч за 90% от пратките и 100% до 8:00 ч.</w:t>
      </w:r>
      <w:r w:rsidR="00842CDC">
        <w:t xml:space="preserve"> От друга страна, </w:t>
      </w:r>
      <w:r w:rsidR="003F0428">
        <w:t>е постигнато и значително съкращаване на престоя на автомобилите, съответно на куриерите и шофьорите, при получаване, товарене, разоварване и обработка на заявките и пратките.</w:t>
      </w:r>
    </w:p>
    <w:p w:rsidR="003F0428" w:rsidRDefault="003F0428" w:rsidP="00BE0C31">
      <w:pPr>
        <w:spacing w:after="120"/>
        <w:ind w:left="709"/>
      </w:pPr>
      <w:r>
        <w:t xml:space="preserve">За разлика от повечето куриерски компании, опериращи на вътрешния пазар, </w:t>
      </w:r>
      <w:r w:rsidR="00D70BF4">
        <w:t>„СПИДИ” ЕАД</w:t>
      </w:r>
      <w:r>
        <w:t>, заедно със „Спиди” ЕООД, извършват едва около 10%</w:t>
      </w:r>
      <w:r w:rsidR="00F06188">
        <w:t xml:space="preserve"> от дейността си</w:t>
      </w:r>
      <w:r>
        <w:t xml:space="preserve"> чрез подизпълнители. Това позволява </w:t>
      </w:r>
      <w:r w:rsidR="00F06188">
        <w:t xml:space="preserve">гарантирането на </w:t>
      </w:r>
      <w:r>
        <w:t>стабилност на услугата и силен контрол върху</w:t>
      </w:r>
      <w:r w:rsidR="00F06188">
        <w:t xml:space="preserve"> качеството</w:t>
      </w:r>
      <w:r w:rsidR="005B6844">
        <w:t>.</w:t>
      </w:r>
    </w:p>
    <w:p w:rsidR="00D37609" w:rsidRDefault="005C6FD7" w:rsidP="00BE0C31">
      <w:pPr>
        <w:spacing w:after="120"/>
        <w:ind w:left="709"/>
      </w:pPr>
      <w:r>
        <w:t>Значително подобрение в конкурентната позиция има при международните пратки, след сключването на договора за партньорство</w:t>
      </w:r>
      <w:r w:rsidR="00453050">
        <w:t xml:space="preserve"> с</w:t>
      </w:r>
      <w:r>
        <w:t xml:space="preserve"> </w:t>
      </w:r>
      <w:r w:rsidRPr="005C6FD7">
        <w:t>DPD</w:t>
      </w:r>
      <w:r w:rsidR="00D70BF4">
        <w:t>, Германия, коя</w:t>
      </w:r>
      <w:r>
        <w:t xml:space="preserve">то </w:t>
      </w:r>
      <w:r w:rsidR="00D70BF4">
        <w:t>е</w:t>
      </w:r>
      <w:r>
        <w:t xml:space="preserve"> от най-големите компания в този сегмент в световен мащаб. Основните конкуренти в международните доставкиа са </w:t>
      </w:r>
      <w:r w:rsidRPr="005C6FD7">
        <w:t xml:space="preserve">TNT </w:t>
      </w:r>
      <w:r>
        <w:t xml:space="preserve">и </w:t>
      </w:r>
      <w:r w:rsidRPr="005C6FD7">
        <w:t>DHL</w:t>
      </w:r>
      <w:r>
        <w:t xml:space="preserve">, като основните предимства за </w:t>
      </w:r>
      <w:r w:rsidR="00D70BF4">
        <w:t>„СПИДИ” ЕАД</w:t>
      </w:r>
      <w:r>
        <w:t xml:space="preserve"> са:</w:t>
      </w:r>
    </w:p>
    <w:p w:rsidR="005C6FD7" w:rsidRDefault="005C6FD7" w:rsidP="005C6FD7">
      <w:pPr>
        <w:pStyle w:val="ListParagraph"/>
        <w:numPr>
          <w:ilvl w:val="0"/>
          <w:numId w:val="17"/>
        </w:numPr>
        <w:ind w:left="993" w:hanging="284"/>
      </w:pPr>
      <w:r>
        <w:t xml:space="preserve">изършване на доставките с назамен транспорт </w:t>
      </w:r>
      <w:r w:rsidRPr="005C6FD7">
        <w:t xml:space="preserve">TNT </w:t>
      </w:r>
      <w:r>
        <w:t xml:space="preserve">и </w:t>
      </w:r>
      <w:r w:rsidRPr="005C6FD7">
        <w:t>DHL</w:t>
      </w:r>
      <w:r>
        <w:t xml:space="preserve"> приоритетно използват въздушен транспорт, който е значително по-скъп. Разбира се, това забавя времето за доставка с два или три дена в рамките на </w:t>
      </w:r>
      <w:r w:rsidR="00453050">
        <w:t>Европа</w:t>
      </w:r>
      <w:r>
        <w:t>, но въпреки това е изключително атрактивна услуга за клиенти, за които бързината на доставка не е приоритет.</w:t>
      </w:r>
    </w:p>
    <w:p w:rsidR="005C6FD7" w:rsidRDefault="005C6FD7" w:rsidP="005C6FD7">
      <w:pPr>
        <w:pStyle w:val="ListParagraph"/>
        <w:numPr>
          <w:ilvl w:val="0"/>
          <w:numId w:val="17"/>
        </w:numPr>
        <w:ind w:left="993" w:hanging="284"/>
      </w:pPr>
      <w:r>
        <w:t xml:space="preserve">Както и при вътрешните доставки, акцентът ще е върху </w:t>
      </w:r>
      <w:r w:rsidR="000636F6">
        <w:t>обслужването на доставките на по-големи пакети, до 31,5 кг., докато основните конкуренти пренасят основно малки пратки като писма и документи</w:t>
      </w:r>
      <w:r w:rsidR="00596273">
        <w:t>.</w:t>
      </w:r>
    </w:p>
    <w:p w:rsidR="0034411F" w:rsidRDefault="00596273" w:rsidP="00D37609">
      <w:pPr>
        <w:pStyle w:val="Heading1"/>
        <w:numPr>
          <w:ilvl w:val="2"/>
          <w:numId w:val="11"/>
        </w:numPr>
        <w:ind w:left="709" w:hanging="709"/>
        <w:rPr>
          <w:rFonts w:ascii="Times New Roman" w:hAnsi="Times New Roman"/>
          <w:b w:val="0"/>
          <w:i/>
          <w:sz w:val="24"/>
          <w:szCs w:val="24"/>
        </w:rPr>
      </w:pPr>
      <w:bookmarkStart w:id="63" w:name="_Toc324376921"/>
      <w:bookmarkStart w:id="64" w:name="_Toc324380080"/>
      <w:r w:rsidRPr="00D37609">
        <w:rPr>
          <w:rFonts w:ascii="Times New Roman" w:hAnsi="Times New Roman"/>
          <w:b w:val="0"/>
          <w:i/>
          <w:sz w:val="24"/>
          <w:szCs w:val="24"/>
        </w:rPr>
        <w:t xml:space="preserve">Извънредни </w:t>
      </w:r>
      <w:r w:rsidR="0034411F" w:rsidRPr="00D37609">
        <w:rPr>
          <w:rFonts w:ascii="Times New Roman" w:hAnsi="Times New Roman"/>
          <w:b w:val="0"/>
          <w:i/>
          <w:sz w:val="24"/>
          <w:szCs w:val="24"/>
        </w:rPr>
        <w:t xml:space="preserve">фактори и </w:t>
      </w:r>
      <w:r>
        <w:rPr>
          <w:rFonts w:ascii="Times New Roman" w:hAnsi="Times New Roman"/>
          <w:b w:val="0"/>
          <w:i/>
          <w:sz w:val="24"/>
          <w:szCs w:val="24"/>
        </w:rPr>
        <w:t>събития, повлияли върху дейността на емитента</w:t>
      </w:r>
      <w:r w:rsidR="0034411F" w:rsidRPr="00D37609">
        <w:rPr>
          <w:rFonts w:ascii="Times New Roman" w:hAnsi="Times New Roman"/>
          <w:b w:val="0"/>
          <w:i/>
          <w:sz w:val="24"/>
          <w:szCs w:val="24"/>
        </w:rPr>
        <w:t>.</w:t>
      </w:r>
      <w:bookmarkEnd w:id="63"/>
      <w:bookmarkEnd w:id="64"/>
    </w:p>
    <w:p w:rsidR="00D37609" w:rsidRPr="00D37609" w:rsidRDefault="00A50D7A" w:rsidP="00BE0C31">
      <w:pPr>
        <w:spacing w:after="120"/>
        <w:ind w:left="709"/>
      </w:pPr>
      <w:r>
        <w:t xml:space="preserve">През последните години значително влияние върху дейността на компанията оказа драстичното влошаване на макроикономическата обстановка в страната в края на 2008 г. Очакванията за влошаването на икономическите перспективи мотивира мениджмънта да предприеме </w:t>
      </w:r>
      <w:r w:rsidR="00227FCB">
        <w:t>мерки по реорганизацията на дейността и оптимизирането на процесите, както и да планира агресивна инвестиционната програма, която да намали разходите за дейността. Тези действия бяха реализирани основно през 2008 и 2009 г. Това позволи на дружеството</w:t>
      </w:r>
      <w:r w:rsidR="00453050">
        <w:t xml:space="preserve"> да</w:t>
      </w:r>
      <w:r w:rsidR="00227FCB">
        <w:t xml:space="preserve"> поеме свиването на маржовете през 2009 г. и да запази положителна рентабилност</w:t>
      </w:r>
    </w:p>
    <w:p w:rsidR="00F16271" w:rsidRDefault="00D70BF4" w:rsidP="00D37609">
      <w:pPr>
        <w:pStyle w:val="Heading1"/>
        <w:numPr>
          <w:ilvl w:val="2"/>
          <w:numId w:val="11"/>
        </w:numPr>
        <w:ind w:left="709" w:hanging="709"/>
        <w:rPr>
          <w:rFonts w:ascii="Times New Roman" w:hAnsi="Times New Roman"/>
          <w:b w:val="0"/>
          <w:i/>
          <w:sz w:val="24"/>
          <w:szCs w:val="24"/>
        </w:rPr>
      </w:pPr>
      <w:bookmarkStart w:id="65" w:name="_Toc324376922"/>
      <w:bookmarkStart w:id="66" w:name="_Toc324380081"/>
      <w:r w:rsidRPr="00D37609">
        <w:rPr>
          <w:rFonts w:ascii="Times New Roman" w:hAnsi="Times New Roman"/>
          <w:b w:val="0"/>
          <w:i/>
          <w:sz w:val="24"/>
          <w:szCs w:val="24"/>
        </w:rPr>
        <w:t>Зависим</w:t>
      </w:r>
      <w:r>
        <w:rPr>
          <w:rFonts w:ascii="Times New Roman" w:hAnsi="Times New Roman"/>
          <w:b w:val="0"/>
          <w:i/>
          <w:sz w:val="24"/>
          <w:szCs w:val="24"/>
        </w:rPr>
        <w:t>ост</w:t>
      </w:r>
      <w:r w:rsidRPr="00D37609">
        <w:rPr>
          <w:rFonts w:ascii="Times New Roman" w:hAnsi="Times New Roman"/>
          <w:b w:val="0"/>
          <w:i/>
          <w:sz w:val="24"/>
          <w:szCs w:val="24"/>
        </w:rPr>
        <w:t xml:space="preserve"> </w:t>
      </w:r>
      <w:r w:rsidR="00F16271" w:rsidRPr="00D37609">
        <w:rPr>
          <w:rFonts w:ascii="Times New Roman" w:hAnsi="Times New Roman"/>
          <w:b w:val="0"/>
          <w:i/>
          <w:sz w:val="24"/>
          <w:szCs w:val="24"/>
        </w:rPr>
        <w:t>от патенти, лицензи, индустриални, търговски или финансови договори или нови производствени процеси.</w:t>
      </w:r>
      <w:bookmarkEnd w:id="65"/>
      <w:bookmarkEnd w:id="66"/>
    </w:p>
    <w:p w:rsidR="000639CB" w:rsidRDefault="000639CB" w:rsidP="00BE0C31">
      <w:pPr>
        <w:spacing w:after="120"/>
        <w:ind w:left="709"/>
      </w:pPr>
      <w:r>
        <w:t xml:space="preserve">Режимът за оказване на пощенски услуги към момента е регистрационен за дейностите, който </w:t>
      </w:r>
      <w:r w:rsidR="00D70BF4">
        <w:t>„СПИДИ” ЕАД</w:t>
      </w:r>
      <w:r>
        <w:t xml:space="preserve"> извършва</w:t>
      </w:r>
      <w:r w:rsidR="00E03F84">
        <w:t>.</w:t>
      </w:r>
    </w:p>
    <w:p w:rsidR="00D70BF4" w:rsidRDefault="00D70BF4" w:rsidP="00D70BF4">
      <w:pPr>
        <w:spacing w:after="120"/>
        <w:ind w:left="709"/>
      </w:pPr>
      <w:r>
        <w:t>Дружеството е получило следните лицензи и разрешения:</w:t>
      </w:r>
    </w:p>
    <w:p w:rsidR="00D70BF4" w:rsidRDefault="00D70BF4" w:rsidP="00D70BF4">
      <w:pPr>
        <w:pStyle w:val="ListParagraph"/>
        <w:numPr>
          <w:ilvl w:val="0"/>
          <w:numId w:val="24"/>
        </w:numPr>
        <w:spacing w:after="120"/>
        <w:ind w:left="993" w:hanging="284"/>
      </w:pPr>
      <w:r>
        <w:t>Удостоверение № 2227007310 / 25.10.2006 от Столична регионална инспекция за опазване и контрол на общественото здраве относно Транспортни средства със специално предназначение за превоз на пакетирани хранителни продукти при температурни параметри и условия, посочени от производителя – 5 броя</w:t>
      </w:r>
    </w:p>
    <w:p w:rsidR="00D70BF4" w:rsidRDefault="00D70BF4" w:rsidP="00D70BF4">
      <w:pPr>
        <w:pStyle w:val="ListParagraph"/>
        <w:numPr>
          <w:ilvl w:val="0"/>
          <w:numId w:val="24"/>
        </w:numPr>
        <w:spacing w:after="120"/>
        <w:ind w:left="993" w:hanging="284"/>
      </w:pPr>
      <w:r>
        <w:t>Постоянно разрешение за митнически агент № 414-3 / 06.07.2007</w:t>
      </w:r>
    </w:p>
    <w:p w:rsidR="00D70BF4" w:rsidRDefault="00D70BF4" w:rsidP="00D70BF4">
      <w:pPr>
        <w:pStyle w:val="ListParagraph"/>
        <w:numPr>
          <w:ilvl w:val="0"/>
          <w:numId w:val="24"/>
        </w:numPr>
        <w:spacing w:after="120"/>
        <w:ind w:left="993" w:hanging="284"/>
      </w:pPr>
      <w:r>
        <w:t>Лиценз за превод на товари № 04080, последно актуализиран на 13.05.2010 и валиден до 12.05.2015</w:t>
      </w:r>
    </w:p>
    <w:p w:rsidR="00D70BF4" w:rsidRDefault="00D70BF4" w:rsidP="00D70BF4">
      <w:pPr>
        <w:pStyle w:val="ListParagraph"/>
        <w:numPr>
          <w:ilvl w:val="0"/>
          <w:numId w:val="24"/>
        </w:numPr>
        <w:spacing w:after="120"/>
        <w:ind w:left="993" w:hanging="284"/>
      </w:pPr>
      <w:r>
        <w:t>Лиценз за международен автомобилен превоз на товари № 5550 от 19.07.2007 до 22.07.2012</w:t>
      </w:r>
    </w:p>
    <w:p w:rsidR="00D70BF4" w:rsidRDefault="00D70BF4" w:rsidP="00D70BF4">
      <w:pPr>
        <w:pStyle w:val="ListParagraph"/>
        <w:numPr>
          <w:ilvl w:val="0"/>
          <w:numId w:val="24"/>
        </w:numPr>
        <w:spacing w:after="120"/>
        <w:ind w:left="993" w:hanging="284"/>
      </w:pPr>
      <w:r>
        <w:t>Удостоверение за Администратор на лични данни № 0022842 от 10.08.2006</w:t>
      </w:r>
    </w:p>
    <w:p w:rsidR="00E03F84" w:rsidRDefault="00E03F84" w:rsidP="00BE0C31">
      <w:pPr>
        <w:spacing w:after="120"/>
        <w:ind w:left="709"/>
      </w:pPr>
      <w:r>
        <w:t>Дружеството няма зависимост от други патенти, лицензи, значими договори или производствени процеси, които да повлияят съществено на дейността или рентабилността му.</w:t>
      </w:r>
    </w:p>
    <w:p w:rsidR="006A5A28" w:rsidRPr="00BE0C31" w:rsidRDefault="006A5A28" w:rsidP="00BE0C31">
      <w:pPr>
        <w:spacing w:after="120"/>
        <w:ind w:left="709"/>
      </w:pPr>
      <w:r w:rsidRPr="00BE0C31">
        <w:br w:type="page"/>
      </w:r>
    </w:p>
    <w:p w:rsidR="00FC3657" w:rsidRPr="00D51F25" w:rsidRDefault="00FC3657" w:rsidP="00D51F25">
      <w:pPr>
        <w:pStyle w:val="Heading1"/>
        <w:numPr>
          <w:ilvl w:val="1"/>
          <w:numId w:val="11"/>
        </w:numPr>
        <w:ind w:left="567" w:hanging="567"/>
        <w:rPr>
          <w:rFonts w:ascii="Times New Roman" w:hAnsi="Times New Roman"/>
          <w:b w:val="0"/>
          <w:i/>
          <w:smallCaps/>
          <w:sz w:val="24"/>
          <w:szCs w:val="24"/>
        </w:rPr>
      </w:pPr>
      <w:r w:rsidRPr="00D51F25">
        <w:rPr>
          <w:rFonts w:ascii="Times New Roman" w:hAnsi="Times New Roman"/>
          <w:b w:val="0"/>
          <w:i/>
          <w:smallCaps/>
          <w:sz w:val="24"/>
          <w:szCs w:val="24"/>
        </w:rPr>
        <w:t xml:space="preserve"> </w:t>
      </w:r>
      <w:bookmarkStart w:id="67" w:name="_Toc324376923"/>
      <w:bookmarkStart w:id="68" w:name="_Toc324380082"/>
      <w:r w:rsidRPr="00D51F25">
        <w:rPr>
          <w:rFonts w:ascii="Times New Roman" w:hAnsi="Times New Roman"/>
          <w:b w:val="0"/>
          <w:i/>
          <w:smallCaps/>
          <w:sz w:val="24"/>
          <w:szCs w:val="24"/>
        </w:rPr>
        <w:t>Организационна структура:</w:t>
      </w:r>
      <w:bookmarkEnd w:id="67"/>
      <w:bookmarkEnd w:id="68"/>
    </w:p>
    <w:p w:rsidR="00FC3657" w:rsidRPr="002E2A94" w:rsidRDefault="00D2142E" w:rsidP="006A5A28">
      <w:pPr>
        <w:pStyle w:val="Heading1"/>
        <w:numPr>
          <w:ilvl w:val="2"/>
          <w:numId w:val="11"/>
        </w:numPr>
        <w:ind w:left="709" w:hanging="709"/>
        <w:rPr>
          <w:rFonts w:ascii="Times New Roman" w:hAnsi="Times New Roman"/>
          <w:b w:val="0"/>
          <w:i/>
          <w:sz w:val="24"/>
          <w:szCs w:val="24"/>
        </w:rPr>
      </w:pPr>
      <w:bookmarkStart w:id="69" w:name="_Toc324376924"/>
      <w:bookmarkStart w:id="70" w:name="_Toc324380083"/>
      <w:r w:rsidRPr="002E2A94">
        <w:rPr>
          <w:rFonts w:ascii="Times New Roman" w:hAnsi="Times New Roman"/>
          <w:b w:val="0"/>
          <w:i/>
          <w:sz w:val="24"/>
          <w:szCs w:val="24"/>
        </w:rPr>
        <w:t xml:space="preserve">Описание </w:t>
      </w:r>
      <w:r w:rsidR="00FC3657" w:rsidRPr="002E2A94">
        <w:rPr>
          <w:rFonts w:ascii="Times New Roman" w:hAnsi="Times New Roman"/>
          <w:b w:val="0"/>
          <w:i/>
          <w:sz w:val="24"/>
          <w:szCs w:val="24"/>
        </w:rPr>
        <w:t>на групата и</w:t>
      </w:r>
      <w:r w:rsidR="006A5A28" w:rsidRPr="002E2A94">
        <w:rPr>
          <w:rFonts w:ascii="Times New Roman" w:hAnsi="Times New Roman"/>
          <w:b w:val="0"/>
          <w:i/>
          <w:sz w:val="24"/>
          <w:szCs w:val="24"/>
        </w:rPr>
        <w:t xml:space="preserve"> на позицията на емитента в нея.</w:t>
      </w:r>
      <w:bookmarkEnd w:id="69"/>
      <w:bookmarkEnd w:id="70"/>
    </w:p>
    <w:p w:rsidR="00D96F56" w:rsidRDefault="00D96F56" w:rsidP="006A5A28">
      <w:pPr>
        <w:ind w:left="709"/>
      </w:pPr>
    </w:p>
    <w:p w:rsidR="00D96F56" w:rsidRDefault="004868A9" w:rsidP="001836D0">
      <w:r w:rsidRPr="004868A9">
        <w:rPr>
          <w:noProof/>
          <w:lang w:eastAsia="bg-BG"/>
        </w:rPr>
        <w:drawing>
          <wp:inline distT="0" distB="0" distL="0" distR="0">
            <wp:extent cx="5972810" cy="4394835"/>
            <wp:effectExtent l="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2928" cy="6146280"/>
                      <a:chOff x="179512" y="327606"/>
                      <a:chExt cx="8352928" cy="6146280"/>
                    </a:xfrm>
                  </a:grpSpPr>
                  <a:grpSp>
                    <a:nvGrpSpPr>
                      <a:cNvPr id="5" name="Group 82"/>
                      <a:cNvGrpSpPr>
                        <a:grpSpLocks/>
                      </a:cNvGrpSpPr>
                    </a:nvGrpSpPr>
                    <a:grpSpPr bwMode="auto">
                      <a:xfrm>
                        <a:off x="179512" y="327606"/>
                        <a:ext cx="8352928" cy="6146280"/>
                        <a:chOff x="1153120" y="1511324"/>
                        <a:chExt cx="8352928" cy="5868604"/>
                      </a:xfrm>
                    </a:grpSpPr>
                    <a:sp>
                      <a:nvSpPr>
                        <a:cNvPr id="6" name="AutoShape 4" descr="НЕГ.БГ"/>
                        <a:cNvSpPr>
                          <a:spLocks noChangeArrowheads="1"/>
                        </a:cNvSpPr>
                      </a:nvSpPr>
                      <a:spPr bwMode="auto">
                        <a:xfrm>
                          <a:off x="2737296" y="4171435"/>
                          <a:ext cx="3456384" cy="466885"/>
                        </a:xfrm>
                        <a:prstGeom prst="flowChartPreparation">
                          <a:avLst/>
                        </a:prstGeom>
                        <a:solidFill>
                          <a:srgbClr val="FFFF00"/>
                        </a:solidFill>
                        <a:ln w="9525">
                          <a:miter lim="800000"/>
                          <a:headEnd/>
                          <a:tailEnd/>
                        </a:ln>
                        <a:scene3d>
                          <a:camera prst="legacyObliqueTopRight">
                            <a:rot lat="21299978" lon="0" rev="0"/>
                          </a:camera>
                          <a:lightRig rig="legacyFlat3" dir="b"/>
                        </a:scene3d>
                        <a:sp3d extrusionH="430200" prstMaterial="legacyMatte">
                          <a:bevelT w="13500" h="13500" prst="angle"/>
                          <a:bevelB w="13500" h="13500" prst="angle"/>
                          <a:extrusionClr>
                            <a:srgbClr val="FFFF00"/>
                          </a:extrusionClr>
                        </a:sp3d>
                      </a:spPr>
                      <a:txSp>
                        <a:txBody>
                          <a:bodyPr>
                            <a:flatTx/>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bg-BG" sz="2000" b="1" dirty="0" smtClean="0">
                                <a:solidFill>
                                  <a:srgbClr val="17365D"/>
                                </a:solidFill>
                                <a:latin typeface="Calibri" pitchFamily="34" charset="0"/>
                              </a:rPr>
                              <a:t>СПИДИ</a:t>
                            </a:r>
                            <a:r>
                              <a:rPr lang="bg-BG" sz="2000" b="1" dirty="0" smtClean="0">
                                <a:solidFill>
                                  <a:srgbClr val="17365D"/>
                                </a:solidFill>
                                <a:latin typeface="Arial Rounded MT Bold" pitchFamily="34" charset="0"/>
                              </a:rPr>
                              <a:t> </a:t>
                            </a:r>
                            <a:r>
                              <a:rPr lang="bg-BG" sz="2000" b="1" dirty="0" smtClean="0">
                                <a:solidFill>
                                  <a:srgbClr val="17365D"/>
                                </a:solidFill>
                                <a:latin typeface="Calibri" pitchFamily="34" charset="0"/>
                              </a:rPr>
                              <a:t>ЕАД</a:t>
                            </a:r>
                            <a:endParaRPr lang="bg-BG" dirty="0"/>
                          </a:p>
                        </a:txBody>
                        <a:useSpRect/>
                      </a:txSp>
                    </a:sp>
                    <a:sp>
                      <a:nvSpPr>
                        <a:cNvPr id="7" name="Oval 5"/>
                        <a:cNvSpPr>
                          <a:spLocks noChangeArrowheads="1"/>
                        </a:cNvSpPr>
                      </a:nvSpPr>
                      <a:spPr bwMode="auto">
                        <a:xfrm>
                          <a:off x="2089224" y="2315058"/>
                          <a:ext cx="1690688" cy="574480"/>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a:spPr>
                      <a:txSp>
                        <a:txBody>
                          <a:bodyPr anchor="ct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US" sz="1400" dirty="0" smtClean="0">
                                <a:solidFill>
                                  <a:srgbClr val="17365D"/>
                                </a:solidFill>
                                <a:latin typeface="Calibri" pitchFamily="34" charset="0"/>
                                <a:cs typeface="Arial" pitchFamily="34" charset="0"/>
                              </a:rPr>
                              <a:t>“</a:t>
                            </a:r>
                            <a:r>
                              <a:rPr lang="bg-BG" sz="1400" dirty="0" smtClean="0">
                                <a:solidFill>
                                  <a:srgbClr val="17365D"/>
                                </a:solidFill>
                                <a:latin typeface="Calibri" pitchFamily="34" charset="0"/>
                                <a:cs typeface="Arial" pitchFamily="34" charset="0"/>
                              </a:rPr>
                              <a:t>Алекс Г” ЕООД</a:t>
                            </a:r>
                            <a:endParaRPr lang="bg-BG" sz="1400" dirty="0">
                              <a:latin typeface="Arial" pitchFamily="34" charset="0"/>
                              <a:cs typeface="Arial" pitchFamily="34" charset="0"/>
                            </a:endParaRPr>
                          </a:p>
                        </a:txBody>
                        <a:useSpRect/>
                      </a:txSp>
                    </a:sp>
                    <a:cxnSp>
                      <a:nvCxnSpPr>
                        <a:cNvPr id="8" name="AutoShape 6"/>
                        <a:cNvCxnSpPr>
                          <a:cxnSpLocks noChangeShapeType="1"/>
                          <a:stCxn id="7" idx="4"/>
                          <a:endCxn id="9" idx="1"/>
                        </a:cNvCxnSpPr>
                      </a:nvCxnSpPr>
                      <a:spPr bwMode="auto">
                        <a:xfrm>
                          <a:off x="2934568" y="2889537"/>
                          <a:ext cx="491996" cy="637866"/>
                        </a:xfrm>
                        <a:prstGeom prst="straightConnector1">
                          <a:avLst/>
                        </a:prstGeom>
                        <a:noFill/>
                        <a:ln w="12700">
                          <a:solidFill>
                            <a:srgbClr val="666666"/>
                          </a:solidFill>
                          <a:round/>
                          <a:headEnd/>
                          <a:tailEnd type="triangle" w="med" len="med"/>
                        </a:ln>
                      </a:spPr>
                    </a:cxnSp>
                    <a:sp>
                      <a:nvSpPr>
                        <a:cNvPr id="9" name="AutoShape 7"/>
                        <a:cNvSpPr>
                          <a:spLocks noChangeArrowheads="1"/>
                        </a:cNvSpPr>
                      </a:nvSpPr>
                      <a:spPr bwMode="auto">
                        <a:xfrm>
                          <a:off x="3426564" y="3315195"/>
                          <a:ext cx="2468563" cy="424418"/>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bg-BG" dirty="0">
                                <a:solidFill>
                                  <a:srgbClr val="FFFFFF"/>
                                </a:solidFill>
                                <a:latin typeface="Calibri" pitchFamily="34" charset="0"/>
                                <a:cs typeface="Arial" pitchFamily="34" charset="0"/>
                              </a:rPr>
                              <a:t>Спиди </a:t>
                            </a:r>
                            <a:r>
                              <a:rPr lang="bg-BG" dirty="0" smtClean="0">
                                <a:solidFill>
                                  <a:srgbClr val="FFFFFF"/>
                                </a:solidFill>
                                <a:latin typeface="Calibri" pitchFamily="34" charset="0"/>
                                <a:cs typeface="Arial" pitchFamily="34" charset="0"/>
                              </a:rPr>
                              <a:t> Груп АД</a:t>
                            </a:r>
                            <a:endParaRPr lang="bg-BG" dirty="0">
                              <a:latin typeface="Arial" pitchFamily="34" charset="0"/>
                              <a:cs typeface="Arial" pitchFamily="34" charset="0"/>
                            </a:endParaRPr>
                          </a:p>
                        </a:txBody>
                        <a:useSpRect/>
                      </a:txSp>
                    </a:sp>
                    <a:sp>
                      <a:nvSpPr>
                        <a:cNvPr id="11" name="Oval 9"/>
                        <a:cNvSpPr>
                          <a:spLocks noChangeArrowheads="1"/>
                        </a:cNvSpPr>
                      </a:nvSpPr>
                      <a:spPr bwMode="auto">
                        <a:xfrm>
                          <a:off x="3841650" y="2315056"/>
                          <a:ext cx="1631950" cy="574480"/>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a:spPr>
                      <a:txSp>
                        <a:txBody>
                          <a:bodyPr anchor="ct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defRPr/>
                            </a:pPr>
                            <a:r>
                              <a:rPr lang="bg-BG" sz="1400" dirty="0">
                                <a:solidFill>
                                  <a:srgbClr val="17365D"/>
                                </a:solidFill>
                                <a:latin typeface="Calibri" pitchFamily="34" charset="0"/>
                                <a:cs typeface="Arial" pitchFamily="34" charset="0"/>
                              </a:rPr>
                              <a:t>Славчо Панталеев</a:t>
                            </a:r>
                            <a:endParaRPr lang="bg-BG" sz="1400" dirty="0">
                              <a:latin typeface="Arial" pitchFamily="34" charset="0"/>
                              <a:cs typeface="Arial" pitchFamily="34" charset="0"/>
                            </a:endParaRPr>
                          </a:p>
                        </a:txBody>
                        <a:useSpRect/>
                      </a:txSp>
                    </a:sp>
                    <a:sp>
                      <a:nvSpPr>
                        <a:cNvPr id="13" name="Oval 11"/>
                        <a:cNvSpPr>
                          <a:spLocks noChangeArrowheads="1"/>
                        </a:cNvSpPr>
                      </a:nvSpPr>
                      <a:spPr bwMode="auto">
                        <a:xfrm>
                          <a:off x="5545608" y="2315056"/>
                          <a:ext cx="1670050" cy="574480"/>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a:spPr>
                      <a:txSp>
                        <a:txBody>
                          <a:bodyPr anchor="ct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defRPr/>
                            </a:pPr>
                            <a:r>
                              <a:rPr lang="bg-BG" sz="1400">
                                <a:solidFill>
                                  <a:srgbClr val="17365D"/>
                                </a:solidFill>
                                <a:latin typeface="Calibri" pitchFamily="34" charset="0"/>
                                <a:cs typeface="Arial" pitchFamily="34" charset="0"/>
                              </a:rPr>
                              <a:t>Валери Мектупчиян</a:t>
                            </a:r>
                            <a:endParaRPr lang="bg-BG" sz="1400">
                              <a:latin typeface="Arial" pitchFamily="34" charset="0"/>
                              <a:cs typeface="Arial" pitchFamily="34" charset="0"/>
                            </a:endParaRPr>
                          </a:p>
                        </a:txBody>
                        <a:useSpRect/>
                      </a:txSp>
                    </a:sp>
                    <a:cxnSp>
                      <a:nvCxnSpPr>
                        <a:cNvPr id="14" name="AutoShape 12"/>
                        <a:cNvCxnSpPr>
                          <a:cxnSpLocks noChangeShapeType="1"/>
                          <a:stCxn id="13" idx="4"/>
                          <a:endCxn id="9" idx="3"/>
                        </a:cNvCxnSpPr>
                      </a:nvCxnSpPr>
                      <a:spPr bwMode="auto">
                        <a:xfrm flipH="1">
                          <a:off x="5895127" y="2889536"/>
                          <a:ext cx="485506" cy="637867"/>
                        </a:xfrm>
                        <a:prstGeom prst="straightConnector1">
                          <a:avLst/>
                        </a:prstGeom>
                        <a:noFill/>
                        <a:ln w="12700">
                          <a:solidFill>
                            <a:srgbClr val="666666"/>
                          </a:solidFill>
                          <a:round/>
                          <a:headEnd/>
                          <a:tailEnd type="triangle" w="med" len="med"/>
                        </a:ln>
                      </a:spPr>
                    </a:cxnSp>
                    <a:cxnSp>
                      <a:nvCxnSpPr>
                        <a:cNvPr id="15" name="AutoShape 13"/>
                        <a:cNvCxnSpPr>
                          <a:cxnSpLocks noChangeShapeType="1"/>
                          <a:stCxn id="11" idx="4"/>
                          <a:endCxn id="9" idx="0"/>
                        </a:cNvCxnSpPr>
                      </a:nvCxnSpPr>
                      <a:spPr bwMode="auto">
                        <a:xfrm>
                          <a:off x="4657625" y="2889536"/>
                          <a:ext cx="3221" cy="425658"/>
                        </a:xfrm>
                        <a:prstGeom prst="straightConnector1">
                          <a:avLst/>
                        </a:prstGeom>
                        <a:noFill/>
                        <a:ln w="12700">
                          <a:solidFill>
                            <a:srgbClr val="666666"/>
                          </a:solidFill>
                          <a:round/>
                          <a:headEnd/>
                          <a:tailEnd type="triangle" w="med" len="med"/>
                        </a:ln>
                      </a:spPr>
                    </a:cxnSp>
                    <a:sp>
                      <a:nvSpPr>
                        <a:cNvPr id="18" name="Text Box 16"/>
                        <a:cNvSpPr txBox="1">
                          <a:spLocks noChangeArrowheads="1"/>
                        </a:cNvSpPr>
                      </a:nvSpPr>
                      <a:spPr bwMode="auto">
                        <a:xfrm>
                          <a:off x="4177456" y="2039007"/>
                          <a:ext cx="432048" cy="259581"/>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a:latin typeface="Calibri" pitchFamily="34" charset="0"/>
                              </a:rPr>
                              <a:t>8</a:t>
                            </a:r>
                            <a:r>
                              <a:rPr lang="bg-BG" sz="1100" dirty="0" smtClean="0">
                                <a:latin typeface="Calibri" pitchFamily="34" charset="0"/>
                              </a:rPr>
                              <a:t>%</a:t>
                            </a:r>
                            <a:endParaRPr lang="bg-BG" dirty="0"/>
                          </a:p>
                        </a:txBody>
                        <a:useSpRect/>
                      </a:txSp>
                    </a:sp>
                    <a:sp>
                      <a:nvSpPr>
                        <a:cNvPr id="19" name="AutoShape 17"/>
                        <a:cNvSpPr>
                          <a:spLocks noChangeArrowheads="1"/>
                        </a:cNvSpPr>
                      </a:nvSpPr>
                      <a:spPr bwMode="auto">
                        <a:xfrm>
                          <a:off x="3419475" y="4933398"/>
                          <a:ext cx="2468563" cy="422902"/>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bg-BG" dirty="0">
                                <a:solidFill>
                                  <a:srgbClr val="FFFFFF"/>
                                </a:solidFill>
                                <a:latin typeface="Calibri" pitchFamily="34" charset="0"/>
                                <a:cs typeface="Arial" pitchFamily="34" charset="0"/>
                              </a:rPr>
                              <a:t>Спиди ЕООД</a:t>
                            </a:r>
                            <a:endParaRPr lang="bg-BG" dirty="0">
                              <a:latin typeface="Arial" pitchFamily="34" charset="0"/>
                              <a:cs typeface="Arial" pitchFamily="34" charset="0"/>
                            </a:endParaRPr>
                          </a:p>
                        </a:txBody>
                        <a:useSpRect/>
                      </a:txSp>
                    </a:sp>
                    <a:sp>
                      <a:nvSpPr>
                        <a:cNvPr id="20" name="AutoShape 18"/>
                        <a:cNvSpPr>
                          <a:spLocks noChangeArrowheads="1"/>
                        </a:cNvSpPr>
                      </a:nvSpPr>
                      <a:spPr bwMode="auto">
                        <a:xfrm>
                          <a:off x="3419475" y="5673098"/>
                          <a:ext cx="2468563" cy="422902"/>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bg-BG">
                                <a:solidFill>
                                  <a:srgbClr val="FFFFFF"/>
                                </a:solidFill>
                                <a:latin typeface="Calibri" pitchFamily="34" charset="0"/>
                                <a:cs typeface="Arial" pitchFamily="34" charset="0"/>
                              </a:rPr>
                              <a:t>Трансбалкан SRL</a:t>
                            </a:r>
                            <a:endParaRPr lang="bg-BG">
                              <a:latin typeface="Arial" pitchFamily="34" charset="0"/>
                              <a:cs typeface="Arial" pitchFamily="34" charset="0"/>
                            </a:endParaRPr>
                          </a:p>
                        </a:txBody>
                        <a:useSpRect/>
                      </a:txSp>
                    </a:sp>
                    <a:sp>
                      <a:nvSpPr>
                        <a:cNvPr id="21" name="AutoShape 19"/>
                        <a:cNvSpPr>
                          <a:spLocks noChangeArrowheads="1"/>
                        </a:cNvSpPr>
                      </a:nvSpPr>
                      <a:spPr bwMode="auto">
                        <a:xfrm>
                          <a:off x="7345808" y="4128829"/>
                          <a:ext cx="2036514" cy="343777"/>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a:solidFill>
                                  <a:srgbClr val="002060"/>
                                </a:solidFill>
                                <a:latin typeface="Calibri" pitchFamily="34" charset="0"/>
                                <a:cs typeface="Arial" pitchFamily="34" charset="0"/>
                              </a:rPr>
                              <a:t>Омникар БГ ЕООД</a:t>
                            </a:r>
                            <a:endParaRPr lang="bg-BG" sz="1400" dirty="0">
                              <a:solidFill>
                                <a:srgbClr val="002060"/>
                              </a:solidFill>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cxnSp>
                      <a:nvCxnSpPr>
                        <a:cNvPr id="23" name="AutoShape 21"/>
                        <a:cNvCxnSpPr>
                          <a:cxnSpLocks noChangeShapeType="1"/>
                        </a:cNvCxnSpPr>
                      </a:nvCxnSpPr>
                      <a:spPr bwMode="auto">
                        <a:xfrm>
                          <a:off x="4654894" y="3758906"/>
                          <a:ext cx="0" cy="315463"/>
                        </a:xfrm>
                        <a:prstGeom prst="straightConnector1">
                          <a:avLst/>
                        </a:prstGeom>
                        <a:noFill/>
                        <a:ln w="63500">
                          <a:solidFill>
                            <a:srgbClr val="4F81BD"/>
                          </a:solidFill>
                          <a:round/>
                          <a:headEnd/>
                          <a:tailEnd type="triangle" w="med" len="med"/>
                        </a:ln>
                      </a:spPr>
                    </a:cxnSp>
                    <a:cxnSp>
                      <a:nvCxnSpPr>
                        <a:cNvPr id="26" name="AutoShape 24"/>
                        <a:cNvCxnSpPr>
                          <a:cxnSpLocks noChangeShapeType="1"/>
                        </a:cNvCxnSpPr>
                      </a:nvCxnSpPr>
                      <a:spPr bwMode="auto">
                        <a:xfrm>
                          <a:off x="4695497" y="4671909"/>
                          <a:ext cx="0" cy="288423"/>
                        </a:xfrm>
                        <a:prstGeom prst="straightConnector1">
                          <a:avLst/>
                        </a:prstGeom>
                        <a:noFill/>
                        <a:ln w="63500">
                          <a:solidFill>
                            <a:srgbClr val="4F81BD"/>
                          </a:solidFill>
                          <a:round/>
                          <a:headEnd/>
                          <a:tailEnd type="triangle" w="med" len="med"/>
                        </a:ln>
                      </a:spPr>
                    </a:cxnSp>
                    <a:cxnSp>
                      <a:nvCxnSpPr>
                        <a:cNvPr id="27" name="AutoShape 25"/>
                        <a:cNvCxnSpPr>
                          <a:cxnSpLocks noChangeShapeType="1"/>
                        </a:cNvCxnSpPr>
                      </a:nvCxnSpPr>
                      <a:spPr bwMode="auto">
                        <a:xfrm>
                          <a:off x="4731627" y="5383955"/>
                          <a:ext cx="0" cy="315463"/>
                        </a:xfrm>
                        <a:prstGeom prst="straightConnector1">
                          <a:avLst/>
                        </a:prstGeom>
                        <a:noFill/>
                        <a:ln w="63500">
                          <a:solidFill>
                            <a:srgbClr val="4F81BD"/>
                          </a:solidFill>
                          <a:round/>
                          <a:headEnd/>
                          <a:tailEnd type="triangle" w="med" len="med"/>
                        </a:ln>
                      </a:spPr>
                    </a:cxnSp>
                    <a:sp>
                      <a:nvSpPr>
                        <a:cNvPr id="28" name="Text Box 26"/>
                        <a:cNvSpPr txBox="1">
                          <a:spLocks noChangeArrowheads="1"/>
                        </a:cNvSpPr>
                      </a:nvSpPr>
                      <a:spPr bwMode="auto">
                        <a:xfrm>
                          <a:off x="2840036" y="1859920"/>
                          <a:ext cx="576064" cy="259580"/>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smtClean="0">
                                <a:latin typeface="Calibri" pitchFamily="34" charset="0"/>
                              </a:rPr>
                              <a:t>24,8%</a:t>
                            </a:r>
                            <a:endParaRPr lang="bg-BG" dirty="0"/>
                          </a:p>
                        </a:txBody>
                        <a:useSpRect/>
                      </a:txSp>
                    </a:sp>
                    <a:sp>
                      <a:nvSpPr>
                        <a:cNvPr id="29" name="Text Box 27"/>
                        <a:cNvSpPr txBox="1">
                          <a:spLocks noChangeArrowheads="1"/>
                        </a:cNvSpPr>
                      </a:nvSpPr>
                      <a:spPr bwMode="auto">
                        <a:xfrm>
                          <a:off x="4888192" y="3806873"/>
                          <a:ext cx="585408" cy="206264"/>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a:latin typeface="Calibri" pitchFamily="34" charset="0"/>
                              </a:rPr>
                              <a:t>100%</a:t>
                            </a:r>
                            <a:endParaRPr lang="bg-BG" dirty="0"/>
                          </a:p>
                        </a:txBody>
                        <a:useSpRect/>
                      </a:txSp>
                    </a:sp>
                    <a:sp>
                      <a:nvSpPr>
                        <a:cNvPr id="31" name="Text Box 29"/>
                        <a:cNvSpPr txBox="1">
                          <a:spLocks noChangeArrowheads="1"/>
                        </a:cNvSpPr>
                      </a:nvSpPr>
                      <a:spPr bwMode="auto">
                        <a:xfrm>
                          <a:off x="4874522" y="4687595"/>
                          <a:ext cx="710562" cy="214515"/>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a:latin typeface="Calibri" pitchFamily="34" charset="0"/>
                              </a:rPr>
                              <a:t>100%</a:t>
                            </a:r>
                            <a:endParaRPr lang="bg-BG"/>
                          </a:p>
                        </a:txBody>
                        <a:useSpRect/>
                      </a:txSp>
                    </a:sp>
                    <a:sp>
                      <a:nvSpPr>
                        <a:cNvPr id="32" name="Text Box 30"/>
                        <a:cNvSpPr txBox="1">
                          <a:spLocks noChangeArrowheads="1"/>
                        </a:cNvSpPr>
                      </a:nvSpPr>
                      <a:spPr bwMode="auto">
                        <a:xfrm>
                          <a:off x="4972496" y="5457863"/>
                          <a:ext cx="710562" cy="214515"/>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a:latin typeface="Calibri" pitchFamily="34" charset="0"/>
                              </a:rPr>
                              <a:t>100%</a:t>
                            </a:r>
                            <a:endParaRPr lang="bg-BG"/>
                          </a:p>
                        </a:txBody>
                        <a:useSpRect/>
                      </a:txSp>
                    </a:sp>
                    <a:sp>
                      <a:nvSpPr>
                        <a:cNvPr id="37" name="Text Box 16"/>
                        <a:cNvSpPr txBox="1">
                          <a:spLocks noChangeArrowheads="1"/>
                        </a:cNvSpPr>
                      </a:nvSpPr>
                      <a:spPr bwMode="auto">
                        <a:xfrm>
                          <a:off x="5434250" y="2054753"/>
                          <a:ext cx="638554" cy="259581"/>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smtClean="0">
                                <a:latin typeface="Calibri" pitchFamily="34" charset="0"/>
                              </a:rPr>
                              <a:t>67,2%</a:t>
                            </a:r>
                            <a:endParaRPr lang="bg-BG" dirty="0"/>
                          </a:p>
                        </a:txBody>
                        <a:useSpRect/>
                      </a:txSp>
                    </a:sp>
                    <a:sp>
                      <a:nvSpPr>
                        <a:cNvPr id="73" name="AutoShape 19"/>
                        <a:cNvSpPr>
                          <a:spLocks noChangeArrowheads="1"/>
                        </a:cNvSpPr>
                      </a:nvSpPr>
                      <a:spPr bwMode="auto">
                        <a:xfrm>
                          <a:off x="7345808" y="5228907"/>
                          <a:ext cx="2160240" cy="338738"/>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Консепт инвест 2011 </a:t>
                            </a:r>
                            <a:r>
                              <a:rPr lang="bg-BG" sz="1400" dirty="0">
                                <a:solidFill>
                                  <a:srgbClr val="002060"/>
                                </a:solidFill>
                                <a:latin typeface="Calibri" pitchFamily="34" charset="0"/>
                                <a:cs typeface="Arial" pitchFamily="34" charset="0"/>
                              </a:rPr>
                              <a:t>ЕАД</a:t>
                            </a:r>
                          </a:p>
                        </a:txBody>
                        <a:useSpRect/>
                      </a:txSp>
                      <a:style>
                        <a:lnRef idx="1">
                          <a:schemeClr val="accent1"/>
                        </a:lnRef>
                        <a:fillRef idx="2">
                          <a:schemeClr val="accent1"/>
                        </a:fillRef>
                        <a:effectRef idx="1">
                          <a:schemeClr val="accent1"/>
                        </a:effectRef>
                        <a:fontRef idx="minor">
                          <a:schemeClr val="dk1"/>
                        </a:fontRef>
                      </a:style>
                    </a:sp>
                    <a:sp>
                      <a:nvSpPr>
                        <a:cNvPr id="74" name="AutoShape 19"/>
                        <a:cNvSpPr>
                          <a:spLocks noChangeArrowheads="1"/>
                        </a:cNvSpPr>
                      </a:nvSpPr>
                      <a:spPr bwMode="auto">
                        <a:xfrm>
                          <a:off x="7417816" y="5899530"/>
                          <a:ext cx="2036514" cy="355664"/>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Пит Бокс ЕООД</a:t>
                            </a:r>
                            <a:endParaRPr lang="bg-BG" sz="1400" dirty="0">
                              <a:solidFill>
                                <a:srgbClr val="002060"/>
                              </a:solidFill>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cxnSp>
                      <a:nvCxnSpPr>
                        <a:cNvPr id="75" name="AutoShape 13"/>
                        <a:cNvCxnSpPr>
                          <a:cxnSpLocks noChangeShapeType="1"/>
                          <a:stCxn id="73" idx="2"/>
                          <a:endCxn id="74" idx="0"/>
                        </a:cNvCxnSpPr>
                      </a:nvCxnSpPr>
                      <a:spPr bwMode="auto">
                        <a:xfrm>
                          <a:off x="8425928" y="5567645"/>
                          <a:ext cx="10145" cy="331885"/>
                        </a:xfrm>
                        <a:prstGeom prst="straightConnector1">
                          <a:avLst/>
                        </a:prstGeom>
                        <a:noFill/>
                        <a:ln w="22225">
                          <a:solidFill>
                            <a:schemeClr val="accent1">
                              <a:lumMod val="75000"/>
                            </a:schemeClr>
                          </a:solidFill>
                          <a:round/>
                          <a:headEnd/>
                          <a:tailEnd type="triangle" w="med" len="med"/>
                        </a:ln>
                      </a:spPr>
                    </a:cxnSp>
                    <a:sp>
                      <a:nvSpPr>
                        <a:cNvPr id="81" name="AutoShape 19"/>
                        <a:cNvSpPr>
                          <a:spLocks noChangeArrowheads="1"/>
                        </a:cNvSpPr>
                      </a:nvSpPr>
                      <a:spPr bwMode="auto">
                        <a:xfrm>
                          <a:off x="7345808" y="3303772"/>
                          <a:ext cx="2036514" cy="756303"/>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defRPr/>
                            </a:pPr>
                            <a:r>
                              <a:rPr lang="bg-BG" sz="1400" dirty="0" smtClean="0">
                                <a:solidFill>
                                  <a:srgbClr val="002060"/>
                                </a:solidFill>
                                <a:latin typeface="Calibri" pitchFamily="34" charset="0"/>
                                <a:cs typeface="Arial" pitchFamily="34" charset="0"/>
                              </a:rPr>
                              <a:t>Омникар</a:t>
                            </a:r>
                            <a:r>
                              <a:rPr lang="en-US" sz="1400" dirty="0" smtClean="0">
                                <a:solidFill>
                                  <a:srgbClr val="002060"/>
                                </a:solidFill>
                                <a:latin typeface="Calibri" pitchFamily="34" charset="0"/>
                                <a:cs typeface="Arial" pitchFamily="34" charset="0"/>
                              </a:rPr>
                              <a:t> </a:t>
                            </a:r>
                            <a:r>
                              <a:rPr lang="bg-BG" sz="1400" dirty="0" smtClean="0">
                                <a:solidFill>
                                  <a:srgbClr val="002060"/>
                                </a:solidFill>
                                <a:latin typeface="Calibri" pitchFamily="34" charset="0"/>
                                <a:cs typeface="Arial" pitchFamily="34" charset="0"/>
                              </a:rPr>
                              <a:t>– С ЕООД</a:t>
                            </a:r>
                          </a:p>
                          <a:p>
                            <a:pPr>
                              <a:defRPr/>
                            </a:pPr>
                            <a:r>
                              <a:rPr lang="bg-BG" sz="1400" dirty="0">
                                <a:solidFill>
                                  <a:srgbClr val="002060"/>
                                </a:solidFill>
                                <a:latin typeface="Calibri" pitchFamily="34" charset="0"/>
                                <a:cs typeface="Arial" pitchFamily="34" charset="0"/>
                              </a:rPr>
                              <a:t>Омникар</a:t>
                            </a:r>
                            <a:r>
                              <a:rPr lang="en-US" sz="1400" dirty="0">
                                <a:solidFill>
                                  <a:srgbClr val="002060"/>
                                </a:solidFill>
                                <a:latin typeface="Calibri" pitchFamily="34" charset="0"/>
                                <a:cs typeface="Arial" pitchFamily="34" charset="0"/>
                              </a:rPr>
                              <a:t> </a:t>
                            </a:r>
                            <a:r>
                              <a:rPr lang="bg-BG" sz="1400" dirty="0">
                                <a:solidFill>
                                  <a:srgbClr val="002060"/>
                                </a:solidFill>
                                <a:latin typeface="Calibri" pitchFamily="34" charset="0"/>
                                <a:cs typeface="Arial" pitchFamily="34" charset="0"/>
                              </a:rPr>
                              <a:t>Инвест ЕООД</a:t>
                            </a:r>
                            <a:endParaRPr lang="bg-BG" sz="1400" dirty="0">
                              <a:solidFill>
                                <a:srgbClr val="002060"/>
                              </a:solidFill>
                              <a:latin typeface="Arial" pitchFamily="34" charset="0"/>
                              <a:cs typeface="Arial" pitchFamily="34" charset="0"/>
                            </a:endParaRPr>
                          </a:p>
                          <a:p>
                            <a:pPr>
                              <a:defRPr/>
                            </a:pPr>
                            <a:r>
                              <a:rPr lang="bg-BG" sz="1400" b="1" dirty="0">
                                <a:solidFill>
                                  <a:srgbClr val="002060"/>
                                </a:solidFill>
                                <a:latin typeface="Calibri" pitchFamily="34" charset="0"/>
                                <a:cs typeface="Arial" pitchFamily="34" charset="0"/>
                              </a:rPr>
                              <a:t>Омникар </a:t>
                            </a:r>
                            <a:r>
                              <a:rPr lang="bg-BG" sz="1400" b="1" dirty="0" smtClean="0">
                                <a:solidFill>
                                  <a:srgbClr val="002060"/>
                                </a:solidFill>
                                <a:latin typeface="Calibri" pitchFamily="34" charset="0"/>
                                <a:cs typeface="Arial" pitchFamily="34" charset="0"/>
                              </a:rPr>
                              <a:t>ЕООД</a:t>
                            </a:r>
                            <a:endParaRPr lang="bg-BG" sz="1400" b="1" dirty="0">
                              <a:solidFill>
                                <a:srgbClr val="002060"/>
                              </a:solidFill>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82" name="AutoShape 19"/>
                        <a:cNvSpPr>
                          <a:spLocks noChangeArrowheads="1"/>
                        </a:cNvSpPr>
                      </a:nvSpPr>
                      <a:spPr bwMode="auto">
                        <a:xfrm>
                          <a:off x="7345808" y="4791584"/>
                          <a:ext cx="2036514" cy="343775"/>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Булром Газ 2006 ЕООД</a:t>
                            </a:r>
                            <a:endParaRPr lang="bg-BG" sz="1400" dirty="0">
                              <a:solidFill>
                                <a:srgbClr val="002060"/>
                              </a:solidFill>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cxnSp>
                      <a:nvCxnSpPr>
                        <a:cNvPr id="83" name="AutoShape 13"/>
                        <a:cNvCxnSpPr>
                          <a:cxnSpLocks noChangeShapeType="1"/>
                          <a:stCxn id="21" idx="2"/>
                          <a:endCxn id="82" idx="0"/>
                        </a:cNvCxnSpPr>
                      </a:nvCxnSpPr>
                      <a:spPr bwMode="auto">
                        <a:xfrm>
                          <a:off x="8364065" y="4472606"/>
                          <a:ext cx="0" cy="318977"/>
                        </a:xfrm>
                        <a:prstGeom prst="straightConnector1">
                          <a:avLst/>
                        </a:prstGeom>
                        <a:noFill/>
                        <a:ln w="22225">
                          <a:solidFill>
                            <a:schemeClr val="accent1">
                              <a:lumMod val="75000"/>
                            </a:schemeClr>
                          </a:solidFill>
                          <a:round/>
                          <a:headEnd/>
                          <a:tailEnd type="triangle" w="med" len="med"/>
                        </a:ln>
                      </a:spPr>
                    </a:cxnSp>
                    <a:sp>
                      <a:nvSpPr>
                        <a:cNvPr id="84" name="Text Box 27"/>
                        <a:cNvSpPr txBox="1">
                          <a:spLocks noChangeArrowheads="1"/>
                        </a:cNvSpPr>
                      </a:nvSpPr>
                      <a:spPr bwMode="auto">
                        <a:xfrm>
                          <a:off x="8425928" y="4541358"/>
                          <a:ext cx="585408" cy="206264"/>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a:latin typeface="Calibri" pitchFamily="34" charset="0"/>
                              </a:rPr>
                              <a:t>100%</a:t>
                            </a:r>
                            <a:endParaRPr lang="bg-BG" dirty="0"/>
                          </a:p>
                        </a:txBody>
                        <a:useSpRect/>
                      </a:txSp>
                    </a:sp>
                    <a:sp>
                      <a:nvSpPr>
                        <a:cNvPr id="91" name="AutoShape 18"/>
                        <a:cNvSpPr>
                          <a:spLocks noChangeArrowheads="1"/>
                        </a:cNvSpPr>
                      </a:nvSpPr>
                      <a:spPr bwMode="auto">
                        <a:xfrm>
                          <a:off x="3437085" y="1584901"/>
                          <a:ext cx="2468563" cy="422902"/>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bg-BG" dirty="0">
                                <a:solidFill>
                                  <a:srgbClr val="FFFFFF"/>
                                </a:solidFill>
                                <a:latin typeface="Calibri" pitchFamily="34" charset="0"/>
                                <a:cs typeface="Arial" pitchFamily="34" charset="0"/>
                              </a:rPr>
                              <a:t>Трансбалкан </a:t>
                            </a:r>
                            <a:r>
                              <a:rPr lang="bg-BG" dirty="0" smtClean="0">
                                <a:solidFill>
                                  <a:srgbClr val="FFFFFF"/>
                                </a:solidFill>
                                <a:latin typeface="Calibri" pitchFamily="34" charset="0"/>
                                <a:cs typeface="Arial" pitchFamily="34" charset="0"/>
                              </a:rPr>
                              <a:t>Груп ООД</a:t>
                            </a:r>
                            <a:endParaRPr lang="bg-BG" dirty="0">
                              <a:latin typeface="Arial" pitchFamily="34" charset="0"/>
                              <a:cs typeface="Arial" pitchFamily="34" charset="0"/>
                            </a:endParaRPr>
                          </a:p>
                        </a:txBody>
                        <a:useSpRect/>
                      </a:txSp>
                    </a:sp>
                    <a:cxnSp>
                      <a:nvCxnSpPr>
                        <a:cNvPr id="102" name="AutoShape 6"/>
                        <a:cNvCxnSpPr>
                          <a:cxnSpLocks noChangeShapeType="1"/>
                          <a:stCxn id="137" idx="6"/>
                          <a:endCxn id="91" idx="1"/>
                        </a:cNvCxnSpPr>
                      </a:nvCxnSpPr>
                      <a:spPr bwMode="auto">
                        <a:xfrm flipV="1">
                          <a:off x="2843808" y="1796353"/>
                          <a:ext cx="593277" cy="2211"/>
                        </a:xfrm>
                        <a:prstGeom prst="straightConnector1">
                          <a:avLst/>
                        </a:prstGeom>
                        <a:noFill/>
                        <a:ln w="12700">
                          <a:solidFill>
                            <a:srgbClr val="666666"/>
                          </a:solidFill>
                          <a:round/>
                          <a:headEnd/>
                          <a:tailEnd type="triangle" w="med" len="med"/>
                        </a:ln>
                      </a:spPr>
                    </a:cxnSp>
                    <a:cxnSp>
                      <a:nvCxnSpPr>
                        <a:cNvPr id="103" name="AutoShape 12"/>
                        <a:cNvCxnSpPr>
                          <a:cxnSpLocks noChangeShapeType="1"/>
                          <a:stCxn id="13" idx="0"/>
                          <a:endCxn id="91" idx="3"/>
                        </a:cNvCxnSpPr>
                      </a:nvCxnSpPr>
                      <a:spPr bwMode="auto">
                        <a:xfrm flipH="1" flipV="1">
                          <a:off x="5905648" y="1796352"/>
                          <a:ext cx="474985" cy="518704"/>
                        </a:xfrm>
                        <a:prstGeom prst="straightConnector1">
                          <a:avLst/>
                        </a:prstGeom>
                        <a:noFill/>
                        <a:ln w="12700">
                          <a:solidFill>
                            <a:srgbClr val="666666"/>
                          </a:solidFill>
                          <a:round/>
                          <a:headEnd/>
                          <a:tailEnd type="triangle" w="med" len="med"/>
                        </a:ln>
                      </a:spPr>
                    </a:cxnSp>
                    <a:cxnSp>
                      <a:nvCxnSpPr>
                        <a:cNvPr id="104" name="AutoShape 13"/>
                        <a:cNvCxnSpPr>
                          <a:cxnSpLocks noChangeShapeType="1"/>
                          <a:stCxn id="11" idx="0"/>
                          <a:endCxn id="91" idx="2"/>
                        </a:cNvCxnSpPr>
                      </a:nvCxnSpPr>
                      <a:spPr bwMode="auto">
                        <a:xfrm flipV="1">
                          <a:off x="4657625" y="2007803"/>
                          <a:ext cx="13742" cy="307253"/>
                        </a:xfrm>
                        <a:prstGeom prst="straightConnector1">
                          <a:avLst/>
                        </a:prstGeom>
                        <a:noFill/>
                        <a:ln w="12700">
                          <a:solidFill>
                            <a:srgbClr val="666666"/>
                          </a:solidFill>
                          <a:round/>
                          <a:headEnd/>
                          <a:tailEnd type="triangle" w="med" len="med"/>
                        </a:ln>
                      </a:spPr>
                    </a:cxnSp>
                    <a:sp>
                      <a:nvSpPr>
                        <a:cNvPr id="112" name="AutoShape 19"/>
                        <a:cNvSpPr>
                          <a:spLocks noChangeArrowheads="1"/>
                        </a:cNvSpPr>
                      </a:nvSpPr>
                      <a:spPr bwMode="auto">
                        <a:xfrm>
                          <a:off x="7345808" y="2891243"/>
                          <a:ext cx="2036514" cy="343775"/>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a:solidFill>
                                  <a:srgbClr val="002060"/>
                                </a:solidFill>
                                <a:latin typeface="Calibri" pitchFamily="34" charset="0"/>
                                <a:cs typeface="Arial" pitchFamily="34" charset="0"/>
                              </a:rPr>
                              <a:t>Спиди академи </a:t>
                            </a:r>
                            <a:r>
                              <a:rPr lang="bg-BG" sz="1400" dirty="0" smtClean="0">
                                <a:solidFill>
                                  <a:srgbClr val="002060"/>
                                </a:solidFill>
                                <a:latin typeface="Calibri" pitchFamily="34" charset="0"/>
                                <a:cs typeface="Arial" pitchFamily="34" charset="0"/>
                              </a:rPr>
                              <a:t>ООД</a:t>
                            </a:r>
                            <a:endParaRPr lang="bg-BG" sz="1400" dirty="0">
                              <a:solidFill>
                                <a:srgbClr val="002060"/>
                              </a:solidFill>
                              <a:latin typeface="Calibri"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113" name="AutoShape 19"/>
                        <a:cNvSpPr>
                          <a:spLocks noChangeArrowheads="1"/>
                        </a:cNvSpPr>
                      </a:nvSpPr>
                      <a:spPr bwMode="auto">
                        <a:xfrm>
                          <a:off x="5617616" y="6328984"/>
                          <a:ext cx="2304256" cy="343774"/>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Пловдив инвест 2010 ЕООД</a:t>
                            </a:r>
                            <a:endParaRPr lang="bg-BG" sz="1400" dirty="0">
                              <a:solidFill>
                                <a:srgbClr val="002060"/>
                              </a:solidFill>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114" name="AutoShape 19"/>
                        <a:cNvSpPr>
                          <a:spLocks noChangeArrowheads="1"/>
                        </a:cNvSpPr>
                      </a:nvSpPr>
                      <a:spPr bwMode="auto">
                        <a:xfrm>
                          <a:off x="4537496" y="7033315"/>
                          <a:ext cx="1944216" cy="343775"/>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Балкан холидей ЕООД</a:t>
                            </a:r>
                            <a:endParaRPr lang="bg-BG" sz="1400" dirty="0">
                              <a:solidFill>
                                <a:srgbClr val="002060"/>
                              </a:solidFill>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cxnSp>
                      <a:nvCxnSpPr>
                        <a:cNvPr id="115" name="AutoShape 13"/>
                        <a:cNvCxnSpPr>
                          <a:cxnSpLocks noChangeShapeType="1"/>
                          <a:stCxn id="113" idx="2"/>
                          <a:endCxn id="125" idx="0"/>
                        </a:cNvCxnSpPr>
                      </a:nvCxnSpPr>
                      <a:spPr bwMode="auto">
                        <a:xfrm>
                          <a:off x="6769744" y="6672758"/>
                          <a:ext cx="936104" cy="363395"/>
                        </a:xfrm>
                        <a:prstGeom prst="straightConnector1">
                          <a:avLst/>
                        </a:prstGeom>
                        <a:noFill/>
                        <a:ln w="12700">
                          <a:solidFill>
                            <a:srgbClr val="666666"/>
                          </a:solidFill>
                          <a:round/>
                          <a:headEnd/>
                          <a:tailEnd type="triangle" w="med" len="med"/>
                        </a:ln>
                      </a:spPr>
                    </a:cxnSp>
                    <a:sp>
                      <a:nvSpPr>
                        <a:cNvPr id="116" name="Text Box 27"/>
                        <a:cNvSpPr txBox="1">
                          <a:spLocks noChangeArrowheads="1"/>
                        </a:cNvSpPr>
                      </a:nvSpPr>
                      <a:spPr bwMode="auto">
                        <a:xfrm>
                          <a:off x="6481712" y="6753402"/>
                          <a:ext cx="585408" cy="206264"/>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a:latin typeface="Calibri" pitchFamily="34" charset="0"/>
                              </a:rPr>
                              <a:t>100%</a:t>
                            </a:r>
                            <a:endParaRPr lang="bg-BG" dirty="0"/>
                          </a:p>
                        </a:txBody>
                        <a:useSpRect/>
                      </a:txSp>
                    </a:sp>
                    <a:sp>
                      <a:nvSpPr>
                        <a:cNvPr id="125" name="AutoShape 19"/>
                        <a:cNvSpPr>
                          <a:spLocks noChangeArrowheads="1"/>
                        </a:cNvSpPr>
                      </a:nvSpPr>
                      <a:spPr bwMode="auto">
                        <a:xfrm>
                          <a:off x="6625728" y="7036153"/>
                          <a:ext cx="2160240" cy="343775"/>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Лукс лайт системст ЕООД</a:t>
                            </a:r>
                            <a:endParaRPr lang="bg-BG" sz="1400" dirty="0">
                              <a:solidFill>
                                <a:srgbClr val="002060"/>
                              </a:solidFill>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cxnSp>
                      <a:nvCxnSpPr>
                        <a:cNvPr id="127" name="AutoShape 13"/>
                        <a:cNvCxnSpPr>
                          <a:cxnSpLocks noChangeShapeType="1"/>
                          <a:stCxn id="113" idx="2"/>
                          <a:endCxn id="114" idx="0"/>
                        </a:cNvCxnSpPr>
                      </a:nvCxnSpPr>
                      <a:spPr bwMode="auto">
                        <a:xfrm flipH="1">
                          <a:off x="5509604" y="6672758"/>
                          <a:ext cx="1260140" cy="360557"/>
                        </a:xfrm>
                        <a:prstGeom prst="straightConnector1">
                          <a:avLst/>
                        </a:prstGeom>
                        <a:noFill/>
                        <a:ln w="12700">
                          <a:solidFill>
                            <a:srgbClr val="666666"/>
                          </a:solidFill>
                          <a:round/>
                          <a:headEnd/>
                          <a:tailEnd type="triangle" w="med" len="med"/>
                        </a:ln>
                      </a:spPr>
                    </a:cxnSp>
                    <a:sp>
                      <a:nvSpPr>
                        <a:cNvPr id="132" name="AutoShape 19"/>
                        <a:cNvSpPr>
                          <a:spLocks noChangeArrowheads="1"/>
                        </a:cNvSpPr>
                      </a:nvSpPr>
                      <a:spPr bwMode="auto">
                        <a:xfrm>
                          <a:off x="7345808" y="2203694"/>
                          <a:ext cx="2016224" cy="550042"/>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Винарско имение Драгомир ООД</a:t>
                            </a:r>
                            <a:endParaRPr lang="bg-BG" sz="1400" dirty="0">
                              <a:solidFill>
                                <a:srgbClr val="002060"/>
                              </a:solidFill>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133" name="AutoShape 19"/>
                        <a:cNvSpPr>
                          <a:spLocks noChangeArrowheads="1"/>
                        </a:cNvSpPr>
                      </a:nvSpPr>
                      <a:spPr bwMode="auto">
                        <a:xfrm>
                          <a:off x="1153120" y="3372527"/>
                          <a:ext cx="2036514" cy="343775"/>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Сандрини Фло ООД</a:t>
                            </a:r>
                            <a:endParaRPr lang="bg-BG" sz="1400" dirty="0">
                              <a:solidFill>
                                <a:srgbClr val="002060"/>
                              </a:solidFill>
                              <a:latin typeface="Arial" pitchFamily="34" charset="0"/>
                              <a:cs typeface="Arial" pitchFamily="34" charset="0"/>
                            </a:endParaRPr>
                          </a:p>
                        </a:txBody>
                        <a:useSpRect/>
                      </a:txSp>
                      <a:style>
                        <a:lnRef idx="1">
                          <a:schemeClr val="accent3"/>
                        </a:lnRef>
                        <a:fillRef idx="2">
                          <a:schemeClr val="accent3"/>
                        </a:fillRef>
                        <a:effectRef idx="1">
                          <a:schemeClr val="accent3"/>
                        </a:effectRef>
                        <a:fontRef idx="minor">
                          <a:schemeClr val="dk1"/>
                        </a:fontRef>
                      </a:style>
                    </a:sp>
                    <a:sp>
                      <a:nvSpPr>
                        <a:cNvPr id="137" name="Oval 5"/>
                        <a:cNvSpPr>
                          <a:spLocks noChangeArrowheads="1"/>
                        </a:cNvSpPr>
                      </a:nvSpPr>
                      <a:spPr bwMode="auto">
                        <a:xfrm>
                          <a:off x="1153120" y="1511324"/>
                          <a:ext cx="1690688" cy="574480"/>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a:spPr>
                      <a:txSp>
                        <a:txBody>
                          <a:bodyPr anchor="ct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bg-BG" sz="1400" dirty="0" smtClean="0">
                                <a:solidFill>
                                  <a:srgbClr val="17365D"/>
                                </a:solidFill>
                                <a:latin typeface="Calibri" pitchFamily="34" charset="0"/>
                                <a:cs typeface="Arial" pitchFamily="34" charset="0"/>
                              </a:rPr>
                              <a:t>Георги</a:t>
                            </a:r>
                          </a:p>
                          <a:p>
                            <a:pPr algn="ctr">
                              <a:defRPr/>
                            </a:pPr>
                            <a:r>
                              <a:rPr lang="bg-BG" sz="1400" dirty="0" smtClean="0">
                                <a:solidFill>
                                  <a:srgbClr val="17365D"/>
                                </a:solidFill>
                                <a:latin typeface="Calibri" pitchFamily="34" charset="0"/>
                                <a:cs typeface="Arial" pitchFamily="34" charset="0"/>
                              </a:rPr>
                              <a:t>Глогов</a:t>
                            </a:r>
                            <a:endParaRPr lang="bg-BG" sz="1400" dirty="0">
                              <a:latin typeface="Arial" pitchFamily="34" charset="0"/>
                              <a:cs typeface="Arial" pitchFamily="34" charset="0"/>
                            </a:endParaRPr>
                          </a:p>
                        </a:txBody>
                        <a:useSpRect/>
                      </a:txSp>
                    </a:sp>
                    <a:sp>
                      <a:nvSpPr>
                        <a:cNvPr id="139" name="Text Box 27"/>
                        <a:cNvSpPr txBox="1">
                          <a:spLocks noChangeArrowheads="1"/>
                        </a:cNvSpPr>
                      </a:nvSpPr>
                      <a:spPr bwMode="auto">
                        <a:xfrm>
                          <a:off x="8569944" y="5636400"/>
                          <a:ext cx="585408" cy="206264"/>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a:latin typeface="Calibri" pitchFamily="34" charset="0"/>
                              </a:rPr>
                              <a:t>100%</a:t>
                            </a:r>
                            <a:endParaRPr lang="bg-BG" dirty="0"/>
                          </a:p>
                        </a:txBody>
                        <a:useSpRect/>
                      </a:txSp>
                    </a:sp>
                    <a:cxnSp>
                      <a:nvCxnSpPr>
                        <a:cNvPr id="144" name="AutoShape 6"/>
                        <a:cNvCxnSpPr>
                          <a:cxnSpLocks noChangeShapeType="1"/>
                          <a:stCxn id="137" idx="4"/>
                          <a:endCxn id="7" idx="2"/>
                        </a:cNvCxnSpPr>
                      </a:nvCxnSpPr>
                      <a:spPr bwMode="auto">
                        <a:xfrm>
                          <a:off x="1998464" y="2085804"/>
                          <a:ext cx="90760" cy="516494"/>
                        </a:xfrm>
                        <a:prstGeom prst="straightConnector1">
                          <a:avLst/>
                        </a:prstGeom>
                        <a:noFill/>
                        <a:ln w="12700">
                          <a:solidFill>
                            <a:srgbClr val="666666"/>
                          </a:solidFill>
                          <a:round/>
                          <a:headEnd/>
                          <a:tailEnd type="triangle" w="med" len="med"/>
                        </a:ln>
                      </a:spPr>
                    </a:cxnSp>
                    <a:cxnSp>
                      <a:nvCxnSpPr>
                        <a:cNvPr id="147" name="AutoShape 6"/>
                        <a:cNvCxnSpPr>
                          <a:cxnSpLocks noChangeShapeType="1"/>
                          <a:stCxn id="137" idx="4"/>
                          <a:endCxn id="133" idx="1"/>
                        </a:cNvCxnSpPr>
                      </a:nvCxnSpPr>
                      <a:spPr bwMode="auto">
                        <a:xfrm flipH="1">
                          <a:off x="1153120" y="2085804"/>
                          <a:ext cx="845344" cy="1458611"/>
                        </a:xfrm>
                        <a:prstGeom prst="straightConnector1">
                          <a:avLst/>
                        </a:prstGeom>
                        <a:noFill/>
                        <a:ln w="12700">
                          <a:solidFill>
                            <a:srgbClr val="666666"/>
                          </a:solidFill>
                          <a:round/>
                          <a:headEnd/>
                          <a:tailEnd type="triangle" w="med" len="med"/>
                        </a:ln>
                      </a:spPr>
                    </a:cxnSp>
                    <a:sp>
                      <a:nvSpPr>
                        <a:cNvPr id="150" name="Text Box 26"/>
                        <a:cNvSpPr txBox="1">
                          <a:spLocks noChangeArrowheads="1"/>
                        </a:cNvSpPr>
                      </a:nvSpPr>
                      <a:spPr bwMode="auto">
                        <a:xfrm>
                          <a:off x="1513160" y="3028752"/>
                          <a:ext cx="710562" cy="259580"/>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smtClean="0">
                                <a:latin typeface="Calibri" pitchFamily="34" charset="0"/>
                              </a:rPr>
                              <a:t>50%</a:t>
                            </a:r>
                            <a:endParaRPr lang="bg-BG" dirty="0"/>
                          </a:p>
                        </a:txBody>
                        <a:useSpRect/>
                      </a:txSp>
                    </a:sp>
                    <a:sp>
                      <a:nvSpPr>
                        <a:cNvPr id="151" name="Text Box 29"/>
                        <a:cNvSpPr txBox="1">
                          <a:spLocks noChangeArrowheads="1"/>
                        </a:cNvSpPr>
                      </a:nvSpPr>
                      <a:spPr bwMode="auto">
                        <a:xfrm>
                          <a:off x="2089224" y="2134939"/>
                          <a:ext cx="710562" cy="214515"/>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a:latin typeface="Calibri" pitchFamily="34" charset="0"/>
                              </a:rPr>
                              <a:t>100%</a:t>
                            </a:r>
                            <a:endParaRPr lang="bg-BG"/>
                          </a:p>
                        </a:txBody>
                        <a:useSpRect/>
                      </a:txSp>
                    </a:sp>
                    <a:sp>
                      <a:nvSpPr>
                        <a:cNvPr id="173" name="Text Box 27"/>
                        <a:cNvSpPr txBox="1">
                          <a:spLocks noChangeArrowheads="1"/>
                        </a:cNvSpPr>
                      </a:nvSpPr>
                      <a:spPr bwMode="auto">
                        <a:xfrm>
                          <a:off x="6121672" y="5916455"/>
                          <a:ext cx="585408" cy="206264"/>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a:latin typeface="Calibri" pitchFamily="34" charset="0"/>
                              </a:rPr>
                              <a:t>100%</a:t>
                            </a:r>
                            <a:endParaRPr lang="bg-BG" dirty="0"/>
                          </a:p>
                        </a:txBody>
                        <a:useSpRect/>
                      </a:txSp>
                    </a:sp>
                    <a:sp>
                      <a:nvSpPr>
                        <a:cNvPr id="174" name="Text Box 27"/>
                        <a:cNvSpPr txBox="1">
                          <a:spLocks noChangeArrowheads="1"/>
                        </a:cNvSpPr>
                      </a:nvSpPr>
                      <a:spPr bwMode="auto">
                        <a:xfrm>
                          <a:off x="6747972" y="5091397"/>
                          <a:ext cx="585408" cy="206264"/>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a:latin typeface="Calibri" pitchFamily="34" charset="0"/>
                              </a:rPr>
                              <a:t>100%</a:t>
                            </a:r>
                            <a:endParaRPr lang="bg-BG" dirty="0"/>
                          </a:p>
                        </a:txBody>
                        <a:useSpRect/>
                      </a:txSp>
                    </a:sp>
                    <a:sp>
                      <a:nvSpPr>
                        <a:cNvPr id="175" name="Text Box 27"/>
                        <a:cNvSpPr txBox="1">
                          <a:spLocks noChangeArrowheads="1"/>
                        </a:cNvSpPr>
                      </a:nvSpPr>
                      <a:spPr bwMode="auto">
                        <a:xfrm>
                          <a:off x="6747972" y="4335094"/>
                          <a:ext cx="585408" cy="206264"/>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a:latin typeface="Calibri" pitchFamily="34" charset="0"/>
                              </a:rPr>
                              <a:t>100%</a:t>
                            </a:r>
                            <a:endParaRPr lang="bg-BG" dirty="0"/>
                          </a:p>
                        </a:txBody>
                        <a:useSpRect/>
                      </a:txSp>
                    </a:sp>
                    <a:sp>
                      <a:nvSpPr>
                        <a:cNvPr id="176" name="Text Box 27"/>
                        <a:cNvSpPr txBox="1">
                          <a:spLocks noChangeArrowheads="1"/>
                        </a:cNvSpPr>
                      </a:nvSpPr>
                      <a:spPr bwMode="auto">
                        <a:xfrm>
                          <a:off x="6738628" y="3716300"/>
                          <a:ext cx="585408" cy="206264"/>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a:latin typeface="Calibri" pitchFamily="34" charset="0"/>
                              </a:rPr>
                              <a:t>100%</a:t>
                            </a:r>
                            <a:endParaRPr lang="bg-BG" dirty="0"/>
                          </a:p>
                        </a:txBody>
                        <a:useSpRect/>
                      </a:txSp>
                    </a:sp>
                    <a:sp>
                      <a:nvSpPr>
                        <a:cNvPr id="184" name="Text Box 27"/>
                        <a:cNvSpPr txBox="1">
                          <a:spLocks noChangeArrowheads="1"/>
                        </a:cNvSpPr>
                      </a:nvSpPr>
                      <a:spPr bwMode="auto">
                        <a:xfrm>
                          <a:off x="6553720" y="3097507"/>
                          <a:ext cx="585408" cy="206264"/>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smtClean="0">
                                <a:latin typeface="Calibri" pitchFamily="34" charset="0"/>
                              </a:rPr>
                              <a:t>40%</a:t>
                            </a:r>
                            <a:endParaRPr lang="bg-BG" dirty="0"/>
                          </a:p>
                        </a:txBody>
                        <a:useSpRect/>
                      </a:txSp>
                    </a:sp>
                    <a:sp>
                      <a:nvSpPr>
                        <a:cNvPr id="188" name="Text Box 27"/>
                        <a:cNvSpPr txBox="1">
                          <a:spLocks noChangeArrowheads="1"/>
                        </a:cNvSpPr>
                      </a:nvSpPr>
                      <a:spPr bwMode="auto">
                        <a:xfrm>
                          <a:off x="7120440" y="1722411"/>
                          <a:ext cx="585408" cy="206264"/>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smtClean="0">
                                <a:latin typeface="Calibri" pitchFamily="34" charset="0"/>
                              </a:rPr>
                              <a:t>75,2%</a:t>
                            </a:r>
                            <a:endParaRPr lang="bg-BG" dirty="0"/>
                          </a:p>
                        </a:txBody>
                        <a:useSpRect/>
                      </a:txSp>
                    </a:sp>
                    <a:sp>
                      <a:nvSpPr>
                        <a:cNvPr id="61" name="Text Box 26"/>
                        <a:cNvSpPr txBox="1">
                          <a:spLocks noChangeArrowheads="1"/>
                        </a:cNvSpPr>
                      </a:nvSpPr>
                      <a:spPr bwMode="auto">
                        <a:xfrm>
                          <a:off x="3220714" y="2959911"/>
                          <a:ext cx="710562" cy="259580"/>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smtClean="0">
                                <a:latin typeface="Calibri" pitchFamily="34" charset="0"/>
                              </a:rPr>
                              <a:t>24,8%</a:t>
                            </a:r>
                            <a:endParaRPr lang="bg-BG" dirty="0"/>
                          </a:p>
                        </a:txBody>
                        <a:useSpRect/>
                      </a:txSp>
                    </a:sp>
                    <a:sp>
                      <a:nvSpPr>
                        <a:cNvPr id="62" name="Text Box 16"/>
                        <a:cNvSpPr txBox="1">
                          <a:spLocks noChangeArrowheads="1"/>
                        </a:cNvSpPr>
                      </a:nvSpPr>
                      <a:spPr bwMode="auto">
                        <a:xfrm>
                          <a:off x="4177456" y="2930568"/>
                          <a:ext cx="432048" cy="259581"/>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a:latin typeface="Calibri" pitchFamily="34" charset="0"/>
                              </a:rPr>
                              <a:t>8</a:t>
                            </a:r>
                            <a:r>
                              <a:rPr lang="bg-BG" sz="1100" dirty="0" smtClean="0">
                                <a:latin typeface="Calibri" pitchFamily="34" charset="0"/>
                              </a:rPr>
                              <a:t>%</a:t>
                            </a:r>
                            <a:endParaRPr lang="bg-BG" dirty="0"/>
                          </a:p>
                        </a:txBody>
                        <a:useSpRect/>
                      </a:txSp>
                    </a:sp>
                    <a:sp>
                      <a:nvSpPr>
                        <a:cNvPr id="63" name="Text Box 16"/>
                        <a:cNvSpPr txBox="1">
                          <a:spLocks noChangeArrowheads="1"/>
                        </a:cNvSpPr>
                      </a:nvSpPr>
                      <a:spPr bwMode="auto">
                        <a:xfrm>
                          <a:off x="5473600" y="2959997"/>
                          <a:ext cx="638554" cy="259581"/>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smtClean="0">
                                <a:latin typeface="Calibri" pitchFamily="34" charset="0"/>
                              </a:rPr>
                              <a:t>67,2%</a:t>
                            </a:r>
                            <a:endParaRPr lang="bg-BG" dirty="0"/>
                          </a:p>
                        </a:txBody>
                        <a:useSpRect/>
                      </a:txSp>
                    </a:sp>
                  </a:grpSp>
                  <a:cxnSp>
                    <a:nvCxnSpPr>
                      <a:cNvPr id="72" name="Elbow Connector 71"/>
                      <a:cNvCxnSpPr>
                        <a:stCxn id="13" idx="4"/>
                        <a:endCxn id="113" idx="0"/>
                      </a:cNvCxnSpPr>
                    </a:nvCxnSpPr>
                    <a:spPr>
                      <a:xfrm rot="16200000" flipH="1">
                        <a:off x="3800487" y="3377566"/>
                        <a:ext cx="3602187" cy="389111"/>
                      </a:xfrm>
                      <a:prstGeom prst="bentConnector3">
                        <a:avLst>
                          <a:gd name="adj1" fmla="val 23104"/>
                        </a:avLst>
                      </a:prstGeom>
                      <a:ln w="22225" cmpd="sng">
                        <a:tailEnd type="arrow"/>
                      </a:ln>
                    </a:spPr>
                    <a:style>
                      <a:lnRef idx="1">
                        <a:schemeClr val="accent1"/>
                      </a:lnRef>
                      <a:fillRef idx="0">
                        <a:schemeClr val="accent1"/>
                      </a:fillRef>
                      <a:effectRef idx="0">
                        <a:schemeClr val="accent1"/>
                      </a:effectRef>
                      <a:fontRef idx="minor">
                        <a:schemeClr val="tx1"/>
                      </a:fontRef>
                    </a:style>
                  </a:cxnSp>
                  <a:cxnSp>
                    <a:nvCxnSpPr>
                      <a:cNvPr id="166" name="Straight Arrow Connector 165"/>
                      <a:cNvCxnSpPr>
                        <a:endCxn id="81" idx="1"/>
                      </a:cNvCxnSpPr>
                    </a:nvCxnSpPr>
                    <a:spPr>
                      <a:xfrm flipV="1">
                        <a:off x="5796136" y="2600909"/>
                        <a:ext cx="576064" cy="3345"/>
                      </a:xfrm>
                      <a:prstGeom prst="straightConnector1">
                        <a:avLst/>
                      </a:prstGeom>
                      <a:ln w="22225">
                        <a:tailEnd type="arrow"/>
                      </a:ln>
                    </a:spPr>
                    <a:style>
                      <a:lnRef idx="1">
                        <a:schemeClr val="accent1"/>
                      </a:lnRef>
                      <a:fillRef idx="0">
                        <a:schemeClr val="accent1"/>
                      </a:fillRef>
                      <a:effectRef idx="0">
                        <a:schemeClr val="accent1"/>
                      </a:effectRef>
                      <a:fontRef idx="minor">
                        <a:schemeClr val="tx1"/>
                      </a:fontRef>
                    </a:style>
                  </a:cxnSp>
                  <a:cxnSp>
                    <a:nvCxnSpPr>
                      <a:cNvPr id="169" name="Straight Arrow Connector 168"/>
                      <a:cNvCxnSpPr/>
                    </a:nvCxnSpPr>
                    <a:spPr>
                      <a:xfrm flipV="1">
                        <a:off x="5796136" y="3252326"/>
                        <a:ext cx="576064" cy="3345"/>
                      </a:xfrm>
                      <a:prstGeom prst="straightConnector1">
                        <a:avLst/>
                      </a:prstGeom>
                      <a:ln w="22225">
                        <a:tailEnd type="arrow"/>
                      </a:ln>
                    </a:spPr>
                    <a:style>
                      <a:lnRef idx="1">
                        <a:schemeClr val="accent1"/>
                      </a:lnRef>
                      <a:fillRef idx="0">
                        <a:schemeClr val="accent1"/>
                      </a:fillRef>
                      <a:effectRef idx="0">
                        <a:schemeClr val="accent1"/>
                      </a:effectRef>
                      <a:fontRef idx="minor">
                        <a:schemeClr val="tx1"/>
                      </a:fontRef>
                    </a:style>
                  </a:cxnSp>
                  <a:cxnSp>
                    <a:nvCxnSpPr>
                      <a:cNvPr id="171" name="Straight Arrow Connector 170"/>
                      <a:cNvCxnSpPr/>
                    </a:nvCxnSpPr>
                    <a:spPr>
                      <a:xfrm flipV="1">
                        <a:off x="5796136" y="4415340"/>
                        <a:ext cx="576064" cy="3345"/>
                      </a:xfrm>
                      <a:prstGeom prst="straightConnector1">
                        <a:avLst/>
                      </a:prstGeom>
                      <a:ln w="22225">
                        <a:tailEnd type="arrow"/>
                      </a:ln>
                    </a:spPr>
                    <a:style>
                      <a:lnRef idx="1">
                        <a:schemeClr val="accent1"/>
                      </a:lnRef>
                      <a:fillRef idx="0">
                        <a:schemeClr val="accent1"/>
                      </a:fillRef>
                      <a:effectRef idx="0">
                        <a:schemeClr val="accent1"/>
                      </a:effectRef>
                      <a:fontRef idx="minor">
                        <a:schemeClr val="tx1"/>
                      </a:fontRef>
                    </a:style>
                  </a:cxnSp>
                  <a:cxnSp>
                    <a:nvCxnSpPr>
                      <a:cNvPr id="180" name="Straight Arrow Connector 179"/>
                      <a:cNvCxnSpPr>
                        <a:endCxn id="112" idx="1"/>
                      </a:cNvCxnSpPr>
                    </a:nvCxnSpPr>
                    <a:spPr>
                      <a:xfrm flipV="1">
                        <a:off x="5436096" y="1952838"/>
                        <a:ext cx="936104" cy="17576"/>
                      </a:xfrm>
                      <a:prstGeom prst="straightConnector1">
                        <a:avLst/>
                      </a:prstGeom>
                      <a:ln w="22225">
                        <a:tailEnd type="arrow"/>
                      </a:ln>
                    </a:spPr>
                    <a:style>
                      <a:lnRef idx="1">
                        <a:schemeClr val="accent1"/>
                      </a:lnRef>
                      <a:fillRef idx="0">
                        <a:schemeClr val="accent1"/>
                      </a:fillRef>
                      <a:effectRef idx="0">
                        <a:schemeClr val="accent1"/>
                      </a:effectRef>
                      <a:fontRef idx="minor">
                        <a:schemeClr val="tx1"/>
                      </a:fontRef>
                    </a:style>
                  </a:cxnSp>
                  <a:cxnSp>
                    <a:nvCxnSpPr>
                      <a:cNvPr id="191" name="Elbow Connector 190"/>
                      <a:cNvCxnSpPr>
                        <a:stCxn id="13" idx="0"/>
                        <a:endCxn id="132" idx="0"/>
                      </a:cNvCxnSpPr>
                    </a:nvCxnSpPr>
                    <a:spPr>
                      <a:xfrm rot="5400000" flipH="1" flipV="1">
                        <a:off x="6335353" y="124409"/>
                        <a:ext cx="116631" cy="1973287"/>
                      </a:xfrm>
                      <a:prstGeom prst="bentConnector3">
                        <a:avLst>
                          <a:gd name="adj1" fmla="val 296003"/>
                        </a:avLst>
                      </a:prstGeom>
                      <a:ln w="22225">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DF2195" w:rsidRDefault="00D56DF3" w:rsidP="00D16132">
      <w:pPr>
        <w:spacing w:after="120"/>
        <w:ind w:left="709"/>
        <w:jc w:val="right"/>
      </w:pPr>
      <w:r w:rsidRPr="00D56DF3">
        <w:rPr>
          <w:noProof/>
          <w:lang w:eastAsia="bg-BG"/>
        </w:rPr>
        <w:drawing>
          <wp:inline distT="0" distB="0" distL="0" distR="0">
            <wp:extent cx="4800600" cy="133350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76664" cy="1817779"/>
                      <a:chOff x="467544" y="675118"/>
                      <a:chExt cx="5976664" cy="1817779"/>
                    </a:xfrm>
                  </a:grpSpPr>
                  <a:grpSp>
                    <a:nvGrpSpPr>
                      <a:cNvPr id="35" name="Group 34"/>
                      <a:cNvGrpSpPr/>
                    </a:nvGrpSpPr>
                    <a:grpSpPr>
                      <a:xfrm>
                        <a:off x="467544" y="675118"/>
                        <a:ext cx="5976664" cy="1817779"/>
                        <a:chOff x="467544" y="675118"/>
                        <a:chExt cx="5976664" cy="1817779"/>
                      </a:xfrm>
                    </a:grpSpPr>
                    <a:sp>
                      <a:nvSpPr>
                        <a:cNvPr id="4" name="AutoShape 19"/>
                        <a:cNvSpPr>
                          <a:spLocks noChangeArrowheads="1"/>
                        </a:cNvSpPr>
                      </a:nvSpPr>
                      <a:spPr bwMode="auto">
                        <a:xfrm>
                          <a:off x="3275856" y="675118"/>
                          <a:ext cx="2304256" cy="360040"/>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b="1" dirty="0" smtClean="0">
                                <a:solidFill>
                                  <a:srgbClr val="002060"/>
                                </a:solidFill>
                                <a:latin typeface="Calibri" pitchFamily="34" charset="0"/>
                                <a:cs typeface="Arial" pitchFamily="34" charset="0"/>
                              </a:rPr>
                              <a:t>Омникар ЕООД</a:t>
                            </a:r>
                            <a:endParaRPr lang="bg-BG" sz="1400" b="1" dirty="0">
                              <a:solidFill>
                                <a:srgbClr val="002060"/>
                              </a:solidFill>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5" name="AutoShape 19"/>
                        <a:cNvSpPr>
                          <a:spLocks noChangeArrowheads="1"/>
                        </a:cNvSpPr>
                      </a:nvSpPr>
                      <a:spPr bwMode="auto">
                        <a:xfrm>
                          <a:off x="2267744" y="1392228"/>
                          <a:ext cx="1944216" cy="360041"/>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Омникар Ауто </a:t>
                            </a:r>
                            <a:r>
                              <a:rPr lang="bg-BG" sz="1400" dirty="0" smtClean="0">
                                <a:solidFill>
                                  <a:srgbClr val="002060"/>
                                </a:solidFill>
                                <a:latin typeface="Calibri" pitchFamily="34" charset="0"/>
                                <a:cs typeface="Arial" pitchFamily="34" charset="0"/>
                              </a:rPr>
                              <a:t>ООД</a:t>
                            </a:r>
                          </a:p>
                        </a:txBody>
                        <a:useSpRect/>
                      </a:txSp>
                      <a:style>
                        <a:lnRef idx="1">
                          <a:schemeClr val="accent1"/>
                        </a:lnRef>
                        <a:fillRef idx="2">
                          <a:schemeClr val="accent1"/>
                        </a:fillRef>
                        <a:effectRef idx="1">
                          <a:schemeClr val="accent1"/>
                        </a:effectRef>
                        <a:fontRef idx="minor">
                          <a:schemeClr val="dk1"/>
                        </a:fontRef>
                      </a:style>
                    </a:sp>
                    <a:cxnSp>
                      <a:nvCxnSpPr>
                        <a:cNvPr id="6" name="AutoShape 13"/>
                        <a:cNvCxnSpPr>
                          <a:cxnSpLocks noChangeShapeType="1"/>
                          <a:stCxn id="4" idx="2"/>
                          <a:endCxn id="8" idx="0"/>
                        </a:cNvCxnSpPr>
                      </a:nvCxnSpPr>
                      <a:spPr bwMode="auto">
                        <a:xfrm>
                          <a:off x="4427984" y="1035158"/>
                          <a:ext cx="936104" cy="360039"/>
                        </a:xfrm>
                        <a:prstGeom prst="straightConnector1">
                          <a:avLst/>
                        </a:prstGeom>
                        <a:noFill/>
                        <a:ln w="12700">
                          <a:solidFill>
                            <a:srgbClr val="666666"/>
                          </a:solidFill>
                          <a:round/>
                          <a:headEnd/>
                          <a:tailEnd type="triangle" w="med" len="med"/>
                        </a:ln>
                      </a:spPr>
                    </a:cxnSp>
                    <a:sp>
                      <a:nvSpPr>
                        <a:cNvPr id="7" name="Text Box 27"/>
                        <a:cNvSpPr txBox="1">
                          <a:spLocks noChangeArrowheads="1"/>
                        </a:cNvSpPr>
                      </a:nvSpPr>
                      <a:spPr bwMode="auto">
                        <a:xfrm>
                          <a:off x="2782074" y="1093922"/>
                          <a:ext cx="585408" cy="216023"/>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en-US" sz="1100" dirty="0" smtClean="0">
                                <a:latin typeface="Calibri" pitchFamily="34" charset="0"/>
                              </a:rPr>
                              <a:t>78</a:t>
                            </a:r>
                            <a:r>
                              <a:rPr lang="bg-BG" sz="1100" dirty="0" smtClean="0">
                                <a:latin typeface="Calibri" pitchFamily="34" charset="0"/>
                              </a:rPr>
                              <a:t>%</a:t>
                            </a:r>
                            <a:endParaRPr lang="bg-BG" dirty="0"/>
                          </a:p>
                        </a:txBody>
                        <a:useSpRect/>
                      </a:txSp>
                    </a:sp>
                    <a:sp>
                      <a:nvSpPr>
                        <a:cNvPr id="8" name="AutoShape 19"/>
                        <a:cNvSpPr>
                          <a:spLocks noChangeArrowheads="1"/>
                        </a:cNvSpPr>
                      </a:nvSpPr>
                      <a:spPr bwMode="auto">
                        <a:xfrm>
                          <a:off x="4283968" y="1395199"/>
                          <a:ext cx="2160240" cy="360041"/>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Омникар Варна ООД</a:t>
                            </a:r>
                            <a:endParaRPr lang="bg-BG" sz="1400" dirty="0">
                              <a:solidFill>
                                <a:srgbClr val="002060"/>
                              </a:solidFill>
                              <a:latin typeface="Calibri"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cxnSp>
                      <a:nvCxnSpPr>
                        <a:cNvPr id="9" name="AutoShape 13"/>
                        <a:cNvCxnSpPr>
                          <a:cxnSpLocks noChangeShapeType="1"/>
                          <a:stCxn id="4" idx="2"/>
                          <a:endCxn id="5" idx="0"/>
                        </a:cNvCxnSpPr>
                      </a:nvCxnSpPr>
                      <a:spPr bwMode="auto">
                        <a:xfrm flipH="1">
                          <a:off x="3239852" y="1035158"/>
                          <a:ext cx="1188132" cy="357070"/>
                        </a:xfrm>
                        <a:prstGeom prst="straightConnector1">
                          <a:avLst/>
                        </a:prstGeom>
                        <a:noFill/>
                        <a:ln w="12700">
                          <a:solidFill>
                            <a:srgbClr val="666666"/>
                          </a:solidFill>
                          <a:round/>
                          <a:headEnd/>
                          <a:tailEnd type="triangle" w="med" len="med"/>
                        </a:ln>
                      </a:spPr>
                    </a:cxnSp>
                    <a:sp>
                      <a:nvSpPr>
                        <a:cNvPr id="12" name="Text Box 27"/>
                        <a:cNvSpPr txBox="1">
                          <a:spLocks noChangeArrowheads="1"/>
                        </a:cNvSpPr>
                      </a:nvSpPr>
                      <a:spPr bwMode="auto">
                        <a:xfrm>
                          <a:off x="5281806" y="1093922"/>
                          <a:ext cx="585408" cy="216023"/>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en-US" sz="1100" dirty="0" smtClean="0">
                                <a:latin typeface="Calibri" pitchFamily="34" charset="0"/>
                              </a:rPr>
                              <a:t>5</a:t>
                            </a:r>
                            <a:r>
                              <a:rPr lang="bg-BG" sz="1100" dirty="0" smtClean="0">
                                <a:latin typeface="Calibri" pitchFamily="34" charset="0"/>
                              </a:rPr>
                              <a:t>0</a:t>
                            </a:r>
                            <a:r>
                              <a:rPr lang="bg-BG" sz="1100" dirty="0">
                                <a:latin typeface="Calibri" pitchFamily="34" charset="0"/>
                              </a:rPr>
                              <a:t>%</a:t>
                            </a:r>
                            <a:endParaRPr lang="bg-BG" dirty="0"/>
                          </a:p>
                        </a:txBody>
                        <a:useSpRect/>
                      </a:txSp>
                    </a:sp>
                    <a:sp>
                      <a:nvSpPr>
                        <a:cNvPr id="13" name="AutoShape 19"/>
                        <a:cNvSpPr>
                          <a:spLocks noChangeArrowheads="1"/>
                        </a:cNvSpPr>
                      </a:nvSpPr>
                      <a:spPr bwMode="auto">
                        <a:xfrm>
                          <a:off x="467544" y="2132856"/>
                          <a:ext cx="1728192" cy="360041"/>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„Омникар-1” ЕООД</a:t>
                            </a:r>
                            <a:endParaRPr lang="bg-BG" sz="1400" dirty="0" smtClean="0">
                              <a:solidFill>
                                <a:srgbClr val="002060"/>
                              </a:solidFill>
                              <a:latin typeface="Calibri"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cxnSp>
                      <a:nvCxnSpPr>
                        <a:cNvPr id="14" name="AutoShape 13"/>
                        <a:cNvCxnSpPr>
                          <a:cxnSpLocks noChangeShapeType="1"/>
                          <a:stCxn id="5" idx="2"/>
                          <a:endCxn id="15" idx="0"/>
                        </a:cNvCxnSpPr>
                      </a:nvCxnSpPr>
                      <a:spPr bwMode="auto">
                        <a:xfrm>
                          <a:off x="3239852" y="1752269"/>
                          <a:ext cx="1872208" cy="380587"/>
                        </a:xfrm>
                        <a:prstGeom prst="straightConnector1">
                          <a:avLst/>
                        </a:prstGeom>
                        <a:noFill/>
                        <a:ln w="12700">
                          <a:solidFill>
                            <a:srgbClr val="666666"/>
                          </a:solidFill>
                          <a:round/>
                          <a:headEnd/>
                          <a:tailEnd type="triangle" w="med" len="med"/>
                        </a:ln>
                      </a:spPr>
                    </a:cxnSp>
                    <a:sp>
                      <a:nvSpPr>
                        <a:cNvPr id="15" name="AutoShape 19"/>
                        <a:cNvSpPr>
                          <a:spLocks noChangeArrowheads="1"/>
                        </a:cNvSpPr>
                      </a:nvSpPr>
                      <a:spPr bwMode="auto">
                        <a:xfrm>
                          <a:off x="4211960" y="2132856"/>
                          <a:ext cx="1800200" cy="360041"/>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„Омникар инс” </a:t>
                            </a:r>
                            <a:r>
                              <a:rPr lang="bg-BG" sz="1400" dirty="0" smtClean="0">
                                <a:solidFill>
                                  <a:srgbClr val="002060"/>
                                </a:solidFill>
                                <a:latin typeface="Calibri" pitchFamily="34" charset="0"/>
                                <a:cs typeface="Arial" pitchFamily="34" charset="0"/>
                              </a:rPr>
                              <a:t>ООД</a:t>
                            </a:r>
                          </a:p>
                        </a:txBody>
                        <a:useSpRect/>
                      </a:txSp>
                      <a:style>
                        <a:lnRef idx="1">
                          <a:schemeClr val="accent1"/>
                        </a:lnRef>
                        <a:fillRef idx="2">
                          <a:schemeClr val="accent1"/>
                        </a:fillRef>
                        <a:effectRef idx="1">
                          <a:schemeClr val="accent1"/>
                        </a:effectRef>
                        <a:fontRef idx="minor">
                          <a:schemeClr val="dk1"/>
                        </a:fontRef>
                      </a:style>
                    </a:sp>
                    <a:cxnSp>
                      <a:nvCxnSpPr>
                        <a:cNvPr id="16" name="AutoShape 13"/>
                        <a:cNvCxnSpPr>
                          <a:cxnSpLocks noChangeShapeType="1"/>
                          <a:stCxn id="5" idx="2"/>
                          <a:endCxn id="13" idx="0"/>
                        </a:cNvCxnSpPr>
                      </a:nvCxnSpPr>
                      <a:spPr bwMode="auto">
                        <a:xfrm flipH="1">
                          <a:off x="1331640" y="1752269"/>
                          <a:ext cx="1908212" cy="380587"/>
                        </a:xfrm>
                        <a:prstGeom prst="straightConnector1">
                          <a:avLst/>
                        </a:prstGeom>
                        <a:noFill/>
                        <a:ln w="12700">
                          <a:solidFill>
                            <a:srgbClr val="666666"/>
                          </a:solidFill>
                          <a:round/>
                          <a:headEnd/>
                          <a:tailEnd type="triangle" w="med" len="med"/>
                        </a:ln>
                      </a:spPr>
                    </a:cxnSp>
                    <a:cxnSp>
                      <a:nvCxnSpPr>
                        <a:cNvPr id="27" name="AutoShape 13"/>
                        <a:cNvCxnSpPr>
                          <a:cxnSpLocks noChangeShapeType="1"/>
                          <a:stCxn id="5" idx="2"/>
                          <a:endCxn id="28" idx="0"/>
                        </a:cNvCxnSpPr>
                      </a:nvCxnSpPr>
                      <a:spPr bwMode="auto">
                        <a:xfrm flipH="1">
                          <a:off x="3229578" y="1752269"/>
                          <a:ext cx="10274" cy="380587"/>
                        </a:xfrm>
                        <a:prstGeom prst="straightConnector1">
                          <a:avLst/>
                        </a:prstGeom>
                        <a:noFill/>
                        <a:ln w="12700">
                          <a:solidFill>
                            <a:srgbClr val="666666"/>
                          </a:solidFill>
                          <a:round/>
                          <a:headEnd/>
                          <a:tailEnd type="triangle" w="med" len="med"/>
                        </a:ln>
                      </a:spPr>
                    </a:cxnSp>
                    <a:sp>
                      <a:nvSpPr>
                        <a:cNvPr id="28" name="AutoShape 19"/>
                        <a:cNvSpPr>
                          <a:spLocks noChangeArrowheads="1"/>
                        </a:cNvSpPr>
                      </a:nvSpPr>
                      <a:spPr bwMode="auto">
                        <a:xfrm>
                          <a:off x="2329478" y="2132856"/>
                          <a:ext cx="1800200" cy="360041"/>
                        </a:xfrm>
                        <a:prstGeom prst="flowChartAlternateProcess">
                          <a:avLst/>
                        </a:prstGeom>
                        <a:ln>
                          <a:headEnd/>
                          <a:tailEnd/>
                        </a:ln>
                      </a:spPr>
                      <a:txSp>
                        <a:txBody>
                          <a:bodyPr/>
                          <a:lstStyle>
                            <a:defPPr>
                              <a:defRPr lang="bg-BG"/>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defRPr/>
                            </a:pPr>
                            <a:r>
                              <a:rPr lang="bg-BG" sz="1400" dirty="0" smtClean="0">
                                <a:solidFill>
                                  <a:srgbClr val="002060"/>
                                </a:solidFill>
                                <a:latin typeface="Calibri" pitchFamily="34" charset="0"/>
                                <a:cs typeface="Arial" pitchFamily="34" charset="0"/>
                              </a:rPr>
                              <a:t>Омникар Плюс ООД</a:t>
                            </a:r>
                            <a:endParaRPr lang="bg-BG" sz="1400" dirty="0">
                              <a:solidFill>
                                <a:srgbClr val="002060"/>
                              </a:solidFill>
                              <a:latin typeface="Calibri"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30" name="Text Box 27"/>
                        <a:cNvSpPr txBox="1">
                          <a:spLocks noChangeArrowheads="1"/>
                        </a:cNvSpPr>
                      </a:nvSpPr>
                      <a:spPr bwMode="auto">
                        <a:xfrm>
                          <a:off x="2608166" y="1885921"/>
                          <a:ext cx="585408" cy="216023"/>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smtClean="0">
                                <a:latin typeface="Calibri" pitchFamily="34" charset="0"/>
                              </a:rPr>
                              <a:t>50%</a:t>
                            </a:r>
                            <a:endParaRPr lang="bg-BG" dirty="0"/>
                          </a:p>
                        </a:txBody>
                        <a:useSpRect/>
                      </a:txSp>
                    </a:sp>
                    <a:sp>
                      <a:nvSpPr>
                        <a:cNvPr id="31" name="Text Box 27"/>
                        <a:cNvSpPr txBox="1">
                          <a:spLocks noChangeArrowheads="1"/>
                        </a:cNvSpPr>
                      </a:nvSpPr>
                      <a:spPr bwMode="auto">
                        <a:xfrm>
                          <a:off x="1259632" y="1772816"/>
                          <a:ext cx="585408" cy="216023"/>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smtClean="0">
                                <a:latin typeface="Calibri" pitchFamily="34" charset="0"/>
                              </a:rPr>
                              <a:t>10</a:t>
                            </a:r>
                            <a:r>
                              <a:rPr lang="bg-BG" sz="1100" dirty="0" smtClean="0">
                                <a:latin typeface="Calibri" pitchFamily="34" charset="0"/>
                              </a:rPr>
                              <a:t>0%</a:t>
                            </a:r>
                            <a:endParaRPr lang="bg-BG" dirty="0"/>
                          </a:p>
                        </a:txBody>
                        <a:useSpRect/>
                      </a:txSp>
                    </a:sp>
                    <a:sp>
                      <a:nvSpPr>
                        <a:cNvPr id="34" name="Text Box 27"/>
                        <a:cNvSpPr txBox="1">
                          <a:spLocks noChangeArrowheads="1"/>
                        </a:cNvSpPr>
                      </a:nvSpPr>
                      <a:spPr bwMode="auto">
                        <a:xfrm>
                          <a:off x="4499992" y="1844824"/>
                          <a:ext cx="585408" cy="216023"/>
                        </a:xfrm>
                        <a:prstGeom prst="rect">
                          <a:avLst/>
                        </a:prstGeom>
                        <a:solidFill>
                          <a:srgbClr val="F2F2F2"/>
                        </a:solidFill>
                        <a:ln w="9525">
                          <a:solidFill>
                            <a:srgbClr val="FFFFFF"/>
                          </a:solidFill>
                          <a:miter lim="800000"/>
                          <a:headEnd/>
                          <a:tailEnd/>
                        </a:ln>
                      </a:spPr>
                      <a:txSp>
                        <a:txBody>
                          <a:bodyPr/>
                          <a:lstStyle>
                            <a:defPPr>
                              <a:defRPr lang="bg-BG"/>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pPr>
                            <a:r>
                              <a:rPr lang="bg-BG" sz="1100" dirty="0" smtClean="0">
                                <a:latin typeface="Calibri" pitchFamily="34" charset="0"/>
                              </a:rPr>
                              <a:t>9</a:t>
                            </a:r>
                            <a:r>
                              <a:rPr lang="bg-BG" sz="1100" dirty="0" smtClean="0">
                                <a:latin typeface="Calibri" pitchFamily="34" charset="0"/>
                              </a:rPr>
                              <a:t>0%</a:t>
                            </a:r>
                            <a:endParaRPr lang="bg-BG" dirty="0"/>
                          </a:p>
                        </a:txBody>
                        <a:useSpRect/>
                      </a:txSp>
                    </a:sp>
                  </a:grpSp>
                </lc:lockedCanvas>
              </a:graphicData>
            </a:graphic>
          </wp:inline>
        </w:drawing>
      </w:r>
    </w:p>
    <w:p w:rsidR="00D22220" w:rsidRPr="005E7E32" w:rsidRDefault="00453050" w:rsidP="00D22220">
      <w:pPr>
        <w:spacing w:after="120"/>
        <w:ind w:left="709"/>
      </w:pPr>
      <w:r>
        <w:t>„СПИДИ” ЕАД е е</w:t>
      </w:r>
      <w:r w:rsidR="007D5307">
        <w:t xml:space="preserve">днолична собственост на „Спиди груп” АД. Акционери в последното са Валери </w:t>
      </w:r>
      <w:r w:rsidR="00932B58">
        <w:t xml:space="preserve">Харутюн </w:t>
      </w:r>
      <w:r w:rsidR="007D5307">
        <w:t xml:space="preserve">Мектупчиян, Славчо </w:t>
      </w:r>
      <w:r w:rsidR="00932B58">
        <w:t xml:space="preserve">Кирилов </w:t>
      </w:r>
      <w:r w:rsidR="007D5307">
        <w:t>Пантелеев и Георги</w:t>
      </w:r>
      <w:r w:rsidR="00932B58">
        <w:t xml:space="preserve"> Иванов</w:t>
      </w:r>
      <w:r w:rsidR="007D5307">
        <w:t xml:space="preserve"> Г</w:t>
      </w:r>
      <w:r w:rsidR="001924B3">
        <w:t>л</w:t>
      </w:r>
      <w:r w:rsidR="007D5307">
        <w:t xml:space="preserve">огов (чрез едноличнопритежаваното от него дружество „Алекс Г” ЕООД). Най-голям акционер в „Спиди груп” АД е Валери Мектупчиян, притежаващ 67,2% от капитала. Същото е регистрирано на 04.08.2011 г. и </w:t>
      </w:r>
      <w:r w:rsidR="002E2A94">
        <w:t xml:space="preserve">към момента не извършва самостоятелна дейност. Валери Мектупчиян контролира пряко и косвено (чрез контролирани от него </w:t>
      </w:r>
      <w:r w:rsidR="00DF2195">
        <w:t>компании</w:t>
      </w:r>
      <w:r w:rsidR="00561FFD">
        <w:t>) 1</w:t>
      </w:r>
      <w:r w:rsidR="00855166">
        <w:t>7</w:t>
      </w:r>
      <w:r>
        <w:t xml:space="preserve"> </w:t>
      </w:r>
      <w:r w:rsidR="002E2A94">
        <w:t xml:space="preserve"> други дружества в </w:t>
      </w:r>
      <w:r w:rsidR="002E2A94" w:rsidRPr="005E7E32">
        <w:t>сферата на тъ</w:t>
      </w:r>
      <w:r>
        <w:t>р</w:t>
      </w:r>
      <w:r w:rsidR="002E2A94" w:rsidRPr="005E7E32">
        <w:t>говията с масла, горива и резервни части, продажба и ремонт на автомобили</w:t>
      </w:r>
      <w:r w:rsidR="005E7E32" w:rsidRPr="005E7E32">
        <w:t xml:space="preserve"> и други</w:t>
      </w:r>
      <w:r w:rsidR="00AA371B" w:rsidRPr="005E7E32">
        <w:t xml:space="preserve">. „Омникар БГ” ЕООД е партньорска организация на ExxonMobil за България и техен </w:t>
      </w:r>
      <w:r w:rsidR="00CB7967">
        <w:t>единствен</w:t>
      </w:r>
      <w:r w:rsidR="00CB7967" w:rsidRPr="005E7E32">
        <w:t xml:space="preserve"> </w:t>
      </w:r>
      <w:r w:rsidR="00CB7967">
        <w:t xml:space="preserve">официален </w:t>
      </w:r>
      <w:r w:rsidR="00CB7967" w:rsidRPr="005E7E32">
        <w:t>вносител</w:t>
      </w:r>
      <w:r w:rsidR="00CB7967">
        <w:t xml:space="preserve"> за България</w:t>
      </w:r>
      <w:r w:rsidR="00CB7967" w:rsidRPr="005E7E32">
        <w:t xml:space="preserve"> </w:t>
      </w:r>
      <w:r w:rsidR="00AA371B" w:rsidRPr="005E7E32">
        <w:t>от 2010 г. и „Омникар Ауто” ООД е оторизиран дилър на марките Рено</w:t>
      </w:r>
      <w:r w:rsidR="00CB7967">
        <w:t xml:space="preserve">, </w:t>
      </w:r>
      <w:r w:rsidR="00AA371B" w:rsidRPr="005E7E32">
        <w:t>Нисан</w:t>
      </w:r>
      <w:r w:rsidR="00CB7967">
        <w:t xml:space="preserve"> и Дачиа</w:t>
      </w:r>
      <w:r w:rsidR="00AA371B" w:rsidRPr="005E7E32">
        <w:t xml:space="preserve"> за областите Пловдив и Варна.</w:t>
      </w:r>
    </w:p>
    <w:p w:rsidR="00932B58" w:rsidRPr="006A5A28" w:rsidRDefault="0053041D" w:rsidP="00D22220">
      <w:pPr>
        <w:spacing w:after="120"/>
        <w:ind w:left="709"/>
      </w:pPr>
      <w:r w:rsidRPr="0053041D">
        <w:t>Георги Иванов Глогов е управител на „Алекс-Г” ЕООД, „Спиди” ЕООД, „Трансбалкан груп” ООД, „Сандрини ФЛО” ООД, какт</w:t>
      </w:r>
      <w:r w:rsidR="008A4CDF">
        <w:t xml:space="preserve">о и член на СД на „Спиди груп” </w:t>
      </w:r>
      <w:r w:rsidRPr="0053041D">
        <w:t xml:space="preserve">АД, </w:t>
      </w:r>
      <w:r w:rsidR="00D70BF4">
        <w:t>„СПИДИ” ЕАД</w:t>
      </w:r>
      <w:r w:rsidRPr="0053041D">
        <w:t xml:space="preserve">, „Консепт инвест 2011” ЕАД </w:t>
      </w:r>
      <w:r>
        <w:t xml:space="preserve">. Славчо </w:t>
      </w:r>
      <w:r w:rsidR="001924B3">
        <w:t>Кирилов Панта</w:t>
      </w:r>
      <w:r>
        <w:t xml:space="preserve">леев е едноличен собственик и управител на </w:t>
      </w:r>
      <w:r w:rsidR="00932B58" w:rsidRPr="00932B58">
        <w:t>„</w:t>
      </w:r>
      <w:r w:rsidRPr="00932B58">
        <w:t>Голди</w:t>
      </w:r>
      <w:r w:rsidR="00932B58" w:rsidRPr="00932B58">
        <w:t>-КС” ЕООД</w:t>
      </w:r>
      <w:r>
        <w:t>.</w:t>
      </w:r>
    </w:p>
    <w:p w:rsidR="00FC3657" w:rsidRDefault="00330288" w:rsidP="006A5A28">
      <w:pPr>
        <w:pStyle w:val="Heading1"/>
        <w:numPr>
          <w:ilvl w:val="2"/>
          <w:numId w:val="11"/>
        </w:numPr>
        <w:ind w:left="709" w:hanging="709"/>
        <w:rPr>
          <w:rFonts w:ascii="Times New Roman" w:hAnsi="Times New Roman"/>
          <w:b w:val="0"/>
          <w:i/>
          <w:sz w:val="24"/>
          <w:szCs w:val="24"/>
        </w:rPr>
      </w:pPr>
      <w:bookmarkStart w:id="71" w:name="_Toc324376925"/>
      <w:bookmarkStart w:id="72" w:name="_Toc324380084"/>
      <w:r w:rsidRPr="006A5A28">
        <w:rPr>
          <w:rFonts w:ascii="Times New Roman" w:hAnsi="Times New Roman"/>
          <w:b w:val="0"/>
          <w:i/>
          <w:sz w:val="24"/>
          <w:szCs w:val="24"/>
        </w:rPr>
        <w:t xml:space="preserve">Данни </w:t>
      </w:r>
      <w:r w:rsidR="00FC3657" w:rsidRPr="006A5A28">
        <w:rPr>
          <w:rFonts w:ascii="Times New Roman" w:hAnsi="Times New Roman"/>
          <w:b w:val="0"/>
          <w:i/>
          <w:sz w:val="24"/>
          <w:szCs w:val="24"/>
        </w:rPr>
        <w:t>за дъщерните дружества на емитента</w:t>
      </w:r>
      <w:bookmarkEnd w:id="71"/>
      <w:bookmarkEnd w:id="72"/>
    </w:p>
    <w:p w:rsidR="009A08D2" w:rsidRDefault="00D70BF4" w:rsidP="00BE0C31">
      <w:pPr>
        <w:spacing w:after="120"/>
        <w:ind w:left="709"/>
      </w:pPr>
      <w:r>
        <w:t>„СПИДИ” ЕАД</w:t>
      </w:r>
      <w:r w:rsidR="00330288">
        <w:t xml:space="preserve"> притежава 100% от к</w:t>
      </w:r>
      <w:r w:rsidR="001924B3">
        <w:t>апитала и от гласовете в общото</w:t>
      </w:r>
      <w:r w:rsidR="00330288">
        <w:t xml:space="preserve"> събрание на съдружниците на „Спиди” ЕООД</w:t>
      </w:r>
      <w:r w:rsidR="00BD1F8F">
        <w:t>.</w:t>
      </w:r>
    </w:p>
    <w:p w:rsidR="00330288" w:rsidRDefault="00330288" w:rsidP="00330288">
      <w:pPr>
        <w:ind w:left="709"/>
      </w:pPr>
    </w:p>
    <w:tbl>
      <w:tblPr>
        <w:tblW w:w="9072" w:type="dxa"/>
        <w:tblInd w:w="817" w:type="dxa"/>
        <w:tblLook w:val="04A0"/>
      </w:tblPr>
      <w:tblGrid>
        <w:gridCol w:w="2693"/>
        <w:gridCol w:w="6379"/>
      </w:tblGrid>
      <w:tr w:rsidR="009A08D2" w:rsidRPr="00BA4021" w:rsidTr="007115DE">
        <w:tc>
          <w:tcPr>
            <w:tcW w:w="2693" w:type="dxa"/>
          </w:tcPr>
          <w:p w:rsidR="009A08D2" w:rsidRPr="00BA4021" w:rsidRDefault="009A08D2" w:rsidP="009A08D2">
            <w:pPr>
              <w:ind w:left="-108"/>
              <w:rPr>
                <w:b/>
              </w:rPr>
            </w:pPr>
            <w:r>
              <w:rPr>
                <w:b/>
              </w:rPr>
              <w:t>Наименование</w:t>
            </w:r>
          </w:p>
        </w:tc>
        <w:tc>
          <w:tcPr>
            <w:tcW w:w="6379" w:type="dxa"/>
          </w:tcPr>
          <w:p w:rsidR="009A08D2" w:rsidRDefault="009A08D2" w:rsidP="000639CB">
            <w:r>
              <w:t>„Спиди” ЕООД</w:t>
            </w:r>
          </w:p>
        </w:tc>
      </w:tr>
      <w:tr w:rsidR="009A08D2" w:rsidRPr="00BA4021" w:rsidTr="007115DE">
        <w:tc>
          <w:tcPr>
            <w:tcW w:w="2693" w:type="dxa"/>
          </w:tcPr>
          <w:p w:rsidR="009A08D2" w:rsidRDefault="009A08D2" w:rsidP="009A08D2">
            <w:pPr>
              <w:ind w:left="-108"/>
              <w:rPr>
                <w:b/>
              </w:rPr>
            </w:pPr>
            <w:r>
              <w:rPr>
                <w:b/>
              </w:rPr>
              <w:t>ЕИК</w:t>
            </w:r>
          </w:p>
        </w:tc>
        <w:tc>
          <w:tcPr>
            <w:tcW w:w="6379" w:type="dxa"/>
          </w:tcPr>
          <w:p w:rsidR="009A08D2" w:rsidRPr="001924B3" w:rsidRDefault="001924B3" w:rsidP="000639CB">
            <w:pPr>
              <w:rPr>
                <w:strike/>
              </w:rPr>
            </w:pPr>
            <w:r w:rsidRPr="001924B3">
              <w:t>115260535</w:t>
            </w:r>
          </w:p>
        </w:tc>
      </w:tr>
      <w:tr w:rsidR="00BD1F8F" w:rsidRPr="00BA4021" w:rsidTr="007115DE">
        <w:tc>
          <w:tcPr>
            <w:tcW w:w="2693" w:type="dxa"/>
          </w:tcPr>
          <w:p w:rsidR="00BD1F8F" w:rsidRDefault="00BD1F8F" w:rsidP="009A08D2">
            <w:pPr>
              <w:ind w:left="-108"/>
              <w:rPr>
                <w:b/>
              </w:rPr>
            </w:pPr>
            <w:r w:rsidRPr="00BD1F8F">
              <w:rPr>
                <w:b/>
              </w:rPr>
              <w:t>Предмет на дейност</w:t>
            </w:r>
          </w:p>
        </w:tc>
        <w:tc>
          <w:tcPr>
            <w:tcW w:w="6379" w:type="dxa"/>
          </w:tcPr>
          <w:p w:rsidR="00BD1F8F" w:rsidRDefault="00BD1F8F" w:rsidP="000639CB">
            <w:r>
              <w:t>Внос-износ, спедиторски услуги, производство и търговия с всички видове стоки в страната и чужбина, посредничество, дистрибутурска дейност на всички видове стоки и всяка друга дейност, незабранена със закон</w:t>
            </w:r>
          </w:p>
        </w:tc>
      </w:tr>
      <w:tr w:rsidR="009A08D2" w:rsidRPr="00BA4021" w:rsidTr="007115DE">
        <w:trPr>
          <w:trHeight w:val="672"/>
        </w:trPr>
        <w:tc>
          <w:tcPr>
            <w:tcW w:w="2693" w:type="dxa"/>
          </w:tcPr>
          <w:p w:rsidR="009A08D2" w:rsidRDefault="009A08D2" w:rsidP="009A08D2">
            <w:pPr>
              <w:ind w:left="-108"/>
              <w:rPr>
                <w:b/>
              </w:rPr>
            </w:pPr>
            <w:r w:rsidRPr="00BA4021">
              <w:rPr>
                <w:b/>
              </w:rPr>
              <w:t>Седалище</w:t>
            </w:r>
            <w:r>
              <w:rPr>
                <w:b/>
              </w:rPr>
              <w:t xml:space="preserve"> и </w:t>
            </w:r>
            <w:r w:rsidRPr="00BA4021">
              <w:rPr>
                <w:b/>
              </w:rPr>
              <w:t>адрес</w:t>
            </w:r>
          </w:p>
          <w:p w:rsidR="009A08D2" w:rsidRPr="00BA4021" w:rsidRDefault="009A08D2" w:rsidP="009A08D2">
            <w:pPr>
              <w:ind w:left="-108"/>
              <w:rPr>
                <w:b/>
              </w:rPr>
            </w:pPr>
            <w:r w:rsidRPr="00BA4021">
              <w:rPr>
                <w:b/>
              </w:rPr>
              <w:t>на управление</w:t>
            </w:r>
          </w:p>
        </w:tc>
        <w:tc>
          <w:tcPr>
            <w:tcW w:w="6379" w:type="dxa"/>
          </w:tcPr>
          <w:p w:rsidR="009A08D2" w:rsidRDefault="009A08D2" w:rsidP="009A08D2">
            <w:r>
              <w:t>България, гр. Пловдив 4000 р-н Централен,</w:t>
            </w:r>
          </w:p>
          <w:p w:rsidR="009A08D2" w:rsidRPr="0006033A" w:rsidRDefault="009A08D2" w:rsidP="009A08D2">
            <w:r>
              <w:t>ул. „Люле Бургас”, No 17, ет. 2, ап. 4</w:t>
            </w:r>
          </w:p>
        </w:tc>
      </w:tr>
    </w:tbl>
    <w:p w:rsidR="00330288" w:rsidRDefault="00330288" w:rsidP="00330288">
      <w:pPr>
        <w:ind w:left="709"/>
      </w:pPr>
    </w:p>
    <w:p w:rsidR="00BD1F8F" w:rsidRDefault="00D70BF4" w:rsidP="00330288">
      <w:pPr>
        <w:ind w:left="709"/>
      </w:pPr>
      <w:r>
        <w:t>„СПИДИ” ЕАД</w:t>
      </w:r>
      <w:r w:rsidR="00BD1F8F">
        <w:t xml:space="preserve"> притежава чрез „Спиди” ЕООД</w:t>
      </w:r>
      <w:r w:rsidR="00B5709D">
        <w:t xml:space="preserve"> 100% от капитала на „Трансбалкан” </w:t>
      </w:r>
      <w:r w:rsidR="00502B5A">
        <w:t>СРЛ, Румъния</w:t>
      </w:r>
    </w:p>
    <w:p w:rsidR="00BD1F8F" w:rsidRDefault="00BD1F8F" w:rsidP="00330288">
      <w:pPr>
        <w:ind w:left="709"/>
      </w:pPr>
    </w:p>
    <w:tbl>
      <w:tblPr>
        <w:tblW w:w="9072" w:type="dxa"/>
        <w:tblInd w:w="817" w:type="dxa"/>
        <w:tblLook w:val="04A0"/>
      </w:tblPr>
      <w:tblGrid>
        <w:gridCol w:w="2693"/>
        <w:gridCol w:w="6379"/>
      </w:tblGrid>
      <w:tr w:rsidR="00BD1F8F" w:rsidRPr="00BA4021" w:rsidTr="007115DE">
        <w:tc>
          <w:tcPr>
            <w:tcW w:w="2693" w:type="dxa"/>
          </w:tcPr>
          <w:p w:rsidR="00BD1F8F" w:rsidRPr="00BA4021" w:rsidRDefault="00BD1F8F" w:rsidP="000639CB">
            <w:pPr>
              <w:ind w:left="-108"/>
              <w:rPr>
                <w:b/>
              </w:rPr>
            </w:pPr>
            <w:r>
              <w:rPr>
                <w:b/>
              </w:rPr>
              <w:t>Наименование</w:t>
            </w:r>
          </w:p>
        </w:tc>
        <w:tc>
          <w:tcPr>
            <w:tcW w:w="6379" w:type="dxa"/>
          </w:tcPr>
          <w:p w:rsidR="00BD1F8F" w:rsidRDefault="00320126" w:rsidP="000639CB">
            <w:r w:rsidRPr="00320126">
              <w:t>Transbalcan grup SRL</w:t>
            </w:r>
          </w:p>
        </w:tc>
      </w:tr>
      <w:tr w:rsidR="00BD1F8F" w:rsidRPr="00BA4021" w:rsidTr="007115DE">
        <w:tc>
          <w:tcPr>
            <w:tcW w:w="2693" w:type="dxa"/>
          </w:tcPr>
          <w:p w:rsidR="00BD1F8F" w:rsidRDefault="00BD1F8F" w:rsidP="000639CB">
            <w:pPr>
              <w:ind w:left="-108"/>
              <w:rPr>
                <w:b/>
              </w:rPr>
            </w:pPr>
          </w:p>
        </w:tc>
        <w:tc>
          <w:tcPr>
            <w:tcW w:w="6379" w:type="dxa"/>
          </w:tcPr>
          <w:p w:rsidR="00BD1F8F" w:rsidRDefault="00BD1F8F" w:rsidP="000639CB"/>
        </w:tc>
      </w:tr>
      <w:tr w:rsidR="00BD1F8F" w:rsidRPr="00BA4021" w:rsidTr="007115DE">
        <w:tc>
          <w:tcPr>
            <w:tcW w:w="2693" w:type="dxa"/>
          </w:tcPr>
          <w:p w:rsidR="00BD1F8F" w:rsidRPr="006A0EAB" w:rsidRDefault="00BD1F8F" w:rsidP="000639CB">
            <w:pPr>
              <w:ind w:left="-108"/>
              <w:rPr>
                <w:b/>
              </w:rPr>
            </w:pPr>
            <w:r w:rsidRPr="006A0EAB">
              <w:rPr>
                <w:b/>
              </w:rPr>
              <w:t>Предмет на дейност</w:t>
            </w:r>
          </w:p>
        </w:tc>
        <w:tc>
          <w:tcPr>
            <w:tcW w:w="6379" w:type="dxa"/>
          </w:tcPr>
          <w:p w:rsidR="00BD1F8F" w:rsidRDefault="006A0EAB" w:rsidP="000639CB">
            <w:r>
              <w:t>Внос-износ, спедиторски услуги</w:t>
            </w:r>
          </w:p>
        </w:tc>
      </w:tr>
      <w:tr w:rsidR="00BD1F8F" w:rsidRPr="00BA4021" w:rsidTr="007115DE">
        <w:trPr>
          <w:trHeight w:val="672"/>
        </w:trPr>
        <w:tc>
          <w:tcPr>
            <w:tcW w:w="2693" w:type="dxa"/>
          </w:tcPr>
          <w:p w:rsidR="00BD1F8F" w:rsidRDefault="00BD1F8F" w:rsidP="000639CB">
            <w:pPr>
              <w:ind w:left="-108"/>
              <w:rPr>
                <w:b/>
              </w:rPr>
            </w:pPr>
            <w:r w:rsidRPr="00BA4021">
              <w:rPr>
                <w:b/>
              </w:rPr>
              <w:t>Седалище</w:t>
            </w:r>
            <w:r>
              <w:rPr>
                <w:b/>
              </w:rPr>
              <w:t xml:space="preserve"> и </w:t>
            </w:r>
            <w:r w:rsidRPr="00BA4021">
              <w:rPr>
                <w:b/>
              </w:rPr>
              <w:t>адрес</w:t>
            </w:r>
          </w:p>
          <w:p w:rsidR="00BD1F8F" w:rsidRPr="00BA4021" w:rsidRDefault="00BD1F8F" w:rsidP="000639CB">
            <w:pPr>
              <w:ind w:left="-108"/>
              <w:rPr>
                <w:b/>
              </w:rPr>
            </w:pPr>
            <w:r w:rsidRPr="00BA4021">
              <w:rPr>
                <w:b/>
              </w:rPr>
              <w:t>на управление</w:t>
            </w:r>
          </w:p>
        </w:tc>
        <w:tc>
          <w:tcPr>
            <w:tcW w:w="6379" w:type="dxa"/>
          </w:tcPr>
          <w:p w:rsidR="00BD1F8F" w:rsidRPr="0006033A" w:rsidRDefault="00320126" w:rsidP="000639CB">
            <w:r w:rsidRPr="00320126">
              <w:t>Bd. Timisoara 84, Parter, Cladirea Comet, sector 6, Bucuresti, Romania</w:t>
            </w:r>
          </w:p>
        </w:tc>
      </w:tr>
    </w:tbl>
    <w:p w:rsidR="00330288" w:rsidRDefault="00330288" w:rsidP="00330288">
      <w:pPr>
        <w:ind w:left="709"/>
      </w:pPr>
    </w:p>
    <w:p w:rsidR="00BD1F8F" w:rsidRDefault="00DA6344" w:rsidP="00330288">
      <w:pPr>
        <w:ind w:left="709"/>
      </w:pPr>
      <w:r>
        <w:t xml:space="preserve">Дейността на емитента е тясно обвързана с дейността на дъщерните дружества. Същите дестват изцяло като негови подизпълнители. „СПИДИ” ЕАД има търговски взаимоотношения и други свързани лица, но тя е малка част от основната дейност и не е силно зависима. Повече данни за сделките със свързани лица има в т. </w:t>
      </w:r>
      <w:r w:rsidR="001E7C80">
        <w:fldChar w:fldCharType="begin"/>
      </w:r>
      <w:r>
        <w:instrText xml:space="preserve"> REF _Ref324350806 \r \h </w:instrText>
      </w:r>
      <w:r w:rsidR="001E7C80">
        <w:fldChar w:fldCharType="separate"/>
      </w:r>
      <w:r>
        <w:t>8</w:t>
      </w:r>
      <w:r w:rsidR="001E7C80">
        <w:fldChar w:fldCharType="end"/>
      </w:r>
      <w:r>
        <w:t xml:space="preserve"> от настоящия документ.</w:t>
      </w:r>
    </w:p>
    <w:p w:rsidR="00BD1F8F" w:rsidRPr="00330288" w:rsidRDefault="00BD1F8F" w:rsidP="00330288">
      <w:pPr>
        <w:ind w:left="709"/>
      </w:pPr>
    </w:p>
    <w:p w:rsidR="00502B5A" w:rsidRDefault="00502B5A">
      <w:pPr>
        <w:autoSpaceDE/>
        <w:autoSpaceDN/>
        <w:adjustRightInd/>
        <w:spacing w:after="0"/>
        <w:jc w:val="left"/>
      </w:pPr>
      <w:r>
        <w:br w:type="page"/>
      </w:r>
    </w:p>
    <w:p w:rsidR="00FC3657" w:rsidRPr="00502B5A" w:rsidRDefault="00FC3657" w:rsidP="00502B5A">
      <w:pPr>
        <w:pStyle w:val="Heading1"/>
        <w:numPr>
          <w:ilvl w:val="1"/>
          <w:numId w:val="11"/>
        </w:numPr>
        <w:ind w:left="567" w:hanging="567"/>
        <w:rPr>
          <w:rFonts w:ascii="Times New Roman" w:hAnsi="Times New Roman"/>
          <w:b w:val="0"/>
          <w:i/>
          <w:smallCaps/>
          <w:sz w:val="24"/>
          <w:szCs w:val="24"/>
        </w:rPr>
      </w:pPr>
      <w:r w:rsidRPr="00502B5A">
        <w:rPr>
          <w:rFonts w:ascii="Times New Roman" w:hAnsi="Times New Roman"/>
          <w:b w:val="0"/>
          <w:i/>
          <w:smallCaps/>
          <w:sz w:val="24"/>
          <w:szCs w:val="24"/>
        </w:rPr>
        <w:t xml:space="preserve"> </w:t>
      </w:r>
      <w:bookmarkStart w:id="73" w:name="_Toc324376926"/>
      <w:bookmarkStart w:id="74" w:name="_Toc324380085"/>
      <w:r w:rsidRPr="00502B5A">
        <w:rPr>
          <w:rFonts w:ascii="Times New Roman" w:hAnsi="Times New Roman"/>
          <w:b w:val="0"/>
          <w:i/>
          <w:smallCaps/>
          <w:sz w:val="24"/>
          <w:szCs w:val="24"/>
        </w:rPr>
        <w:t>Имущество, производствени единици и оборудване:</w:t>
      </w:r>
      <w:bookmarkEnd w:id="73"/>
      <w:bookmarkEnd w:id="74"/>
    </w:p>
    <w:p w:rsidR="00FC3657" w:rsidRDefault="000E17AB" w:rsidP="00502B5A">
      <w:pPr>
        <w:pStyle w:val="Heading1"/>
        <w:numPr>
          <w:ilvl w:val="2"/>
          <w:numId w:val="11"/>
        </w:numPr>
        <w:ind w:left="709" w:hanging="709"/>
        <w:rPr>
          <w:rFonts w:ascii="Times New Roman" w:hAnsi="Times New Roman"/>
          <w:b w:val="0"/>
          <w:i/>
          <w:sz w:val="24"/>
          <w:szCs w:val="24"/>
        </w:rPr>
      </w:pPr>
      <w:bookmarkStart w:id="75" w:name="_Toc324376927"/>
      <w:bookmarkStart w:id="76" w:name="_Toc324380086"/>
      <w:r w:rsidRPr="00502B5A">
        <w:rPr>
          <w:rFonts w:ascii="Times New Roman" w:hAnsi="Times New Roman"/>
          <w:b w:val="0"/>
          <w:i/>
          <w:sz w:val="24"/>
          <w:szCs w:val="24"/>
        </w:rPr>
        <w:t>Обем</w:t>
      </w:r>
      <w:r w:rsidR="00FC3657" w:rsidRPr="00502B5A">
        <w:rPr>
          <w:rFonts w:ascii="Times New Roman" w:hAnsi="Times New Roman"/>
          <w:b w:val="0"/>
          <w:i/>
          <w:sz w:val="24"/>
          <w:szCs w:val="24"/>
        </w:rPr>
        <w:t>, структура и динамика на дълго</w:t>
      </w:r>
      <w:r w:rsidR="00C27ABE">
        <w:rPr>
          <w:rFonts w:ascii="Times New Roman" w:hAnsi="Times New Roman"/>
          <w:b w:val="0"/>
          <w:i/>
          <w:sz w:val="24"/>
          <w:szCs w:val="24"/>
        </w:rPr>
        <w:t>трайните материални активи.</w:t>
      </w:r>
      <w:bookmarkEnd w:id="75"/>
      <w:bookmarkEnd w:id="76"/>
    </w:p>
    <w:p w:rsidR="00F803DB" w:rsidRPr="000E17AB" w:rsidRDefault="000E17AB" w:rsidP="000E17AB">
      <w:pPr>
        <w:spacing w:after="120"/>
        <w:jc w:val="center"/>
        <w:rPr>
          <w:i/>
          <w:u w:val="single"/>
        </w:rPr>
      </w:pPr>
      <w:r>
        <w:rPr>
          <w:i/>
          <w:u w:val="single"/>
        </w:rPr>
        <w:t>Структура на дълготрайните активи</w:t>
      </w:r>
    </w:p>
    <w:tbl>
      <w:tblPr>
        <w:tblStyle w:val="MediumShading2-Accent11"/>
        <w:tblW w:w="9780" w:type="dxa"/>
        <w:tblInd w:w="108" w:type="dxa"/>
        <w:tblLayout w:type="fixed"/>
        <w:tblLook w:val="04A0"/>
      </w:tblPr>
      <w:tblGrid>
        <w:gridCol w:w="3402"/>
        <w:gridCol w:w="1063"/>
        <w:gridCol w:w="1063"/>
        <w:gridCol w:w="1063"/>
        <w:gridCol w:w="1063"/>
        <w:gridCol w:w="1063"/>
        <w:gridCol w:w="1063"/>
      </w:tblGrid>
      <w:tr w:rsidR="00F243FA" w:rsidRPr="00C07D46" w:rsidTr="007115DE">
        <w:trPr>
          <w:cnfStyle w:val="100000000000"/>
          <w:trHeight w:val="270"/>
        </w:trPr>
        <w:tc>
          <w:tcPr>
            <w:cnfStyle w:val="001000000100"/>
            <w:tcW w:w="3402" w:type="dxa"/>
            <w:noWrap/>
            <w:hideMark/>
          </w:tcPr>
          <w:p w:rsidR="00F243FA" w:rsidRPr="00F05A3A" w:rsidRDefault="00F243FA" w:rsidP="0080674A">
            <w:pPr>
              <w:tabs>
                <w:tab w:val="right" w:pos="2477"/>
              </w:tabs>
              <w:autoSpaceDE/>
              <w:autoSpaceDN/>
              <w:adjustRightInd/>
              <w:spacing w:after="0"/>
              <w:jc w:val="center"/>
              <w:rPr>
                <w:rFonts w:asciiTheme="minorHAnsi" w:hAnsiTheme="minorHAnsi" w:cstheme="minorHAnsi"/>
                <w:sz w:val="22"/>
                <w:szCs w:val="22"/>
                <w:lang w:eastAsia="bg-BG"/>
              </w:rPr>
            </w:pPr>
            <w:r>
              <w:rPr>
                <w:rFonts w:asciiTheme="minorHAnsi" w:hAnsiTheme="minorHAnsi" w:cstheme="minorHAnsi"/>
                <w:sz w:val="22"/>
                <w:szCs w:val="22"/>
                <w:lang w:eastAsia="bg-BG"/>
              </w:rPr>
              <w:t>В хил. лв.</w:t>
            </w:r>
          </w:p>
        </w:tc>
        <w:tc>
          <w:tcPr>
            <w:tcW w:w="1063" w:type="dxa"/>
            <w:hideMark/>
          </w:tcPr>
          <w:p w:rsidR="00F243FA" w:rsidRPr="00C07D46" w:rsidRDefault="00F243FA" w:rsidP="00D466EF">
            <w:pPr>
              <w:autoSpaceDE/>
              <w:autoSpaceDN/>
              <w:adjustRightInd/>
              <w:spacing w:after="0"/>
              <w:contextualSpacing/>
              <w:jc w:val="center"/>
              <w:cnfStyle w:val="100000000000"/>
              <w:rPr>
                <w:rFonts w:asciiTheme="minorHAnsi" w:hAnsiTheme="minorHAnsi" w:cstheme="minorHAnsi"/>
                <w:bCs w:val="0"/>
                <w:sz w:val="22"/>
                <w:szCs w:val="22"/>
                <w:lang w:eastAsia="bg-BG"/>
              </w:rPr>
            </w:pPr>
            <w:r w:rsidRPr="00C07D46">
              <w:rPr>
                <w:rFonts w:asciiTheme="minorHAnsi" w:hAnsiTheme="minorHAnsi" w:cstheme="minorHAnsi"/>
                <w:bCs w:val="0"/>
                <w:sz w:val="22"/>
                <w:szCs w:val="22"/>
                <w:lang w:eastAsia="bg-BG"/>
              </w:rPr>
              <w:t>2009</w:t>
            </w:r>
          </w:p>
        </w:tc>
        <w:tc>
          <w:tcPr>
            <w:tcW w:w="1063" w:type="dxa"/>
            <w:hideMark/>
          </w:tcPr>
          <w:p w:rsidR="00F243FA" w:rsidRPr="00C07D46" w:rsidRDefault="00F243FA" w:rsidP="00D466EF">
            <w:pPr>
              <w:autoSpaceDE/>
              <w:autoSpaceDN/>
              <w:adjustRightInd/>
              <w:spacing w:after="0"/>
              <w:contextualSpacing/>
              <w:jc w:val="center"/>
              <w:cnfStyle w:val="100000000000"/>
              <w:rPr>
                <w:rFonts w:asciiTheme="minorHAnsi" w:hAnsiTheme="minorHAnsi" w:cstheme="minorHAnsi"/>
                <w:bCs w:val="0"/>
                <w:sz w:val="22"/>
                <w:szCs w:val="22"/>
                <w:lang w:eastAsia="bg-BG"/>
              </w:rPr>
            </w:pPr>
            <w:r w:rsidRPr="00C07D46">
              <w:rPr>
                <w:rFonts w:asciiTheme="minorHAnsi" w:hAnsiTheme="minorHAnsi" w:cstheme="minorHAnsi"/>
                <w:bCs w:val="0"/>
                <w:sz w:val="22"/>
                <w:szCs w:val="22"/>
                <w:lang w:eastAsia="bg-BG"/>
              </w:rPr>
              <w:t>2010</w:t>
            </w:r>
          </w:p>
        </w:tc>
        <w:tc>
          <w:tcPr>
            <w:tcW w:w="1063" w:type="dxa"/>
            <w:hideMark/>
          </w:tcPr>
          <w:p w:rsidR="00F243FA" w:rsidRPr="00C07D46" w:rsidRDefault="00F243FA" w:rsidP="00D466EF">
            <w:pPr>
              <w:autoSpaceDE/>
              <w:autoSpaceDN/>
              <w:adjustRightInd/>
              <w:spacing w:after="0"/>
              <w:contextualSpacing/>
              <w:jc w:val="center"/>
              <w:cnfStyle w:val="100000000000"/>
              <w:rPr>
                <w:rFonts w:asciiTheme="minorHAnsi" w:hAnsiTheme="minorHAnsi" w:cstheme="minorHAnsi"/>
                <w:bCs w:val="0"/>
                <w:sz w:val="22"/>
                <w:szCs w:val="22"/>
                <w:lang w:eastAsia="bg-BG"/>
              </w:rPr>
            </w:pPr>
            <w:r w:rsidRPr="00C07D46">
              <w:rPr>
                <w:rFonts w:asciiTheme="minorHAnsi" w:hAnsiTheme="minorHAnsi" w:cstheme="minorHAnsi"/>
                <w:bCs w:val="0"/>
                <w:sz w:val="22"/>
                <w:szCs w:val="22"/>
                <w:lang w:eastAsia="bg-BG"/>
              </w:rPr>
              <w:t>2011</w:t>
            </w:r>
          </w:p>
        </w:tc>
        <w:tc>
          <w:tcPr>
            <w:tcW w:w="1063" w:type="dxa"/>
            <w:hideMark/>
          </w:tcPr>
          <w:p w:rsidR="00F243FA" w:rsidRPr="00C07D46" w:rsidRDefault="00F243FA" w:rsidP="00F43A3D">
            <w:pPr>
              <w:autoSpaceDE/>
              <w:autoSpaceDN/>
              <w:adjustRightInd/>
              <w:spacing w:after="0"/>
              <w:contextualSpacing/>
              <w:jc w:val="center"/>
              <w:cnfStyle w:val="100000000000"/>
              <w:rPr>
                <w:rFonts w:asciiTheme="minorHAnsi" w:hAnsiTheme="minorHAnsi" w:cstheme="minorHAnsi"/>
                <w:bCs w:val="0"/>
                <w:sz w:val="22"/>
                <w:szCs w:val="22"/>
                <w:lang w:eastAsia="bg-BG"/>
              </w:rPr>
            </w:pPr>
            <w:r w:rsidRPr="00C07D46">
              <w:rPr>
                <w:rFonts w:asciiTheme="minorHAnsi" w:hAnsiTheme="minorHAnsi" w:cstheme="minorHAnsi"/>
                <w:bCs w:val="0"/>
                <w:sz w:val="22"/>
                <w:szCs w:val="22"/>
                <w:lang w:eastAsia="bg-BG"/>
              </w:rPr>
              <w:t>Q1 12</w:t>
            </w:r>
          </w:p>
        </w:tc>
        <w:tc>
          <w:tcPr>
            <w:tcW w:w="1063" w:type="dxa"/>
            <w:tcBorders>
              <w:left w:val="single" w:sz="12" w:space="0" w:color="auto"/>
            </w:tcBorders>
          </w:tcPr>
          <w:p w:rsidR="00F243FA" w:rsidRPr="00C07D46" w:rsidRDefault="00F243FA" w:rsidP="00402B28">
            <w:pPr>
              <w:contextualSpacing/>
              <w:jc w:val="center"/>
              <w:cnfStyle w:val="100000000000"/>
              <w:rPr>
                <w:rFonts w:asciiTheme="minorHAnsi" w:hAnsiTheme="minorHAnsi" w:cstheme="minorHAnsi"/>
                <w:sz w:val="22"/>
                <w:szCs w:val="22"/>
                <w:lang w:eastAsia="bg-BG"/>
              </w:rPr>
            </w:pPr>
            <w:r w:rsidRPr="00C07D46">
              <w:rPr>
                <w:rFonts w:asciiTheme="minorHAnsi" w:hAnsiTheme="minorHAnsi" w:cstheme="minorHAnsi"/>
                <w:bCs w:val="0"/>
                <w:sz w:val="22"/>
                <w:szCs w:val="22"/>
                <w:lang w:eastAsia="bg-BG"/>
              </w:rPr>
              <w:t>2011 К</w:t>
            </w:r>
          </w:p>
        </w:tc>
        <w:tc>
          <w:tcPr>
            <w:tcW w:w="1063" w:type="dxa"/>
            <w:tcBorders>
              <w:right w:val="single" w:sz="12" w:space="0" w:color="auto"/>
            </w:tcBorders>
            <w:hideMark/>
          </w:tcPr>
          <w:p w:rsidR="00F243FA" w:rsidRPr="00C07D46" w:rsidRDefault="00F243FA" w:rsidP="00F43A3D">
            <w:pPr>
              <w:autoSpaceDE/>
              <w:autoSpaceDN/>
              <w:adjustRightInd/>
              <w:spacing w:after="0"/>
              <w:contextualSpacing/>
              <w:jc w:val="center"/>
              <w:cnfStyle w:val="100000000000"/>
              <w:rPr>
                <w:rFonts w:asciiTheme="minorHAnsi" w:hAnsiTheme="minorHAnsi" w:cstheme="minorHAnsi"/>
                <w:bCs w:val="0"/>
                <w:sz w:val="22"/>
                <w:szCs w:val="22"/>
                <w:lang w:eastAsia="bg-BG"/>
              </w:rPr>
            </w:pPr>
            <w:r w:rsidRPr="00C07D46">
              <w:rPr>
                <w:rFonts w:asciiTheme="minorHAnsi" w:hAnsiTheme="minorHAnsi" w:cstheme="minorHAnsi"/>
                <w:bCs w:val="0"/>
                <w:sz w:val="22"/>
                <w:szCs w:val="22"/>
                <w:lang w:eastAsia="bg-BG"/>
              </w:rPr>
              <w:t>Q1 12 К</w:t>
            </w:r>
          </w:p>
        </w:tc>
      </w:tr>
      <w:tr w:rsidR="00F243FA" w:rsidRPr="00F6274E" w:rsidTr="007115DE">
        <w:trPr>
          <w:cnfStyle w:val="000000100000"/>
          <w:trHeight w:val="255"/>
        </w:trPr>
        <w:tc>
          <w:tcPr>
            <w:cnfStyle w:val="001000000000"/>
            <w:tcW w:w="3402" w:type="dxa"/>
            <w:hideMark/>
          </w:tcPr>
          <w:p w:rsidR="00F243FA" w:rsidRPr="00C07D46" w:rsidRDefault="00F243FA" w:rsidP="00402B28">
            <w:pPr>
              <w:rPr>
                <w:rFonts w:asciiTheme="minorHAnsi" w:hAnsiTheme="minorHAnsi" w:cstheme="minorHAnsi"/>
                <w:sz w:val="22"/>
                <w:szCs w:val="22"/>
              </w:rPr>
            </w:pPr>
            <w:r w:rsidRPr="00C07D46">
              <w:rPr>
                <w:rFonts w:asciiTheme="minorHAnsi" w:hAnsiTheme="minorHAnsi" w:cstheme="minorHAnsi"/>
                <w:sz w:val="22"/>
                <w:szCs w:val="22"/>
              </w:rPr>
              <w:t>Дълготрайни материални активи</w:t>
            </w:r>
          </w:p>
        </w:tc>
        <w:tc>
          <w:tcPr>
            <w:tcW w:w="1063" w:type="dxa"/>
            <w:noWrap/>
            <w:hideMark/>
          </w:tcPr>
          <w:p w:rsidR="00F243FA" w:rsidRPr="00F6274E" w:rsidRDefault="00F243FA">
            <w:pPr>
              <w:jc w:val="right"/>
              <w:cnfStyle w:val="000000100000"/>
              <w:rPr>
                <w:rFonts w:asciiTheme="minorHAnsi" w:hAnsiTheme="minorHAnsi" w:cstheme="minorHAnsi"/>
                <w:b/>
                <w:sz w:val="22"/>
                <w:szCs w:val="22"/>
              </w:rPr>
            </w:pPr>
            <w:r w:rsidRPr="00F6274E">
              <w:rPr>
                <w:rFonts w:asciiTheme="minorHAnsi" w:hAnsiTheme="minorHAnsi" w:cstheme="minorHAnsi"/>
                <w:b/>
                <w:sz w:val="22"/>
                <w:szCs w:val="22"/>
              </w:rPr>
              <w:t>4 886</w:t>
            </w:r>
          </w:p>
        </w:tc>
        <w:tc>
          <w:tcPr>
            <w:tcW w:w="1063" w:type="dxa"/>
            <w:noWrap/>
            <w:hideMark/>
          </w:tcPr>
          <w:p w:rsidR="00F243FA" w:rsidRPr="00F6274E" w:rsidRDefault="00F243FA">
            <w:pPr>
              <w:jc w:val="right"/>
              <w:cnfStyle w:val="000000100000"/>
              <w:rPr>
                <w:rFonts w:asciiTheme="minorHAnsi" w:hAnsiTheme="minorHAnsi" w:cstheme="minorHAnsi"/>
                <w:b/>
                <w:sz w:val="22"/>
                <w:szCs w:val="22"/>
              </w:rPr>
            </w:pPr>
            <w:r w:rsidRPr="00F6274E">
              <w:rPr>
                <w:rFonts w:asciiTheme="minorHAnsi" w:hAnsiTheme="minorHAnsi" w:cstheme="minorHAnsi"/>
                <w:b/>
                <w:sz w:val="22"/>
                <w:szCs w:val="22"/>
              </w:rPr>
              <w:t>4 026</w:t>
            </w:r>
          </w:p>
        </w:tc>
        <w:tc>
          <w:tcPr>
            <w:tcW w:w="1063" w:type="dxa"/>
            <w:noWrap/>
            <w:hideMark/>
          </w:tcPr>
          <w:p w:rsidR="00F243FA" w:rsidRPr="00F6274E" w:rsidRDefault="00F243FA">
            <w:pPr>
              <w:jc w:val="right"/>
              <w:cnfStyle w:val="000000100000"/>
              <w:rPr>
                <w:rFonts w:asciiTheme="minorHAnsi" w:hAnsiTheme="minorHAnsi" w:cstheme="minorHAnsi"/>
                <w:b/>
                <w:sz w:val="22"/>
                <w:szCs w:val="22"/>
              </w:rPr>
            </w:pPr>
            <w:r w:rsidRPr="00F6274E">
              <w:rPr>
                <w:rFonts w:asciiTheme="minorHAnsi" w:hAnsiTheme="minorHAnsi" w:cstheme="minorHAnsi"/>
                <w:b/>
                <w:sz w:val="22"/>
                <w:szCs w:val="22"/>
              </w:rPr>
              <w:t>4 339</w:t>
            </w:r>
          </w:p>
        </w:tc>
        <w:tc>
          <w:tcPr>
            <w:tcW w:w="1063" w:type="dxa"/>
            <w:noWrap/>
            <w:hideMark/>
          </w:tcPr>
          <w:p w:rsidR="00F243FA" w:rsidRPr="00F6274E" w:rsidRDefault="00F243FA">
            <w:pPr>
              <w:jc w:val="right"/>
              <w:cnfStyle w:val="000000100000"/>
              <w:rPr>
                <w:rFonts w:asciiTheme="minorHAnsi" w:hAnsiTheme="minorHAnsi" w:cstheme="minorHAnsi"/>
                <w:b/>
                <w:sz w:val="22"/>
                <w:szCs w:val="22"/>
              </w:rPr>
            </w:pPr>
            <w:r w:rsidRPr="00F6274E">
              <w:rPr>
                <w:rFonts w:asciiTheme="minorHAnsi" w:hAnsiTheme="minorHAnsi" w:cstheme="minorHAnsi"/>
                <w:b/>
                <w:sz w:val="22"/>
                <w:szCs w:val="22"/>
              </w:rPr>
              <w:t>5 102</w:t>
            </w:r>
          </w:p>
        </w:tc>
        <w:tc>
          <w:tcPr>
            <w:tcW w:w="1063" w:type="dxa"/>
            <w:tcBorders>
              <w:left w:val="single" w:sz="12" w:space="0" w:color="auto"/>
            </w:tcBorders>
          </w:tcPr>
          <w:p w:rsidR="00F243FA" w:rsidRPr="00F6274E" w:rsidRDefault="00F243FA" w:rsidP="00F6274E">
            <w:pPr>
              <w:jc w:val="right"/>
              <w:cnfStyle w:val="000000100000"/>
              <w:rPr>
                <w:rFonts w:asciiTheme="minorHAnsi" w:hAnsiTheme="minorHAnsi" w:cstheme="minorHAnsi"/>
                <w:b/>
                <w:sz w:val="22"/>
                <w:szCs w:val="22"/>
              </w:rPr>
            </w:pPr>
            <w:r w:rsidRPr="00F6274E">
              <w:rPr>
                <w:rFonts w:asciiTheme="minorHAnsi" w:hAnsiTheme="minorHAnsi" w:cstheme="minorHAnsi"/>
                <w:b/>
                <w:sz w:val="22"/>
                <w:szCs w:val="22"/>
              </w:rPr>
              <w:t>4 639</w:t>
            </w:r>
          </w:p>
        </w:tc>
        <w:tc>
          <w:tcPr>
            <w:tcW w:w="1063" w:type="dxa"/>
            <w:tcBorders>
              <w:right w:val="single" w:sz="12" w:space="0" w:color="auto"/>
            </w:tcBorders>
            <w:noWrap/>
            <w:hideMark/>
          </w:tcPr>
          <w:p w:rsidR="00F243FA" w:rsidRPr="00F6274E" w:rsidRDefault="00F243FA">
            <w:pPr>
              <w:jc w:val="right"/>
              <w:cnfStyle w:val="000000100000"/>
              <w:rPr>
                <w:rFonts w:asciiTheme="minorHAnsi" w:hAnsiTheme="minorHAnsi" w:cstheme="minorHAnsi"/>
                <w:b/>
                <w:sz w:val="22"/>
                <w:szCs w:val="22"/>
              </w:rPr>
            </w:pPr>
            <w:r w:rsidRPr="00F6274E">
              <w:rPr>
                <w:rFonts w:asciiTheme="minorHAnsi" w:hAnsiTheme="minorHAnsi" w:cstheme="minorHAnsi"/>
                <w:b/>
                <w:sz w:val="22"/>
                <w:szCs w:val="22"/>
              </w:rPr>
              <w:t>5 298</w:t>
            </w:r>
          </w:p>
        </w:tc>
      </w:tr>
      <w:tr w:rsidR="00F243FA" w:rsidRPr="00F6274E" w:rsidTr="007115DE">
        <w:trPr>
          <w:trHeight w:val="255"/>
        </w:trPr>
        <w:tc>
          <w:tcPr>
            <w:cnfStyle w:val="001000000000"/>
            <w:tcW w:w="3402" w:type="dxa"/>
            <w:hideMark/>
          </w:tcPr>
          <w:p w:rsidR="00F243FA" w:rsidRPr="00C07D46" w:rsidRDefault="00F243FA" w:rsidP="0087394D">
            <w:pPr>
              <w:ind w:firstLineChars="178" w:firstLine="392"/>
              <w:rPr>
                <w:rFonts w:asciiTheme="minorHAnsi" w:hAnsiTheme="minorHAnsi" w:cstheme="minorHAnsi"/>
                <w:b w:val="0"/>
                <w:sz w:val="22"/>
                <w:szCs w:val="22"/>
              </w:rPr>
            </w:pPr>
            <w:r w:rsidRPr="00C07D46">
              <w:rPr>
                <w:rFonts w:asciiTheme="minorHAnsi" w:hAnsiTheme="minorHAnsi" w:cstheme="minorHAnsi"/>
                <w:b w:val="0"/>
                <w:sz w:val="22"/>
                <w:szCs w:val="22"/>
              </w:rPr>
              <w:t>машини</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393</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291</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206</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171</w:t>
            </w:r>
          </w:p>
        </w:tc>
        <w:tc>
          <w:tcPr>
            <w:tcW w:w="1063" w:type="dxa"/>
            <w:tcBorders>
              <w:left w:val="single" w:sz="12" w:space="0" w:color="auto"/>
            </w:tcBorders>
          </w:tcPr>
          <w:p w:rsidR="00F243FA" w:rsidRPr="00F6274E" w:rsidRDefault="00F243FA" w:rsidP="00F6274E">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241</w:t>
            </w:r>
          </w:p>
        </w:tc>
        <w:tc>
          <w:tcPr>
            <w:tcW w:w="1063" w:type="dxa"/>
            <w:tcBorders>
              <w:right w:val="single" w:sz="12" w:space="0" w:color="auto"/>
            </w:tcBorders>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171</w:t>
            </w:r>
          </w:p>
        </w:tc>
      </w:tr>
      <w:tr w:rsidR="00F243FA" w:rsidRPr="00F6274E" w:rsidTr="007115DE">
        <w:trPr>
          <w:cnfStyle w:val="000000100000"/>
          <w:trHeight w:val="255"/>
        </w:trPr>
        <w:tc>
          <w:tcPr>
            <w:cnfStyle w:val="001000000000"/>
            <w:tcW w:w="3402" w:type="dxa"/>
            <w:hideMark/>
          </w:tcPr>
          <w:p w:rsidR="00F243FA" w:rsidRPr="00C07D46" w:rsidRDefault="00F243FA" w:rsidP="0087394D">
            <w:pPr>
              <w:ind w:firstLineChars="178" w:firstLine="392"/>
              <w:rPr>
                <w:rFonts w:asciiTheme="minorHAnsi" w:hAnsiTheme="minorHAnsi" w:cstheme="minorHAnsi"/>
                <w:b w:val="0"/>
                <w:sz w:val="22"/>
                <w:szCs w:val="22"/>
              </w:rPr>
            </w:pPr>
            <w:r w:rsidRPr="00C07D46">
              <w:rPr>
                <w:rFonts w:asciiTheme="minorHAnsi" w:hAnsiTheme="minorHAnsi" w:cstheme="minorHAnsi"/>
                <w:b w:val="0"/>
                <w:sz w:val="22"/>
                <w:szCs w:val="22"/>
              </w:rPr>
              <w:t>транспортни ср-ва</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3 981</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3 078</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3 523</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4 137</w:t>
            </w:r>
          </w:p>
        </w:tc>
        <w:tc>
          <w:tcPr>
            <w:tcW w:w="1063" w:type="dxa"/>
            <w:tcBorders>
              <w:left w:val="single" w:sz="12" w:space="0" w:color="auto"/>
            </w:tcBorders>
          </w:tcPr>
          <w:p w:rsidR="00F243FA" w:rsidRPr="00F6274E" w:rsidRDefault="00F243FA" w:rsidP="00F6274E">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3 762</w:t>
            </w:r>
          </w:p>
        </w:tc>
        <w:tc>
          <w:tcPr>
            <w:tcW w:w="1063" w:type="dxa"/>
            <w:tcBorders>
              <w:right w:val="single" w:sz="12" w:space="0" w:color="auto"/>
            </w:tcBorders>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4 303</w:t>
            </w:r>
          </w:p>
        </w:tc>
      </w:tr>
      <w:tr w:rsidR="00F243FA" w:rsidRPr="00F6274E" w:rsidTr="007115DE">
        <w:trPr>
          <w:trHeight w:val="255"/>
        </w:trPr>
        <w:tc>
          <w:tcPr>
            <w:cnfStyle w:val="001000000000"/>
            <w:tcW w:w="3402" w:type="dxa"/>
            <w:hideMark/>
          </w:tcPr>
          <w:p w:rsidR="00F243FA" w:rsidRPr="00C07D46" w:rsidRDefault="00F243FA" w:rsidP="0087394D">
            <w:pPr>
              <w:ind w:firstLineChars="178" w:firstLine="392"/>
              <w:rPr>
                <w:rFonts w:asciiTheme="minorHAnsi" w:hAnsiTheme="minorHAnsi" w:cstheme="minorHAnsi"/>
                <w:b w:val="0"/>
                <w:sz w:val="22"/>
                <w:szCs w:val="22"/>
              </w:rPr>
            </w:pPr>
            <w:r w:rsidRPr="00C07D46">
              <w:rPr>
                <w:rFonts w:asciiTheme="minorHAnsi" w:hAnsiTheme="minorHAnsi" w:cstheme="minorHAnsi"/>
                <w:b w:val="0"/>
                <w:sz w:val="22"/>
                <w:szCs w:val="22"/>
              </w:rPr>
              <w:t>стопански инвентар</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181</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367</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308</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293</w:t>
            </w:r>
          </w:p>
        </w:tc>
        <w:tc>
          <w:tcPr>
            <w:tcW w:w="1063" w:type="dxa"/>
            <w:tcBorders>
              <w:left w:val="single" w:sz="12" w:space="0" w:color="auto"/>
            </w:tcBorders>
          </w:tcPr>
          <w:p w:rsidR="00F243FA" w:rsidRPr="00F6274E" w:rsidRDefault="00F243FA" w:rsidP="00F6274E">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308</w:t>
            </w:r>
          </w:p>
        </w:tc>
        <w:tc>
          <w:tcPr>
            <w:tcW w:w="1063" w:type="dxa"/>
            <w:tcBorders>
              <w:right w:val="single" w:sz="12" w:space="0" w:color="auto"/>
            </w:tcBorders>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316</w:t>
            </w:r>
          </w:p>
        </w:tc>
      </w:tr>
      <w:tr w:rsidR="00F243FA" w:rsidRPr="00F6274E" w:rsidTr="007115DE">
        <w:trPr>
          <w:cnfStyle w:val="000000100000"/>
          <w:trHeight w:val="255"/>
        </w:trPr>
        <w:tc>
          <w:tcPr>
            <w:cnfStyle w:val="001000000000"/>
            <w:tcW w:w="3402" w:type="dxa"/>
            <w:hideMark/>
          </w:tcPr>
          <w:p w:rsidR="00F243FA" w:rsidRPr="00C07D46" w:rsidRDefault="00F243FA" w:rsidP="0087394D">
            <w:pPr>
              <w:ind w:firstLineChars="178" w:firstLine="392"/>
              <w:rPr>
                <w:rFonts w:asciiTheme="minorHAnsi" w:hAnsiTheme="minorHAnsi" w:cstheme="minorHAnsi"/>
                <w:b w:val="0"/>
                <w:sz w:val="22"/>
                <w:szCs w:val="22"/>
              </w:rPr>
            </w:pPr>
            <w:r w:rsidRPr="00C07D46">
              <w:rPr>
                <w:rFonts w:asciiTheme="minorHAnsi" w:hAnsiTheme="minorHAnsi" w:cstheme="minorHAnsi"/>
                <w:b w:val="0"/>
                <w:sz w:val="22"/>
                <w:szCs w:val="22"/>
              </w:rPr>
              <w:t>компютърна техника</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331</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290</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302</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502</w:t>
            </w:r>
          </w:p>
        </w:tc>
        <w:tc>
          <w:tcPr>
            <w:tcW w:w="1063" w:type="dxa"/>
            <w:tcBorders>
              <w:left w:val="single" w:sz="12" w:space="0" w:color="auto"/>
            </w:tcBorders>
          </w:tcPr>
          <w:p w:rsidR="00F243FA" w:rsidRPr="00F6274E" w:rsidRDefault="00F243FA" w:rsidP="00F6274E">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328</w:t>
            </w:r>
          </w:p>
        </w:tc>
        <w:tc>
          <w:tcPr>
            <w:tcW w:w="1063" w:type="dxa"/>
            <w:tcBorders>
              <w:right w:val="single" w:sz="12" w:space="0" w:color="auto"/>
            </w:tcBorders>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508</w:t>
            </w:r>
          </w:p>
        </w:tc>
      </w:tr>
      <w:tr w:rsidR="00F243FA" w:rsidRPr="00F6274E" w:rsidTr="007115DE">
        <w:trPr>
          <w:trHeight w:val="255"/>
        </w:trPr>
        <w:tc>
          <w:tcPr>
            <w:cnfStyle w:val="001000000000"/>
            <w:tcW w:w="3402" w:type="dxa"/>
            <w:hideMark/>
          </w:tcPr>
          <w:p w:rsidR="00F243FA" w:rsidRPr="00C07D46" w:rsidRDefault="00F243FA" w:rsidP="00402B28">
            <w:pPr>
              <w:rPr>
                <w:rFonts w:asciiTheme="minorHAnsi" w:hAnsiTheme="minorHAnsi" w:cstheme="minorHAnsi"/>
                <w:sz w:val="22"/>
                <w:szCs w:val="22"/>
              </w:rPr>
            </w:pPr>
            <w:r>
              <w:rPr>
                <w:rFonts w:asciiTheme="minorHAnsi" w:hAnsiTheme="minorHAnsi" w:cstheme="minorHAnsi"/>
                <w:sz w:val="22"/>
                <w:szCs w:val="22"/>
              </w:rPr>
              <w:t>Процент от общ</w:t>
            </w:r>
            <w:r w:rsidRPr="00C07D46">
              <w:rPr>
                <w:rFonts w:asciiTheme="minorHAnsi" w:hAnsiTheme="minorHAnsi" w:cstheme="minorHAnsi"/>
                <w:sz w:val="22"/>
                <w:szCs w:val="22"/>
              </w:rPr>
              <w:t>ите активи</w:t>
            </w:r>
          </w:p>
        </w:tc>
        <w:tc>
          <w:tcPr>
            <w:tcW w:w="1063" w:type="dxa"/>
            <w:noWrap/>
            <w:hideMark/>
          </w:tcPr>
          <w:p w:rsidR="00F243FA" w:rsidRPr="00F6274E" w:rsidRDefault="00F243FA">
            <w:pPr>
              <w:cnfStyle w:val="000000000000"/>
              <w:rPr>
                <w:rFonts w:asciiTheme="minorHAnsi" w:hAnsiTheme="minorHAnsi" w:cstheme="minorHAnsi"/>
                <w:b/>
                <w:sz w:val="22"/>
                <w:szCs w:val="22"/>
              </w:rPr>
            </w:pPr>
          </w:p>
        </w:tc>
        <w:tc>
          <w:tcPr>
            <w:tcW w:w="1063" w:type="dxa"/>
            <w:noWrap/>
            <w:hideMark/>
          </w:tcPr>
          <w:p w:rsidR="00F243FA" w:rsidRPr="00F6274E" w:rsidRDefault="00F243FA">
            <w:pPr>
              <w:cnfStyle w:val="000000000000"/>
              <w:rPr>
                <w:rFonts w:asciiTheme="minorHAnsi" w:hAnsiTheme="minorHAnsi" w:cstheme="minorHAnsi"/>
                <w:b/>
                <w:sz w:val="22"/>
                <w:szCs w:val="22"/>
              </w:rPr>
            </w:pPr>
          </w:p>
        </w:tc>
        <w:tc>
          <w:tcPr>
            <w:tcW w:w="1063" w:type="dxa"/>
            <w:noWrap/>
            <w:hideMark/>
          </w:tcPr>
          <w:p w:rsidR="00F243FA" w:rsidRPr="00F6274E" w:rsidRDefault="00F243FA">
            <w:pPr>
              <w:cnfStyle w:val="000000000000"/>
              <w:rPr>
                <w:rFonts w:asciiTheme="minorHAnsi" w:hAnsiTheme="minorHAnsi" w:cstheme="minorHAnsi"/>
                <w:b/>
                <w:sz w:val="22"/>
                <w:szCs w:val="22"/>
              </w:rPr>
            </w:pPr>
          </w:p>
        </w:tc>
        <w:tc>
          <w:tcPr>
            <w:tcW w:w="1063" w:type="dxa"/>
            <w:noWrap/>
            <w:hideMark/>
          </w:tcPr>
          <w:p w:rsidR="00F243FA" w:rsidRPr="00F6274E" w:rsidRDefault="00F243FA">
            <w:pPr>
              <w:cnfStyle w:val="000000000000"/>
              <w:rPr>
                <w:rFonts w:asciiTheme="minorHAnsi" w:hAnsiTheme="minorHAnsi" w:cstheme="minorHAnsi"/>
                <w:b/>
                <w:sz w:val="22"/>
                <w:szCs w:val="22"/>
              </w:rPr>
            </w:pPr>
          </w:p>
        </w:tc>
        <w:tc>
          <w:tcPr>
            <w:tcW w:w="1063" w:type="dxa"/>
            <w:tcBorders>
              <w:left w:val="single" w:sz="12" w:space="0" w:color="auto"/>
            </w:tcBorders>
          </w:tcPr>
          <w:p w:rsidR="00F243FA" w:rsidRPr="00F6274E" w:rsidRDefault="00F243FA">
            <w:pPr>
              <w:cnfStyle w:val="000000000000"/>
              <w:rPr>
                <w:rFonts w:asciiTheme="minorHAnsi" w:hAnsiTheme="minorHAnsi" w:cstheme="minorHAnsi"/>
                <w:b/>
                <w:sz w:val="22"/>
                <w:szCs w:val="22"/>
              </w:rPr>
            </w:pPr>
          </w:p>
        </w:tc>
        <w:tc>
          <w:tcPr>
            <w:tcW w:w="1063" w:type="dxa"/>
            <w:tcBorders>
              <w:right w:val="single" w:sz="12" w:space="0" w:color="auto"/>
            </w:tcBorders>
            <w:noWrap/>
            <w:hideMark/>
          </w:tcPr>
          <w:p w:rsidR="00F243FA" w:rsidRPr="00F6274E" w:rsidRDefault="00F243FA">
            <w:pPr>
              <w:cnfStyle w:val="000000000000"/>
              <w:rPr>
                <w:rFonts w:asciiTheme="minorHAnsi" w:hAnsiTheme="minorHAnsi" w:cstheme="minorHAnsi"/>
                <w:b/>
                <w:sz w:val="22"/>
                <w:szCs w:val="22"/>
              </w:rPr>
            </w:pPr>
          </w:p>
        </w:tc>
      </w:tr>
      <w:tr w:rsidR="00F243FA" w:rsidRPr="00F6274E" w:rsidTr="007115DE">
        <w:trPr>
          <w:cnfStyle w:val="000000100000"/>
          <w:trHeight w:val="255"/>
        </w:trPr>
        <w:tc>
          <w:tcPr>
            <w:cnfStyle w:val="001000000000"/>
            <w:tcW w:w="3402" w:type="dxa"/>
            <w:hideMark/>
          </w:tcPr>
          <w:p w:rsidR="00F243FA" w:rsidRPr="00C07D46" w:rsidRDefault="00F243FA" w:rsidP="0087394D">
            <w:pPr>
              <w:ind w:firstLineChars="178" w:firstLine="392"/>
              <w:rPr>
                <w:rFonts w:asciiTheme="minorHAnsi" w:hAnsiTheme="minorHAnsi" w:cstheme="minorHAnsi"/>
                <w:b w:val="0"/>
                <w:sz w:val="22"/>
                <w:szCs w:val="22"/>
              </w:rPr>
            </w:pPr>
            <w:r w:rsidRPr="00C07D46">
              <w:rPr>
                <w:rFonts w:asciiTheme="minorHAnsi" w:hAnsiTheme="minorHAnsi" w:cstheme="minorHAnsi"/>
                <w:b w:val="0"/>
                <w:sz w:val="22"/>
                <w:szCs w:val="22"/>
              </w:rPr>
              <w:t>машини</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8%</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7%</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5%</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3%</w:t>
            </w:r>
          </w:p>
        </w:tc>
        <w:tc>
          <w:tcPr>
            <w:tcW w:w="1063" w:type="dxa"/>
            <w:tcBorders>
              <w:left w:val="single" w:sz="12" w:space="0" w:color="auto"/>
            </w:tcBorders>
          </w:tcPr>
          <w:p w:rsidR="00F243FA" w:rsidRPr="00F6274E" w:rsidRDefault="00F243FA" w:rsidP="00F6274E">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5%</w:t>
            </w:r>
          </w:p>
        </w:tc>
        <w:tc>
          <w:tcPr>
            <w:tcW w:w="1063" w:type="dxa"/>
            <w:tcBorders>
              <w:right w:val="single" w:sz="12" w:space="0" w:color="auto"/>
            </w:tcBorders>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3%</w:t>
            </w:r>
          </w:p>
        </w:tc>
      </w:tr>
      <w:tr w:rsidR="00F243FA" w:rsidRPr="00F6274E" w:rsidTr="007115DE">
        <w:trPr>
          <w:trHeight w:val="255"/>
        </w:trPr>
        <w:tc>
          <w:tcPr>
            <w:cnfStyle w:val="001000000000"/>
            <w:tcW w:w="3402" w:type="dxa"/>
            <w:hideMark/>
          </w:tcPr>
          <w:p w:rsidR="00F243FA" w:rsidRPr="00C07D46" w:rsidRDefault="00F243FA" w:rsidP="0087394D">
            <w:pPr>
              <w:ind w:firstLineChars="178" w:firstLine="392"/>
              <w:rPr>
                <w:rFonts w:asciiTheme="minorHAnsi" w:hAnsiTheme="minorHAnsi" w:cstheme="minorHAnsi"/>
                <w:b w:val="0"/>
                <w:sz w:val="22"/>
                <w:szCs w:val="22"/>
              </w:rPr>
            </w:pPr>
            <w:r w:rsidRPr="00C07D46">
              <w:rPr>
                <w:rFonts w:asciiTheme="minorHAnsi" w:hAnsiTheme="minorHAnsi" w:cstheme="minorHAnsi"/>
                <w:b w:val="0"/>
                <w:sz w:val="22"/>
                <w:szCs w:val="22"/>
              </w:rPr>
              <w:t>транспортни ср-ва</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81%</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76%</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81%</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81%</w:t>
            </w:r>
          </w:p>
        </w:tc>
        <w:tc>
          <w:tcPr>
            <w:tcW w:w="1063" w:type="dxa"/>
            <w:tcBorders>
              <w:left w:val="single" w:sz="12" w:space="0" w:color="auto"/>
            </w:tcBorders>
          </w:tcPr>
          <w:p w:rsidR="00F243FA" w:rsidRPr="00F6274E" w:rsidRDefault="00F243FA" w:rsidP="00F6274E">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81%</w:t>
            </w:r>
          </w:p>
        </w:tc>
        <w:tc>
          <w:tcPr>
            <w:tcW w:w="1063" w:type="dxa"/>
            <w:tcBorders>
              <w:right w:val="single" w:sz="12" w:space="0" w:color="auto"/>
            </w:tcBorders>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81%</w:t>
            </w:r>
          </w:p>
        </w:tc>
      </w:tr>
      <w:tr w:rsidR="00F243FA" w:rsidRPr="00F6274E" w:rsidTr="007115DE">
        <w:trPr>
          <w:cnfStyle w:val="000000100000"/>
          <w:trHeight w:val="255"/>
        </w:trPr>
        <w:tc>
          <w:tcPr>
            <w:cnfStyle w:val="001000000000"/>
            <w:tcW w:w="3402" w:type="dxa"/>
            <w:hideMark/>
          </w:tcPr>
          <w:p w:rsidR="00F243FA" w:rsidRPr="00C07D46" w:rsidRDefault="00F243FA" w:rsidP="0087394D">
            <w:pPr>
              <w:ind w:firstLineChars="178" w:firstLine="392"/>
              <w:rPr>
                <w:rFonts w:asciiTheme="minorHAnsi" w:hAnsiTheme="minorHAnsi" w:cstheme="minorHAnsi"/>
                <w:b w:val="0"/>
                <w:sz w:val="22"/>
                <w:szCs w:val="22"/>
              </w:rPr>
            </w:pPr>
            <w:r w:rsidRPr="00C07D46">
              <w:rPr>
                <w:rFonts w:asciiTheme="minorHAnsi" w:hAnsiTheme="minorHAnsi" w:cstheme="minorHAnsi"/>
                <w:b w:val="0"/>
                <w:sz w:val="22"/>
                <w:szCs w:val="22"/>
              </w:rPr>
              <w:t>стопански инвентар</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4%</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9%</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7%</w:t>
            </w:r>
          </w:p>
        </w:tc>
        <w:tc>
          <w:tcPr>
            <w:tcW w:w="1063" w:type="dxa"/>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6%</w:t>
            </w:r>
          </w:p>
        </w:tc>
        <w:tc>
          <w:tcPr>
            <w:tcW w:w="1063" w:type="dxa"/>
            <w:tcBorders>
              <w:left w:val="single" w:sz="12" w:space="0" w:color="auto"/>
            </w:tcBorders>
          </w:tcPr>
          <w:p w:rsidR="00F243FA" w:rsidRPr="00F6274E" w:rsidRDefault="00F243FA" w:rsidP="00F6274E">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7%</w:t>
            </w:r>
          </w:p>
        </w:tc>
        <w:tc>
          <w:tcPr>
            <w:tcW w:w="1063" w:type="dxa"/>
            <w:tcBorders>
              <w:right w:val="single" w:sz="12" w:space="0" w:color="auto"/>
            </w:tcBorders>
            <w:noWrap/>
            <w:hideMark/>
          </w:tcPr>
          <w:p w:rsidR="00F243FA" w:rsidRPr="00F6274E" w:rsidRDefault="00F243FA">
            <w:pPr>
              <w:jc w:val="right"/>
              <w:cnfStyle w:val="000000100000"/>
              <w:rPr>
                <w:rFonts w:asciiTheme="minorHAnsi" w:hAnsiTheme="minorHAnsi" w:cstheme="minorHAnsi"/>
                <w:sz w:val="22"/>
                <w:szCs w:val="22"/>
              </w:rPr>
            </w:pPr>
            <w:r w:rsidRPr="00F6274E">
              <w:rPr>
                <w:rFonts w:asciiTheme="minorHAnsi" w:hAnsiTheme="minorHAnsi" w:cstheme="minorHAnsi"/>
                <w:sz w:val="22"/>
                <w:szCs w:val="22"/>
              </w:rPr>
              <w:t>6%</w:t>
            </w:r>
          </w:p>
        </w:tc>
      </w:tr>
      <w:tr w:rsidR="00F243FA" w:rsidRPr="00F6274E" w:rsidTr="007115DE">
        <w:trPr>
          <w:trHeight w:val="255"/>
        </w:trPr>
        <w:tc>
          <w:tcPr>
            <w:cnfStyle w:val="001000000000"/>
            <w:tcW w:w="3402" w:type="dxa"/>
            <w:hideMark/>
          </w:tcPr>
          <w:p w:rsidR="00F243FA" w:rsidRPr="00C07D46" w:rsidRDefault="00F243FA" w:rsidP="0087394D">
            <w:pPr>
              <w:ind w:firstLineChars="178" w:firstLine="392"/>
              <w:rPr>
                <w:rFonts w:asciiTheme="minorHAnsi" w:hAnsiTheme="minorHAnsi" w:cstheme="minorHAnsi"/>
                <w:b w:val="0"/>
                <w:sz w:val="22"/>
                <w:szCs w:val="22"/>
              </w:rPr>
            </w:pPr>
            <w:r w:rsidRPr="00C07D46">
              <w:rPr>
                <w:rFonts w:asciiTheme="minorHAnsi" w:hAnsiTheme="minorHAnsi" w:cstheme="minorHAnsi"/>
                <w:b w:val="0"/>
                <w:sz w:val="22"/>
                <w:szCs w:val="22"/>
              </w:rPr>
              <w:t>компютърна техника</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7%</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7%</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7%</w:t>
            </w:r>
          </w:p>
        </w:tc>
        <w:tc>
          <w:tcPr>
            <w:tcW w:w="1063" w:type="dxa"/>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10%</w:t>
            </w:r>
          </w:p>
        </w:tc>
        <w:tc>
          <w:tcPr>
            <w:tcW w:w="1063" w:type="dxa"/>
            <w:tcBorders>
              <w:left w:val="single" w:sz="12" w:space="0" w:color="auto"/>
            </w:tcBorders>
          </w:tcPr>
          <w:p w:rsidR="00F243FA" w:rsidRPr="00F6274E" w:rsidRDefault="00F243FA" w:rsidP="00F6274E">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7%</w:t>
            </w:r>
          </w:p>
        </w:tc>
        <w:tc>
          <w:tcPr>
            <w:tcW w:w="1063" w:type="dxa"/>
            <w:tcBorders>
              <w:right w:val="single" w:sz="12" w:space="0" w:color="auto"/>
            </w:tcBorders>
            <w:noWrap/>
            <w:hideMark/>
          </w:tcPr>
          <w:p w:rsidR="00F243FA" w:rsidRPr="00F6274E" w:rsidRDefault="00F243FA">
            <w:pPr>
              <w:jc w:val="right"/>
              <w:cnfStyle w:val="000000000000"/>
              <w:rPr>
                <w:rFonts w:asciiTheme="minorHAnsi" w:hAnsiTheme="minorHAnsi" w:cstheme="minorHAnsi"/>
                <w:sz w:val="22"/>
                <w:szCs w:val="22"/>
              </w:rPr>
            </w:pPr>
            <w:r w:rsidRPr="00F6274E">
              <w:rPr>
                <w:rFonts w:asciiTheme="minorHAnsi" w:hAnsiTheme="minorHAnsi" w:cstheme="minorHAnsi"/>
                <w:sz w:val="22"/>
                <w:szCs w:val="22"/>
              </w:rPr>
              <w:t>10%</w:t>
            </w:r>
          </w:p>
        </w:tc>
      </w:tr>
    </w:tbl>
    <w:p w:rsidR="00A904E3" w:rsidRPr="00A904E3" w:rsidRDefault="00A904E3" w:rsidP="00A904E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0639CB" w:rsidRDefault="000639CB" w:rsidP="00D466EF">
      <w:pPr>
        <w:spacing w:after="0"/>
        <w:ind w:left="709"/>
        <w:contextualSpacing/>
      </w:pPr>
    </w:p>
    <w:p w:rsidR="00A81D5F" w:rsidRDefault="000639CB" w:rsidP="00BE0C31">
      <w:pPr>
        <w:spacing w:after="120"/>
        <w:ind w:left="709"/>
      </w:pPr>
      <w:r>
        <w:t>Размерът на дълготрайните м</w:t>
      </w:r>
      <w:r w:rsidR="00395567">
        <w:t>а</w:t>
      </w:r>
      <w:r>
        <w:t xml:space="preserve">териални активи (ДМА) се запазва стабилен през </w:t>
      </w:r>
      <w:r w:rsidR="00A81D5F">
        <w:t>последните години</w:t>
      </w:r>
      <w:r w:rsidR="00395567">
        <w:t>, въпреки интензивн</w:t>
      </w:r>
      <w:r w:rsidR="00510B8D">
        <w:t>ите инвестиции, поради характерът</w:t>
      </w:r>
      <w:r w:rsidR="00395567">
        <w:t xml:space="preserve"> на самите активи, които са бързо</w:t>
      </w:r>
      <w:r w:rsidR="005A56A5">
        <w:t xml:space="preserve"> амортизируеми – амортизационните отчисления надвишават 50% от средната стойност </w:t>
      </w:r>
      <w:r w:rsidR="00510B8D">
        <w:t>н</w:t>
      </w:r>
      <w:r w:rsidR="005A56A5">
        <w:t xml:space="preserve">а активите. </w:t>
      </w:r>
      <w:r w:rsidR="00395567">
        <w:t>Известен спад се наблюдава през 2010 г.</w:t>
      </w:r>
      <w:r w:rsidR="00510B8D">
        <w:t xml:space="preserve"> </w:t>
      </w:r>
      <w:r w:rsidR="00395567">
        <w:t xml:space="preserve">спрямо предходната. Това се дължи на намалението на балансовата стойност на транспортните средства, тъй като размерът на инвестициите през годината е </w:t>
      </w:r>
      <w:r w:rsidR="00546414">
        <w:t xml:space="preserve">значително </w:t>
      </w:r>
      <w:r w:rsidR="00395567">
        <w:t>по-нисък от начислените амортизации.</w:t>
      </w:r>
    </w:p>
    <w:p w:rsidR="00FA45DE" w:rsidRDefault="00510B8D" w:rsidP="00FA45DE">
      <w:pPr>
        <w:spacing w:after="120"/>
        <w:ind w:left="709"/>
      </w:pPr>
      <w:r>
        <w:t>Стру</w:t>
      </w:r>
      <w:r w:rsidR="00546414">
        <w:t>ктурата на ДМА се доминира от транспортните средства, който формират 4/5 от общата стойност. Компанията прит</w:t>
      </w:r>
      <w:r w:rsidR="00FA45DE">
        <w:t>ежава над 500 автомобила</w:t>
      </w:r>
      <w:r w:rsidR="00231E14">
        <w:t xml:space="preserve"> на консолидирана база</w:t>
      </w:r>
      <w:r w:rsidR="00FA45DE">
        <w:t>. Автопаркът на компанията включва камиони с товароносимост до 20 тона, ремаркета с товароносимост 14 тона, контейнери с вместимост между 10 и 12 тона, ванове (вкл. специализирани), пикапи и леки автомобили, като преобладават минибусовете, с които куриерите транспортират пратките между клиента и логистичните центрове.</w:t>
      </w:r>
    </w:p>
    <w:p w:rsidR="00E24444" w:rsidRDefault="00E24444" w:rsidP="00BE0C31">
      <w:pPr>
        <w:spacing w:after="120"/>
        <w:ind w:left="709"/>
      </w:pPr>
      <w:r>
        <w:t>Останалата част на активите се състои от машини (оборудването в разпределителните центрове), компютърна техника (над 1000 компютърни системи, сървъри, покет терминални устройства (</w:t>
      </w:r>
      <w:r w:rsidRPr="00BE0C31">
        <w:t>PDA</w:t>
      </w:r>
      <w:r>
        <w:t>), принтери и сканиращи устройства)</w:t>
      </w:r>
    </w:p>
    <w:p w:rsidR="004325F3" w:rsidRDefault="001536CB" w:rsidP="001536CB">
      <w:pPr>
        <w:spacing w:after="120"/>
        <w:ind w:left="709"/>
      </w:pPr>
      <w:r>
        <w:t xml:space="preserve">Дружеството не притежава недвижими имоти и </w:t>
      </w:r>
      <w:r w:rsidRPr="00C67759">
        <w:t xml:space="preserve">всички </w:t>
      </w:r>
      <w:r w:rsidR="004325F3" w:rsidRPr="00680423">
        <w:t>складови и офисни площи се ползват по дългогодишни договори за наем.</w:t>
      </w:r>
    </w:p>
    <w:p w:rsidR="00FD13F0" w:rsidRPr="00EB214D" w:rsidRDefault="00EB214D" w:rsidP="00EB214D">
      <w:pPr>
        <w:pStyle w:val="Heading1"/>
        <w:numPr>
          <w:ilvl w:val="2"/>
          <w:numId w:val="11"/>
        </w:numPr>
        <w:ind w:left="709" w:hanging="709"/>
        <w:rPr>
          <w:rFonts w:ascii="Times New Roman" w:hAnsi="Times New Roman"/>
          <w:b w:val="0"/>
          <w:i/>
          <w:sz w:val="24"/>
          <w:szCs w:val="24"/>
        </w:rPr>
      </w:pPr>
      <w:bookmarkStart w:id="77" w:name="_Toc324376928"/>
      <w:bookmarkStart w:id="78" w:name="_Toc324380087"/>
      <w:r w:rsidRPr="00502B5A">
        <w:rPr>
          <w:rFonts w:ascii="Times New Roman" w:hAnsi="Times New Roman"/>
          <w:b w:val="0"/>
          <w:i/>
          <w:sz w:val="24"/>
          <w:szCs w:val="24"/>
        </w:rPr>
        <w:t xml:space="preserve">Производствен капацитет и степен на </w:t>
      </w:r>
      <w:r>
        <w:rPr>
          <w:rFonts w:ascii="Times New Roman" w:hAnsi="Times New Roman"/>
          <w:b w:val="0"/>
          <w:i/>
          <w:sz w:val="24"/>
          <w:szCs w:val="24"/>
        </w:rPr>
        <w:t>използване</w:t>
      </w:r>
      <w:bookmarkEnd w:id="77"/>
      <w:bookmarkEnd w:id="78"/>
    </w:p>
    <w:p w:rsidR="003509E3" w:rsidRDefault="003509E3" w:rsidP="003509E3">
      <w:pPr>
        <w:spacing w:after="120"/>
        <w:ind w:left="709"/>
      </w:pPr>
      <w:r w:rsidRPr="00C67759">
        <w:t xml:space="preserve">СПИДИ осъществява дейността си </w:t>
      </w:r>
      <w:r w:rsidR="00510B8D">
        <w:t>през мрежа от</w:t>
      </w:r>
      <w:r w:rsidRPr="00C67759">
        <w:t xml:space="preserve"> </w:t>
      </w:r>
      <w:r w:rsidRPr="001536CB">
        <w:t>84 складови и административни помещения и сгради</w:t>
      </w:r>
      <w:r w:rsidRPr="00C67759">
        <w:t xml:space="preserve"> в цялата страна, разположени на обща площ от</w:t>
      </w:r>
      <w:r>
        <w:t xml:space="preserve"> 1</w:t>
      </w:r>
      <w:r w:rsidRPr="001536CB">
        <w:t>6 070</w:t>
      </w:r>
      <w:r w:rsidRPr="00C67759">
        <w:t xml:space="preserve"> кв.м. Логистичната обработка на пратките се осъществява в шест разпределителни центъра разположени в градовете София, Велико Търново, Варна, Бургас, Ст. Загора и Пловдив</w:t>
      </w:r>
      <w:r>
        <w:t>.</w:t>
      </w:r>
    </w:p>
    <w:p w:rsidR="00A01224" w:rsidRDefault="00EB214D" w:rsidP="001536CB">
      <w:pPr>
        <w:spacing w:after="120"/>
        <w:ind w:left="709"/>
      </w:pPr>
      <w:r>
        <w:t xml:space="preserve">Спецификата на дейността на компанията не дава възможност да се дефинира точно наличния капацитет и неговото натоварване, предвид това, че силно се влияе от множество странични фактори. Капацитетът на компанията зависи </w:t>
      </w:r>
      <w:r w:rsidR="00CC1B1A">
        <w:t xml:space="preserve">основно </w:t>
      </w:r>
      <w:r>
        <w:t xml:space="preserve">от големината на разпределителния център и броят на </w:t>
      </w:r>
      <w:r w:rsidR="003509E3">
        <w:t>хората, обработващи пратките.</w:t>
      </w:r>
      <w:r>
        <w:t xml:space="preserve"> </w:t>
      </w:r>
      <w:r w:rsidRPr="00EB214D">
        <w:t>По оценка на мениджмънта максималния капацитет при запазване на качество от 99,6% e в границите на 5500 дo 6000 пратки на човек и 300-350 пратки на м2.</w:t>
      </w:r>
      <w:r w:rsidR="003509E3">
        <w:t xml:space="preserve"> </w:t>
      </w:r>
      <w:r w:rsidR="00A01224">
        <w:t xml:space="preserve">Спрямо тези условни показатели може да се каже, че </w:t>
      </w:r>
      <w:r w:rsidR="00D70BF4">
        <w:t>„СПИДИ” ЕАД</w:t>
      </w:r>
      <w:r w:rsidR="00A01224">
        <w:t xml:space="preserve"> е постигнало натовареност от 80% на служителите и 50% при складовите пощи. Тези показатели значително варират между различните центрове, като най-пълна натовареност е постигната в София, поради което и се планира разширяване на разпределителния център през тази година.</w:t>
      </w:r>
    </w:p>
    <w:p w:rsidR="00EB214D" w:rsidRPr="00466FE7" w:rsidRDefault="00100FBB" w:rsidP="001536CB">
      <w:pPr>
        <w:spacing w:after="120"/>
        <w:ind w:left="709"/>
      </w:pPr>
      <w:r>
        <w:t>Т</w:t>
      </w:r>
      <w:r w:rsidR="003509E3">
        <w:t xml:space="preserve">ези цифри могат да варират според качеството на наетите площи, доколко са приспособени за тази дейност или от вида на пратките, които се обработват. Например през центровете в Стара Загора и Велико Търново преминават голям брой транзитни пратки, които се обработват до голяма степен автоматизирано и съответно </w:t>
      </w:r>
      <w:r w:rsidR="003509E3" w:rsidRPr="00466FE7">
        <w:t>персонала има възможност да обработва по-голям брой пратки.</w:t>
      </w:r>
    </w:p>
    <w:p w:rsidR="00FD13F0" w:rsidRPr="00925142" w:rsidRDefault="00FD13F0" w:rsidP="00466FE7">
      <w:pPr>
        <w:pStyle w:val="Heading1"/>
        <w:numPr>
          <w:ilvl w:val="2"/>
          <w:numId w:val="11"/>
        </w:numPr>
        <w:ind w:left="709" w:hanging="709"/>
        <w:rPr>
          <w:rFonts w:ascii="Times New Roman" w:hAnsi="Times New Roman"/>
          <w:b w:val="0"/>
          <w:i/>
          <w:sz w:val="24"/>
          <w:szCs w:val="24"/>
        </w:rPr>
      </w:pPr>
      <w:bookmarkStart w:id="79" w:name="_Toc324376929"/>
      <w:bookmarkStart w:id="80" w:name="_Toc324380088"/>
      <w:r w:rsidRPr="00925142">
        <w:rPr>
          <w:rFonts w:ascii="Times New Roman" w:hAnsi="Times New Roman"/>
          <w:b w:val="0"/>
          <w:i/>
          <w:sz w:val="24"/>
          <w:szCs w:val="24"/>
        </w:rPr>
        <w:t xml:space="preserve">Оборудване </w:t>
      </w:r>
      <w:r w:rsidR="00466FE7" w:rsidRPr="00925142">
        <w:rPr>
          <w:rFonts w:ascii="Times New Roman" w:hAnsi="Times New Roman"/>
          <w:b w:val="0"/>
          <w:i/>
          <w:sz w:val="24"/>
          <w:szCs w:val="24"/>
        </w:rPr>
        <w:t>на лизинг и</w:t>
      </w:r>
      <w:r w:rsidRPr="00925142">
        <w:rPr>
          <w:rFonts w:ascii="Times New Roman" w:hAnsi="Times New Roman"/>
          <w:b w:val="0"/>
          <w:i/>
          <w:sz w:val="24"/>
          <w:szCs w:val="24"/>
        </w:rPr>
        <w:t xml:space="preserve"> тежести върху активите;</w:t>
      </w:r>
      <w:bookmarkEnd w:id="79"/>
      <w:bookmarkEnd w:id="80"/>
    </w:p>
    <w:p w:rsidR="004325F3" w:rsidRDefault="00FD13F0" w:rsidP="00466FE7">
      <w:pPr>
        <w:spacing w:after="120"/>
        <w:ind w:left="709"/>
      </w:pPr>
      <w:r w:rsidRPr="003368B3">
        <w:t xml:space="preserve">Тежести има върху </w:t>
      </w:r>
      <w:r w:rsidR="009A10D0" w:rsidRPr="009A10D0">
        <w:t>263 (212 бр. на неконсолидирана база)</w:t>
      </w:r>
      <w:r w:rsidR="009A10D0">
        <w:t xml:space="preserve"> </w:t>
      </w:r>
      <w:r w:rsidR="00F94C90" w:rsidRPr="003368B3">
        <w:t>транспортни средства</w:t>
      </w:r>
      <w:r w:rsidR="00DC1FF4">
        <w:t>, 537 принтери и касови апарати, комуникационно и ИТ</w:t>
      </w:r>
      <w:r w:rsidR="004259D8" w:rsidRPr="003368B3">
        <w:t xml:space="preserve"> оборудване</w:t>
      </w:r>
      <w:r w:rsidR="00F94C90" w:rsidRPr="003368B3">
        <w:t>, които са закупени чрез финансов лизинг.</w:t>
      </w:r>
      <w:r w:rsidR="00880420">
        <w:t xml:space="preserve"> Общата стойност на активите закупени на финансов лизинг е 4,475 млн. лв.</w:t>
      </w:r>
    </w:p>
    <w:p w:rsidR="00880420" w:rsidRPr="003368B3" w:rsidRDefault="00880420" w:rsidP="00466FE7">
      <w:pPr>
        <w:spacing w:after="120"/>
        <w:ind w:left="709"/>
      </w:pPr>
      <w:r>
        <w:t>Няма активи придобити при условията на оперативен лизинг.</w:t>
      </w:r>
    </w:p>
    <w:p w:rsidR="004259D8" w:rsidRPr="003368B3" w:rsidRDefault="003368B3" w:rsidP="00466FE7">
      <w:pPr>
        <w:spacing w:after="120"/>
        <w:ind w:left="709"/>
      </w:pPr>
      <w:r w:rsidRPr="003368B3">
        <w:t xml:space="preserve">Заемът по договора за овърдрафт от 200 хил. лв. </w:t>
      </w:r>
      <w:r w:rsidR="00773AE6">
        <w:t xml:space="preserve">от Булбанк АД </w:t>
      </w:r>
      <w:r w:rsidRPr="003368B3">
        <w:t>е обезпечен със залог на вземания за размера на овърдрафта.</w:t>
      </w:r>
    </w:p>
    <w:p w:rsidR="00F94C90" w:rsidRPr="00502B5A" w:rsidRDefault="00F94C90" w:rsidP="00466FE7">
      <w:pPr>
        <w:spacing w:after="120"/>
        <w:ind w:left="709"/>
      </w:pPr>
    </w:p>
    <w:p w:rsidR="00FC3657" w:rsidRPr="00466FE7" w:rsidRDefault="00E24444" w:rsidP="00466FE7">
      <w:pPr>
        <w:pStyle w:val="Heading1"/>
        <w:numPr>
          <w:ilvl w:val="2"/>
          <w:numId w:val="11"/>
        </w:numPr>
        <w:ind w:left="709" w:hanging="709"/>
        <w:rPr>
          <w:rFonts w:ascii="Times New Roman" w:hAnsi="Times New Roman"/>
          <w:b w:val="0"/>
          <w:i/>
          <w:sz w:val="24"/>
          <w:szCs w:val="24"/>
        </w:rPr>
      </w:pPr>
      <w:bookmarkStart w:id="81" w:name="_Toc324376930"/>
      <w:bookmarkStart w:id="82" w:name="_Toc324380089"/>
      <w:r w:rsidRPr="00466FE7">
        <w:rPr>
          <w:rFonts w:ascii="Times New Roman" w:hAnsi="Times New Roman"/>
          <w:b w:val="0"/>
          <w:i/>
          <w:sz w:val="24"/>
          <w:szCs w:val="24"/>
        </w:rPr>
        <w:t xml:space="preserve">Екологични </w:t>
      </w:r>
      <w:r w:rsidR="00C016ED" w:rsidRPr="00466FE7">
        <w:rPr>
          <w:rFonts w:ascii="Times New Roman" w:hAnsi="Times New Roman"/>
          <w:b w:val="0"/>
          <w:i/>
          <w:sz w:val="24"/>
          <w:szCs w:val="24"/>
        </w:rPr>
        <w:t>въпроси</w:t>
      </w:r>
      <w:bookmarkEnd w:id="81"/>
      <w:bookmarkEnd w:id="82"/>
    </w:p>
    <w:p w:rsidR="00C016ED" w:rsidRPr="00C016ED" w:rsidRDefault="00C016ED" w:rsidP="00C016ED">
      <w:pPr>
        <w:spacing w:after="120"/>
        <w:ind w:left="709"/>
      </w:pPr>
      <w:r>
        <w:t xml:space="preserve">Няма екологични въпроси, </w:t>
      </w:r>
      <w:r w:rsidRPr="00C016ED">
        <w:t>които биха могли да окажат влияние върху използването на активите.</w:t>
      </w:r>
    </w:p>
    <w:p w:rsidR="00C016ED" w:rsidRDefault="00C016ED">
      <w:pPr>
        <w:autoSpaceDE/>
        <w:autoSpaceDN/>
        <w:adjustRightInd/>
        <w:spacing w:after="0"/>
        <w:jc w:val="left"/>
      </w:pPr>
      <w:r>
        <w:br w:type="page"/>
      </w:r>
    </w:p>
    <w:p w:rsidR="00FC3657" w:rsidRPr="00C016ED" w:rsidRDefault="00FC3657" w:rsidP="00C016ED">
      <w:pPr>
        <w:pStyle w:val="Heading1"/>
        <w:numPr>
          <w:ilvl w:val="0"/>
          <w:numId w:val="11"/>
        </w:numPr>
        <w:rPr>
          <w:rFonts w:ascii="Times New Roman" w:hAnsi="Times New Roman"/>
          <w:smallCaps/>
          <w:sz w:val="28"/>
          <w:szCs w:val="28"/>
        </w:rPr>
      </w:pPr>
      <w:bookmarkStart w:id="83" w:name="_Toc324376931"/>
      <w:bookmarkStart w:id="84" w:name="_Toc324380090"/>
      <w:r w:rsidRPr="00C016ED">
        <w:rPr>
          <w:rFonts w:ascii="Times New Roman" w:hAnsi="Times New Roman"/>
          <w:smallCaps/>
          <w:sz w:val="28"/>
          <w:szCs w:val="28"/>
        </w:rPr>
        <w:t>Резултати от дейността, финансово състояние и перспективи</w:t>
      </w:r>
      <w:bookmarkEnd w:id="83"/>
      <w:bookmarkEnd w:id="84"/>
    </w:p>
    <w:p w:rsidR="00FC3657" w:rsidRPr="00C016ED" w:rsidRDefault="00244DD5" w:rsidP="00C016ED">
      <w:pPr>
        <w:pStyle w:val="Heading1"/>
        <w:numPr>
          <w:ilvl w:val="1"/>
          <w:numId w:val="11"/>
        </w:numPr>
        <w:ind w:left="567" w:hanging="567"/>
        <w:rPr>
          <w:rFonts w:ascii="Times New Roman" w:hAnsi="Times New Roman"/>
          <w:b w:val="0"/>
          <w:i/>
          <w:smallCaps/>
          <w:sz w:val="24"/>
          <w:szCs w:val="24"/>
        </w:rPr>
      </w:pPr>
      <w:r>
        <w:rPr>
          <w:rFonts w:ascii="Times New Roman" w:hAnsi="Times New Roman"/>
          <w:b w:val="0"/>
          <w:i/>
          <w:smallCaps/>
          <w:sz w:val="24"/>
          <w:szCs w:val="24"/>
        </w:rPr>
        <w:t xml:space="preserve"> </w:t>
      </w:r>
      <w:bookmarkStart w:id="85" w:name="_Toc324376932"/>
      <w:bookmarkStart w:id="86" w:name="_Toc324380091"/>
      <w:r>
        <w:rPr>
          <w:rFonts w:ascii="Times New Roman" w:hAnsi="Times New Roman"/>
          <w:b w:val="0"/>
          <w:i/>
          <w:smallCaps/>
          <w:sz w:val="24"/>
          <w:szCs w:val="24"/>
        </w:rPr>
        <w:t>Резултати от дейността.</w:t>
      </w:r>
      <w:bookmarkEnd w:id="85"/>
      <w:bookmarkEnd w:id="86"/>
    </w:p>
    <w:p w:rsidR="00C016ED" w:rsidRDefault="00D70BF4" w:rsidP="006E7DE6">
      <w:pPr>
        <w:spacing w:after="120"/>
      </w:pPr>
      <w:r>
        <w:t>„СПИДИ” ЕАД</w:t>
      </w:r>
      <w:r w:rsidR="005E6910">
        <w:t xml:space="preserve"> запазва непрекъснат позитивен тренд в своето развитие </w:t>
      </w:r>
      <w:r w:rsidR="003B2C1E">
        <w:t xml:space="preserve">и положителни </w:t>
      </w:r>
      <w:r w:rsidR="00B23CF1">
        <w:t>финансови резултати.</w:t>
      </w:r>
    </w:p>
    <w:p w:rsidR="008E438C" w:rsidRPr="00466FE7" w:rsidRDefault="00466FE7" w:rsidP="00466FE7">
      <w:pPr>
        <w:pStyle w:val="Heading1"/>
        <w:numPr>
          <w:ilvl w:val="2"/>
          <w:numId w:val="11"/>
        </w:numPr>
        <w:ind w:left="709" w:hanging="709"/>
        <w:rPr>
          <w:rFonts w:ascii="Times New Roman" w:hAnsi="Times New Roman"/>
          <w:b w:val="0"/>
          <w:i/>
          <w:sz w:val="24"/>
          <w:szCs w:val="24"/>
        </w:rPr>
      </w:pPr>
      <w:bookmarkStart w:id="87" w:name="_Toc324376933"/>
      <w:bookmarkStart w:id="88" w:name="_Toc324380092"/>
      <w:r>
        <w:rPr>
          <w:rFonts w:ascii="Times New Roman" w:hAnsi="Times New Roman"/>
          <w:b w:val="0"/>
          <w:i/>
          <w:sz w:val="24"/>
          <w:szCs w:val="24"/>
        </w:rPr>
        <w:t>Динамика на приходите и фактори повлияли върху тяхното изменение.</w:t>
      </w:r>
      <w:bookmarkEnd w:id="87"/>
      <w:bookmarkEnd w:id="88"/>
    </w:p>
    <w:tbl>
      <w:tblPr>
        <w:tblStyle w:val="MediumShading2-Accent11"/>
        <w:tblW w:w="9781" w:type="dxa"/>
        <w:tblInd w:w="108" w:type="dxa"/>
        <w:tblLayout w:type="fixed"/>
        <w:tblLook w:val="04A0"/>
      </w:tblPr>
      <w:tblGrid>
        <w:gridCol w:w="2845"/>
        <w:gridCol w:w="990"/>
        <w:gridCol w:w="991"/>
        <w:gridCol w:w="991"/>
        <w:gridCol w:w="991"/>
        <w:gridCol w:w="991"/>
        <w:gridCol w:w="991"/>
        <w:gridCol w:w="991"/>
      </w:tblGrid>
      <w:tr w:rsidR="00F243FA" w:rsidRPr="00C07D46" w:rsidTr="007115DE">
        <w:trPr>
          <w:cnfStyle w:val="100000000000"/>
          <w:trHeight w:val="270"/>
        </w:trPr>
        <w:tc>
          <w:tcPr>
            <w:cnfStyle w:val="001000000100"/>
            <w:tcW w:w="2845" w:type="dxa"/>
            <w:noWrap/>
            <w:hideMark/>
          </w:tcPr>
          <w:p w:rsidR="00F243FA" w:rsidRPr="00F05A3A" w:rsidRDefault="00F243FA" w:rsidP="0080674A">
            <w:pPr>
              <w:tabs>
                <w:tab w:val="right" w:pos="2477"/>
              </w:tabs>
              <w:autoSpaceDE/>
              <w:autoSpaceDN/>
              <w:adjustRightInd/>
              <w:spacing w:after="0"/>
              <w:jc w:val="center"/>
              <w:rPr>
                <w:rFonts w:asciiTheme="minorHAnsi" w:hAnsiTheme="minorHAnsi" w:cstheme="minorHAnsi"/>
                <w:sz w:val="22"/>
                <w:szCs w:val="22"/>
                <w:lang w:eastAsia="bg-BG"/>
              </w:rPr>
            </w:pPr>
            <w:r>
              <w:rPr>
                <w:rFonts w:asciiTheme="minorHAnsi" w:hAnsiTheme="minorHAnsi" w:cstheme="minorHAnsi"/>
                <w:sz w:val="22"/>
                <w:szCs w:val="22"/>
                <w:lang w:eastAsia="bg-BG"/>
              </w:rPr>
              <w:t>В хил. лв.</w:t>
            </w:r>
          </w:p>
        </w:tc>
        <w:tc>
          <w:tcPr>
            <w:tcW w:w="990" w:type="dxa"/>
            <w:hideMark/>
          </w:tcPr>
          <w:p w:rsidR="00F243FA" w:rsidRPr="00C07D46" w:rsidRDefault="00F243FA" w:rsidP="00143097">
            <w:pPr>
              <w:autoSpaceDE/>
              <w:autoSpaceDN/>
              <w:adjustRightInd/>
              <w:spacing w:after="0"/>
              <w:jc w:val="center"/>
              <w:cnfStyle w:val="100000000000"/>
              <w:rPr>
                <w:rFonts w:asciiTheme="minorHAnsi" w:hAnsiTheme="minorHAnsi" w:cstheme="minorHAnsi"/>
                <w:bCs w:val="0"/>
                <w:sz w:val="22"/>
                <w:szCs w:val="22"/>
                <w:lang w:eastAsia="bg-BG"/>
              </w:rPr>
            </w:pPr>
            <w:r w:rsidRPr="00C07D46">
              <w:rPr>
                <w:rFonts w:asciiTheme="minorHAnsi" w:hAnsiTheme="minorHAnsi" w:cstheme="minorHAnsi"/>
                <w:bCs w:val="0"/>
                <w:sz w:val="22"/>
                <w:szCs w:val="22"/>
                <w:lang w:eastAsia="bg-BG"/>
              </w:rPr>
              <w:t>2009</w:t>
            </w:r>
          </w:p>
        </w:tc>
        <w:tc>
          <w:tcPr>
            <w:tcW w:w="991" w:type="dxa"/>
            <w:hideMark/>
          </w:tcPr>
          <w:p w:rsidR="00F243FA" w:rsidRPr="00C07D46" w:rsidRDefault="00F243FA" w:rsidP="00143097">
            <w:pPr>
              <w:autoSpaceDE/>
              <w:autoSpaceDN/>
              <w:adjustRightInd/>
              <w:spacing w:after="0"/>
              <w:jc w:val="center"/>
              <w:cnfStyle w:val="100000000000"/>
              <w:rPr>
                <w:rFonts w:asciiTheme="minorHAnsi" w:hAnsiTheme="minorHAnsi" w:cstheme="minorHAnsi"/>
                <w:bCs w:val="0"/>
                <w:sz w:val="22"/>
                <w:szCs w:val="22"/>
                <w:lang w:eastAsia="bg-BG"/>
              </w:rPr>
            </w:pPr>
            <w:r w:rsidRPr="00C07D46">
              <w:rPr>
                <w:rFonts w:asciiTheme="minorHAnsi" w:hAnsiTheme="minorHAnsi" w:cstheme="minorHAnsi"/>
                <w:bCs w:val="0"/>
                <w:sz w:val="22"/>
                <w:szCs w:val="22"/>
                <w:lang w:eastAsia="bg-BG"/>
              </w:rPr>
              <w:t>2010</w:t>
            </w:r>
          </w:p>
        </w:tc>
        <w:tc>
          <w:tcPr>
            <w:tcW w:w="991" w:type="dxa"/>
            <w:hideMark/>
          </w:tcPr>
          <w:p w:rsidR="00F243FA" w:rsidRPr="00C07D46" w:rsidRDefault="00F243FA" w:rsidP="00143097">
            <w:pPr>
              <w:autoSpaceDE/>
              <w:autoSpaceDN/>
              <w:adjustRightInd/>
              <w:spacing w:after="0"/>
              <w:jc w:val="center"/>
              <w:cnfStyle w:val="100000000000"/>
              <w:rPr>
                <w:rFonts w:asciiTheme="minorHAnsi" w:hAnsiTheme="minorHAnsi" w:cstheme="minorHAnsi"/>
                <w:bCs w:val="0"/>
                <w:sz w:val="22"/>
                <w:szCs w:val="22"/>
                <w:lang w:eastAsia="bg-BG"/>
              </w:rPr>
            </w:pPr>
            <w:r w:rsidRPr="00C07D46">
              <w:rPr>
                <w:rFonts w:asciiTheme="minorHAnsi" w:hAnsiTheme="minorHAnsi" w:cstheme="minorHAnsi"/>
                <w:bCs w:val="0"/>
                <w:sz w:val="22"/>
                <w:szCs w:val="22"/>
                <w:lang w:eastAsia="bg-BG"/>
              </w:rPr>
              <w:t>2011</w:t>
            </w:r>
          </w:p>
        </w:tc>
        <w:tc>
          <w:tcPr>
            <w:tcW w:w="991" w:type="dxa"/>
          </w:tcPr>
          <w:p w:rsidR="00F243FA" w:rsidRPr="00C07D46" w:rsidRDefault="00F243FA">
            <w:pPr>
              <w:jc w:val="center"/>
              <w:cnfStyle w:val="100000000000"/>
              <w:rPr>
                <w:rFonts w:asciiTheme="minorHAnsi" w:hAnsiTheme="minorHAnsi" w:cstheme="minorHAnsi"/>
                <w:sz w:val="22"/>
                <w:szCs w:val="22"/>
              </w:rPr>
            </w:pPr>
            <w:r w:rsidRPr="00C07D46">
              <w:rPr>
                <w:rFonts w:asciiTheme="minorHAnsi" w:hAnsiTheme="minorHAnsi" w:cstheme="minorHAnsi"/>
                <w:bCs w:val="0"/>
                <w:sz w:val="22"/>
                <w:szCs w:val="22"/>
              </w:rPr>
              <w:t>Q1 11</w:t>
            </w:r>
          </w:p>
        </w:tc>
        <w:tc>
          <w:tcPr>
            <w:tcW w:w="991" w:type="dxa"/>
            <w:tcBorders>
              <w:right w:val="single" w:sz="12" w:space="0" w:color="auto"/>
            </w:tcBorders>
          </w:tcPr>
          <w:p w:rsidR="00F243FA" w:rsidRPr="00C07D46" w:rsidRDefault="00F243FA">
            <w:pPr>
              <w:jc w:val="center"/>
              <w:cnfStyle w:val="100000000000"/>
              <w:rPr>
                <w:rFonts w:asciiTheme="minorHAnsi" w:hAnsiTheme="minorHAnsi" w:cstheme="minorHAnsi"/>
                <w:sz w:val="22"/>
                <w:szCs w:val="22"/>
              </w:rPr>
            </w:pPr>
            <w:r w:rsidRPr="00C07D46">
              <w:rPr>
                <w:rFonts w:asciiTheme="minorHAnsi" w:hAnsiTheme="minorHAnsi" w:cstheme="minorHAnsi"/>
                <w:bCs w:val="0"/>
                <w:sz w:val="22"/>
                <w:szCs w:val="22"/>
              </w:rPr>
              <w:t>Q1 12</w:t>
            </w:r>
          </w:p>
        </w:tc>
        <w:tc>
          <w:tcPr>
            <w:tcW w:w="991" w:type="dxa"/>
            <w:tcBorders>
              <w:left w:val="single" w:sz="12" w:space="0" w:color="auto"/>
            </w:tcBorders>
            <w:hideMark/>
          </w:tcPr>
          <w:p w:rsidR="00F243FA" w:rsidRPr="00C07D46" w:rsidRDefault="00F243FA" w:rsidP="00C07D46">
            <w:pPr>
              <w:jc w:val="center"/>
              <w:cnfStyle w:val="100000000000"/>
              <w:rPr>
                <w:rFonts w:asciiTheme="minorHAnsi" w:hAnsiTheme="minorHAnsi" w:cstheme="minorHAnsi"/>
                <w:sz w:val="22"/>
                <w:szCs w:val="22"/>
              </w:rPr>
            </w:pPr>
            <w:r w:rsidRPr="00C07D46">
              <w:rPr>
                <w:rFonts w:asciiTheme="minorHAnsi" w:hAnsiTheme="minorHAnsi" w:cstheme="minorHAnsi"/>
                <w:bCs w:val="0"/>
                <w:sz w:val="22"/>
                <w:szCs w:val="22"/>
              </w:rPr>
              <w:t>2011 К</w:t>
            </w:r>
          </w:p>
        </w:tc>
        <w:tc>
          <w:tcPr>
            <w:tcW w:w="991" w:type="dxa"/>
            <w:tcBorders>
              <w:right w:val="single" w:sz="12" w:space="0" w:color="auto"/>
            </w:tcBorders>
            <w:hideMark/>
          </w:tcPr>
          <w:p w:rsidR="00F243FA" w:rsidRPr="00C07D46" w:rsidRDefault="00F243FA" w:rsidP="00C07D46">
            <w:pPr>
              <w:jc w:val="center"/>
              <w:cnfStyle w:val="100000000000"/>
              <w:rPr>
                <w:rFonts w:asciiTheme="minorHAnsi" w:hAnsiTheme="minorHAnsi" w:cstheme="minorHAnsi"/>
                <w:sz w:val="22"/>
                <w:szCs w:val="22"/>
              </w:rPr>
            </w:pPr>
            <w:r w:rsidRPr="00C07D46">
              <w:rPr>
                <w:rFonts w:asciiTheme="minorHAnsi" w:hAnsiTheme="minorHAnsi" w:cstheme="minorHAnsi"/>
                <w:bCs w:val="0"/>
                <w:sz w:val="22"/>
                <w:szCs w:val="22"/>
              </w:rPr>
              <w:t>Q1 12 К</w:t>
            </w:r>
          </w:p>
        </w:tc>
      </w:tr>
      <w:tr w:rsidR="00F243FA" w:rsidRPr="00C07D46" w:rsidTr="007115DE">
        <w:trPr>
          <w:cnfStyle w:val="000000100000"/>
          <w:trHeight w:val="255"/>
        </w:trPr>
        <w:tc>
          <w:tcPr>
            <w:cnfStyle w:val="001000000000"/>
            <w:tcW w:w="2845" w:type="dxa"/>
            <w:hideMark/>
          </w:tcPr>
          <w:p w:rsidR="00F243FA" w:rsidRPr="00C07D46" w:rsidRDefault="00F243FA" w:rsidP="006E7DE6">
            <w:pPr>
              <w:autoSpaceDE/>
              <w:autoSpaceDN/>
              <w:adjustRightInd/>
              <w:spacing w:after="0"/>
              <w:jc w:val="left"/>
              <w:rPr>
                <w:rFonts w:asciiTheme="minorHAnsi" w:hAnsiTheme="minorHAnsi" w:cstheme="minorHAnsi"/>
                <w:bCs w:val="0"/>
                <w:sz w:val="22"/>
                <w:szCs w:val="22"/>
                <w:lang w:eastAsia="bg-BG"/>
              </w:rPr>
            </w:pPr>
            <w:r w:rsidRPr="00C07D46">
              <w:rPr>
                <w:rFonts w:asciiTheme="minorHAnsi" w:hAnsiTheme="minorHAnsi" w:cstheme="minorHAnsi"/>
                <w:bCs w:val="0"/>
                <w:sz w:val="22"/>
                <w:szCs w:val="22"/>
                <w:lang w:eastAsia="bg-BG"/>
              </w:rPr>
              <w:t>ПРИХОДИ</w:t>
            </w:r>
          </w:p>
        </w:tc>
        <w:tc>
          <w:tcPr>
            <w:tcW w:w="990" w:type="dxa"/>
            <w:noWrap/>
            <w:hideMark/>
          </w:tcPr>
          <w:p w:rsidR="00F243FA" w:rsidRPr="00C07D46" w:rsidRDefault="00F243FA" w:rsidP="00143097">
            <w:pPr>
              <w:autoSpaceDE/>
              <w:autoSpaceDN/>
              <w:adjustRightInd/>
              <w:spacing w:after="0"/>
              <w:jc w:val="right"/>
              <w:cnfStyle w:val="000000100000"/>
              <w:rPr>
                <w:rFonts w:asciiTheme="minorHAnsi" w:hAnsiTheme="minorHAnsi" w:cstheme="minorHAnsi"/>
                <w:b/>
                <w:bCs/>
                <w:sz w:val="22"/>
                <w:szCs w:val="22"/>
                <w:lang w:eastAsia="bg-BG"/>
              </w:rPr>
            </w:pPr>
            <w:r w:rsidRPr="00C07D46">
              <w:rPr>
                <w:rFonts w:asciiTheme="minorHAnsi" w:hAnsiTheme="minorHAnsi" w:cstheme="minorHAnsi"/>
                <w:b/>
                <w:bCs/>
                <w:sz w:val="22"/>
                <w:szCs w:val="22"/>
                <w:lang w:eastAsia="bg-BG"/>
              </w:rPr>
              <w:t>35 396</w:t>
            </w:r>
          </w:p>
        </w:tc>
        <w:tc>
          <w:tcPr>
            <w:tcW w:w="991" w:type="dxa"/>
            <w:noWrap/>
            <w:hideMark/>
          </w:tcPr>
          <w:p w:rsidR="00F243FA" w:rsidRPr="00C07D46" w:rsidRDefault="00F243FA" w:rsidP="00143097">
            <w:pPr>
              <w:autoSpaceDE/>
              <w:autoSpaceDN/>
              <w:adjustRightInd/>
              <w:spacing w:after="0"/>
              <w:jc w:val="right"/>
              <w:cnfStyle w:val="000000100000"/>
              <w:rPr>
                <w:rFonts w:asciiTheme="minorHAnsi" w:hAnsiTheme="minorHAnsi" w:cstheme="minorHAnsi"/>
                <w:b/>
                <w:bCs/>
                <w:sz w:val="22"/>
                <w:szCs w:val="22"/>
                <w:lang w:eastAsia="bg-BG"/>
              </w:rPr>
            </w:pPr>
            <w:r w:rsidRPr="00C07D46">
              <w:rPr>
                <w:rFonts w:asciiTheme="minorHAnsi" w:hAnsiTheme="minorHAnsi" w:cstheme="minorHAnsi"/>
                <w:b/>
                <w:bCs/>
                <w:sz w:val="22"/>
                <w:szCs w:val="22"/>
                <w:lang w:eastAsia="bg-BG"/>
              </w:rPr>
              <w:t>38 948</w:t>
            </w:r>
          </w:p>
        </w:tc>
        <w:tc>
          <w:tcPr>
            <w:tcW w:w="991" w:type="dxa"/>
            <w:noWrap/>
            <w:hideMark/>
          </w:tcPr>
          <w:p w:rsidR="00F243FA" w:rsidRPr="00C07D46" w:rsidRDefault="00F243FA" w:rsidP="00143097">
            <w:pPr>
              <w:autoSpaceDE/>
              <w:autoSpaceDN/>
              <w:adjustRightInd/>
              <w:spacing w:after="0"/>
              <w:jc w:val="right"/>
              <w:cnfStyle w:val="000000100000"/>
              <w:rPr>
                <w:rFonts w:asciiTheme="minorHAnsi" w:hAnsiTheme="minorHAnsi" w:cstheme="minorHAnsi"/>
                <w:b/>
                <w:bCs/>
                <w:sz w:val="22"/>
                <w:szCs w:val="22"/>
                <w:lang w:eastAsia="bg-BG"/>
              </w:rPr>
            </w:pPr>
            <w:r w:rsidRPr="00C07D46">
              <w:rPr>
                <w:rFonts w:asciiTheme="minorHAnsi" w:hAnsiTheme="minorHAnsi" w:cstheme="minorHAnsi"/>
                <w:b/>
                <w:bCs/>
                <w:sz w:val="22"/>
                <w:szCs w:val="22"/>
                <w:lang w:eastAsia="bg-BG"/>
              </w:rPr>
              <w:t>47 567</w:t>
            </w:r>
          </w:p>
        </w:tc>
        <w:tc>
          <w:tcPr>
            <w:tcW w:w="991" w:type="dxa"/>
          </w:tcPr>
          <w:p w:rsidR="00F243FA" w:rsidRPr="00C07D46" w:rsidRDefault="00F243FA">
            <w:pPr>
              <w:jc w:val="right"/>
              <w:cnfStyle w:val="000000100000"/>
              <w:rPr>
                <w:rFonts w:asciiTheme="minorHAnsi" w:hAnsiTheme="minorHAnsi" w:cstheme="minorHAnsi"/>
                <w:b/>
                <w:bCs/>
                <w:sz w:val="22"/>
                <w:szCs w:val="22"/>
              </w:rPr>
            </w:pPr>
            <w:r w:rsidRPr="00C07D46">
              <w:rPr>
                <w:rFonts w:asciiTheme="minorHAnsi" w:hAnsiTheme="minorHAnsi" w:cstheme="minorHAnsi"/>
                <w:b/>
                <w:bCs/>
                <w:sz w:val="22"/>
                <w:szCs w:val="22"/>
              </w:rPr>
              <w:t>7 683</w:t>
            </w:r>
          </w:p>
        </w:tc>
        <w:tc>
          <w:tcPr>
            <w:tcW w:w="991" w:type="dxa"/>
            <w:tcBorders>
              <w:right w:val="single" w:sz="12" w:space="0" w:color="auto"/>
            </w:tcBorders>
          </w:tcPr>
          <w:p w:rsidR="00F243FA" w:rsidRPr="00C07D46" w:rsidRDefault="00F243FA">
            <w:pPr>
              <w:jc w:val="right"/>
              <w:cnfStyle w:val="000000100000"/>
              <w:rPr>
                <w:rFonts w:asciiTheme="minorHAnsi" w:hAnsiTheme="minorHAnsi" w:cstheme="minorHAnsi"/>
                <w:b/>
                <w:bCs/>
                <w:sz w:val="22"/>
                <w:szCs w:val="22"/>
              </w:rPr>
            </w:pPr>
            <w:r w:rsidRPr="00C07D46">
              <w:rPr>
                <w:rFonts w:asciiTheme="minorHAnsi" w:hAnsiTheme="minorHAnsi" w:cstheme="minorHAnsi"/>
                <w:b/>
                <w:bCs/>
                <w:sz w:val="22"/>
                <w:szCs w:val="22"/>
              </w:rPr>
              <w:t>8 821</w:t>
            </w:r>
          </w:p>
        </w:tc>
        <w:tc>
          <w:tcPr>
            <w:tcW w:w="991" w:type="dxa"/>
            <w:tcBorders>
              <w:left w:val="single" w:sz="12" w:space="0" w:color="auto"/>
            </w:tcBorders>
            <w:noWrap/>
            <w:hideMark/>
          </w:tcPr>
          <w:p w:rsidR="00F243FA" w:rsidRPr="00C07D46" w:rsidRDefault="00F243FA">
            <w:pPr>
              <w:jc w:val="right"/>
              <w:cnfStyle w:val="000000100000"/>
              <w:rPr>
                <w:rFonts w:asciiTheme="minorHAnsi" w:hAnsiTheme="minorHAnsi" w:cstheme="minorHAnsi"/>
                <w:b/>
                <w:bCs/>
                <w:sz w:val="22"/>
                <w:szCs w:val="22"/>
              </w:rPr>
            </w:pPr>
            <w:r w:rsidRPr="00C07D46">
              <w:rPr>
                <w:rFonts w:asciiTheme="minorHAnsi" w:hAnsiTheme="minorHAnsi" w:cstheme="minorHAnsi"/>
                <w:b/>
                <w:bCs/>
                <w:sz w:val="22"/>
                <w:szCs w:val="22"/>
              </w:rPr>
              <w:t>47 792</w:t>
            </w:r>
          </w:p>
        </w:tc>
        <w:tc>
          <w:tcPr>
            <w:tcW w:w="991" w:type="dxa"/>
            <w:tcBorders>
              <w:right w:val="single" w:sz="12" w:space="0" w:color="auto"/>
            </w:tcBorders>
            <w:noWrap/>
            <w:hideMark/>
          </w:tcPr>
          <w:p w:rsidR="00F243FA" w:rsidRPr="00C07D46" w:rsidRDefault="00F243FA">
            <w:pPr>
              <w:jc w:val="right"/>
              <w:cnfStyle w:val="000000100000"/>
              <w:rPr>
                <w:rFonts w:asciiTheme="minorHAnsi" w:hAnsiTheme="minorHAnsi" w:cstheme="minorHAnsi"/>
                <w:b/>
                <w:bCs/>
                <w:sz w:val="22"/>
                <w:szCs w:val="22"/>
              </w:rPr>
            </w:pPr>
            <w:r>
              <w:rPr>
                <w:rFonts w:asciiTheme="minorHAnsi" w:hAnsiTheme="minorHAnsi" w:cstheme="minorHAnsi"/>
                <w:b/>
                <w:bCs/>
                <w:sz w:val="22"/>
                <w:szCs w:val="22"/>
              </w:rPr>
              <w:t>8</w:t>
            </w:r>
            <w:r w:rsidRPr="00C07D46">
              <w:rPr>
                <w:rFonts w:asciiTheme="minorHAnsi" w:hAnsiTheme="minorHAnsi" w:cstheme="minorHAnsi"/>
                <w:b/>
                <w:bCs/>
                <w:sz w:val="22"/>
                <w:szCs w:val="22"/>
              </w:rPr>
              <w:t xml:space="preserve"> 851</w:t>
            </w:r>
          </w:p>
        </w:tc>
      </w:tr>
      <w:tr w:rsidR="00F243FA" w:rsidRPr="00C07D46" w:rsidTr="007115DE">
        <w:trPr>
          <w:trHeight w:val="270"/>
        </w:trPr>
        <w:tc>
          <w:tcPr>
            <w:cnfStyle w:val="001000000000"/>
            <w:tcW w:w="2845" w:type="dxa"/>
            <w:hideMark/>
          </w:tcPr>
          <w:p w:rsidR="00F243FA" w:rsidRPr="00C07D46" w:rsidRDefault="00F243FA" w:rsidP="0087394D">
            <w:pPr>
              <w:autoSpaceDE/>
              <w:autoSpaceDN/>
              <w:adjustRightInd/>
              <w:spacing w:after="0"/>
              <w:ind w:firstLineChars="101" w:firstLine="223"/>
              <w:jc w:val="right"/>
              <w:rPr>
                <w:rFonts w:asciiTheme="minorHAnsi" w:hAnsiTheme="minorHAnsi" w:cstheme="minorHAnsi"/>
                <w:sz w:val="22"/>
                <w:szCs w:val="22"/>
                <w:lang w:eastAsia="bg-BG"/>
              </w:rPr>
            </w:pPr>
            <w:r w:rsidRPr="00C07D46">
              <w:rPr>
                <w:rFonts w:asciiTheme="minorHAnsi" w:hAnsiTheme="minorHAnsi" w:cstheme="minorHAnsi"/>
                <w:sz w:val="22"/>
                <w:szCs w:val="22"/>
                <w:lang w:eastAsia="bg-BG"/>
              </w:rPr>
              <w:t> Изменение, %</w:t>
            </w:r>
          </w:p>
        </w:tc>
        <w:tc>
          <w:tcPr>
            <w:tcW w:w="990" w:type="dxa"/>
            <w:noWrap/>
            <w:hideMark/>
          </w:tcPr>
          <w:p w:rsidR="00F243FA" w:rsidRPr="00C07D46" w:rsidRDefault="00F243FA" w:rsidP="00143097">
            <w:pPr>
              <w:autoSpaceDE/>
              <w:autoSpaceDN/>
              <w:adjustRightInd/>
              <w:spacing w:after="0"/>
              <w:jc w:val="right"/>
              <w:cnfStyle w:val="000000000000"/>
              <w:rPr>
                <w:rFonts w:asciiTheme="minorHAnsi" w:hAnsiTheme="minorHAnsi" w:cstheme="minorHAnsi"/>
                <w:b/>
                <w:i/>
                <w:iCs/>
                <w:sz w:val="22"/>
                <w:szCs w:val="22"/>
                <w:lang w:eastAsia="bg-BG"/>
              </w:rPr>
            </w:pPr>
            <w:r w:rsidRPr="00C07D46">
              <w:rPr>
                <w:rFonts w:asciiTheme="minorHAnsi" w:hAnsiTheme="minorHAnsi" w:cstheme="minorHAnsi"/>
                <w:b/>
                <w:i/>
                <w:iCs/>
                <w:sz w:val="22"/>
                <w:szCs w:val="22"/>
                <w:lang w:eastAsia="bg-BG"/>
              </w:rPr>
              <w:t>4%</w:t>
            </w:r>
          </w:p>
        </w:tc>
        <w:tc>
          <w:tcPr>
            <w:tcW w:w="991" w:type="dxa"/>
            <w:noWrap/>
            <w:hideMark/>
          </w:tcPr>
          <w:p w:rsidR="00F243FA" w:rsidRPr="00C07D46" w:rsidRDefault="00F243FA" w:rsidP="00143097">
            <w:pPr>
              <w:autoSpaceDE/>
              <w:autoSpaceDN/>
              <w:adjustRightInd/>
              <w:spacing w:after="0"/>
              <w:jc w:val="right"/>
              <w:cnfStyle w:val="000000000000"/>
              <w:rPr>
                <w:rFonts w:asciiTheme="minorHAnsi" w:hAnsiTheme="minorHAnsi" w:cstheme="minorHAnsi"/>
                <w:b/>
                <w:i/>
                <w:iCs/>
                <w:sz w:val="22"/>
                <w:szCs w:val="22"/>
                <w:lang w:eastAsia="bg-BG"/>
              </w:rPr>
            </w:pPr>
            <w:r w:rsidRPr="00C07D46">
              <w:rPr>
                <w:rFonts w:asciiTheme="minorHAnsi" w:hAnsiTheme="minorHAnsi" w:cstheme="minorHAnsi"/>
                <w:b/>
                <w:i/>
                <w:iCs/>
                <w:sz w:val="22"/>
                <w:szCs w:val="22"/>
                <w:lang w:eastAsia="bg-BG"/>
              </w:rPr>
              <w:t>10%</w:t>
            </w:r>
          </w:p>
        </w:tc>
        <w:tc>
          <w:tcPr>
            <w:tcW w:w="991" w:type="dxa"/>
            <w:noWrap/>
            <w:hideMark/>
          </w:tcPr>
          <w:p w:rsidR="00F243FA" w:rsidRPr="00C07D46" w:rsidRDefault="00F243FA" w:rsidP="00143097">
            <w:pPr>
              <w:autoSpaceDE/>
              <w:autoSpaceDN/>
              <w:adjustRightInd/>
              <w:spacing w:after="0"/>
              <w:jc w:val="right"/>
              <w:cnfStyle w:val="000000000000"/>
              <w:rPr>
                <w:rFonts w:asciiTheme="minorHAnsi" w:hAnsiTheme="minorHAnsi" w:cstheme="minorHAnsi"/>
                <w:b/>
                <w:i/>
                <w:iCs/>
                <w:sz w:val="22"/>
                <w:szCs w:val="22"/>
                <w:lang w:eastAsia="bg-BG"/>
              </w:rPr>
            </w:pPr>
            <w:r w:rsidRPr="00C07D46">
              <w:rPr>
                <w:rFonts w:asciiTheme="minorHAnsi" w:hAnsiTheme="minorHAnsi" w:cstheme="minorHAnsi"/>
                <w:b/>
                <w:i/>
                <w:iCs/>
                <w:sz w:val="22"/>
                <w:szCs w:val="22"/>
                <w:lang w:eastAsia="bg-BG"/>
              </w:rPr>
              <w:t>22%</w:t>
            </w:r>
          </w:p>
        </w:tc>
        <w:tc>
          <w:tcPr>
            <w:tcW w:w="991" w:type="dxa"/>
          </w:tcPr>
          <w:p w:rsidR="00F243FA" w:rsidRPr="00C07D46" w:rsidRDefault="00F243FA">
            <w:pPr>
              <w:cnfStyle w:val="000000000000"/>
              <w:rPr>
                <w:rFonts w:asciiTheme="minorHAnsi" w:hAnsiTheme="minorHAnsi" w:cstheme="minorHAnsi"/>
                <w:b/>
                <w:bCs/>
                <w:i/>
                <w:iCs/>
                <w:sz w:val="22"/>
                <w:szCs w:val="22"/>
              </w:rPr>
            </w:pPr>
            <w:r w:rsidRPr="00C07D46">
              <w:rPr>
                <w:rFonts w:asciiTheme="minorHAnsi" w:hAnsiTheme="minorHAnsi" w:cstheme="minorHAnsi"/>
                <w:b/>
                <w:bCs/>
                <w:i/>
                <w:iCs/>
                <w:sz w:val="22"/>
                <w:szCs w:val="22"/>
              </w:rPr>
              <w:t> </w:t>
            </w:r>
          </w:p>
        </w:tc>
        <w:tc>
          <w:tcPr>
            <w:tcW w:w="991" w:type="dxa"/>
            <w:tcBorders>
              <w:right w:val="single" w:sz="12" w:space="0" w:color="auto"/>
            </w:tcBorders>
          </w:tcPr>
          <w:p w:rsidR="00F243FA" w:rsidRPr="00C07D46" w:rsidRDefault="00F243FA">
            <w:pPr>
              <w:jc w:val="right"/>
              <w:cnfStyle w:val="000000000000"/>
              <w:rPr>
                <w:rFonts w:asciiTheme="minorHAnsi" w:hAnsiTheme="minorHAnsi" w:cstheme="minorHAnsi"/>
                <w:b/>
                <w:i/>
                <w:iCs/>
                <w:sz w:val="22"/>
                <w:szCs w:val="22"/>
              </w:rPr>
            </w:pPr>
            <w:r w:rsidRPr="00C07D46">
              <w:rPr>
                <w:rFonts w:asciiTheme="minorHAnsi" w:hAnsiTheme="minorHAnsi" w:cstheme="minorHAnsi"/>
                <w:b/>
                <w:i/>
                <w:iCs/>
                <w:sz w:val="22"/>
                <w:szCs w:val="22"/>
              </w:rPr>
              <w:t>15%</w:t>
            </w:r>
          </w:p>
        </w:tc>
        <w:tc>
          <w:tcPr>
            <w:tcW w:w="991" w:type="dxa"/>
            <w:tcBorders>
              <w:left w:val="single" w:sz="12" w:space="0" w:color="auto"/>
            </w:tcBorders>
            <w:noWrap/>
            <w:hideMark/>
          </w:tcPr>
          <w:p w:rsidR="00F243FA" w:rsidRPr="00C07D46" w:rsidRDefault="00F243FA">
            <w:pPr>
              <w:cnfStyle w:val="000000000000"/>
              <w:rPr>
                <w:rFonts w:asciiTheme="minorHAnsi" w:hAnsiTheme="minorHAnsi" w:cstheme="minorHAnsi"/>
                <w:b/>
                <w:bCs/>
                <w:i/>
                <w:iCs/>
                <w:sz w:val="22"/>
                <w:szCs w:val="22"/>
              </w:rPr>
            </w:pPr>
            <w:r w:rsidRPr="00C07D46">
              <w:rPr>
                <w:rFonts w:asciiTheme="minorHAnsi" w:hAnsiTheme="minorHAnsi" w:cstheme="minorHAnsi"/>
                <w:b/>
                <w:bCs/>
                <w:i/>
                <w:iCs/>
                <w:sz w:val="22"/>
                <w:szCs w:val="22"/>
              </w:rPr>
              <w:t> </w:t>
            </w:r>
          </w:p>
        </w:tc>
        <w:tc>
          <w:tcPr>
            <w:tcW w:w="991" w:type="dxa"/>
            <w:tcBorders>
              <w:right w:val="single" w:sz="12" w:space="0" w:color="auto"/>
            </w:tcBorders>
            <w:noWrap/>
            <w:hideMark/>
          </w:tcPr>
          <w:p w:rsidR="00F243FA" w:rsidRPr="00C07D46" w:rsidRDefault="00F243FA">
            <w:pPr>
              <w:cnfStyle w:val="000000000000"/>
              <w:rPr>
                <w:rFonts w:asciiTheme="minorHAnsi" w:hAnsiTheme="minorHAnsi" w:cstheme="minorHAnsi"/>
                <w:b/>
                <w:bCs/>
                <w:i/>
                <w:iCs/>
                <w:sz w:val="22"/>
                <w:szCs w:val="22"/>
              </w:rPr>
            </w:pPr>
            <w:r w:rsidRPr="00C07D46">
              <w:rPr>
                <w:rFonts w:asciiTheme="minorHAnsi" w:hAnsiTheme="minorHAnsi" w:cstheme="minorHAnsi"/>
                <w:b/>
                <w:bCs/>
                <w:i/>
                <w:iCs/>
                <w:sz w:val="22"/>
                <w:szCs w:val="22"/>
              </w:rPr>
              <w:t> </w:t>
            </w:r>
          </w:p>
        </w:tc>
      </w:tr>
      <w:tr w:rsidR="00F243FA" w:rsidRPr="00C07D46" w:rsidTr="007115DE">
        <w:trPr>
          <w:cnfStyle w:val="000000100000"/>
          <w:trHeight w:val="255"/>
        </w:trPr>
        <w:tc>
          <w:tcPr>
            <w:cnfStyle w:val="001000000000"/>
            <w:tcW w:w="2845" w:type="dxa"/>
            <w:hideMark/>
          </w:tcPr>
          <w:p w:rsidR="00F243FA" w:rsidRPr="00C07D46" w:rsidRDefault="00F243FA" w:rsidP="0087394D">
            <w:pPr>
              <w:autoSpaceDE/>
              <w:autoSpaceDN/>
              <w:adjustRightInd/>
              <w:spacing w:after="0"/>
              <w:ind w:firstLineChars="101" w:firstLine="223"/>
              <w:jc w:val="left"/>
              <w:rPr>
                <w:rFonts w:asciiTheme="minorHAnsi" w:hAnsiTheme="minorHAnsi" w:cstheme="minorHAnsi"/>
                <w:sz w:val="22"/>
                <w:szCs w:val="22"/>
                <w:lang w:eastAsia="bg-BG"/>
              </w:rPr>
            </w:pPr>
            <w:r w:rsidRPr="00C07D46">
              <w:rPr>
                <w:rFonts w:asciiTheme="minorHAnsi" w:hAnsiTheme="minorHAnsi" w:cstheme="minorHAnsi"/>
                <w:sz w:val="22"/>
                <w:szCs w:val="22"/>
                <w:lang w:eastAsia="bg-BG"/>
              </w:rPr>
              <w:t>От основна дейност</w:t>
            </w:r>
          </w:p>
        </w:tc>
        <w:tc>
          <w:tcPr>
            <w:tcW w:w="990" w:type="dxa"/>
            <w:noWrap/>
            <w:hideMark/>
          </w:tcPr>
          <w:p w:rsidR="00F243FA" w:rsidRPr="00C07D46" w:rsidRDefault="00F243FA" w:rsidP="00143097">
            <w:pPr>
              <w:autoSpaceDE/>
              <w:autoSpaceDN/>
              <w:adjustRightInd/>
              <w:spacing w:after="0"/>
              <w:jc w:val="right"/>
              <w:cnfStyle w:val="000000100000"/>
              <w:rPr>
                <w:rFonts w:asciiTheme="minorHAnsi" w:hAnsiTheme="minorHAnsi" w:cstheme="minorHAnsi"/>
                <w:sz w:val="22"/>
                <w:szCs w:val="22"/>
                <w:lang w:eastAsia="bg-BG"/>
              </w:rPr>
            </w:pPr>
            <w:r w:rsidRPr="00C07D46">
              <w:rPr>
                <w:rFonts w:asciiTheme="minorHAnsi" w:hAnsiTheme="minorHAnsi" w:cstheme="minorHAnsi"/>
                <w:sz w:val="22"/>
                <w:szCs w:val="22"/>
                <w:lang w:eastAsia="bg-BG"/>
              </w:rPr>
              <w:t>32 847</w:t>
            </w:r>
          </w:p>
        </w:tc>
        <w:tc>
          <w:tcPr>
            <w:tcW w:w="991" w:type="dxa"/>
            <w:noWrap/>
            <w:hideMark/>
          </w:tcPr>
          <w:p w:rsidR="00F243FA" w:rsidRPr="00C07D46" w:rsidRDefault="00F243FA" w:rsidP="00143097">
            <w:pPr>
              <w:autoSpaceDE/>
              <w:autoSpaceDN/>
              <w:adjustRightInd/>
              <w:spacing w:after="0"/>
              <w:jc w:val="right"/>
              <w:cnfStyle w:val="000000100000"/>
              <w:rPr>
                <w:rFonts w:asciiTheme="minorHAnsi" w:hAnsiTheme="minorHAnsi" w:cstheme="minorHAnsi"/>
                <w:sz w:val="22"/>
                <w:szCs w:val="22"/>
                <w:lang w:eastAsia="bg-BG"/>
              </w:rPr>
            </w:pPr>
            <w:r w:rsidRPr="00C07D46">
              <w:rPr>
                <w:rFonts w:asciiTheme="minorHAnsi" w:hAnsiTheme="minorHAnsi" w:cstheme="minorHAnsi"/>
                <w:sz w:val="22"/>
                <w:szCs w:val="22"/>
                <w:lang w:eastAsia="bg-BG"/>
              </w:rPr>
              <w:t>36 742</w:t>
            </w:r>
          </w:p>
        </w:tc>
        <w:tc>
          <w:tcPr>
            <w:tcW w:w="991" w:type="dxa"/>
            <w:noWrap/>
            <w:hideMark/>
          </w:tcPr>
          <w:p w:rsidR="00F243FA" w:rsidRPr="00C07D46" w:rsidRDefault="00F243FA" w:rsidP="00143097">
            <w:pPr>
              <w:autoSpaceDE/>
              <w:autoSpaceDN/>
              <w:adjustRightInd/>
              <w:spacing w:after="0"/>
              <w:jc w:val="right"/>
              <w:cnfStyle w:val="000000100000"/>
              <w:rPr>
                <w:rFonts w:asciiTheme="minorHAnsi" w:hAnsiTheme="minorHAnsi" w:cstheme="minorHAnsi"/>
                <w:i/>
                <w:iCs/>
                <w:sz w:val="22"/>
                <w:szCs w:val="22"/>
                <w:lang w:eastAsia="bg-BG"/>
              </w:rPr>
            </w:pPr>
            <w:r w:rsidRPr="00C07D46">
              <w:rPr>
                <w:rFonts w:asciiTheme="minorHAnsi" w:hAnsiTheme="minorHAnsi" w:cstheme="minorHAnsi"/>
                <w:i/>
                <w:iCs/>
                <w:sz w:val="22"/>
                <w:szCs w:val="22"/>
                <w:lang w:eastAsia="bg-BG"/>
              </w:rPr>
              <w:t>43 403</w:t>
            </w:r>
          </w:p>
        </w:tc>
        <w:tc>
          <w:tcPr>
            <w:tcW w:w="991" w:type="dxa"/>
          </w:tcPr>
          <w:p w:rsidR="00F243FA" w:rsidRPr="00C07D46" w:rsidRDefault="00F243FA">
            <w:pPr>
              <w:jc w:val="right"/>
              <w:cnfStyle w:val="000000100000"/>
              <w:rPr>
                <w:rFonts w:asciiTheme="minorHAnsi" w:hAnsiTheme="minorHAnsi" w:cstheme="minorHAnsi"/>
                <w:i/>
                <w:iCs/>
                <w:sz w:val="22"/>
                <w:szCs w:val="22"/>
              </w:rPr>
            </w:pPr>
            <w:r w:rsidRPr="00C07D46">
              <w:rPr>
                <w:rFonts w:asciiTheme="minorHAnsi" w:hAnsiTheme="minorHAnsi" w:cstheme="minorHAnsi"/>
                <w:i/>
                <w:iCs/>
                <w:sz w:val="22"/>
                <w:szCs w:val="22"/>
              </w:rPr>
              <w:t>6 987</w:t>
            </w:r>
          </w:p>
        </w:tc>
        <w:tc>
          <w:tcPr>
            <w:tcW w:w="991" w:type="dxa"/>
            <w:tcBorders>
              <w:right w:val="single" w:sz="12" w:space="0" w:color="auto"/>
            </w:tcBorders>
          </w:tcPr>
          <w:p w:rsidR="00F243FA" w:rsidRPr="00C07D46" w:rsidRDefault="00F243FA">
            <w:pPr>
              <w:jc w:val="right"/>
              <w:cnfStyle w:val="000000100000"/>
              <w:rPr>
                <w:rFonts w:asciiTheme="minorHAnsi" w:hAnsiTheme="minorHAnsi" w:cstheme="minorHAnsi"/>
                <w:i/>
                <w:iCs/>
                <w:sz w:val="22"/>
                <w:szCs w:val="22"/>
              </w:rPr>
            </w:pPr>
            <w:r w:rsidRPr="00C07D46">
              <w:rPr>
                <w:rFonts w:asciiTheme="minorHAnsi" w:hAnsiTheme="minorHAnsi" w:cstheme="minorHAnsi"/>
                <w:i/>
                <w:iCs/>
                <w:sz w:val="22"/>
                <w:szCs w:val="22"/>
              </w:rPr>
              <w:t>8 327</w:t>
            </w:r>
          </w:p>
        </w:tc>
        <w:tc>
          <w:tcPr>
            <w:tcW w:w="991" w:type="dxa"/>
            <w:tcBorders>
              <w:left w:val="single" w:sz="12" w:space="0" w:color="auto"/>
            </w:tcBorders>
            <w:noWrap/>
            <w:hideMark/>
          </w:tcPr>
          <w:p w:rsidR="00F243FA" w:rsidRPr="00C07D46" w:rsidRDefault="00F243FA">
            <w:pPr>
              <w:jc w:val="right"/>
              <w:cnfStyle w:val="000000100000"/>
              <w:rPr>
                <w:rFonts w:asciiTheme="minorHAnsi" w:hAnsiTheme="minorHAnsi" w:cstheme="minorHAnsi"/>
                <w:i/>
                <w:iCs/>
                <w:sz w:val="22"/>
                <w:szCs w:val="22"/>
              </w:rPr>
            </w:pPr>
            <w:r w:rsidRPr="00C07D46">
              <w:rPr>
                <w:rFonts w:asciiTheme="minorHAnsi" w:hAnsiTheme="minorHAnsi" w:cstheme="minorHAnsi"/>
                <w:i/>
                <w:iCs/>
                <w:sz w:val="22"/>
                <w:szCs w:val="22"/>
              </w:rPr>
              <w:t>43 477</w:t>
            </w:r>
          </w:p>
        </w:tc>
        <w:tc>
          <w:tcPr>
            <w:tcW w:w="991" w:type="dxa"/>
            <w:tcBorders>
              <w:right w:val="single" w:sz="12" w:space="0" w:color="auto"/>
            </w:tcBorders>
            <w:noWrap/>
            <w:hideMark/>
          </w:tcPr>
          <w:p w:rsidR="00F243FA" w:rsidRPr="00C07D46" w:rsidRDefault="00F243FA">
            <w:pPr>
              <w:jc w:val="right"/>
              <w:cnfStyle w:val="000000100000"/>
              <w:rPr>
                <w:rFonts w:asciiTheme="minorHAnsi" w:hAnsiTheme="minorHAnsi" w:cstheme="minorHAnsi"/>
                <w:i/>
                <w:iCs/>
                <w:sz w:val="22"/>
                <w:szCs w:val="22"/>
              </w:rPr>
            </w:pPr>
            <w:r>
              <w:rPr>
                <w:rFonts w:asciiTheme="minorHAnsi" w:hAnsiTheme="minorHAnsi" w:cstheme="minorHAnsi"/>
                <w:i/>
                <w:iCs/>
                <w:sz w:val="22"/>
                <w:szCs w:val="22"/>
              </w:rPr>
              <w:t>8</w:t>
            </w:r>
            <w:r w:rsidRPr="00C07D46">
              <w:rPr>
                <w:rFonts w:asciiTheme="minorHAnsi" w:hAnsiTheme="minorHAnsi" w:cstheme="minorHAnsi"/>
                <w:i/>
                <w:iCs/>
                <w:sz w:val="22"/>
                <w:szCs w:val="22"/>
              </w:rPr>
              <w:t xml:space="preserve"> 332</w:t>
            </w:r>
          </w:p>
        </w:tc>
      </w:tr>
      <w:tr w:rsidR="00F243FA" w:rsidRPr="00C07D46" w:rsidTr="007115DE">
        <w:trPr>
          <w:trHeight w:val="255"/>
        </w:trPr>
        <w:tc>
          <w:tcPr>
            <w:cnfStyle w:val="001000000000"/>
            <w:tcW w:w="2845" w:type="dxa"/>
            <w:hideMark/>
          </w:tcPr>
          <w:p w:rsidR="00F243FA" w:rsidRPr="00C07D46" w:rsidRDefault="00F243FA" w:rsidP="0087394D">
            <w:pPr>
              <w:autoSpaceDE/>
              <w:autoSpaceDN/>
              <w:adjustRightInd/>
              <w:spacing w:after="0"/>
              <w:ind w:firstLineChars="101" w:firstLine="223"/>
              <w:jc w:val="right"/>
              <w:rPr>
                <w:rFonts w:asciiTheme="minorHAnsi" w:hAnsiTheme="minorHAnsi" w:cstheme="minorHAnsi"/>
                <w:sz w:val="22"/>
                <w:szCs w:val="22"/>
                <w:lang w:eastAsia="bg-BG"/>
              </w:rPr>
            </w:pPr>
            <w:r w:rsidRPr="00C07D46">
              <w:rPr>
                <w:rFonts w:asciiTheme="minorHAnsi" w:hAnsiTheme="minorHAnsi" w:cstheme="minorHAnsi"/>
                <w:sz w:val="22"/>
                <w:szCs w:val="22"/>
                <w:lang w:eastAsia="bg-BG"/>
              </w:rPr>
              <w:t> Изменение, %</w:t>
            </w:r>
          </w:p>
        </w:tc>
        <w:tc>
          <w:tcPr>
            <w:tcW w:w="990" w:type="dxa"/>
            <w:noWrap/>
            <w:hideMark/>
          </w:tcPr>
          <w:p w:rsidR="00F243FA" w:rsidRPr="00C07D46" w:rsidRDefault="00F243FA" w:rsidP="00143097">
            <w:pPr>
              <w:autoSpaceDE/>
              <w:autoSpaceDN/>
              <w:adjustRightInd/>
              <w:spacing w:after="0"/>
              <w:jc w:val="right"/>
              <w:cnfStyle w:val="000000000000"/>
              <w:rPr>
                <w:rFonts w:asciiTheme="minorHAnsi" w:hAnsiTheme="minorHAnsi" w:cstheme="minorHAnsi"/>
                <w:i/>
                <w:iCs/>
                <w:sz w:val="22"/>
                <w:szCs w:val="22"/>
                <w:lang w:eastAsia="bg-BG"/>
              </w:rPr>
            </w:pPr>
            <w:r w:rsidRPr="00C07D46">
              <w:rPr>
                <w:rFonts w:asciiTheme="minorHAnsi" w:hAnsiTheme="minorHAnsi" w:cstheme="minorHAnsi"/>
                <w:i/>
                <w:iCs/>
                <w:sz w:val="22"/>
                <w:szCs w:val="22"/>
                <w:lang w:eastAsia="bg-BG"/>
              </w:rPr>
              <w:t>-2%</w:t>
            </w:r>
          </w:p>
        </w:tc>
        <w:tc>
          <w:tcPr>
            <w:tcW w:w="991" w:type="dxa"/>
            <w:noWrap/>
            <w:hideMark/>
          </w:tcPr>
          <w:p w:rsidR="00F243FA" w:rsidRPr="00C07D46" w:rsidRDefault="00F243FA" w:rsidP="00143097">
            <w:pPr>
              <w:autoSpaceDE/>
              <w:autoSpaceDN/>
              <w:adjustRightInd/>
              <w:spacing w:after="0"/>
              <w:jc w:val="right"/>
              <w:cnfStyle w:val="000000000000"/>
              <w:rPr>
                <w:rFonts w:asciiTheme="minorHAnsi" w:hAnsiTheme="minorHAnsi" w:cstheme="minorHAnsi"/>
                <w:i/>
                <w:iCs/>
                <w:sz w:val="22"/>
                <w:szCs w:val="22"/>
                <w:lang w:eastAsia="bg-BG"/>
              </w:rPr>
            </w:pPr>
            <w:r w:rsidRPr="00C07D46">
              <w:rPr>
                <w:rFonts w:asciiTheme="minorHAnsi" w:hAnsiTheme="minorHAnsi" w:cstheme="minorHAnsi"/>
                <w:i/>
                <w:iCs/>
                <w:sz w:val="22"/>
                <w:szCs w:val="22"/>
                <w:lang w:eastAsia="bg-BG"/>
              </w:rPr>
              <w:t>12%</w:t>
            </w:r>
          </w:p>
        </w:tc>
        <w:tc>
          <w:tcPr>
            <w:tcW w:w="991" w:type="dxa"/>
            <w:noWrap/>
            <w:hideMark/>
          </w:tcPr>
          <w:p w:rsidR="00F243FA" w:rsidRPr="00C07D46" w:rsidRDefault="00F243FA" w:rsidP="00143097">
            <w:pPr>
              <w:autoSpaceDE/>
              <w:autoSpaceDN/>
              <w:adjustRightInd/>
              <w:spacing w:after="0"/>
              <w:jc w:val="right"/>
              <w:cnfStyle w:val="000000000000"/>
              <w:rPr>
                <w:rFonts w:asciiTheme="minorHAnsi" w:hAnsiTheme="minorHAnsi" w:cstheme="minorHAnsi"/>
                <w:i/>
                <w:iCs/>
                <w:sz w:val="22"/>
                <w:szCs w:val="22"/>
                <w:lang w:eastAsia="bg-BG"/>
              </w:rPr>
            </w:pPr>
            <w:r w:rsidRPr="00C07D46">
              <w:rPr>
                <w:rFonts w:asciiTheme="minorHAnsi" w:hAnsiTheme="minorHAnsi" w:cstheme="minorHAnsi"/>
                <w:i/>
                <w:iCs/>
                <w:sz w:val="22"/>
                <w:szCs w:val="22"/>
                <w:lang w:eastAsia="bg-BG"/>
              </w:rPr>
              <w:t>18%</w:t>
            </w:r>
          </w:p>
        </w:tc>
        <w:tc>
          <w:tcPr>
            <w:tcW w:w="991" w:type="dxa"/>
          </w:tcPr>
          <w:p w:rsidR="00F243FA" w:rsidRPr="00C07D46" w:rsidRDefault="00F243FA">
            <w:pPr>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 </w:t>
            </w:r>
          </w:p>
        </w:tc>
        <w:tc>
          <w:tcPr>
            <w:tcW w:w="991" w:type="dxa"/>
            <w:tcBorders>
              <w:right w:val="single" w:sz="12" w:space="0" w:color="auto"/>
            </w:tcBorders>
          </w:tcPr>
          <w:p w:rsidR="00F243FA" w:rsidRPr="00C07D46" w:rsidRDefault="00F243FA">
            <w:pPr>
              <w:jc w:val="right"/>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19%</w:t>
            </w:r>
          </w:p>
        </w:tc>
        <w:tc>
          <w:tcPr>
            <w:tcW w:w="991" w:type="dxa"/>
            <w:tcBorders>
              <w:left w:val="single" w:sz="12" w:space="0" w:color="auto"/>
            </w:tcBorders>
            <w:noWrap/>
            <w:hideMark/>
          </w:tcPr>
          <w:p w:rsidR="00F243FA" w:rsidRPr="00C07D46" w:rsidRDefault="00F243FA">
            <w:pPr>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 </w:t>
            </w:r>
          </w:p>
        </w:tc>
        <w:tc>
          <w:tcPr>
            <w:tcW w:w="991" w:type="dxa"/>
            <w:tcBorders>
              <w:right w:val="single" w:sz="12" w:space="0" w:color="auto"/>
            </w:tcBorders>
            <w:noWrap/>
            <w:hideMark/>
          </w:tcPr>
          <w:p w:rsidR="00F243FA" w:rsidRPr="00C07D46" w:rsidRDefault="00F243FA">
            <w:pPr>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 </w:t>
            </w:r>
          </w:p>
        </w:tc>
      </w:tr>
      <w:tr w:rsidR="00F243FA" w:rsidRPr="00C07D46" w:rsidTr="007115DE">
        <w:trPr>
          <w:cnfStyle w:val="000000100000"/>
          <w:trHeight w:val="270"/>
        </w:trPr>
        <w:tc>
          <w:tcPr>
            <w:cnfStyle w:val="001000000000"/>
            <w:tcW w:w="2845" w:type="dxa"/>
            <w:hideMark/>
          </w:tcPr>
          <w:p w:rsidR="00F243FA" w:rsidRPr="00C07D46" w:rsidRDefault="00F243FA" w:rsidP="0087394D">
            <w:pPr>
              <w:autoSpaceDE/>
              <w:autoSpaceDN/>
              <w:adjustRightInd/>
              <w:spacing w:after="0"/>
              <w:ind w:firstLineChars="101" w:firstLine="223"/>
              <w:jc w:val="left"/>
              <w:rPr>
                <w:rFonts w:asciiTheme="minorHAnsi" w:hAnsiTheme="minorHAnsi" w:cstheme="minorHAnsi"/>
                <w:sz w:val="22"/>
                <w:szCs w:val="22"/>
                <w:lang w:eastAsia="bg-BG"/>
              </w:rPr>
            </w:pPr>
            <w:r w:rsidRPr="00C07D46">
              <w:rPr>
                <w:rFonts w:asciiTheme="minorHAnsi" w:hAnsiTheme="minorHAnsi" w:cstheme="minorHAnsi"/>
                <w:sz w:val="22"/>
                <w:szCs w:val="22"/>
                <w:lang w:eastAsia="bg-BG"/>
              </w:rPr>
              <w:t>Други</w:t>
            </w:r>
          </w:p>
        </w:tc>
        <w:tc>
          <w:tcPr>
            <w:tcW w:w="990" w:type="dxa"/>
            <w:noWrap/>
            <w:hideMark/>
          </w:tcPr>
          <w:p w:rsidR="00F243FA" w:rsidRPr="00C07D46" w:rsidRDefault="00F243FA" w:rsidP="00143097">
            <w:pPr>
              <w:autoSpaceDE/>
              <w:autoSpaceDN/>
              <w:adjustRightInd/>
              <w:spacing w:after="0"/>
              <w:jc w:val="right"/>
              <w:cnfStyle w:val="000000100000"/>
              <w:rPr>
                <w:rFonts w:asciiTheme="minorHAnsi" w:hAnsiTheme="minorHAnsi" w:cstheme="minorHAnsi"/>
                <w:sz w:val="22"/>
                <w:szCs w:val="22"/>
                <w:lang w:eastAsia="bg-BG"/>
              </w:rPr>
            </w:pPr>
            <w:r w:rsidRPr="00C07D46">
              <w:rPr>
                <w:rFonts w:asciiTheme="minorHAnsi" w:hAnsiTheme="minorHAnsi" w:cstheme="minorHAnsi"/>
                <w:sz w:val="22"/>
                <w:szCs w:val="22"/>
                <w:lang w:eastAsia="bg-BG"/>
              </w:rPr>
              <w:t>2 549</w:t>
            </w:r>
          </w:p>
        </w:tc>
        <w:tc>
          <w:tcPr>
            <w:tcW w:w="991" w:type="dxa"/>
            <w:noWrap/>
            <w:hideMark/>
          </w:tcPr>
          <w:p w:rsidR="00F243FA" w:rsidRPr="00C07D46" w:rsidRDefault="00F243FA" w:rsidP="00143097">
            <w:pPr>
              <w:autoSpaceDE/>
              <w:autoSpaceDN/>
              <w:adjustRightInd/>
              <w:spacing w:after="0"/>
              <w:jc w:val="right"/>
              <w:cnfStyle w:val="000000100000"/>
              <w:rPr>
                <w:rFonts w:asciiTheme="minorHAnsi" w:hAnsiTheme="minorHAnsi" w:cstheme="minorHAnsi"/>
                <w:sz w:val="22"/>
                <w:szCs w:val="22"/>
                <w:lang w:eastAsia="bg-BG"/>
              </w:rPr>
            </w:pPr>
            <w:r w:rsidRPr="00C07D46">
              <w:rPr>
                <w:rFonts w:asciiTheme="minorHAnsi" w:hAnsiTheme="minorHAnsi" w:cstheme="minorHAnsi"/>
                <w:sz w:val="22"/>
                <w:szCs w:val="22"/>
                <w:lang w:eastAsia="bg-BG"/>
              </w:rPr>
              <w:t>2 206</w:t>
            </w:r>
          </w:p>
        </w:tc>
        <w:tc>
          <w:tcPr>
            <w:tcW w:w="991" w:type="dxa"/>
            <w:noWrap/>
            <w:hideMark/>
          </w:tcPr>
          <w:p w:rsidR="00F243FA" w:rsidRPr="00C07D46" w:rsidRDefault="00F243FA" w:rsidP="00143097">
            <w:pPr>
              <w:autoSpaceDE/>
              <w:autoSpaceDN/>
              <w:adjustRightInd/>
              <w:spacing w:after="0"/>
              <w:jc w:val="right"/>
              <w:cnfStyle w:val="000000100000"/>
              <w:rPr>
                <w:rFonts w:asciiTheme="minorHAnsi" w:hAnsiTheme="minorHAnsi" w:cstheme="minorHAnsi"/>
                <w:sz w:val="22"/>
                <w:szCs w:val="22"/>
                <w:lang w:eastAsia="bg-BG"/>
              </w:rPr>
            </w:pPr>
            <w:r w:rsidRPr="00C07D46">
              <w:rPr>
                <w:rFonts w:asciiTheme="minorHAnsi" w:hAnsiTheme="minorHAnsi" w:cstheme="minorHAnsi"/>
                <w:sz w:val="22"/>
                <w:szCs w:val="22"/>
                <w:lang w:eastAsia="bg-BG"/>
              </w:rPr>
              <w:t>4 164</w:t>
            </w:r>
          </w:p>
        </w:tc>
        <w:tc>
          <w:tcPr>
            <w:tcW w:w="991" w:type="dxa"/>
          </w:tcPr>
          <w:p w:rsidR="00F243FA" w:rsidRPr="00C07D46" w:rsidRDefault="00F243FA">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696</w:t>
            </w:r>
          </w:p>
        </w:tc>
        <w:tc>
          <w:tcPr>
            <w:tcW w:w="991" w:type="dxa"/>
            <w:tcBorders>
              <w:right w:val="single" w:sz="12" w:space="0" w:color="auto"/>
            </w:tcBorders>
          </w:tcPr>
          <w:p w:rsidR="00F243FA" w:rsidRPr="00C07D46" w:rsidRDefault="00F243FA">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494</w:t>
            </w:r>
          </w:p>
        </w:tc>
        <w:tc>
          <w:tcPr>
            <w:tcW w:w="991" w:type="dxa"/>
            <w:tcBorders>
              <w:left w:val="single" w:sz="12" w:space="0" w:color="auto"/>
            </w:tcBorders>
            <w:noWrap/>
            <w:hideMark/>
          </w:tcPr>
          <w:p w:rsidR="00F243FA" w:rsidRPr="00C07D46" w:rsidRDefault="00F243FA">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4 315</w:t>
            </w:r>
          </w:p>
        </w:tc>
        <w:tc>
          <w:tcPr>
            <w:tcW w:w="991" w:type="dxa"/>
            <w:tcBorders>
              <w:right w:val="single" w:sz="12" w:space="0" w:color="auto"/>
            </w:tcBorders>
            <w:noWrap/>
            <w:hideMark/>
          </w:tcPr>
          <w:p w:rsidR="00F243FA" w:rsidRPr="00C07D46" w:rsidRDefault="00F243FA">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519</w:t>
            </w:r>
          </w:p>
        </w:tc>
      </w:tr>
      <w:tr w:rsidR="00F243FA" w:rsidRPr="00C07D46" w:rsidTr="007115DE">
        <w:trPr>
          <w:trHeight w:val="270"/>
        </w:trPr>
        <w:tc>
          <w:tcPr>
            <w:cnfStyle w:val="001000000000"/>
            <w:tcW w:w="2845" w:type="dxa"/>
            <w:hideMark/>
          </w:tcPr>
          <w:p w:rsidR="00F243FA" w:rsidRPr="00C07D46" w:rsidRDefault="00F243FA" w:rsidP="0087394D">
            <w:pPr>
              <w:autoSpaceDE/>
              <w:autoSpaceDN/>
              <w:adjustRightInd/>
              <w:spacing w:after="0"/>
              <w:ind w:firstLineChars="166" w:firstLine="367"/>
              <w:jc w:val="right"/>
              <w:rPr>
                <w:rFonts w:asciiTheme="minorHAnsi" w:hAnsiTheme="minorHAnsi" w:cstheme="minorHAnsi"/>
                <w:sz w:val="22"/>
                <w:szCs w:val="22"/>
                <w:lang w:eastAsia="bg-BG"/>
              </w:rPr>
            </w:pPr>
            <w:r w:rsidRPr="00C07D46">
              <w:rPr>
                <w:rFonts w:asciiTheme="minorHAnsi" w:hAnsiTheme="minorHAnsi" w:cstheme="minorHAnsi"/>
                <w:sz w:val="22"/>
                <w:szCs w:val="22"/>
                <w:lang w:eastAsia="bg-BG"/>
              </w:rPr>
              <w:t>Изменение, %</w:t>
            </w:r>
          </w:p>
        </w:tc>
        <w:tc>
          <w:tcPr>
            <w:tcW w:w="990" w:type="dxa"/>
            <w:noWrap/>
            <w:hideMark/>
          </w:tcPr>
          <w:p w:rsidR="00F243FA" w:rsidRPr="00C07D46" w:rsidRDefault="00F243FA" w:rsidP="00143097">
            <w:pPr>
              <w:autoSpaceDE/>
              <w:autoSpaceDN/>
              <w:adjustRightInd/>
              <w:spacing w:after="0"/>
              <w:jc w:val="right"/>
              <w:cnfStyle w:val="000000000000"/>
              <w:rPr>
                <w:rFonts w:asciiTheme="minorHAnsi" w:hAnsiTheme="minorHAnsi" w:cstheme="minorHAnsi"/>
                <w:sz w:val="22"/>
                <w:szCs w:val="22"/>
                <w:lang w:eastAsia="bg-BG"/>
              </w:rPr>
            </w:pPr>
            <w:r w:rsidRPr="00393A33">
              <w:rPr>
                <w:rFonts w:asciiTheme="minorHAnsi" w:hAnsiTheme="minorHAnsi" w:cstheme="minorHAnsi"/>
                <w:sz w:val="22"/>
                <w:szCs w:val="22"/>
                <w:lang w:eastAsia="bg-BG"/>
              </w:rPr>
              <w:t>490%</w:t>
            </w:r>
          </w:p>
        </w:tc>
        <w:tc>
          <w:tcPr>
            <w:tcW w:w="991" w:type="dxa"/>
            <w:noWrap/>
            <w:hideMark/>
          </w:tcPr>
          <w:p w:rsidR="00F243FA" w:rsidRPr="00C07D46" w:rsidRDefault="00F243FA" w:rsidP="00143097">
            <w:pPr>
              <w:autoSpaceDE/>
              <w:autoSpaceDN/>
              <w:adjustRightInd/>
              <w:spacing w:after="0"/>
              <w:jc w:val="right"/>
              <w:cnfStyle w:val="000000000000"/>
              <w:rPr>
                <w:rFonts w:asciiTheme="minorHAnsi" w:hAnsiTheme="minorHAnsi" w:cstheme="minorHAnsi"/>
                <w:sz w:val="22"/>
                <w:szCs w:val="22"/>
                <w:lang w:eastAsia="bg-BG"/>
              </w:rPr>
            </w:pPr>
            <w:r w:rsidRPr="00C07D46">
              <w:rPr>
                <w:rFonts w:asciiTheme="minorHAnsi" w:hAnsiTheme="minorHAnsi" w:cstheme="minorHAnsi"/>
                <w:sz w:val="22"/>
                <w:szCs w:val="22"/>
                <w:lang w:eastAsia="bg-BG"/>
              </w:rPr>
              <w:t>-13%</w:t>
            </w:r>
          </w:p>
        </w:tc>
        <w:tc>
          <w:tcPr>
            <w:tcW w:w="991" w:type="dxa"/>
            <w:noWrap/>
            <w:hideMark/>
          </w:tcPr>
          <w:p w:rsidR="00F243FA" w:rsidRPr="00C07D46" w:rsidRDefault="00F243FA" w:rsidP="00143097">
            <w:pPr>
              <w:autoSpaceDE/>
              <w:autoSpaceDN/>
              <w:adjustRightInd/>
              <w:spacing w:after="0"/>
              <w:jc w:val="right"/>
              <w:cnfStyle w:val="000000000000"/>
              <w:rPr>
                <w:rFonts w:asciiTheme="minorHAnsi" w:hAnsiTheme="minorHAnsi" w:cstheme="minorHAnsi"/>
                <w:sz w:val="22"/>
                <w:szCs w:val="22"/>
                <w:lang w:eastAsia="bg-BG"/>
              </w:rPr>
            </w:pPr>
            <w:r w:rsidRPr="00C07D46">
              <w:rPr>
                <w:rFonts w:asciiTheme="minorHAnsi" w:hAnsiTheme="minorHAnsi" w:cstheme="minorHAnsi"/>
                <w:sz w:val="22"/>
                <w:szCs w:val="22"/>
                <w:lang w:eastAsia="bg-BG"/>
              </w:rPr>
              <w:t>89%</w:t>
            </w:r>
          </w:p>
        </w:tc>
        <w:tc>
          <w:tcPr>
            <w:tcW w:w="991" w:type="dxa"/>
          </w:tcPr>
          <w:p w:rsidR="00F243FA" w:rsidRPr="00C07D46" w:rsidRDefault="00F243FA">
            <w:pPr>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 </w:t>
            </w:r>
          </w:p>
        </w:tc>
        <w:tc>
          <w:tcPr>
            <w:tcW w:w="991" w:type="dxa"/>
            <w:tcBorders>
              <w:right w:val="single" w:sz="12" w:space="0" w:color="auto"/>
            </w:tcBorders>
          </w:tcPr>
          <w:p w:rsidR="00F243FA" w:rsidRPr="00C07D46" w:rsidRDefault="00F243FA">
            <w:pPr>
              <w:jc w:val="right"/>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-29%</w:t>
            </w:r>
          </w:p>
        </w:tc>
        <w:tc>
          <w:tcPr>
            <w:tcW w:w="991" w:type="dxa"/>
            <w:tcBorders>
              <w:left w:val="single" w:sz="12" w:space="0" w:color="auto"/>
            </w:tcBorders>
            <w:noWrap/>
            <w:hideMark/>
          </w:tcPr>
          <w:p w:rsidR="00F243FA" w:rsidRPr="00C07D46" w:rsidRDefault="00F243FA">
            <w:pPr>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 </w:t>
            </w:r>
          </w:p>
        </w:tc>
        <w:tc>
          <w:tcPr>
            <w:tcW w:w="991" w:type="dxa"/>
            <w:tcBorders>
              <w:right w:val="single" w:sz="12" w:space="0" w:color="auto"/>
            </w:tcBorders>
            <w:noWrap/>
            <w:hideMark/>
          </w:tcPr>
          <w:p w:rsidR="00F243FA" w:rsidRPr="00C07D46" w:rsidRDefault="00F243FA">
            <w:pPr>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 </w:t>
            </w:r>
          </w:p>
        </w:tc>
      </w:tr>
    </w:tbl>
    <w:p w:rsidR="00A904E3" w:rsidRPr="00A904E3" w:rsidRDefault="00A904E3" w:rsidP="00A904E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466FE7" w:rsidRPr="00AF0269" w:rsidRDefault="00466FE7" w:rsidP="00466FE7">
      <w:pPr>
        <w:spacing w:after="120"/>
      </w:pPr>
    </w:p>
    <w:p w:rsidR="00466FE7" w:rsidRDefault="00AF0269" w:rsidP="00466FE7">
      <w:pPr>
        <w:spacing w:after="120"/>
      </w:pPr>
      <w:r>
        <w:t xml:space="preserve">Приходите отбелязват ръст през всяка година от разглеждания период. Най-същественият фактор, оказал влияние върху динамиката на приходите е свиването на икономиката през 2009 г., което драстично забави темповете на ръст, </w:t>
      </w:r>
      <w:r w:rsidR="00143097">
        <w:t xml:space="preserve">като само </w:t>
      </w:r>
      <w:r>
        <w:t>от основна дейност дори се отчита</w:t>
      </w:r>
      <w:r w:rsidR="00143097" w:rsidRPr="00143097">
        <w:t xml:space="preserve"> </w:t>
      </w:r>
      <w:r w:rsidR="00143097">
        <w:t>с</w:t>
      </w:r>
      <w:r w:rsidR="00143097" w:rsidRPr="0008177D">
        <w:t>пад</w:t>
      </w:r>
      <w:r w:rsidRPr="0008177D">
        <w:t>, макар и минимален. Ръстът през</w:t>
      </w:r>
      <w:r w:rsidR="00DD0301" w:rsidRPr="0008177D">
        <w:t xml:space="preserve"> същата</w:t>
      </w:r>
      <w:r w:rsidRPr="0008177D">
        <w:t xml:space="preserve"> година се дължи на допълнителните приход</w:t>
      </w:r>
      <w:r w:rsidR="0008177D" w:rsidRPr="0008177D">
        <w:t>и.</w:t>
      </w:r>
    </w:p>
    <w:p w:rsidR="00466FE7" w:rsidRDefault="00AF0269" w:rsidP="00466FE7">
      <w:pPr>
        <w:spacing w:after="120"/>
      </w:pPr>
      <w:r>
        <w:t>През 2010 г. ръстът се възстановява постепенно</w:t>
      </w:r>
      <w:r w:rsidR="00FF2764">
        <w:t xml:space="preserve"> и се ускорява значително след това. Една от причините за изпревар</w:t>
      </w:r>
      <w:r w:rsidR="006C230C">
        <w:t>ващия ръст спрямо икономиката е</w:t>
      </w:r>
      <w:r w:rsidR="00FF2764">
        <w:t xml:space="preserve"> ниското ниво на проникване на куриерските услуги. Друг важен фактор е и стремежът за оптимизиране на разходите в тежката икономическа обстановка – компании, които до момента са ползвали собствен транспорт за превоз на товарите, започват да ползват услуги</w:t>
      </w:r>
      <w:r w:rsidR="00684C22">
        <w:t>те на куриерски компании, чийто транспорт е с по-нисък разход.</w:t>
      </w:r>
    </w:p>
    <w:p w:rsidR="00684C22" w:rsidRDefault="00684C22" w:rsidP="00466FE7">
      <w:pPr>
        <w:spacing w:after="120"/>
      </w:pPr>
      <w:r>
        <w:t xml:space="preserve">Високата конкурентноспособност също допринася за силния ръст на продажбите – </w:t>
      </w:r>
      <w:r w:rsidR="00D70BF4">
        <w:t>„СПИДИ” ЕАД</w:t>
      </w:r>
      <w:r>
        <w:t xml:space="preserve"> привлича клиенти с изпреварващо темпо спрямо своите конкуренти, което води и до увеличение на пазарния дял.</w:t>
      </w:r>
    </w:p>
    <w:p w:rsidR="00684C22" w:rsidRDefault="00684C22" w:rsidP="00466FE7">
      <w:pPr>
        <w:spacing w:after="120"/>
      </w:pPr>
      <w:r>
        <w:t>Активния</w:t>
      </w:r>
      <w:r w:rsidR="00F24690">
        <w:t>т</w:t>
      </w:r>
      <w:r>
        <w:t xml:space="preserve"> подход в продажбите, където освен квалифицираните и мотивирани специалисти от отдел продажби</w:t>
      </w:r>
      <w:r w:rsidR="00F24690">
        <w:t>, оперира и кол-център, който маркетира и предст</w:t>
      </w:r>
      <w:r w:rsidR="00510B8D">
        <w:t>а</w:t>
      </w:r>
      <w:r w:rsidR="00F24690">
        <w:t xml:space="preserve">вя услугите, на потенциални клиенти. Също така </w:t>
      </w:r>
      <w:r>
        <w:t xml:space="preserve">всеки куриер е </w:t>
      </w:r>
      <w:r w:rsidR="00143097">
        <w:t>стимулиран да бъде точка за продажб</w:t>
      </w:r>
      <w:r>
        <w:t>и</w:t>
      </w:r>
      <w:r w:rsidR="00F24690">
        <w:t xml:space="preserve"> и да подпомага дейността на отдел продажби</w:t>
      </w:r>
      <w:r w:rsidR="00143097">
        <w:t xml:space="preserve">, което значително увеличава мрежата за </w:t>
      </w:r>
      <w:r w:rsidR="00F24690">
        <w:t>контакт с клиентите</w:t>
      </w:r>
      <w:r w:rsidR="00510B8D">
        <w:t>.</w:t>
      </w:r>
    </w:p>
    <w:p w:rsidR="00684C22" w:rsidRDefault="00FB0838" w:rsidP="00466FE7">
      <w:pPr>
        <w:spacing w:after="120"/>
      </w:pPr>
      <w:r>
        <w:t xml:space="preserve">Увеличението на приходите се дължи на увеличения размер на превозените пратки, като средния приход от пратка не се променя и през 2011 г. е 6,67 лв., колкото е и през </w:t>
      </w:r>
      <w:r w:rsidR="00916E19">
        <w:t>2009 г., като през 2010 г. дори слабо се понижава до 6,56 лв. Понижение на средния приход от пратка е значително и през 2009 г., когато общите приходи се понижават с 2% спрямо предходната година, въпреки почти 20% увеличение на превозените пратки.</w:t>
      </w:r>
    </w:p>
    <w:p w:rsidR="003F5C88" w:rsidRDefault="003F5C88" w:rsidP="00466FE7">
      <w:pPr>
        <w:spacing w:after="120"/>
      </w:pPr>
      <w:r>
        <w:t>Принос в увеличението на общите приходи има и ръстът в допълнителните приходи, реализирани от компанията, в резултат на ко</w:t>
      </w:r>
      <w:r w:rsidRPr="0056161A">
        <w:t>ето делът им в общите приходи нараства от 7,2% през 2009 г. до 8,6% през 2011</w:t>
      </w:r>
      <w:r w:rsidR="00B47A1A" w:rsidRPr="0056161A">
        <w:t xml:space="preserve"> г. </w:t>
      </w:r>
      <w:r w:rsidR="0008177D" w:rsidRPr="0056161A">
        <w:t xml:space="preserve">Въпреки това, приноса в печалбата на тези приходи е ограничен, тъй като около 60% </w:t>
      </w:r>
      <w:r w:rsidR="000A0FF1" w:rsidRPr="0056161A">
        <w:t>(</w:t>
      </w:r>
      <w:r w:rsidR="0056161A" w:rsidRPr="0056161A">
        <w:t>2 428</w:t>
      </w:r>
      <w:r w:rsidR="000A0FF1" w:rsidRPr="0056161A">
        <w:t xml:space="preserve"> хил. лв. през 2011 г.) </w:t>
      </w:r>
      <w:r w:rsidR="0008177D" w:rsidRPr="0056161A">
        <w:t>от тези приходи са префактурирани разходи за гориво. От допълнителните услуги, които дружеството предлага</w:t>
      </w:r>
      <w:r w:rsidR="000A0FF1" w:rsidRPr="0056161A">
        <w:t xml:space="preserve"> на своите клиенти</w:t>
      </w:r>
      <w:r w:rsidR="0008177D" w:rsidRPr="0056161A">
        <w:t xml:space="preserve">, нарастващ дял имат приходите от </w:t>
      </w:r>
      <w:r w:rsidR="000A0FF1" w:rsidRPr="0056161A">
        <w:t>застраховки. Делът на тези услуги достига 18% (751 хил. лв. през 2011 г.)</w:t>
      </w:r>
    </w:p>
    <w:p w:rsidR="003B2C1E" w:rsidRDefault="00CC1B1A" w:rsidP="00942CE6">
      <w:r>
        <w:t>На консолидирана и неконсолидирана база приходите са почти идентични, тъй като дъщерните дружества оперират като подизпълнители на „СПИДИ” ЕАД.</w:t>
      </w:r>
    </w:p>
    <w:p w:rsidR="00B651BE" w:rsidRPr="00466FE7" w:rsidRDefault="00B651BE" w:rsidP="00B651BE">
      <w:pPr>
        <w:pStyle w:val="Heading1"/>
        <w:numPr>
          <w:ilvl w:val="2"/>
          <w:numId w:val="11"/>
        </w:numPr>
        <w:ind w:left="709" w:hanging="709"/>
        <w:rPr>
          <w:rFonts w:ascii="Times New Roman" w:hAnsi="Times New Roman"/>
          <w:b w:val="0"/>
          <w:i/>
          <w:sz w:val="24"/>
          <w:szCs w:val="24"/>
        </w:rPr>
      </w:pPr>
      <w:bookmarkStart w:id="89" w:name="_Toc324376934"/>
      <w:bookmarkStart w:id="90" w:name="_Toc324380093"/>
      <w:r>
        <w:rPr>
          <w:rFonts w:ascii="Times New Roman" w:hAnsi="Times New Roman"/>
          <w:b w:val="0"/>
          <w:i/>
          <w:sz w:val="24"/>
          <w:szCs w:val="24"/>
        </w:rPr>
        <w:t>Динамика на разходите и фактори повлияли върху тяхното изменение.</w:t>
      </w:r>
      <w:bookmarkEnd w:id="89"/>
      <w:bookmarkEnd w:id="90"/>
    </w:p>
    <w:p w:rsidR="00B651BE" w:rsidRDefault="00B651BE" w:rsidP="00B651BE">
      <w:pPr>
        <w:spacing w:after="120"/>
      </w:pPr>
    </w:p>
    <w:tbl>
      <w:tblPr>
        <w:tblStyle w:val="MediumShading2-Accent11"/>
        <w:tblW w:w="9747" w:type="dxa"/>
        <w:tblInd w:w="108" w:type="dxa"/>
        <w:tblLayout w:type="fixed"/>
        <w:tblLook w:val="04A0"/>
      </w:tblPr>
      <w:tblGrid>
        <w:gridCol w:w="3227"/>
        <w:gridCol w:w="931"/>
        <w:gridCol w:w="931"/>
        <w:gridCol w:w="932"/>
        <w:gridCol w:w="931"/>
        <w:gridCol w:w="932"/>
        <w:gridCol w:w="931"/>
        <w:gridCol w:w="932"/>
      </w:tblGrid>
      <w:tr w:rsidR="00C07D46" w:rsidRPr="0056249E" w:rsidTr="007115DE">
        <w:trPr>
          <w:cnfStyle w:val="100000000000"/>
          <w:trHeight w:val="270"/>
        </w:trPr>
        <w:tc>
          <w:tcPr>
            <w:cnfStyle w:val="001000000100"/>
            <w:tcW w:w="3227" w:type="dxa"/>
            <w:noWrap/>
            <w:hideMark/>
          </w:tcPr>
          <w:p w:rsidR="00C07D46" w:rsidRPr="0056249E" w:rsidRDefault="00C07D46" w:rsidP="00B651BE">
            <w:pPr>
              <w:autoSpaceDE/>
              <w:autoSpaceDN/>
              <w:adjustRightInd/>
              <w:spacing w:after="0"/>
              <w:jc w:val="left"/>
              <w:rPr>
                <w:rFonts w:asciiTheme="minorHAnsi" w:hAnsiTheme="minorHAnsi" w:cstheme="minorHAnsi"/>
                <w:bCs w:val="0"/>
                <w:sz w:val="22"/>
                <w:szCs w:val="22"/>
                <w:lang w:eastAsia="bg-BG"/>
              </w:rPr>
            </w:pPr>
            <w:r w:rsidRPr="0056249E">
              <w:rPr>
                <w:rFonts w:asciiTheme="minorHAnsi" w:hAnsiTheme="minorHAnsi" w:cstheme="minorHAnsi"/>
                <w:bCs w:val="0"/>
                <w:sz w:val="22"/>
                <w:szCs w:val="22"/>
                <w:lang w:eastAsia="bg-BG"/>
              </w:rPr>
              <w:t> РАЗХОДИ</w:t>
            </w:r>
            <w:r w:rsidR="00F243FA">
              <w:rPr>
                <w:rFonts w:asciiTheme="minorHAnsi" w:hAnsiTheme="minorHAnsi" w:cstheme="minorHAnsi"/>
                <w:bCs w:val="0"/>
                <w:sz w:val="22"/>
                <w:szCs w:val="22"/>
                <w:lang w:eastAsia="bg-BG"/>
              </w:rPr>
              <w:t>,  в хил. лв.</w:t>
            </w:r>
          </w:p>
        </w:tc>
        <w:tc>
          <w:tcPr>
            <w:tcW w:w="931" w:type="dxa"/>
          </w:tcPr>
          <w:p w:rsidR="00C07D46" w:rsidRPr="0056249E" w:rsidRDefault="00C07D46" w:rsidP="007A679F">
            <w:pPr>
              <w:autoSpaceDE/>
              <w:autoSpaceDN/>
              <w:adjustRightInd/>
              <w:spacing w:after="0"/>
              <w:jc w:val="center"/>
              <w:cnfStyle w:val="100000000000"/>
              <w:rPr>
                <w:rFonts w:asciiTheme="minorHAnsi" w:hAnsiTheme="minorHAnsi" w:cstheme="minorHAnsi"/>
                <w:bCs w:val="0"/>
                <w:sz w:val="22"/>
                <w:szCs w:val="22"/>
                <w:lang w:eastAsia="bg-BG"/>
              </w:rPr>
            </w:pPr>
            <w:r w:rsidRPr="0056249E">
              <w:rPr>
                <w:rFonts w:asciiTheme="minorHAnsi" w:hAnsiTheme="minorHAnsi" w:cstheme="minorHAnsi"/>
                <w:bCs w:val="0"/>
                <w:sz w:val="22"/>
                <w:szCs w:val="22"/>
                <w:lang w:eastAsia="bg-BG"/>
              </w:rPr>
              <w:t>2009</w:t>
            </w:r>
          </w:p>
        </w:tc>
        <w:tc>
          <w:tcPr>
            <w:tcW w:w="931" w:type="dxa"/>
          </w:tcPr>
          <w:p w:rsidR="00C07D46" w:rsidRPr="0056249E" w:rsidRDefault="00C07D46" w:rsidP="007A679F">
            <w:pPr>
              <w:autoSpaceDE/>
              <w:autoSpaceDN/>
              <w:adjustRightInd/>
              <w:spacing w:after="0"/>
              <w:jc w:val="center"/>
              <w:cnfStyle w:val="100000000000"/>
              <w:rPr>
                <w:rFonts w:asciiTheme="minorHAnsi" w:hAnsiTheme="minorHAnsi" w:cstheme="minorHAnsi"/>
                <w:bCs w:val="0"/>
                <w:sz w:val="22"/>
                <w:szCs w:val="22"/>
                <w:lang w:eastAsia="bg-BG"/>
              </w:rPr>
            </w:pPr>
            <w:r w:rsidRPr="0056249E">
              <w:rPr>
                <w:rFonts w:asciiTheme="minorHAnsi" w:hAnsiTheme="minorHAnsi" w:cstheme="minorHAnsi"/>
                <w:bCs w:val="0"/>
                <w:sz w:val="22"/>
                <w:szCs w:val="22"/>
                <w:lang w:eastAsia="bg-BG"/>
              </w:rPr>
              <w:t>2010</w:t>
            </w:r>
          </w:p>
        </w:tc>
        <w:tc>
          <w:tcPr>
            <w:tcW w:w="932" w:type="dxa"/>
          </w:tcPr>
          <w:p w:rsidR="00C07D46" w:rsidRPr="0056249E" w:rsidRDefault="00C07D46" w:rsidP="007A679F">
            <w:pPr>
              <w:autoSpaceDE/>
              <w:autoSpaceDN/>
              <w:adjustRightInd/>
              <w:spacing w:after="0"/>
              <w:jc w:val="center"/>
              <w:cnfStyle w:val="100000000000"/>
              <w:rPr>
                <w:rFonts w:asciiTheme="minorHAnsi" w:hAnsiTheme="minorHAnsi" w:cstheme="minorHAnsi"/>
                <w:bCs w:val="0"/>
                <w:sz w:val="22"/>
                <w:szCs w:val="22"/>
                <w:lang w:eastAsia="bg-BG"/>
              </w:rPr>
            </w:pPr>
            <w:r w:rsidRPr="0056249E">
              <w:rPr>
                <w:rFonts w:asciiTheme="minorHAnsi" w:hAnsiTheme="minorHAnsi" w:cstheme="minorHAnsi"/>
                <w:bCs w:val="0"/>
                <w:sz w:val="22"/>
                <w:szCs w:val="22"/>
                <w:lang w:eastAsia="bg-BG"/>
              </w:rPr>
              <w:t>2011</w:t>
            </w:r>
          </w:p>
        </w:tc>
        <w:tc>
          <w:tcPr>
            <w:tcW w:w="931" w:type="dxa"/>
            <w:hideMark/>
          </w:tcPr>
          <w:p w:rsidR="00C07D46" w:rsidRPr="0056249E" w:rsidRDefault="00C07D46" w:rsidP="00BA4EAF">
            <w:pPr>
              <w:jc w:val="center"/>
              <w:cnfStyle w:val="100000000000"/>
              <w:rPr>
                <w:rFonts w:asciiTheme="minorHAnsi" w:hAnsiTheme="minorHAnsi" w:cstheme="minorHAnsi"/>
                <w:sz w:val="22"/>
                <w:szCs w:val="22"/>
              </w:rPr>
            </w:pPr>
            <w:r w:rsidRPr="0056249E">
              <w:rPr>
                <w:rFonts w:asciiTheme="minorHAnsi" w:hAnsiTheme="minorHAnsi" w:cstheme="minorHAnsi"/>
                <w:bCs w:val="0"/>
                <w:sz w:val="22"/>
                <w:szCs w:val="22"/>
              </w:rPr>
              <w:t>Q1 11</w:t>
            </w:r>
          </w:p>
        </w:tc>
        <w:tc>
          <w:tcPr>
            <w:tcW w:w="932" w:type="dxa"/>
            <w:tcBorders>
              <w:right w:val="single" w:sz="12" w:space="0" w:color="auto"/>
            </w:tcBorders>
            <w:hideMark/>
          </w:tcPr>
          <w:p w:rsidR="00C07D46" w:rsidRPr="0056249E" w:rsidRDefault="00C07D46" w:rsidP="00BA4EAF">
            <w:pPr>
              <w:jc w:val="center"/>
              <w:cnfStyle w:val="100000000000"/>
              <w:rPr>
                <w:rFonts w:asciiTheme="minorHAnsi" w:hAnsiTheme="minorHAnsi" w:cstheme="minorHAnsi"/>
                <w:sz w:val="22"/>
                <w:szCs w:val="22"/>
              </w:rPr>
            </w:pPr>
            <w:r w:rsidRPr="0056249E">
              <w:rPr>
                <w:rFonts w:asciiTheme="minorHAnsi" w:hAnsiTheme="minorHAnsi" w:cstheme="minorHAnsi"/>
                <w:bCs w:val="0"/>
                <w:sz w:val="22"/>
                <w:szCs w:val="22"/>
              </w:rPr>
              <w:t>Q1 12</w:t>
            </w:r>
          </w:p>
        </w:tc>
        <w:tc>
          <w:tcPr>
            <w:tcW w:w="931" w:type="dxa"/>
            <w:tcBorders>
              <w:left w:val="single" w:sz="12" w:space="0" w:color="auto"/>
            </w:tcBorders>
          </w:tcPr>
          <w:p w:rsidR="00C07D46" w:rsidRPr="0056249E" w:rsidRDefault="00C07D46" w:rsidP="00BA4EAF">
            <w:pPr>
              <w:jc w:val="center"/>
              <w:cnfStyle w:val="100000000000"/>
              <w:rPr>
                <w:rFonts w:asciiTheme="minorHAnsi" w:hAnsiTheme="minorHAnsi" w:cstheme="minorHAnsi"/>
                <w:sz w:val="22"/>
                <w:szCs w:val="22"/>
              </w:rPr>
            </w:pPr>
            <w:r w:rsidRPr="0056249E">
              <w:rPr>
                <w:rFonts w:asciiTheme="minorHAnsi" w:hAnsiTheme="minorHAnsi" w:cstheme="minorHAnsi"/>
                <w:bCs w:val="0"/>
                <w:sz w:val="22"/>
                <w:szCs w:val="22"/>
              </w:rPr>
              <w:t>2011 К</w:t>
            </w:r>
          </w:p>
        </w:tc>
        <w:tc>
          <w:tcPr>
            <w:tcW w:w="932" w:type="dxa"/>
            <w:tcBorders>
              <w:right w:val="single" w:sz="12" w:space="0" w:color="auto"/>
            </w:tcBorders>
          </w:tcPr>
          <w:p w:rsidR="00C07D46" w:rsidRPr="0056249E" w:rsidRDefault="00C07D46" w:rsidP="00BA4EAF">
            <w:pPr>
              <w:jc w:val="center"/>
              <w:cnfStyle w:val="100000000000"/>
              <w:rPr>
                <w:rFonts w:asciiTheme="minorHAnsi" w:hAnsiTheme="minorHAnsi" w:cstheme="minorHAnsi"/>
                <w:sz w:val="22"/>
                <w:szCs w:val="22"/>
              </w:rPr>
            </w:pPr>
            <w:r w:rsidRPr="0056249E">
              <w:rPr>
                <w:rFonts w:asciiTheme="minorHAnsi" w:hAnsiTheme="minorHAnsi" w:cstheme="minorHAnsi"/>
                <w:bCs w:val="0"/>
                <w:sz w:val="22"/>
                <w:szCs w:val="22"/>
              </w:rPr>
              <w:t>Q1 12 К</w:t>
            </w:r>
          </w:p>
        </w:tc>
      </w:tr>
      <w:tr w:rsidR="0056249E" w:rsidRPr="00640A93" w:rsidTr="007115DE">
        <w:trPr>
          <w:cnfStyle w:val="000000100000"/>
          <w:trHeight w:val="255"/>
        </w:trPr>
        <w:tc>
          <w:tcPr>
            <w:cnfStyle w:val="001000000000"/>
            <w:tcW w:w="3227" w:type="dxa"/>
            <w:hideMark/>
          </w:tcPr>
          <w:p w:rsidR="0056249E" w:rsidRPr="00640A93" w:rsidRDefault="0056249E" w:rsidP="00B651BE">
            <w:pPr>
              <w:autoSpaceDE/>
              <w:autoSpaceDN/>
              <w:adjustRightInd/>
              <w:spacing w:after="0"/>
              <w:jc w:val="left"/>
              <w:rPr>
                <w:rFonts w:asciiTheme="minorHAnsi" w:hAnsiTheme="minorHAnsi" w:cstheme="minorHAnsi"/>
                <w:bCs w:val="0"/>
                <w:sz w:val="22"/>
                <w:szCs w:val="22"/>
                <w:lang w:eastAsia="bg-BG"/>
              </w:rPr>
            </w:pPr>
            <w:r w:rsidRPr="00640A93">
              <w:rPr>
                <w:rFonts w:asciiTheme="minorHAnsi" w:hAnsiTheme="minorHAnsi" w:cstheme="minorHAnsi"/>
                <w:bCs w:val="0"/>
                <w:sz w:val="22"/>
                <w:szCs w:val="22"/>
                <w:lang w:eastAsia="bg-BG"/>
              </w:rPr>
              <w:t>Оперативни разходи</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29 866</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33 231</w:t>
            </w:r>
          </w:p>
        </w:tc>
        <w:tc>
          <w:tcPr>
            <w:tcW w:w="932"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39 310</w:t>
            </w:r>
          </w:p>
        </w:tc>
        <w:tc>
          <w:tcPr>
            <w:tcW w:w="931" w:type="dxa"/>
            <w:noWrap/>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5 636</w:t>
            </w:r>
          </w:p>
        </w:tc>
        <w:tc>
          <w:tcPr>
            <w:tcW w:w="932" w:type="dxa"/>
            <w:tcBorders>
              <w:right w:val="single" w:sz="12" w:space="0" w:color="auto"/>
            </w:tcBorders>
            <w:noWrap/>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6 517</w:t>
            </w:r>
          </w:p>
        </w:tc>
        <w:tc>
          <w:tcPr>
            <w:tcW w:w="931" w:type="dxa"/>
            <w:tcBorders>
              <w:lef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38 290</w:t>
            </w:r>
          </w:p>
        </w:tc>
        <w:tc>
          <w:tcPr>
            <w:tcW w:w="932" w:type="dxa"/>
            <w:tcBorders>
              <w:righ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6 887</w:t>
            </w:r>
          </w:p>
        </w:tc>
      </w:tr>
      <w:tr w:rsidR="0056249E" w:rsidRPr="00640A93" w:rsidTr="007115DE">
        <w:trPr>
          <w:trHeight w:val="255"/>
        </w:trPr>
        <w:tc>
          <w:tcPr>
            <w:cnfStyle w:val="001000000000"/>
            <w:tcW w:w="3227" w:type="dxa"/>
            <w:hideMark/>
          </w:tcPr>
          <w:p w:rsidR="0056249E" w:rsidRPr="00640A93" w:rsidRDefault="0056249E" w:rsidP="0087394D">
            <w:pPr>
              <w:autoSpaceDE/>
              <w:autoSpaceDN/>
              <w:adjustRightInd/>
              <w:spacing w:after="0"/>
              <w:ind w:firstLineChars="101" w:firstLine="223"/>
              <w:jc w:val="right"/>
              <w:rPr>
                <w:rFonts w:asciiTheme="minorHAnsi" w:hAnsiTheme="minorHAnsi" w:cstheme="minorHAnsi"/>
                <w:sz w:val="22"/>
                <w:szCs w:val="22"/>
                <w:lang w:eastAsia="bg-BG"/>
              </w:rPr>
            </w:pPr>
            <w:r w:rsidRPr="00640A93">
              <w:rPr>
                <w:rFonts w:asciiTheme="minorHAnsi" w:hAnsiTheme="minorHAnsi" w:cstheme="minorHAnsi"/>
                <w:sz w:val="22"/>
                <w:szCs w:val="22"/>
                <w:lang w:eastAsia="bg-BG"/>
              </w:rPr>
              <w:t> Изменение, %</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11%</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11%</w:t>
            </w:r>
          </w:p>
        </w:tc>
        <w:tc>
          <w:tcPr>
            <w:tcW w:w="932"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18%</w:t>
            </w:r>
          </w:p>
        </w:tc>
        <w:tc>
          <w:tcPr>
            <w:tcW w:w="931" w:type="dxa"/>
            <w:noWrap/>
            <w:vAlign w:val="center"/>
            <w:hideMark/>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 </w:t>
            </w:r>
          </w:p>
        </w:tc>
        <w:tc>
          <w:tcPr>
            <w:tcW w:w="932" w:type="dxa"/>
            <w:tcBorders>
              <w:right w:val="single" w:sz="12" w:space="0" w:color="auto"/>
            </w:tcBorders>
            <w:noWrap/>
            <w:vAlign w:val="center"/>
            <w:hideMark/>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16%</w:t>
            </w:r>
          </w:p>
        </w:tc>
        <w:tc>
          <w:tcPr>
            <w:tcW w:w="931" w:type="dxa"/>
            <w:tcBorders>
              <w:left w:val="single" w:sz="12" w:space="0" w:color="auto"/>
            </w:tcBorders>
            <w:vAlign w:val="center"/>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 </w:t>
            </w:r>
          </w:p>
        </w:tc>
        <w:tc>
          <w:tcPr>
            <w:tcW w:w="932" w:type="dxa"/>
            <w:tcBorders>
              <w:right w:val="single" w:sz="12" w:space="0" w:color="auto"/>
            </w:tcBorders>
            <w:vAlign w:val="center"/>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 </w:t>
            </w:r>
          </w:p>
        </w:tc>
      </w:tr>
      <w:tr w:rsidR="0056249E" w:rsidRPr="0056249E" w:rsidTr="007115DE">
        <w:trPr>
          <w:cnfStyle w:val="000000100000"/>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Материали</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3 571</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4 605</w:t>
            </w:r>
          </w:p>
        </w:tc>
        <w:tc>
          <w:tcPr>
            <w:tcW w:w="932"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5 275</w:t>
            </w:r>
          </w:p>
        </w:tc>
        <w:tc>
          <w:tcPr>
            <w:tcW w:w="931" w:type="dxa"/>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1 153</w:t>
            </w:r>
          </w:p>
        </w:tc>
        <w:tc>
          <w:tcPr>
            <w:tcW w:w="932" w:type="dxa"/>
            <w:tcBorders>
              <w:right w:val="single" w:sz="12" w:space="0" w:color="auto"/>
            </w:tcBorders>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1 797</w:t>
            </w:r>
          </w:p>
        </w:tc>
        <w:tc>
          <w:tcPr>
            <w:tcW w:w="931" w:type="dxa"/>
            <w:tcBorders>
              <w:lef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5 872</w:t>
            </w:r>
          </w:p>
        </w:tc>
        <w:tc>
          <w:tcPr>
            <w:tcW w:w="932" w:type="dxa"/>
            <w:tcBorders>
              <w:righ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1 800</w:t>
            </w:r>
          </w:p>
        </w:tc>
      </w:tr>
      <w:tr w:rsidR="0056249E" w:rsidRPr="0056249E" w:rsidTr="007115DE">
        <w:trPr>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righ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 Изменение, %</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25%</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29%</w:t>
            </w:r>
          </w:p>
        </w:tc>
        <w:tc>
          <w:tcPr>
            <w:tcW w:w="932"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15%</w:t>
            </w:r>
          </w:p>
        </w:tc>
        <w:tc>
          <w:tcPr>
            <w:tcW w:w="931" w:type="dxa"/>
            <w:noWrap/>
            <w:vAlign w:val="center"/>
            <w:hideMark/>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noWrap/>
            <w:vAlign w:val="center"/>
            <w:hideMark/>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56%</w:t>
            </w:r>
          </w:p>
        </w:tc>
        <w:tc>
          <w:tcPr>
            <w:tcW w:w="931" w:type="dxa"/>
            <w:tcBorders>
              <w:left w:val="single" w:sz="12" w:space="0" w:color="auto"/>
            </w:tcBorders>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r>
      <w:tr w:rsidR="0056249E" w:rsidRPr="0056249E" w:rsidTr="007115DE">
        <w:trPr>
          <w:cnfStyle w:val="000000100000"/>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Заплати и осигуровки</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2 496</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2 421</w:t>
            </w:r>
          </w:p>
        </w:tc>
        <w:tc>
          <w:tcPr>
            <w:tcW w:w="932"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3 261</w:t>
            </w:r>
          </w:p>
        </w:tc>
        <w:tc>
          <w:tcPr>
            <w:tcW w:w="931" w:type="dxa"/>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779</w:t>
            </w:r>
          </w:p>
        </w:tc>
        <w:tc>
          <w:tcPr>
            <w:tcW w:w="932" w:type="dxa"/>
            <w:tcBorders>
              <w:right w:val="single" w:sz="12" w:space="0" w:color="auto"/>
            </w:tcBorders>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696</w:t>
            </w:r>
          </w:p>
        </w:tc>
        <w:tc>
          <w:tcPr>
            <w:tcW w:w="931" w:type="dxa"/>
            <w:tcBorders>
              <w:lef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15 384</w:t>
            </w:r>
          </w:p>
        </w:tc>
        <w:tc>
          <w:tcPr>
            <w:tcW w:w="932" w:type="dxa"/>
            <w:tcBorders>
              <w:righ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2 620</w:t>
            </w:r>
          </w:p>
        </w:tc>
      </w:tr>
      <w:tr w:rsidR="0056249E" w:rsidRPr="0056249E" w:rsidTr="007115DE">
        <w:trPr>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righ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 Изменение, %</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16%</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-3%</w:t>
            </w:r>
          </w:p>
        </w:tc>
        <w:tc>
          <w:tcPr>
            <w:tcW w:w="932"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35%</w:t>
            </w:r>
          </w:p>
        </w:tc>
        <w:tc>
          <w:tcPr>
            <w:tcW w:w="931" w:type="dxa"/>
            <w:noWrap/>
            <w:vAlign w:val="center"/>
            <w:hideMark/>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noWrap/>
            <w:vAlign w:val="center"/>
            <w:hideMark/>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-11%</w:t>
            </w:r>
          </w:p>
        </w:tc>
        <w:tc>
          <w:tcPr>
            <w:tcW w:w="931" w:type="dxa"/>
            <w:tcBorders>
              <w:left w:val="single" w:sz="12" w:space="0" w:color="auto"/>
            </w:tcBorders>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r>
      <w:tr w:rsidR="0056249E" w:rsidRPr="0056249E" w:rsidTr="007115DE">
        <w:trPr>
          <w:cnfStyle w:val="000000100000"/>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Външни услуги</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21 778</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24 287</w:t>
            </w:r>
          </w:p>
        </w:tc>
        <w:tc>
          <w:tcPr>
            <w:tcW w:w="932"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26 739</w:t>
            </w:r>
          </w:p>
        </w:tc>
        <w:tc>
          <w:tcPr>
            <w:tcW w:w="931" w:type="dxa"/>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3 042</w:t>
            </w:r>
          </w:p>
        </w:tc>
        <w:tc>
          <w:tcPr>
            <w:tcW w:w="932" w:type="dxa"/>
            <w:tcBorders>
              <w:right w:val="single" w:sz="12" w:space="0" w:color="auto"/>
            </w:tcBorders>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3 436</w:t>
            </w:r>
          </w:p>
        </w:tc>
        <w:tc>
          <w:tcPr>
            <w:tcW w:w="931" w:type="dxa"/>
            <w:tcBorders>
              <w:lef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12 957</w:t>
            </w:r>
          </w:p>
        </w:tc>
        <w:tc>
          <w:tcPr>
            <w:tcW w:w="932" w:type="dxa"/>
            <w:tcBorders>
              <w:righ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1 879</w:t>
            </w:r>
          </w:p>
        </w:tc>
      </w:tr>
      <w:tr w:rsidR="0056249E" w:rsidRPr="0056249E" w:rsidTr="007115DE">
        <w:trPr>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righ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 Изменение, %</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5%</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12%</w:t>
            </w:r>
          </w:p>
        </w:tc>
        <w:tc>
          <w:tcPr>
            <w:tcW w:w="932"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10%</w:t>
            </w:r>
          </w:p>
        </w:tc>
        <w:tc>
          <w:tcPr>
            <w:tcW w:w="931" w:type="dxa"/>
            <w:noWrap/>
            <w:vAlign w:val="center"/>
            <w:hideMark/>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noWrap/>
            <w:vAlign w:val="center"/>
            <w:hideMark/>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13%</w:t>
            </w:r>
          </w:p>
        </w:tc>
        <w:tc>
          <w:tcPr>
            <w:tcW w:w="931" w:type="dxa"/>
            <w:tcBorders>
              <w:left w:val="single" w:sz="12" w:space="0" w:color="auto"/>
            </w:tcBorders>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r>
      <w:tr w:rsidR="0056249E" w:rsidRPr="0056249E" w:rsidTr="007115DE">
        <w:trPr>
          <w:cnfStyle w:val="000000100000"/>
          <w:trHeight w:val="255"/>
        </w:trPr>
        <w:tc>
          <w:tcPr>
            <w:cnfStyle w:val="001000000000"/>
            <w:tcW w:w="3227" w:type="dxa"/>
            <w:hideMark/>
          </w:tcPr>
          <w:p w:rsidR="0056249E" w:rsidRPr="0056249E" w:rsidRDefault="0056249E" w:rsidP="0087394D">
            <w:pPr>
              <w:autoSpaceDE/>
              <w:autoSpaceDN/>
              <w:adjustRightInd/>
              <w:spacing w:after="0"/>
              <w:ind w:leftChars="92" w:left="505" w:hangingChars="129" w:hanging="284"/>
              <w:jc w:val="lef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Балансова ст-ст на продадени активи</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957</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763</w:t>
            </w:r>
          </w:p>
        </w:tc>
        <w:tc>
          <w:tcPr>
            <w:tcW w:w="932"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2 666</w:t>
            </w:r>
          </w:p>
        </w:tc>
        <w:tc>
          <w:tcPr>
            <w:tcW w:w="931" w:type="dxa"/>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489</w:t>
            </w:r>
          </w:p>
        </w:tc>
        <w:tc>
          <w:tcPr>
            <w:tcW w:w="932" w:type="dxa"/>
            <w:tcBorders>
              <w:right w:val="single" w:sz="12" w:space="0" w:color="auto"/>
            </w:tcBorders>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385</w:t>
            </w:r>
          </w:p>
        </w:tc>
        <w:tc>
          <w:tcPr>
            <w:tcW w:w="931" w:type="dxa"/>
            <w:tcBorders>
              <w:lef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2 699</w:t>
            </w:r>
          </w:p>
        </w:tc>
        <w:tc>
          <w:tcPr>
            <w:tcW w:w="932" w:type="dxa"/>
            <w:tcBorders>
              <w:righ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385</w:t>
            </w:r>
          </w:p>
        </w:tc>
      </w:tr>
      <w:tr w:rsidR="0056249E" w:rsidRPr="0056249E" w:rsidTr="007115DE">
        <w:trPr>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righ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 Изменение, %</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98%</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-20%</w:t>
            </w:r>
          </w:p>
        </w:tc>
        <w:tc>
          <w:tcPr>
            <w:tcW w:w="932"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249%</w:t>
            </w:r>
          </w:p>
        </w:tc>
        <w:tc>
          <w:tcPr>
            <w:tcW w:w="931" w:type="dxa"/>
            <w:noWrap/>
            <w:vAlign w:val="center"/>
            <w:hideMark/>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noWrap/>
            <w:vAlign w:val="center"/>
            <w:hideMark/>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-21%</w:t>
            </w:r>
          </w:p>
        </w:tc>
        <w:tc>
          <w:tcPr>
            <w:tcW w:w="931" w:type="dxa"/>
            <w:tcBorders>
              <w:left w:val="single" w:sz="12" w:space="0" w:color="auto"/>
            </w:tcBorders>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r>
      <w:tr w:rsidR="0056249E" w:rsidRPr="0056249E" w:rsidTr="007115DE">
        <w:trPr>
          <w:cnfStyle w:val="000000100000"/>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Други оперативни</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1 062</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1 155</w:t>
            </w:r>
          </w:p>
        </w:tc>
        <w:tc>
          <w:tcPr>
            <w:tcW w:w="932"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1 366</w:t>
            </w:r>
          </w:p>
        </w:tc>
        <w:tc>
          <w:tcPr>
            <w:tcW w:w="931" w:type="dxa"/>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173</w:t>
            </w:r>
          </w:p>
        </w:tc>
        <w:tc>
          <w:tcPr>
            <w:tcW w:w="932" w:type="dxa"/>
            <w:tcBorders>
              <w:right w:val="single" w:sz="12" w:space="0" w:color="auto"/>
            </w:tcBorders>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202</w:t>
            </w:r>
          </w:p>
        </w:tc>
        <w:tc>
          <w:tcPr>
            <w:tcW w:w="931" w:type="dxa"/>
            <w:tcBorders>
              <w:lef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1 378</w:t>
            </w:r>
          </w:p>
        </w:tc>
        <w:tc>
          <w:tcPr>
            <w:tcW w:w="932" w:type="dxa"/>
            <w:tcBorders>
              <w:righ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203</w:t>
            </w:r>
          </w:p>
        </w:tc>
      </w:tr>
      <w:tr w:rsidR="0056249E" w:rsidRPr="0056249E" w:rsidTr="007115DE">
        <w:trPr>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righ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 Изменение, %</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65%</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9%</w:t>
            </w:r>
          </w:p>
        </w:tc>
        <w:tc>
          <w:tcPr>
            <w:tcW w:w="932"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18%</w:t>
            </w:r>
          </w:p>
        </w:tc>
        <w:tc>
          <w:tcPr>
            <w:tcW w:w="931" w:type="dxa"/>
            <w:noWrap/>
            <w:vAlign w:val="center"/>
            <w:hideMark/>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noWrap/>
            <w:vAlign w:val="center"/>
            <w:hideMark/>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17%</w:t>
            </w:r>
          </w:p>
        </w:tc>
        <w:tc>
          <w:tcPr>
            <w:tcW w:w="931" w:type="dxa"/>
            <w:tcBorders>
              <w:left w:val="single" w:sz="12" w:space="0" w:color="auto"/>
            </w:tcBorders>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r>
      <w:tr w:rsidR="0056249E" w:rsidRPr="00640A93" w:rsidTr="007115DE">
        <w:trPr>
          <w:cnfStyle w:val="000000100000"/>
          <w:trHeight w:val="270"/>
        </w:trPr>
        <w:tc>
          <w:tcPr>
            <w:cnfStyle w:val="001000000000"/>
            <w:tcW w:w="3227" w:type="dxa"/>
            <w:hideMark/>
          </w:tcPr>
          <w:p w:rsidR="0056249E" w:rsidRPr="00640A93" w:rsidRDefault="0056249E" w:rsidP="0014084E">
            <w:pPr>
              <w:autoSpaceDE/>
              <w:autoSpaceDN/>
              <w:adjustRightInd/>
              <w:spacing w:after="0"/>
              <w:jc w:val="left"/>
              <w:rPr>
                <w:rFonts w:asciiTheme="minorHAnsi" w:hAnsiTheme="minorHAnsi" w:cstheme="minorHAnsi"/>
                <w:bCs w:val="0"/>
                <w:sz w:val="22"/>
                <w:szCs w:val="22"/>
                <w:lang w:eastAsia="bg-BG"/>
              </w:rPr>
            </w:pPr>
            <w:r w:rsidRPr="00640A93">
              <w:rPr>
                <w:rFonts w:asciiTheme="minorHAnsi" w:hAnsiTheme="minorHAnsi" w:cstheme="minorHAnsi"/>
                <w:bCs w:val="0"/>
                <w:sz w:val="22"/>
                <w:szCs w:val="22"/>
                <w:lang w:eastAsia="bg-BG"/>
              </w:rPr>
              <w:t>Печалба преди данъци</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5 530</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5 717</w:t>
            </w:r>
          </w:p>
        </w:tc>
        <w:tc>
          <w:tcPr>
            <w:tcW w:w="932"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8 257</w:t>
            </w:r>
          </w:p>
        </w:tc>
        <w:tc>
          <w:tcPr>
            <w:tcW w:w="931" w:type="dxa"/>
            <w:noWrap/>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2 047</w:t>
            </w:r>
          </w:p>
        </w:tc>
        <w:tc>
          <w:tcPr>
            <w:tcW w:w="932" w:type="dxa"/>
            <w:tcBorders>
              <w:right w:val="single" w:sz="12" w:space="0" w:color="auto"/>
            </w:tcBorders>
            <w:noWrap/>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2 305</w:t>
            </w:r>
          </w:p>
        </w:tc>
        <w:tc>
          <w:tcPr>
            <w:tcW w:w="931" w:type="dxa"/>
            <w:tcBorders>
              <w:lef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9 502</w:t>
            </w:r>
          </w:p>
        </w:tc>
        <w:tc>
          <w:tcPr>
            <w:tcW w:w="932" w:type="dxa"/>
            <w:tcBorders>
              <w:righ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2 964</w:t>
            </w:r>
          </w:p>
        </w:tc>
      </w:tr>
      <w:tr w:rsidR="0056249E" w:rsidRPr="00640A93" w:rsidTr="007115DE">
        <w:trPr>
          <w:trHeight w:val="255"/>
        </w:trPr>
        <w:tc>
          <w:tcPr>
            <w:cnfStyle w:val="001000000000"/>
            <w:tcW w:w="3227" w:type="dxa"/>
            <w:hideMark/>
          </w:tcPr>
          <w:p w:rsidR="0056249E" w:rsidRPr="00640A93" w:rsidRDefault="0056249E" w:rsidP="0087394D">
            <w:pPr>
              <w:autoSpaceDE/>
              <w:autoSpaceDN/>
              <w:adjustRightInd/>
              <w:spacing w:after="0"/>
              <w:ind w:firstLineChars="101" w:firstLine="223"/>
              <w:jc w:val="right"/>
              <w:rPr>
                <w:rFonts w:asciiTheme="minorHAnsi" w:hAnsiTheme="minorHAnsi" w:cstheme="minorHAnsi"/>
                <w:sz w:val="22"/>
                <w:szCs w:val="22"/>
                <w:lang w:eastAsia="bg-BG"/>
              </w:rPr>
            </w:pPr>
            <w:r w:rsidRPr="00640A93">
              <w:rPr>
                <w:rFonts w:asciiTheme="minorHAnsi" w:hAnsiTheme="minorHAnsi" w:cstheme="minorHAnsi"/>
                <w:sz w:val="22"/>
                <w:szCs w:val="22"/>
                <w:lang w:eastAsia="bg-BG"/>
              </w:rPr>
              <w:t> Изменение, %</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-22%</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3%</w:t>
            </w:r>
          </w:p>
        </w:tc>
        <w:tc>
          <w:tcPr>
            <w:tcW w:w="932"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44%</w:t>
            </w:r>
          </w:p>
        </w:tc>
        <w:tc>
          <w:tcPr>
            <w:tcW w:w="931" w:type="dxa"/>
            <w:noWrap/>
            <w:vAlign w:val="center"/>
            <w:hideMark/>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 </w:t>
            </w:r>
          </w:p>
        </w:tc>
        <w:tc>
          <w:tcPr>
            <w:tcW w:w="932" w:type="dxa"/>
            <w:tcBorders>
              <w:right w:val="single" w:sz="12" w:space="0" w:color="auto"/>
            </w:tcBorders>
            <w:noWrap/>
            <w:vAlign w:val="center"/>
            <w:hideMark/>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13%</w:t>
            </w:r>
          </w:p>
        </w:tc>
        <w:tc>
          <w:tcPr>
            <w:tcW w:w="931" w:type="dxa"/>
            <w:tcBorders>
              <w:left w:val="single" w:sz="12" w:space="0" w:color="auto"/>
            </w:tcBorders>
            <w:vAlign w:val="center"/>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 </w:t>
            </w:r>
          </w:p>
        </w:tc>
        <w:tc>
          <w:tcPr>
            <w:tcW w:w="932" w:type="dxa"/>
            <w:tcBorders>
              <w:right w:val="single" w:sz="12" w:space="0" w:color="auto"/>
            </w:tcBorders>
            <w:vAlign w:val="center"/>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 </w:t>
            </w:r>
          </w:p>
        </w:tc>
      </w:tr>
      <w:tr w:rsidR="0056249E" w:rsidRPr="0056249E" w:rsidTr="007115DE">
        <w:trPr>
          <w:cnfStyle w:val="000000100000"/>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Амортизация</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3 171</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2 978</w:t>
            </w:r>
          </w:p>
        </w:tc>
        <w:tc>
          <w:tcPr>
            <w:tcW w:w="932"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2 752</w:t>
            </w:r>
          </w:p>
        </w:tc>
        <w:tc>
          <w:tcPr>
            <w:tcW w:w="931" w:type="dxa"/>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686</w:t>
            </w:r>
          </w:p>
        </w:tc>
        <w:tc>
          <w:tcPr>
            <w:tcW w:w="932" w:type="dxa"/>
            <w:tcBorders>
              <w:right w:val="single" w:sz="12" w:space="0" w:color="auto"/>
            </w:tcBorders>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665</w:t>
            </w:r>
          </w:p>
        </w:tc>
        <w:tc>
          <w:tcPr>
            <w:tcW w:w="931" w:type="dxa"/>
            <w:tcBorders>
              <w:lef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3 247</w:t>
            </w:r>
          </w:p>
        </w:tc>
        <w:tc>
          <w:tcPr>
            <w:tcW w:w="932" w:type="dxa"/>
            <w:tcBorders>
              <w:righ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746</w:t>
            </w:r>
          </w:p>
        </w:tc>
      </w:tr>
      <w:tr w:rsidR="0056249E" w:rsidRPr="0056249E" w:rsidTr="007115DE">
        <w:trPr>
          <w:trHeight w:val="270"/>
        </w:trPr>
        <w:tc>
          <w:tcPr>
            <w:cnfStyle w:val="001000000000"/>
            <w:tcW w:w="3227" w:type="dxa"/>
            <w:hideMark/>
          </w:tcPr>
          <w:p w:rsidR="0056249E" w:rsidRPr="0056249E" w:rsidRDefault="0056249E" w:rsidP="0087394D">
            <w:pPr>
              <w:autoSpaceDE/>
              <w:autoSpaceDN/>
              <w:adjustRightInd/>
              <w:spacing w:after="0"/>
              <w:ind w:firstLineChars="101" w:firstLine="222"/>
              <w:jc w:val="righ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 Изменение, %</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23%</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-6%</w:t>
            </w:r>
          </w:p>
        </w:tc>
        <w:tc>
          <w:tcPr>
            <w:tcW w:w="932"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-8%</w:t>
            </w:r>
          </w:p>
        </w:tc>
        <w:tc>
          <w:tcPr>
            <w:tcW w:w="931" w:type="dxa"/>
            <w:noWrap/>
            <w:vAlign w:val="center"/>
            <w:hideMark/>
          </w:tcPr>
          <w:p w:rsidR="0056249E" w:rsidRPr="00640A93" w:rsidRDefault="0056249E" w:rsidP="00640A93">
            <w:pPr>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noWrap/>
            <w:vAlign w:val="center"/>
            <w:hideMark/>
          </w:tcPr>
          <w:p w:rsidR="0056249E" w:rsidRPr="00640A93" w:rsidRDefault="0056249E" w:rsidP="00640A93">
            <w:pPr>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-3%</w:t>
            </w:r>
          </w:p>
        </w:tc>
        <w:tc>
          <w:tcPr>
            <w:tcW w:w="931" w:type="dxa"/>
            <w:tcBorders>
              <w:left w:val="single" w:sz="12" w:space="0" w:color="auto"/>
            </w:tcBorders>
            <w:vAlign w:val="center"/>
          </w:tcPr>
          <w:p w:rsidR="0056249E" w:rsidRPr="00640A93" w:rsidRDefault="0056249E" w:rsidP="00640A93">
            <w:pPr>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c>
          <w:tcPr>
            <w:tcW w:w="932" w:type="dxa"/>
            <w:tcBorders>
              <w:right w:val="single" w:sz="12" w:space="0" w:color="auto"/>
            </w:tcBorders>
            <w:vAlign w:val="center"/>
          </w:tcPr>
          <w:p w:rsidR="0056249E" w:rsidRPr="00640A93" w:rsidRDefault="0056249E" w:rsidP="00640A93">
            <w:pPr>
              <w:jc w:val="right"/>
              <w:cnfStyle w:val="000000000000"/>
              <w:rPr>
                <w:rFonts w:asciiTheme="minorHAnsi" w:hAnsiTheme="minorHAnsi" w:cstheme="minorHAnsi"/>
                <w:sz w:val="22"/>
                <w:szCs w:val="22"/>
                <w:lang w:eastAsia="bg-BG"/>
              </w:rPr>
            </w:pPr>
            <w:r w:rsidRPr="00640A93">
              <w:rPr>
                <w:rFonts w:asciiTheme="minorHAnsi" w:hAnsiTheme="minorHAnsi" w:cstheme="minorHAnsi"/>
                <w:sz w:val="22"/>
                <w:szCs w:val="22"/>
                <w:lang w:eastAsia="bg-BG"/>
              </w:rPr>
              <w:t> </w:t>
            </w:r>
          </w:p>
        </w:tc>
      </w:tr>
      <w:tr w:rsidR="0056249E" w:rsidRPr="00640A93" w:rsidTr="007115DE">
        <w:trPr>
          <w:cnfStyle w:val="000000100000"/>
          <w:trHeight w:val="270"/>
        </w:trPr>
        <w:tc>
          <w:tcPr>
            <w:cnfStyle w:val="001000000000"/>
            <w:tcW w:w="3227" w:type="dxa"/>
            <w:hideMark/>
          </w:tcPr>
          <w:p w:rsidR="0056249E" w:rsidRPr="00640A93" w:rsidRDefault="0056249E" w:rsidP="00B651BE">
            <w:pPr>
              <w:autoSpaceDE/>
              <w:autoSpaceDN/>
              <w:adjustRightInd/>
              <w:spacing w:after="0"/>
              <w:jc w:val="left"/>
              <w:rPr>
                <w:rFonts w:asciiTheme="minorHAnsi" w:hAnsiTheme="minorHAnsi" w:cstheme="minorHAnsi"/>
                <w:bCs w:val="0"/>
                <w:sz w:val="22"/>
                <w:szCs w:val="22"/>
                <w:lang w:eastAsia="bg-BG"/>
              </w:rPr>
            </w:pPr>
            <w:r w:rsidRPr="00640A93">
              <w:rPr>
                <w:rFonts w:asciiTheme="minorHAnsi" w:hAnsiTheme="minorHAnsi" w:cstheme="minorHAnsi"/>
                <w:bCs w:val="0"/>
                <w:sz w:val="22"/>
                <w:szCs w:val="22"/>
                <w:lang w:eastAsia="bg-BG"/>
              </w:rPr>
              <w:t>EBIT (Оперативна печалба)</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2 359</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2 739</w:t>
            </w:r>
          </w:p>
        </w:tc>
        <w:tc>
          <w:tcPr>
            <w:tcW w:w="932" w:type="dxa"/>
            <w:vAlign w:val="center"/>
          </w:tcPr>
          <w:p w:rsidR="0056249E" w:rsidRPr="00C65C03" w:rsidRDefault="0056249E" w:rsidP="00F35C5F">
            <w:pPr>
              <w:autoSpaceDE/>
              <w:autoSpaceDN/>
              <w:adjustRightInd/>
              <w:spacing w:after="0"/>
              <w:jc w:val="right"/>
              <w:cnfStyle w:val="000000100000"/>
              <w:rPr>
                <w:rFonts w:asciiTheme="minorHAnsi" w:hAnsiTheme="minorHAnsi" w:cstheme="minorHAnsi"/>
                <w:b/>
                <w:sz w:val="22"/>
                <w:szCs w:val="22"/>
                <w:lang w:eastAsia="bg-BG"/>
              </w:rPr>
            </w:pPr>
            <w:r w:rsidRPr="00F35C5F">
              <w:rPr>
                <w:rFonts w:asciiTheme="minorHAnsi" w:hAnsiTheme="minorHAnsi" w:cstheme="minorHAnsi"/>
                <w:b/>
                <w:sz w:val="22"/>
                <w:szCs w:val="22"/>
                <w:lang w:eastAsia="bg-BG"/>
              </w:rPr>
              <w:t>5 50</w:t>
            </w:r>
            <w:r w:rsidR="00F35C5F" w:rsidRPr="00F35C5F">
              <w:rPr>
                <w:rFonts w:asciiTheme="minorHAnsi" w:hAnsiTheme="minorHAnsi" w:cstheme="minorHAnsi"/>
                <w:b/>
                <w:sz w:val="22"/>
                <w:szCs w:val="22"/>
                <w:lang w:eastAsia="bg-BG"/>
              </w:rPr>
              <w:t>5</w:t>
            </w:r>
          </w:p>
        </w:tc>
        <w:tc>
          <w:tcPr>
            <w:tcW w:w="931" w:type="dxa"/>
            <w:noWrap/>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1 361</w:t>
            </w:r>
          </w:p>
        </w:tc>
        <w:tc>
          <w:tcPr>
            <w:tcW w:w="932" w:type="dxa"/>
            <w:tcBorders>
              <w:right w:val="single" w:sz="12" w:space="0" w:color="auto"/>
            </w:tcBorders>
            <w:noWrap/>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1 640</w:t>
            </w:r>
          </w:p>
        </w:tc>
        <w:tc>
          <w:tcPr>
            <w:tcW w:w="931" w:type="dxa"/>
            <w:tcBorders>
              <w:lef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6 255</w:t>
            </w:r>
          </w:p>
        </w:tc>
        <w:tc>
          <w:tcPr>
            <w:tcW w:w="932" w:type="dxa"/>
            <w:tcBorders>
              <w:righ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2 218</w:t>
            </w:r>
          </w:p>
        </w:tc>
      </w:tr>
      <w:tr w:rsidR="0056249E" w:rsidRPr="00640A93" w:rsidTr="007115DE">
        <w:trPr>
          <w:trHeight w:val="255"/>
        </w:trPr>
        <w:tc>
          <w:tcPr>
            <w:cnfStyle w:val="001000000000"/>
            <w:tcW w:w="3227" w:type="dxa"/>
            <w:hideMark/>
          </w:tcPr>
          <w:p w:rsidR="0056249E" w:rsidRPr="00640A93" w:rsidRDefault="0056249E" w:rsidP="0087394D">
            <w:pPr>
              <w:autoSpaceDE/>
              <w:autoSpaceDN/>
              <w:adjustRightInd/>
              <w:spacing w:after="0"/>
              <w:ind w:firstLineChars="101" w:firstLine="223"/>
              <w:jc w:val="right"/>
              <w:rPr>
                <w:rFonts w:asciiTheme="minorHAnsi" w:hAnsiTheme="minorHAnsi" w:cstheme="minorHAnsi"/>
                <w:sz w:val="22"/>
                <w:szCs w:val="22"/>
                <w:lang w:eastAsia="bg-BG"/>
              </w:rPr>
            </w:pPr>
            <w:r w:rsidRPr="00640A93">
              <w:rPr>
                <w:rFonts w:asciiTheme="minorHAnsi" w:hAnsiTheme="minorHAnsi" w:cstheme="minorHAnsi"/>
                <w:sz w:val="22"/>
                <w:szCs w:val="22"/>
                <w:lang w:eastAsia="bg-BG"/>
              </w:rPr>
              <w:t> Изменение, %</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-48%</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16%</w:t>
            </w:r>
          </w:p>
        </w:tc>
        <w:tc>
          <w:tcPr>
            <w:tcW w:w="932"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101%</w:t>
            </w:r>
          </w:p>
        </w:tc>
        <w:tc>
          <w:tcPr>
            <w:tcW w:w="931" w:type="dxa"/>
            <w:noWrap/>
            <w:vAlign w:val="center"/>
            <w:hideMark/>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 </w:t>
            </w:r>
          </w:p>
        </w:tc>
        <w:tc>
          <w:tcPr>
            <w:tcW w:w="932" w:type="dxa"/>
            <w:tcBorders>
              <w:right w:val="single" w:sz="12" w:space="0" w:color="auto"/>
            </w:tcBorders>
            <w:noWrap/>
            <w:vAlign w:val="center"/>
            <w:hideMark/>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20%</w:t>
            </w:r>
          </w:p>
        </w:tc>
        <w:tc>
          <w:tcPr>
            <w:tcW w:w="931" w:type="dxa"/>
            <w:tcBorders>
              <w:left w:val="single" w:sz="12" w:space="0" w:color="auto"/>
            </w:tcBorders>
            <w:vAlign w:val="center"/>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 </w:t>
            </w:r>
          </w:p>
        </w:tc>
        <w:tc>
          <w:tcPr>
            <w:tcW w:w="932" w:type="dxa"/>
            <w:tcBorders>
              <w:right w:val="single" w:sz="12" w:space="0" w:color="auto"/>
            </w:tcBorders>
            <w:vAlign w:val="center"/>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 </w:t>
            </w:r>
          </w:p>
        </w:tc>
      </w:tr>
      <w:tr w:rsidR="0056249E" w:rsidRPr="00640A93" w:rsidTr="007115DE">
        <w:trPr>
          <w:cnfStyle w:val="000000100000"/>
          <w:trHeight w:val="255"/>
        </w:trPr>
        <w:tc>
          <w:tcPr>
            <w:cnfStyle w:val="001000000000"/>
            <w:tcW w:w="3227" w:type="dxa"/>
            <w:hideMark/>
          </w:tcPr>
          <w:p w:rsidR="0056249E" w:rsidRPr="00640A93" w:rsidRDefault="0056249E" w:rsidP="007A679F">
            <w:pPr>
              <w:autoSpaceDE/>
              <w:autoSpaceDN/>
              <w:adjustRightInd/>
              <w:spacing w:after="0"/>
              <w:jc w:val="left"/>
              <w:rPr>
                <w:rFonts w:asciiTheme="minorHAnsi" w:hAnsiTheme="minorHAnsi" w:cstheme="minorHAnsi"/>
                <w:bCs w:val="0"/>
                <w:sz w:val="22"/>
                <w:szCs w:val="22"/>
                <w:lang w:eastAsia="bg-BG"/>
              </w:rPr>
            </w:pPr>
            <w:r w:rsidRPr="00640A93">
              <w:rPr>
                <w:rFonts w:asciiTheme="minorHAnsi" w:hAnsiTheme="minorHAnsi" w:cstheme="minorHAnsi"/>
                <w:bCs w:val="0"/>
                <w:sz w:val="22"/>
                <w:szCs w:val="22"/>
                <w:lang w:eastAsia="bg-BG"/>
              </w:rPr>
              <w:t>Финансови приходи (разходи)</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(123)</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211</w:t>
            </w:r>
          </w:p>
        </w:tc>
        <w:tc>
          <w:tcPr>
            <w:tcW w:w="932"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581</w:t>
            </w:r>
          </w:p>
        </w:tc>
        <w:tc>
          <w:tcPr>
            <w:tcW w:w="931" w:type="dxa"/>
            <w:noWrap/>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281</w:t>
            </w:r>
          </w:p>
        </w:tc>
        <w:tc>
          <w:tcPr>
            <w:tcW w:w="932" w:type="dxa"/>
            <w:tcBorders>
              <w:right w:val="single" w:sz="12" w:space="0" w:color="auto"/>
            </w:tcBorders>
            <w:noWrap/>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21</w:t>
            </w:r>
          </w:p>
        </w:tc>
        <w:tc>
          <w:tcPr>
            <w:tcW w:w="931" w:type="dxa"/>
            <w:tcBorders>
              <w:lef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549</w:t>
            </w:r>
          </w:p>
        </w:tc>
        <w:tc>
          <w:tcPr>
            <w:tcW w:w="932" w:type="dxa"/>
            <w:tcBorders>
              <w:righ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22</w:t>
            </w:r>
          </w:p>
        </w:tc>
      </w:tr>
      <w:tr w:rsidR="0056249E" w:rsidRPr="0056249E" w:rsidTr="007115DE">
        <w:trPr>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Приходи (разходи) за лихви</w:t>
            </w:r>
          </w:p>
        </w:tc>
        <w:tc>
          <w:tcPr>
            <w:tcW w:w="931" w:type="dxa"/>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(44)</w:t>
            </w:r>
          </w:p>
        </w:tc>
        <w:tc>
          <w:tcPr>
            <w:tcW w:w="931" w:type="dxa"/>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284</w:t>
            </w:r>
          </w:p>
        </w:tc>
        <w:tc>
          <w:tcPr>
            <w:tcW w:w="932" w:type="dxa"/>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672</w:t>
            </w:r>
          </w:p>
        </w:tc>
        <w:tc>
          <w:tcPr>
            <w:tcW w:w="931" w:type="dxa"/>
            <w:noWrap/>
            <w:vAlign w:val="center"/>
            <w:hideMark/>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305</w:t>
            </w:r>
          </w:p>
        </w:tc>
        <w:tc>
          <w:tcPr>
            <w:tcW w:w="932" w:type="dxa"/>
            <w:tcBorders>
              <w:right w:val="single" w:sz="12" w:space="0" w:color="auto"/>
            </w:tcBorders>
            <w:noWrap/>
            <w:vAlign w:val="center"/>
            <w:hideMark/>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43</w:t>
            </w:r>
          </w:p>
        </w:tc>
        <w:tc>
          <w:tcPr>
            <w:tcW w:w="931" w:type="dxa"/>
            <w:tcBorders>
              <w:left w:val="single" w:sz="12" w:space="0" w:color="auto"/>
            </w:tcBorders>
            <w:vAlign w:val="center"/>
          </w:tcPr>
          <w:p w:rsidR="0056249E" w:rsidRPr="0056249E" w:rsidRDefault="0041659F" w:rsidP="00640A93">
            <w:pPr>
              <w:autoSpaceDE/>
              <w:autoSpaceDN/>
              <w:adjustRightInd/>
              <w:spacing w:after="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5</w:t>
            </w:r>
            <w:r w:rsidR="0056249E" w:rsidRPr="0056249E">
              <w:rPr>
                <w:rFonts w:asciiTheme="minorHAnsi" w:hAnsiTheme="minorHAnsi" w:cstheme="minorHAnsi"/>
                <w:sz w:val="22"/>
                <w:szCs w:val="22"/>
                <w:lang w:eastAsia="bg-BG"/>
              </w:rPr>
              <w:t>98</w:t>
            </w:r>
          </w:p>
        </w:tc>
        <w:tc>
          <w:tcPr>
            <w:tcW w:w="932" w:type="dxa"/>
            <w:tcBorders>
              <w:right w:val="single" w:sz="12" w:space="0" w:color="auto"/>
            </w:tcBorders>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40</w:t>
            </w:r>
          </w:p>
        </w:tc>
      </w:tr>
      <w:tr w:rsidR="0056249E" w:rsidRPr="0056249E" w:rsidTr="007115DE">
        <w:trPr>
          <w:cnfStyle w:val="000000100000"/>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Валутни разлики</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w:t>
            </w:r>
          </w:p>
        </w:tc>
        <w:tc>
          <w:tcPr>
            <w:tcW w:w="931"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w:t>
            </w:r>
          </w:p>
        </w:tc>
        <w:tc>
          <w:tcPr>
            <w:tcW w:w="932" w:type="dxa"/>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w:t>
            </w:r>
          </w:p>
        </w:tc>
        <w:tc>
          <w:tcPr>
            <w:tcW w:w="931" w:type="dxa"/>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w:t>
            </w:r>
          </w:p>
        </w:tc>
        <w:tc>
          <w:tcPr>
            <w:tcW w:w="932" w:type="dxa"/>
            <w:tcBorders>
              <w:right w:val="single" w:sz="12" w:space="0" w:color="auto"/>
            </w:tcBorders>
            <w:noWrap/>
            <w:vAlign w:val="center"/>
            <w:hideMark/>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w:t>
            </w:r>
          </w:p>
        </w:tc>
        <w:tc>
          <w:tcPr>
            <w:tcW w:w="931" w:type="dxa"/>
            <w:tcBorders>
              <w:lef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(3)</w:t>
            </w:r>
          </w:p>
        </w:tc>
        <w:tc>
          <w:tcPr>
            <w:tcW w:w="932" w:type="dxa"/>
            <w:tcBorders>
              <w:right w:val="single" w:sz="12" w:space="0" w:color="auto"/>
            </w:tcBorders>
            <w:vAlign w:val="center"/>
          </w:tcPr>
          <w:p w:rsidR="0056249E" w:rsidRPr="0056249E" w:rsidRDefault="0056249E" w:rsidP="00640A93">
            <w:pPr>
              <w:autoSpaceDE/>
              <w:autoSpaceDN/>
              <w:adjustRightInd/>
              <w:spacing w:after="0"/>
              <w:jc w:val="right"/>
              <w:cnfStyle w:val="0000001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w:t>
            </w:r>
          </w:p>
        </w:tc>
      </w:tr>
      <w:tr w:rsidR="0056249E" w:rsidRPr="0056249E" w:rsidTr="007115DE">
        <w:trPr>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Други финансови</w:t>
            </w:r>
          </w:p>
        </w:tc>
        <w:tc>
          <w:tcPr>
            <w:tcW w:w="931" w:type="dxa"/>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(77)</w:t>
            </w:r>
          </w:p>
        </w:tc>
        <w:tc>
          <w:tcPr>
            <w:tcW w:w="931" w:type="dxa"/>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(72)</w:t>
            </w:r>
          </w:p>
        </w:tc>
        <w:tc>
          <w:tcPr>
            <w:tcW w:w="932" w:type="dxa"/>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(88)</w:t>
            </w:r>
          </w:p>
        </w:tc>
        <w:tc>
          <w:tcPr>
            <w:tcW w:w="931" w:type="dxa"/>
            <w:noWrap/>
            <w:vAlign w:val="center"/>
            <w:hideMark/>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(23)</w:t>
            </w:r>
          </w:p>
        </w:tc>
        <w:tc>
          <w:tcPr>
            <w:tcW w:w="932" w:type="dxa"/>
            <w:tcBorders>
              <w:right w:val="single" w:sz="12" w:space="0" w:color="auto"/>
            </w:tcBorders>
            <w:noWrap/>
            <w:vAlign w:val="center"/>
            <w:hideMark/>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(22)</w:t>
            </w:r>
          </w:p>
        </w:tc>
        <w:tc>
          <w:tcPr>
            <w:tcW w:w="931" w:type="dxa"/>
            <w:tcBorders>
              <w:left w:val="single" w:sz="12" w:space="0" w:color="auto"/>
            </w:tcBorders>
            <w:vAlign w:val="center"/>
          </w:tcPr>
          <w:p w:rsidR="0056249E" w:rsidRPr="0056249E" w:rsidRDefault="0041659F" w:rsidP="00640A93">
            <w:pPr>
              <w:autoSpaceDE/>
              <w:autoSpaceDN/>
              <w:adjustRightInd/>
              <w:spacing w:after="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w:t>
            </w:r>
            <w:r w:rsidR="0014269B">
              <w:rPr>
                <w:rFonts w:asciiTheme="minorHAnsi" w:hAnsiTheme="minorHAnsi" w:cstheme="minorHAnsi"/>
                <w:sz w:val="22"/>
                <w:szCs w:val="22"/>
                <w:lang w:eastAsia="bg-BG"/>
              </w:rPr>
              <w:t>46</w:t>
            </w:r>
            <w:r>
              <w:rPr>
                <w:rFonts w:asciiTheme="minorHAnsi" w:hAnsiTheme="minorHAnsi" w:cstheme="minorHAnsi"/>
                <w:sz w:val="22"/>
                <w:szCs w:val="22"/>
                <w:lang w:eastAsia="bg-BG"/>
              </w:rPr>
              <w:t>)</w:t>
            </w:r>
          </w:p>
        </w:tc>
        <w:tc>
          <w:tcPr>
            <w:tcW w:w="932" w:type="dxa"/>
            <w:tcBorders>
              <w:right w:val="single" w:sz="12" w:space="0" w:color="auto"/>
            </w:tcBorders>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(17)</w:t>
            </w:r>
          </w:p>
        </w:tc>
      </w:tr>
      <w:tr w:rsidR="0056249E" w:rsidRPr="00640A93" w:rsidTr="007115DE">
        <w:trPr>
          <w:cnfStyle w:val="000000100000"/>
          <w:trHeight w:val="270"/>
        </w:trPr>
        <w:tc>
          <w:tcPr>
            <w:cnfStyle w:val="001000000000"/>
            <w:tcW w:w="3227" w:type="dxa"/>
            <w:hideMark/>
          </w:tcPr>
          <w:p w:rsidR="0056249E" w:rsidRPr="00640A93" w:rsidRDefault="0056249E" w:rsidP="00B651BE">
            <w:pPr>
              <w:autoSpaceDE/>
              <w:autoSpaceDN/>
              <w:adjustRightInd/>
              <w:spacing w:after="0"/>
              <w:jc w:val="left"/>
              <w:rPr>
                <w:rFonts w:asciiTheme="minorHAnsi" w:hAnsiTheme="minorHAnsi" w:cstheme="minorHAnsi"/>
                <w:bCs w:val="0"/>
                <w:sz w:val="22"/>
                <w:szCs w:val="22"/>
                <w:lang w:eastAsia="bg-BG"/>
              </w:rPr>
            </w:pPr>
            <w:r w:rsidRPr="00640A93">
              <w:rPr>
                <w:rFonts w:asciiTheme="minorHAnsi" w:hAnsiTheme="minorHAnsi" w:cstheme="minorHAnsi"/>
                <w:bCs w:val="0"/>
                <w:sz w:val="22"/>
                <w:szCs w:val="22"/>
                <w:lang w:eastAsia="bg-BG"/>
              </w:rPr>
              <w:t>Печалба преди данъци</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2 236</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2 950</w:t>
            </w:r>
          </w:p>
        </w:tc>
        <w:tc>
          <w:tcPr>
            <w:tcW w:w="932"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6 086</w:t>
            </w:r>
          </w:p>
        </w:tc>
        <w:tc>
          <w:tcPr>
            <w:tcW w:w="931" w:type="dxa"/>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1 642</w:t>
            </w:r>
          </w:p>
        </w:tc>
        <w:tc>
          <w:tcPr>
            <w:tcW w:w="932" w:type="dxa"/>
            <w:tcBorders>
              <w:right w:val="single" w:sz="12" w:space="0" w:color="auto"/>
            </w:tcBorders>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1 661</w:t>
            </w:r>
          </w:p>
        </w:tc>
        <w:tc>
          <w:tcPr>
            <w:tcW w:w="931" w:type="dxa"/>
            <w:tcBorders>
              <w:lef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6 804</w:t>
            </w:r>
          </w:p>
        </w:tc>
        <w:tc>
          <w:tcPr>
            <w:tcW w:w="932" w:type="dxa"/>
            <w:tcBorders>
              <w:righ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2 240</w:t>
            </w:r>
          </w:p>
        </w:tc>
      </w:tr>
      <w:tr w:rsidR="0056249E" w:rsidRPr="0056249E" w:rsidTr="007115DE">
        <w:trPr>
          <w:trHeight w:val="255"/>
        </w:trPr>
        <w:tc>
          <w:tcPr>
            <w:cnfStyle w:val="001000000000"/>
            <w:tcW w:w="3227" w:type="dxa"/>
            <w:hideMark/>
          </w:tcPr>
          <w:p w:rsidR="0056249E" w:rsidRPr="0056249E" w:rsidRDefault="0056249E"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56249E">
              <w:rPr>
                <w:rFonts w:asciiTheme="minorHAnsi" w:hAnsiTheme="minorHAnsi" w:cstheme="minorHAnsi"/>
                <w:b w:val="0"/>
                <w:sz w:val="22"/>
                <w:szCs w:val="22"/>
                <w:lang w:eastAsia="bg-BG"/>
              </w:rPr>
              <w:t>Данъци</w:t>
            </w:r>
          </w:p>
        </w:tc>
        <w:tc>
          <w:tcPr>
            <w:tcW w:w="931" w:type="dxa"/>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228</w:t>
            </w:r>
          </w:p>
        </w:tc>
        <w:tc>
          <w:tcPr>
            <w:tcW w:w="931" w:type="dxa"/>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298</w:t>
            </w:r>
          </w:p>
        </w:tc>
        <w:tc>
          <w:tcPr>
            <w:tcW w:w="932" w:type="dxa"/>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613</w:t>
            </w:r>
          </w:p>
        </w:tc>
        <w:tc>
          <w:tcPr>
            <w:tcW w:w="931" w:type="dxa"/>
            <w:noWrap/>
            <w:vAlign w:val="center"/>
            <w:hideMark/>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164</w:t>
            </w:r>
          </w:p>
        </w:tc>
        <w:tc>
          <w:tcPr>
            <w:tcW w:w="932" w:type="dxa"/>
            <w:tcBorders>
              <w:right w:val="single" w:sz="12" w:space="0" w:color="auto"/>
            </w:tcBorders>
            <w:noWrap/>
            <w:vAlign w:val="center"/>
            <w:hideMark/>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166</w:t>
            </w:r>
          </w:p>
        </w:tc>
        <w:tc>
          <w:tcPr>
            <w:tcW w:w="931" w:type="dxa"/>
            <w:tcBorders>
              <w:left w:val="single" w:sz="12" w:space="0" w:color="auto"/>
            </w:tcBorders>
            <w:vAlign w:val="center"/>
          </w:tcPr>
          <w:p w:rsidR="0056249E" w:rsidRPr="0056249E" w:rsidRDefault="0056249E" w:rsidP="00640A93">
            <w:pPr>
              <w:autoSpaceDE/>
              <w:autoSpaceDN/>
              <w:adjustRightInd/>
              <w:spacing w:after="0"/>
              <w:jc w:val="right"/>
              <w:cnfStyle w:val="000000000000"/>
              <w:rPr>
                <w:rFonts w:asciiTheme="minorHAnsi" w:hAnsiTheme="minorHAnsi" w:cstheme="minorHAnsi"/>
                <w:sz w:val="22"/>
                <w:szCs w:val="22"/>
                <w:lang w:eastAsia="bg-BG"/>
              </w:rPr>
            </w:pPr>
            <w:r w:rsidRPr="0056249E">
              <w:rPr>
                <w:rFonts w:asciiTheme="minorHAnsi" w:hAnsiTheme="minorHAnsi" w:cstheme="minorHAnsi"/>
                <w:sz w:val="22"/>
                <w:szCs w:val="22"/>
                <w:lang w:eastAsia="bg-BG"/>
              </w:rPr>
              <w:t>694</w:t>
            </w:r>
          </w:p>
        </w:tc>
        <w:tc>
          <w:tcPr>
            <w:tcW w:w="932" w:type="dxa"/>
            <w:tcBorders>
              <w:right w:val="single" w:sz="12" w:space="0" w:color="auto"/>
            </w:tcBorders>
            <w:vAlign w:val="center"/>
          </w:tcPr>
          <w:p w:rsidR="0056249E" w:rsidRPr="0056249E" w:rsidRDefault="00332913" w:rsidP="00640A93">
            <w:pPr>
              <w:autoSpaceDE/>
              <w:autoSpaceDN/>
              <w:adjustRightInd/>
              <w:spacing w:after="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1</w:t>
            </w:r>
            <w:r w:rsidR="0056249E" w:rsidRPr="0056249E">
              <w:rPr>
                <w:rFonts w:asciiTheme="minorHAnsi" w:hAnsiTheme="minorHAnsi" w:cstheme="minorHAnsi"/>
                <w:sz w:val="22"/>
                <w:szCs w:val="22"/>
                <w:lang w:eastAsia="bg-BG"/>
              </w:rPr>
              <w:t>24</w:t>
            </w:r>
          </w:p>
        </w:tc>
      </w:tr>
      <w:tr w:rsidR="0056249E" w:rsidRPr="00640A93" w:rsidTr="007115DE">
        <w:trPr>
          <w:cnfStyle w:val="000000100000"/>
          <w:trHeight w:val="270"/>
        </w:trPr>
        <w:tc>
          <w:tcPr>
            <w:cnfStyle w:val="001000000000"/>
            <w:tcW w:w="3227" w:type="dxa"/>
            <w:hideMark/>
          </w:tcPr>
          <w:p w:rsidR="0056249E" w:rsidRPr="00640A93" w:rsidRDefault="0056249E" w:rsidP="00B651BE">
            <w:pPr>
              <w:autoSpaceDE/>
              <w:autoSpaceDN/>
              <w:adjustRightInd/>
              <w:spacing w:after="0"/>
              <w:jc w:val="left"/>
              <w:rPr>
                <w:rFonts w:asciiTheme="minorHAnsi" w:hAnsiTheme="minorHAnsi" w:cstheme="minorHAnsi"/>
                <w:bCs w:val="0"/>
                <w:sz w:val="22"/>
                <w:szCs w:val="22"/>
                <w:lang w:eastAsia="bg-BG"/>
              </w:rPr>
            </w:pPr>
            <w:r w:rsidRPr="00640A93">
              <w:rPr>
                <w:rFonts w:asciiTheme="minorHAnsi" w:hAnsiTheme="minorHAnsi" w:cstheme="minorHAnsi"/>
                <w:bCs w:val="0"/>
                <w:sz w:val="22"/>
                <w:szCs w:val="22"/>
                <w:lang w:eastAsia="bg-BG"/>
              </w:rPr>
              <w:t>Нетна печалба</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2 008</w:t>
            </w:r>
          </w:p>
        </w:tc>
        <w:tc>
          <w:tcPr>
            <w:tcW w:w="931"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2 652</w:t>
            </w:r>
          </w:p>
        </w:tc>
        <w:tc>
          <w:tcPr>
            <w:tcW w:w="932" w:type="dxa"/>
            <w:vAlign w:val="center"/>
          </w:tcPr>
          <w:p w:rsidR="0056249E" w:rsidRPr="00640A93" w:rsidRDefault="0056249E" w:rsidP="00640A93">
            <w:pPr>
              <w:autoSpaceDE/>
              <w:autoSpaceDN/>
              <w:adjustRightInd/>
              <w:spacing w:after="0"/>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5 473</w:t>
            </w:r>
          </w:p>
        </w:tc>
        <w:tc>
          <w:tcPr>
            <w:tcW w:w="931" w:type="dxa"/>
            <w:noWrap/>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1 478</w:t>
            </w:r>
          </w:p>
        </w:tc>
        <w:tc>
          <w:tcPr>
            <w:tcW w:w="932" w:type="dxa"/>
            <w:tcBorders>
              <w:right w:val="single" w:sz="12" w:space="0" w:color="auto"/>
            </w:tcBorders>
            <w:noWrap/>
            <w:vAlign w:val="center"/>
            <w:hideMark/>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1 495</w:t>
            </w:r>
          </w:p>
        </w:tc>
        <w:tc>
          <w:tcPr>
            <w:tcW w:w="931" w:type="dxa"/>
            <w:tcBorders>
              <w:lef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6 110</w:t>
            </w:r>
          </w:p>
        </w:tc>
        <w:tc>
          <w:tcPr>
            <w:tcW w:w="932" w:type="dxa"/>
            <w:tcBorders>
              <w:right w:val="single" w:sz="12" w:space="0" w:color="auto"/>
            </w:tcBorders>
            <w:vAlign w:val="center"/>
          </w:tcPr>
          <w:p w:rsidR="0056249E" w:rsidRPr="00640A93" w:rsidRDefault="0056249E" w:rsidP="00640A93">
            <w:pPr>
              <w:jc w:val="right"/>
              <w:cnfStyle w:val="0000001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2 016</w:t>
            </w:r>
          </w:p>
        </w:tc>
      </w:tr>
      <w:tr w:rsidR="0056249E" w:rsidRPr="00640A93" w:rsidTr="007115DE">
        <w:trPr>
          <w:trHeight w:val="270"/>
        </w:trPr>
        <w:tc>
          <w:tcPr>
            <w:cnfStyle w:val="001000000000"/>
            <w:tcW w:w="3227" w:type="dxa"/>
            <w:hideMark/>
          </w:tcPr>
          <w:p w:rsidR="0056249E" w:rsidRPr="00640A93" w:rsidRDefault="0056249E" w:rsidP="0087394D">
            <w:pPr>
              <w:autoSpaceDE/>
              <w:autoSpaceDN/>
              <w:adjustRightInd/>
              <w:spacing w:after="0"/>
              <w:ind w:firstLineChars="101" w:firstLine="223"/>
              <w:jc w:val="right"/>
              <w:rPr>
                <w:rFonts w:asciiTheme="minorHAnsi" w:hAnsiTheme="minorHAnsi" w:cstheme="minorHAnsi"/>
                <w:sz w:val="22"/>
                <w:szCs w:val="22"/>
                <w:lang w:eastAsia="bg-BG"/>
              </w:rPr>
            </w:pPr>
            <w:r w:rsidRPr="00640A93">
              <w:rPr>
                <w:rFonts w:asciiTheme="minorHAnsi" w:hAnsiTheme="minorHAnsi" w:cstheme="minorHAnsi"/>
                <w:sz w:val="22"/>
                <w:szCs w:val="22"/>
                <w:lang w:eastAsia="bg-BG"/>
              </w:rPr>
              <w:t> Изменение, %</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-46%</w:t>
            </w:r>
          </w:p>
        </w:tc>
        <w:tc>
          <w:tcPr>
            <w:tcW w:w="931"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32%</w:t>
            </w:r>
          </w:p>
        </w:tc>
        <w:tc>
          <w:tcPr>
            <w:tcW w:w="932" w:type="dxa"/>
            <w:vAlign w:val="center"/>
          </w:tcPr>
          <w:p w:rsidR="0056249E" w:rsidRPr="00640A93" w:rsidRDefault="0056249E" w:rsidP="00640A93">
            <w:pPr>
              <w:autoSpaceDE/>
              <w:autoSpaceDN/>
              <w:adjustRightInd/>
              <w:spacing w:after="0"/>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106%</w:t>
            </w:r>
          </w:p>
        </w:tc>
        <w:tc>
          <w:tcPr>
            <w:tcW w:w="931" w:type="dxa"/>
            <w:noWrap/>
            <w:vAlign w:val="center"/>
            <w:hideMark/>
          </w:tcPr>
          <w:p w:rsidR="0056249E" w:rsidRPr="00640A93" w:rsidRDefault="0056249E" w:rsidP="00640A93">
            <w:pPr>
              <w:jc w:val="right"/>
              <w:cnfStyle w:val="000000000000"/>
              <w:rPr>
                <w:rFonts w:asciiTheme="minorHAnsi" w:hAnsiTheme="minorHAnsi" w:cstheme="minorHAnsi"/>
                <w:b/>
                <w:sz w:val="22"/>
                <w:szCs w:val="22"/>
                <w:lang w:eastAsia="bg-BG"/>
              </w:rPr>
            </w:pPr>
          </w:p>
        </w:tc>
        <w:tc>
          <w:tcPr>
            <w:tcW w:w="932" w:type="dxa"/>
            <w:tcBorders>
              <w:right w:val="single" w:sz="12" w:space="0" w:color="auto"/>
            </w:tcBorders>
            <w:noWrap/>
            <w:vAlign w:val="center"/>
            <w:hideMark/>
          </w:tcPr>
          <w:p w:rsidR="0056249E" w:rsidRPr="00640A93" w:rsidRDefault="0056249E" w:rsidP="00640A93">
            <w:pPr>
              <w:jc w:val="right"/>
              <w:cnfStyle w:val="000000000000"/>
              <w:rPr>
                <w:rFonts w:asciiTheme="minorHAnsi" w:hAnsiTheme="minorHAnsi" w:cstheme="minorHAnsi"/>
                <w:b/>
                <w:sz w:val="22"/>
                <w:szCs w:val="22"/>
                <w:lang w:eastAsia="bg-BG"/>
              </w:rPr>
            </w:pPr>
            <w:r w:rsidRPr="00640A93">
              <w:rPr>
                <w:rFonts w:asciiTheme="minorHAnsi" w:hAnsiTheme="minorHAnsi" w:cstheme="minorHAnsi"/>
                <w:b/>
                <w:sz w:val="22"/>
                <w:szCs w:val="22"/>
                <w:lang w:eastAsia="bg-BG"/>
              </w:rPr>
              <w:t>1%</w:t>
            </w:r>
          </w:p>
        </w:tc>
        <w:tc>
          <w:tcPr>
            <w:tcW w:w="931" w:type="dxa"/>
            <w:tcBorders>
              <w:left w:val="single" w:sz="12" w:space="0" w:color="auto"/>
            </w:tcBorders>
            <w:vAlign w:val="center"/>
          </w:tcPr>
          <w:p w:rsidR="0056249E" w:rsidRPr="00640A93" w:rsidRDefault="0056249E" w:rsidP="00640A93">
            <w:pPr>
              <w:jc w:val="right"/>
              <w:cnfStyle w:val="000000000000"/>
              <w:rPr>
                <w:rFonts w:asciiTheme="minorHAnsi" w:hAnsiTheme="minorHAnsi" w:cstheme="minorHAnsi"/>
                <w:b/>
                <w:sz w:val="22"/>
                <w:szCs w:val="22"/>
                <w:lang w:eastAsia="bg-BG"/>
              </w:rPr>
            </w:pPr>
          </w:p>
        </w:tc>
        <w:tc>
          <w:tcPr>
            <w:tcW w:w="932" w:type="dxa"/>
            <w:tcBorders>
              <w:right w:val="single" w:sz="12" w:space="0" w:color="auto"/>
            </w:tcBorders>
            <w:vAlign w:val="center"/>
          </w:tcPr>
          <w:p w:rsidR="0056249E" w:rsidRPr="00640A93" w:rsidRDefault="0056249E" w:rsidP="00640A93">
            <w:pPr>
              <w:jc w:val="right"/>
              <w:cnfStyle w:val="000000000000"/>
              <w:rPr>
                <w:rFonts w:asciiTheme="minorHAnsi" w:hAnsiTheme="minorHAnsi" w:cstheme="minorHAnsi"/>
                <w:b/>
                <w:sz w:val="22"/>
                <w:szCs w:val="22"/>
                <w:lang w:eastAsia="bg-BG"/>
              </w:rPr>
            </w:pPr>
          </w:p>
        </w:tc>
      </w:tr>
    </w:tbl>
    <w:p w:rsidR="00A904E3" w:rsidRPr="00A904E3" w:rsidRDefault="00A904E3" w:rsidP="00A904E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B651BE" w:rsidRDefault="00923B8C" w:rsidP="00B651BE">
      <w:pPr>
        <w:spacing w:after="120"/>
      </w:pPr>
      <w:r>
        <w:t xml:space="preserve">Ръстът на разходите изпреварва нарастването на приходите през 2009 г. и 2010 г. поради понижението на цените, съответно намалените приходи на пратка. </w:t>
      </w:r>
      <w:r w:rsidR="00941DDD">
        <w:t xml:space="preserve">Докато </w:t>
      </w:r>
      <w:r>
        <w:t>ръс</w:t>
      </w:r>
      <w:r w:rsidR="00510B8D">
        <w:t xml:space="preserve">та на пратките е </w:t>
      </w:r>
      <w:r>
        <w:t xml:space="preserve">20% през 2009 г, и 14% през 2010 г., на приходите той е съответно -2% и 10%. </w:t>
      </w:r>
      <w:r w:rsidR="00941DDD">
        <w:t>Извършен</w:t>
      </w:r>
      <w:r w:rsidR="00CC1B1A">
        <w:t>а</w:t>
      </w:r>
      <w:r w:rsidR="00941DDD">
        <w:t xml:space="preserve">та </w:t>
      </w:r>
      <w:r>
        <w:t>реорг</w:t>
      </w:r>
      <w:r w:rsidR="00A05ED2">
        <w:t>а</w:t>
      </w:r>
      <w:r>
        <w:t>низация и направените инвестиции</w:t>
      </w:r>
      <w:r w:rsidR="00941DDD">
        <w:t xml:space="preserve"> в подобряването на ефективността</w:t>
      </w:r>
      <w:r>
        <w:t>,</w:t>
      </w:r>
      <w:r w:rsidR="00A05ED2">
        <w:t xml:space="preserve"> позволи</w:t>
      </w:r>
      <w:r w:rsidR="00941DDD">
        <w:t>ха</w:t>
      </w:r>
      <w:r>
        <w:t xml:space="preserve"> за същия период разходите </w:t>
      </w:r>
      <w:r w:rsidR="00A05ED2">
        <w:t xml:space="preserve">да </w:t>
      </w:r>
      <w:r>
        <w:t>се увеличават с</w:t>
      </w:r>
      <w:r w:rsidR="00941DDD">
        <w:t xml:space="preserve"> по-бавно темпо от пратките -</w:t>
      </w:r>
      <w:r>
        <w:t xml:space="preserve"> 11% годишно</w:t>
      </w:r>
      <w:r w:rsidR="00941DDD">
        <w:t xml:space="preserve">. В резултат на това печалбата преди амортизации се понижава с 22% през 2009 г. и се увеличава незначително през следващата година. </w:t>
      </w:r>
      <w:r w:rsidR="00C06510">
        <w:t>При нетната печалба изменението е значително по-различно заради разходите за амортизации, които рязко се увеличават през 2009 г., поради закупения голям брой нови автомобили през 2008 г. и свитите инвестиции през 2009 г.</w:t>
      </w:r>
    </w:p>
    <w:p w:rsidR="00C06510" w:rsidRDefault="00C06510" w:rsidP="00B651BE">
      <w:pPr>
        <w:spacing w:after="120"/>
      </w:pPr>
      <w:r>
        <w:t xml:space="preserve">Значително подобрение </w:t>
      </w:r>
      <w:r w:rsidR="0014272A">
        <w:t xml:space="preserve">във финансовите резултати има през 2011 г., когато едновременно се засилва ръста в превозените пратки до 16,2% и прихода на пратка успява да се възстанови до нивата от 2009 г. и съответно разходите нарастват по-бавно. Това води до скок на печалбата преди </w:t>
      </w:r>
      <w:r w:rsidR="00CC1B1A">
        <w:t>амортизации</w:t>
      </w:r>
      <w:r w:rsidR="0014272A">
        <w:t xml:space="preserve"> с 44% и удвояване на нетната печалба, тъй като разходите за амортизации се изменят минимално.</w:t>
      </w:r>
    </w:p>
    <w:p w:rsidR="00DD1A79" w:rsidRDefault="00575F9C" w:rsidP="00DD1A79">
      <w:pPr>
        <w:spacing w:after="120"/>
      </w:pPr>
      <w:r>
        <w:t>В структурата на разходите на неконсолидирана база доминират разходите за външни услуги, като се движат в рамки</w:t>
      </w:r>
      <w:r w:rsidR="00833663">
        <w:t>те</w:t>
      </w:r>
      <w:r>
        <w:t xml:space="preserve"> на 56% и 62% от приходите.</w:t>
      </w:r>
      <w:r w:rsidR="00833663">
        <w:t xml:space="preserve"> </w:t>
      </w:r>
      <w:r w:rsidR="00911E11">
        <w:t>Около 2/3</w:t>
      </w:r>
      <w:r w:rsidR="00833663">
        <w:t xml:space="preserve"> от тези разходи</w:t>
      </w:r>
      <w:r w:rsidR="0006383D">
        <w:t xml:space="preserve"> (16,4 млн. лв през 2011 г.)</w:t>
      </w:r>
      <w:r w:rsidR="00833663">
        <w:t xml:space="preserve"> са към дъщерното дружество „Спиди” </w:t>
      </w:r>
      <w:r w:rsidR="00393A33">
        <w:t>Е</w:t>
      </w:r>
      <w:r w:rsidR="00833663">
        <w:t>ООД</w:t>
      </w:r>
      <w:r w:rsidR="00E47D37">
        <w:t>,</w:t>
      </w:r>
      <w:r w:rsidR="00833663">
        <w:t xml:space="preserve"> където е концентрирана дейността по тра</w:t>
      </w:r>
      <w:r w:rsidR="00A05ED2">
        <w:t>нспорта и сортирането на пратк</w:t>
      </w:r>
      <w:r w:rsidR="00833663">
        <w:t xml:space="preserve">ите, както и </w:t>
      </w:r>
      <w:r w:rsidR="00CC1B1A">
        <w:t>85</w:t>
      </w:r>
      <w:r w:rsidR="00833663">
        <w:t>% от персонала</w:t>
      </w:r>
      <w:r w:rsidR="00BE4276">
        <w:t xml:space="preserve">. По тази причина, на консолидирана база най-голям дял имат </w:t>
      </w:r>
      <w:r w:rsidR="00BC3EFA">
        <w:t>р</w:t>
      </w:r>
      <w:r w:rsidR="00BE4276">
        <w:t>азходите за заплати (</w:t>
      </w:r>
      <w:r w:rsidR="00911E11">
        <w:t>32</w:t>
      </w:r>
      <w:r w:rsidR="00BE4276">
        <w:t>% от приходите</w:t>
      </w:r>
      <w:r w:rsidR="00E47D37">
        <w:t>, при 7% на неконсолидирана база</w:t>
      </w:r>
      <w:r w:rsidR="00BE4276">
        <w:t>), а дела на външните услуги пада до 27% от приходите</w:t>
      </w:r>
      <w:r w:rsidR="0006383D">
        <w:t xml:space="preserve">. </w:t>
      </w:r>
      <w:r w:rsidR="00D70BF4">
        <w:t>„СПИДИ” ЕАД</w:t>
      </w:r>
      <w:r w:rsidR="00B1518E">
        <w:t xml:space="preserve"> има сключени дългосрочни договори с подизпълнители, които обслужват доставките на част от територията на страна. Плащанията към тези агенти на </w:t>
      </w:r>
      <w:r w:rsidR="0006383D">
        <w:t>консолидирана база</w:t>
      </w:r>
      <w:r w:rsidR="00B1518E">
        <w:t xml:space="preserve"> достигат 50% от разходите за външни услуги през 2011 г. (6,45 млн. лв.). Други съществени разходи за външни услуги са поддръжката на автомобили (1,4 млн. лв.), наемът на складове и офиси (1,3 млн. лв.), застраховки (0,94 млн. лв.) и комуникации (0,85 млн. лв.).</w:t>
      </w:r>
    </w:p>
    <w:p w:rsidR="00CA2BBE" w:rsidRDefault="008E2B3D" w:rsidP="00B651BE">
      <w:pPr>
        <w:spacing w:after="120"/>
      </w:pPr>
      <w:r>
        <w:t>Пр</w:t>
      </w:r>
      <w:r w:rsidR="00CC1B1A">
        <w:t>е</w:t>
      </w:r>
      <w:r>
        <w:t>з периода размеръ</w:t>
      </w:r>
      <w:r w:rsidR="00CC1B1A">
        <w:t>т на персонала леко намалява, от 135</w:t>
      </w:r>
      <w:r w:rsidR="00ED7381">
        <w:t xml:space="preserve"> човека през 2009 г. </w:t>
      </w:r>
      <w:r w:rsidR="00CC1B1A">
        <w:t>до 122 човека през</w:t>
      </w:r>
      <w:r w:rsidR="00ED7381">
        <w:t xml:space="preserve"> 201</w:t>
      </w:r>
      <w:r w:rsidR="00CC1B1A">
        <w:t>1</w:t>
      </w:r>
      <w:r w:rsidR="00ED7381">
        <w:t xml:space="preserve"> г.</w:t>
      </w:r>
      <w:r w:rsidR="00CC1B1A">
        <w:t xml:space="preserve"> (96</w:t>
      </w:r>
      <w:r w:rsidR="00ED7381">
        <w:t>4 средносписъчен персонал на консолидирана база)</w:t>
      </w:r>
      <w:r>
        <w:t xml:space="preserve"> и увеличението в разходите за заплати през период</w:t>
      </w:r>
      <w:r w:rsidR="006343E2">
        <w:t>а</w:t>
      </w:r>
      <w:r>
        <w:t xml:space="preserve"> се дължи на увеличението на заплатите, в резултат на приложената програма за организация и мотивация на персонала, която</w:t>
      </w:r>
      <w:r w:rsidR="00ED7381">
        <w:t xml:space="preserve"> </w:t>
      </w:r>
      <w:r>
        <w:t xml:space="preserve">обвърза възнагражденията с постигнатите резултати. </w:t>
      </w:r>
    </w:p>
    <w:p w:rsidR="00BC3EFA" w:rsidRDefault="00BC3EFA" w:rsidP="00B651BE">
      <w:pPr>
        <w:spacing w:after="120"/>
      </w:pPr>
      <w:r w:rsidRPr="006343E2">
        <w:t>Разходите за материали са друг значим компонент в общите разходи</w:t>
      </w:r>
      <w:r w:rsidR="00A05ED2">
        <w:t>,</w:t>
      </w:r>
      <w:r w:rsidR="00BF1B76" w:rsidRPr="006343E2">
        <w:t xml:space="preserve"> които представляват </w:t>
      </w:r>
      <w:r w:rsidR="006343E2" w:rsidRPr="006343E2">
        <w:t>12,3</w:t>
      </w:r>
      <w:r w:rsidR="00BF1B76" w:rsidRPr="006343E2">
        <w:t>% от</w:t>
      </w:r>
      <w:r w:rsidR="00BF1B76">
        <w:t xml:space="preserve"> приходите на консолидирана база</w:t>
      </w:r>
      <w:r w:rsidR="00800C7B">
        <w:t xml:space="preserve"> и 11,1% на неконсолидирана</w:t>
      </w:r>
      <w:r w:rsidR="00BF1B76">
        <w:t xml:space="preserve">. </w:t>
      </w:r>
      <w:r w:rsidR="00800C7B">
        <w:t>Основен дял в разходите за материали заема горивото, 66%, като други 13% са за разходите за авточасти.</w:t>
      </w:r>
    </w:p>
    <w:p w:rsidR="001E3A65" w:rsidRDefault="00BF1B76" w:rsidP="001E3A65">
      <w:pPr>
        <w:spacing w:after="120"/>
      </w:pPr>
      <w:r>
        <w:t>Като цяло цяло структурата на разходите като дял от приходите</w:t>
      </w:r>
      <w:r w:rsidR="00E72C65">
        <w:t xml:space="preserve"> се изменя минимално и</w:t>
      </w:r>
      <w:r>
        <w:t xml:space="preserve"> се з</w:t>
      </w:r>
      <w:r w:rsidR="00E72C65">
        <w:t>а</w:t>
      </w:r>
      <w:r>
        <w:t>пазва</w:t>
      </w:r>
      <w:r w:rsidR="00E72C65">
        <w:t xml:space="preserve"> сравнително стабилна през годините</w:t>
      </w:r>
      <w:r w:rsidR="00A06C35">
        <w:t>. На неконсолидирана база по-съшествено намаление се наблюдава в дела на разходите за външни услуги, които намаляват на 56,2% от приходите през 2011 г. спрямо 62,4% предходната година.</w:t>
      </w:r>
    </w:p>
    <w:p w:rsidR="00B651BE" w:rsidRDefault="007F0641" w:rsidP="00B651BE">
      <w:pPr>
        <w:spacing w:after="120"/>
      </w:pPr>
      <w:r>
        <w:t xml:space="preserve">Финансовите разходи имат минимално отражение върху финансовия резултат, с изключение на 2011 г., когато добавят 1,4% към рентабилността на нетната печалба. Въпреки наличието на лихвени задължения, </w:t>
      </w:r>
      <w:r w:rsidR="00D70BF4">
        <w:t>„СПИДИ” ЕАД</w:t>
      </w:r>
      <w:r>
        <w:t xml:space="preserve"> генерира значителни свободни средства, които предоставя като търговски заеми на </w:t>
      </w:r>
      <w:r w:rsidR="00CC1B1A">
        <w:t>свързани лица</w:t>
      </w:r>
      <w:r>
        <w:t xml:space="preserve">. </w:t>
      </w:r>
      <w:r w:rsidR="00041D7A">
        <w:t>Лихвите по предоставените заеми са по-високи от лихвите по лизинговите задължения</w:t>
      </w:r>
      <w:r>
        <w:t xml:space="preserve"> и получените приходи от лихви надвишават </w:t>
      </w:r>
      <w:r w:rsidR="00041D7A">
        <w:t>разходите по заемните средства.</w:t>
      </w:r>
    </w:p>
    <w:p w:rsidR="00041D7A" w:rsidRDefault="00041D7A" w:rsidP="00B651BE">
      <w:pPr>
        <w:spacing w:after="120"/>
      </w:pPr>
      <w:r>
        <w:t>Останалата част от финансовите разходи се формират от валутни разлики и банкови такси и комисионни.</w:t>
      </w:r>
      <w:r w:rsidR="006343E2">
        <w:t xml:space="preserve"> На консолидирана база има приход от 54 хил. лв. от финансиране през 2011 г.</w:t>
      </w:r>
    </w:p>
    <w:p w:rsidR="00E25AF5" w:rsidRDefault="00041D7A" w:rsidP="003368B3">
      <w:pPr>
        <w:spacing w:after="120"/>
        <w:rPr>
          <w:bCs/>
          <w:i/>
          <w:kern w:val="32"/>
        </w:rPr>
      </w:pPr>
      <w:r>
        <w:t>Дружеството поддържа положителни нива на ре</w:t>
      </w:r>
      <w:r w:rsidR="006343E2">
        <w:t>н</w:t>
      </w:r>
      <w:r>
        <w:t xml:space="preserve">табилност, като рентабилността на печалбата преди </w:t>
      </w:r>
      <w:r w:rsidR="00CC1B1A">
        <w:t>амортизации</w:t>
      </w:r>
      <w:r>
        <w:t xml:space="preserve"> </w:t>
      </w:r>
      <w:r>
        <w:rPr>
          <w:lang w:val="en-US"/>
        </w:rPr>
        <w:t xml:space="preserve">(EBITDA Margin) </w:t>
      </w:r>
      <w:r>
        <w:t>се движи в тесни граници – 15,6%, 14,7% и 17,4% съответно през 2009 г., 2010 г. и 2011 г. По-</w:t>
      </w:r>
      <w:r w:rsidR="00911E11">
        <w:t>голямо изменение има при</w:t>
      </w:r>
      <w:r w:rsidR="005C4BC1">
        <w:t xml:space="preserve"> рентабилността на нетната печалба, която се увеличава два пъти от 5,67% през 2009 г. до 11,5% през 2011 г. Това се дължи на факта, че за периода превозените пратки се увеличават с 32%, без да се увеличават активите и съответно начисляваните </w:t>
      </w:r>
      <w:r w:rsidR="00FF6193">
        <w:t>ам</w:t>
      </w:r>
      <w:r w:rsidR="005C4BC1">
        <w:t>ортизации, както и положителните финансови приходи през 2011 г.</w:t>
      </w:r>
      <w:r w:rsidR="00130C5A">
        <w:t xml:space="preserve"> </w:t>
      </w:r>
    </w:p>
    <w:p w:rsidR="003B3E5B" w:rsidRDefault="003B3E5B" w:rsidP="003B3E5B">
      <w:pPr>
        <w:pStyle w:val="Heading1"/>
        <w:numPr>
          <w:ilvl w:val="2"/>
          <w:numId w:val="11"/>
        </w:numPr>
        <w:ind w:left="709" w:hanging="709"/>
        <w:rPr>
          <w:rFonts w:ascii="Times New Roman" w:hAnsi="Times New Roman"/>
          <w:b w:val="0"/>
          <w:i/>
          <w:sz w:val="24"/>
          <w:szCs w:val="24"/>
        </w:rPr>
      </w:pPr>
      <w:bookmarkStart w:id="91" w:name="_Toc324376935"/>
      <w:bookmarkStart w:id="92" w:name="_Toc324380094"/>
      <w:r>
        <w:rPr>
          <w:rFonts w:ascii="Times New Roman" w:hAnsi="Times New Roman"/>
          <w:b w:val="0"/>
          <w:i/>
          <w:sz w:val="24"/>
          <w:szCs w:val="24"/>
        </w:rPr>
        <w:t>Финансовата позиция на емитента.</w:t>
      </w:r>
      <w:bookmarkEnd w:id="91"/>
      <w:bookmarkEnd w:id="92"/>
    </w:p>
    <w:tbl>
      <w:tblPr>
        <w:tblStyle w:val="MediumShading2-Accent11"/>
        <w:tblW w:w="9781" w:type="dxa"/>
        <w:tblInd w:w="108" w:type="dxa"/>
        <w:tblLayout w:type="fixed"/>
        <w:tblLook w:val="04A0"/>
      </w:tblPr>
      <w:tblGrid>
        <w:gridCol w:w="3544"/>
        <w:gridCol w:w="1039"/>
        <w:gridCol w:w="1040"/>
        <w:gridCol w:w="1039"/>
        <w:gridCol w:w="1040"/>
        <w:gridCol w:w="1039"/>
        <w:gridCol w:w="1040"/>
      </w:tblGrid>
      <w:tr w:rsidR="00F243FA" w:rsidRPr="00CD00D9" w:rsidTr="00667678">
        <w:trPr>
          <w:cnfStyle w:val="100000000000"/>
          <w:trHeight w:val="270"/>
        </w:trPr>
        <w:tc>
          <w:tcPr>
            <w:cnfStyle w:val="001000000100"/>
            <w:tcW w:w="3544" w:type="dxa"/>
            <w:hideMark/>
          </w:tcPr>
          <w:p w:rsidR="00F243FA" w:rsidRPr="00F05A3A" w:rsidRDefault="00F243FA" w:rsidP="0080674A">
            <w:pPr>
              <w:tabs>
                <w:tab w:val="right" w:pos="2477"/>
              </w:tabs>
              <w:autoSpaceDE/>
              <w:autoSpaceDN/>
              <w:adjustRightInd/>
              <w:spacing w:after="0"/>
              <w:jc w:val="center"/>
              <w:rPr>
                <w:rFonts w:asciiTheme="minorHAnsi" w:hAnsiTheme="minorHAnsi" w:cstheme="minorHAnsi"/>
                <w:sz w:val="22"/>
                <w:szCs w:val="22"/>
                <w:lang w:eastAsia="bg-BG"/>
              </w:rPr>
            </w:pPr>
            <w:r>
              <w:rPr>
                <w:rFonts w:asciiTheme="minorHAnsi" w:hAnsiTheme="minorHAnsi" w:cstheme="minorHAnsi"/>
                <w:sz w:val="22"/>
                <w:szCs w:val="22"/>
                <w:lang w:eastAsia="bg-BG"/>
              </w:rPr>
              <w:t>В хил. лв.</w:t>
            </w:r>
          </w:p>
        </w:tc>
        <w:tc>
          <w:tcPr>
            <w:tcW w:w="1039" w:type="dxa"/>
          </w:tcPr>
          <w:p w:rsidR="00F243FA" w:rsidRPr="00CD00D9" w:rsidRDefault="00F243FA" w:rsidP="007A679F">
            <w:pPr>
              <w:autoSpaceDE/>
              <w:autoSpaceDN/>
              <w:adjustRightInd/>
              <w:spacing w:after="0"/>
              <w:jc w:val="center"/>
              <w:cnfStyle w:val="100000000000"/>
              <w:rPr>
                <w:rFonts w:asciiTheme="minorHAnsi" w:hAnsiTheme="minorHAnsi" w:cstheme="minorHAnsi"/>
                <w:bCs w:val="0"/>
                <w:sz w:val="22"/>
                <w:szCs w:val="22"/>
                <w:lang w:eastAsia="bg-BG"/>
              </w:rPr>
            </w:pPr>
            <w:r w:rsidRPr="00CD00D9">
              <w:rPr>
                <w:rFonts w:asciiTheme="minorHAnsi" w:hAnsiTheme="minorHAnsi" w:cstheme="minorHAnsi"/>
                <w:bCs w:val="0"/>
                <w:sz w:val="22"/>
                <w:szCs w:val="22"/>
                <w:lang w:eastAsia="bg-BG"/>
              </w:rPr>
              <w:t>2009</w:t>
            </w:r>
          </w:p>
        </w:tc>
        <w:tc>
          <w:tcPr>
            <w:tcW w:w="1040" w:type="dxa"/>
          </w:tcPr>
          <w:p w:rsidR="00F243FA" w:rsidRPr="00CD00D9" w:rsidRDefault="00F243FA" w:rsidP="007A679F">
            <w:pPr>
              <w:autoSpaceDE/>
              <w:autoSpaceDN/>
              <w:adjustRightInd/>
              <w:spacing w:after="0"/>
              <w:jc w:val="center"/>
              <w:cnfStyle w:val="100000000000"/>
              <w:rPr>
                <w:rFonts w:asciiTheme="minorHAnsi" w:hAnsiTheme="minorHAnsi" w:cstheme="minorHAnsi"/>
                <w:bCs w:val="0"/>
                <w:sz w:val="22"/>
                <w:szCs w:val="22"/>
                <w:lang w:eastAsia="bg-BG"/>
              </w:rPr>
            </w:pPr>
            <w:r w:rsidRPr="00CD00D9">
              <w:rPr>
                <w:rFonts w:asciiTheme="minorHAnsi" w:hAnsiTheme="minorHAnsi" w:cstheme="minorHAnsi"/>
                <w:bCs w:val="0"/>
                <w:sz w:val="22"/>
                <w:szCs w:val="22"/>
                <w:lang w:eastAsia="bg-BG"/>
              </w:rPr>
              <w:t>2010</w:t>
            </w:r>
          </w:p>
        </w:tc>
        <w:tc>
          <w:tcPr>
            <w:tcW w:w="1039" w:type="dxa"/>
          </w:tcPr>
          <w:p w:rsidR="00F243FA" w:rsidRPr="00CD00D9" w:rsidRDefault="00F243FA" w:rsidP="007A679F">
            <w:pPr>
              <w:autoSpaceDE/>
              <w:autoSpaceDN/>
              <w:adjustRightInd/>
              <w:spacing w:after="0"/>
              <w:jc w:val="center"/>
              <w:cnfStyle w:val="100000000000"/>
              <w:rPr>
                <w:rFonts w:asciiTheme="minorHAnsi" w:hAnsiTheme="minorHAnsi" w:cstheme="minorHAnsi"/>
                <w:bCs w:val="0"/>
                <w:sz w:val="22"/>
                <w:szCs w:val="22"/>
                <w:lang w:eastAsia="bg-BG"/>
              </w:rPr>
            </w:pPr>
            <w:r w:rsidRPr="00CD00D9">
              <w:rPr>
                <w:rFonts w:asciiTheme="minorHAnsi" w:hAnsiTheme="minorHAnsi" w:cstheme="minorHAnsi"/>
                <w:bCs w:val="0"/>
                <w:sz w:val="22"/>
                <w:szCs w:val="22"/>
                <w:lang w:eastAsia="bg-BG"/>
              </w:rPr>
              <w:t>2011</w:t>
            </w:r>
          </w:p>
        </w:tc>
        <w:tc>
          <w:tcPr>
            <w:tcW w:w="1040" w:type="dxa"/>
            <w:hideMark/>
          </w:tcPr>
          <w:p w:rsidR="00F243FA" w:rsidRPr="00CD00D9" w:rsidRDefault="00F243FA" w:rsidP="00BA4EAF">
            <w:pPr>
              <w:jc w:val="center"/>
              <w:cnfStyle w:val="100000000000"/>
              <w:rPr>
                <w:rFonts w:asciiTheme="minorHAnsi" w:hAnsiTheme="minorHAnsi" w:cstheme="minorHAnsi"/>
                <w:sz w:val="22"/>
                <w:szCs w:val="22"/>
              </w:rPr>
            </w:pPr>
            <w:r w:rsidRPr="00CD00D9">
              <w:rPr>
                <w:rFonts w:asciiTheme="minorHAnsi" w:hAnsiTheme="minorHAnsi" w:cstheme="minorHAnsi"/>
                <w:bCs w:val="0"/>
                <w:sz w:val="22"/>
                <w:szCs w:val="22"/>
              </w:rPr>
              <w:t>Q1 12</w:t>
            </w:r>
          </w:p>
        </w:tc>
        <w:tc>
          <w:tcPr>
            <w:tcW w:w="1039" w:type="dxa"/>
            <w:tcBorders>
              <w:left w:val="single" w:sz="12" w:space="0" w:color="auto"/>
            </w:tcBorders>
          </w:tcPr>
          <w:p w:rsidR="00F243FA" w:rsidRPr="00CD00D9" w:rsidRDefault="00F243FA" w:rsidP="00BA4EAF">
            <w:pPr>
              <w:jc w:val="center"/>
              <w:cnfStyle w:val="100000000000"/>
              <w:rPr>
                <w:rFonts w:asciiTheme="minorHAnsi" w:hAnsiTheme="minorHAnsi" w:cstheme="minorHAnsi"/>
                <w:b w:val="0"/>
                <w:bCs w:val="0"/>
                <w:sz w:val="22"/>
                <w:szCs w:val="22"/>
              </w:rPr>
            </w:pPr>
            <w:r w:rsidRPr="00CD00D9">
              <w:rPr>
                <w:rFonts w:asciiTheme="minorHAnsi" w:hAnsiTheme="minorHAnsi" w:cstheme="minorHAnsi"/>
                <w:bCs w:val="0"/>
                <w:sz w:val="22"/>
                <w:szCs w:val="22"/>
              </w:rPr>
              <w:t>2011 К</w:t>
            </w:r>
          </w:p>
        </w:tc>
        <w:tc>
          <w:tcPr>
            <w:tcW w:w="1040" w:type="dxa"/>
            <w:tcBorders>
              <w:right w:val="single" w:sz="12" w:space="0" w:color="auto"/>
            </w:tcBorders>
            <w:hideMark/>
          </w:tcPr>
          <w:p w:rsidR="00F243FA" w:rsidRPr="00CD00D9" w:rsidRDefault="00F243FA" w:rsidP="00BA4EAF">
            <w:pPr>
              <w:jc w:val="center"/>
              <w:cnfStyle w:val="100000000000"/>
              <w:rPr>
                <w:rFonts w:asciiTheme="minorHAnsi" w:hAnsiTheme="minorHAnsi" w:cstheme="minorHAnsi"/>
                <w:sz w:val="22"/>
                <w:szCs w:val="22"/>
              </w:rPr>
            </w:pPr>
            <w:r w:rsidRPr="00CD00D9">
              <w:rPr>
                <w:rFonts w:asciiTheme="minorHAnsi" w:hAnsiTheme="minorHAnsi" w:cstheme="minorHAnsi"/>
                <w:bCs w:val="0"/>
                <w:sz w:val="22"/>
                <w:szCs w:val="22"/>
              </w:rPr>
              <w:t>Q1 12 К</w:t>
            </w:r>
          </w:p>
        </w:tc>
      </w:tr>
      <w:tr w:rsidR="00F243FA" w:rsidRPr="00CD00D9" w:rsidTr="00667678">
        <w:trPr>
          <w:cnfStyle w:val="000000100000"/>
          <w:trHeight w:val="255"/>
        </w:trPr>
        <w:tc>
          <w:tcPr>
            <w:cnfStyle w:val="001000000000"/>
            <w:tcW w:w="3544" w:type="dxa"/>
            <w:hideMark/>
          </w:tcPr>
          <w:p w:rsidR="00F243FA" w:rsidRPr="00BA4EAF" w:rsidRDefault="00F243FA" w:rsidP="007A679F">
            <w:pPr>
              <w:autoSpaceDE/>
              <w:autoSpaceDN/>
              <w:adjustRightInd/>
              <w:spacing w:after="0"/>
              <w:jc w:val="left"/>
              <w:rPr>
                <w:rFonts w:asciiTheme="minorHAnsi" w:hAnsiTheme="minorHAnsi" w:cstheme="minorHAnsi"/>
                <w:bCs w:val="0"/>
                <w:sz w:val="22"/>
                <w:szCs w:val="22"/>
                <w:lang w:eastAsia="bg-BG"/>
              </w:rPr>
            </w:pPr>
            <w:r w:rsidRPr="00BA4EAF">
              <w:rPr>
                <w:rFonts w:asciiTheme="minorHAnsi" w:hAnsiTheme="minorHAnsi" w:cstheme="minorHAnsi"/>
                <w:bCs w:val="0"/>
                <w:sz w:val="22"/>
                <w:szCs w:val="22"/>
                <w:lang w:eastAsia="bg-BG"/>
              </w:rPr>
              <w:t>Текущи активи</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9 098</w:t>
            </w:r>
          </w:p>
        </w:tc>
        <w:tc>
          <w:tcPr>
            <w:tcW w:w="1040"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12 418</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14 018</w:t>
            </w:r>
          </w:p>
        </w:tc>
        <w:tc>
          <w:tcPr>
            <w:tcW w:w="1040" w:type="dxa"/>
            <w:noWrap/>
            <w:vAlign w:val="center"/>
            <w:hideMark/>
          </w:tcPr>
          <w:p w:rsidR="00F243FA" w:rsidRPr="00CD00D9" w:rsidRDefault="00F243FA" w:rsidP="00CD00D9">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10 897</w:t>
            </w:r>
          </w:p>
        </w:tc>
        <w:tc>
          <w:tcPr>
            <w:tcW w:w="1039" w:type="dxa"/>
            <w:tcBorders>
              <w:left w:val="single" w:sz="12" w:space="0" w:color="auto"/>
            </w:tcBorders>
            <w:vAlign w:val="center"/>
          </w:tcPr>
          <w:p w:rsidR="00F243FA" w:rsidRPr="00CD00D9" w:rsidRDefault="00F243FA" w:rsidP="00AD4617">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1</w:t>
            </w:r>
            <w:r>
              <w:rPr>
                <w:rFonts w:asciiTheme="minorHAnsi" w:hAnsiTheme="minorHAnsi" w:cstheme="minorHAnsi"/>
                <w:b/>
                <w:i/>
                <w:iCs/>
                <w:sz w:val="22"/>
                <w:szCs w:val="22"/>
                <w:lang w:val="en-US"/>
              </w:rPr>
              <w:t>4</w:t>
            </w:r>
            <w:r w:rsidRPr="00CD00D9">
              <w:rPr>
                <w:rFonts w:asciiTheme="minorHAnsi" w:hAnsiTheme="minorHAnsi" w:cstheme="minorHAnsi"/>
                <w:b/>
                <w:i/>
                <w:iCs/>
                <w:sz w:val="22"/>
                <w:szCs w:val="22"/>
              </w:rPr>
              <w:t xml:space="preserve"> </w:t>
            </w:r>
            <w:r>
              <w:rPr>
                <w:rFonts w:asciiTheme="minorHAnsi" w:hAnsiTheme="minorHAnsi" w:cstheme="minorHAnsi"/>
                <w:b/>
                <w:i/>
                <w:iCs/>
                <w:sz w:val="22"/>
                <w:szCs w:val="22"/>
                <w:lang w:val="en-US"/>
              </w:rPr>
              <w:t>86</w:t>
            </w:r>
            <w:r w:rsidRPr="00CD00D9">
              <w:rPr>
                <w:rFonts w:asciiTheme="minorHAnsi" w:hAnsiTheme="minorHAnsi" w:cstheme="minorHAnsi"/>
                <w:b/>
                <w:i/>
                <w:iCs/>
                <w:sz w:val="22"/>
                <w:szCs w:val="22"/>
              </w:rPr>
              <w:t>1</w:t>
            </w:r>
          </w:p>
        </w:tc>
        <w:tc>
          <w:tcPr>
            <w:tcW w:w="1040" w:type="dxa"/>
            <w:tcBorders>
              <w:right w:val="single" w:sz="12" w:space="0" w:color="auto"/>
            </w:tcBorders>
            <w:noWrap/>
            <w:vAlign w:val="center"/>
            <w:hideMark/>
          </w:tcPr>
          <w:p w:rsidR="00F243FA" w:rsidRPr="00CD00D9" w:rsidRDefault="00F243FA" w:rsidP="004F116A">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1</w:t>
            </w:r>
            <w:r>
              <w:rPr>
                <w:rFonts w:asciiTheme="minorHAnsi" w:hAnsiTheme="minorHAnsi" w:cstheme="minorHAnsi"/>
                <w:b/>
                <w:i/>
                <w:iCs/>
                <w:sz w:val="22"/>
                <w:szCs w:val="22"/>
              </w:rPr>
              <w:t>1</w:t>
            </w:r>
            <w:r w:rsidRPr="00CD00D9">
              <w:rPr>
                <w:rFonts w:asciiTheme="minorHAnsi" w:hAnsiTheme="minorHAnsi" w:cstheme="minorHAnsi"/>
                <w:b/>
                <w:i/>
                <w:iCs/>
                <w:sz w:val="22"/>
                <w:szCs w:val="22"/>
              </w:rPr>
              <w:t xml:space="preserve"> 803</w:t>
            </w:r>
          </w:p>
        </w:tc>
      </w:tr>
      <w:tr w:rsidR="00F243FA" w:rsidRPr="0013785D" w:rsidTr="00667678">
        <w:trPr>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Парична наличност</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946</w:t>
            </w:r>
          </w:p>
        </w:tc>
        <w:tc>
          <w:tcPr>
            <w:tcW w:w="1040"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1 623</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1 882</w:t>
            </w:r>
          </w:p>
        </w:tc>
        <w:tc>
          <w:tcPr>
            <w:tcW w:w="1040" w:type="dxa"/>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1 627</w:t>
            </w:r>
          </w:p>
        </w:tc>
        <w:tc>
          <w:tcPr>
            <w:tcW w:w="1039" w:type="dxa"/>
            <w:tcBorders>
              <w:left w:val="single" w:sz="12" w:space="0" w:color="auto"/>
            </w:tcBorders>
            <w:vAlign w:val="center"/>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2 169</w:t>
            </w:r>
          </w:p>
        </w:tc>
        <w:tc>
          <w:tcPr>
            <w:tcW w:w="1040" w:type="dxa"/>
            <w:tcBorders>
              <w:right w:val="single" w:sz="12" w:space="0" w:color="auto"/>
            </w:tcBorders>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2 345</w:t>
            </w:r>
          </w:p>
        </w:tc>
      </w:tr>
      <w:tr w:rsidR="00F243FA" w:rsidRPr="0013785D" w:rsidTr="00667678">
        <w:trPr>
          <w:cnfStyle w:val="000000100000"/>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Вземания, вкл.</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7 758</w:t>
            </w:r>
          </w:p>
        </w:tc>
        <w:tc>
          <w:tcPr>
            <w:tcW w:w="1040"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10 391</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11 260</w:t>
            </w:r>
          </w:p>
        </w:tc>
        <w:tc>
          <w:tcPr>
            <w:tcW w:w="1040" w:type="dxa"/>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8 542</w:t>
            </w:r>
          </w:p>
        </w:tc>
        <w:tc>
          <w:tcPr>
            <w:tcW w:w="1039" w:type="dxa"/>
            <w:tcBorders>
              <w:left w:val="single" w:sz="12" w:space="0" w:color="auto"/>
            </w:tcBorders>
            <w:vAlign w:val="center"/>
          </w:tcPr>
          <w:p w:rsidR="00F243FA" w:rsidRPr="00AD4617" w:rsidRDefault="00F243FA" w:rsidP="00AD4617">
            <w:pPr>
              <w:jc w:val="right"/>
              <w:cnfStyle w:val="000000100000"/>
              <w:rPr>
                <w:rFonts w:asciiTheme="minorHAnsi" w:hAnsiTheme="minorHAnsi" w:cstheme="minorHAnsi"/>
                <w:sz w:val="22"/>
                <w:szCs w:val="22"/>
                <w:lang w:val="en-US"/>
              </w:rPr>
            </w:pPr>
            <w:r w:rsidRPr="0013785D">
              <w:rPr>
                <w:rFonts w:asciiTheme="minorHAnsi" w:hAnsiTheme="minorHAnsi" w:cstheme="minorHAnsi"/>
                <w:sz w:val="22"/>
                <w:szCs w:val="22"/>
              </w:rPr>
              <w:t>1</w:t>
            </w:r>
            <w:r>
              <w:rPr>
                <w:rFonts w:asciiTheme="minorHAnsi" w:hAnsiTheme="minorHAnsi" w:cstheme="minorHAnsi"/>
                <w:sz w:val="22"/>
                <w:szCs w:val="22"/>
                <w:lang w:val="en-US"/>
              </w:rPr>
              <w:t>1</w:t>
            </w:r>
            <w:r w:rsidRPr="0013785D">
              <w:rPr>
                <w:rFonts w:asciiTheme="minorHAnsi" w:hAnsiTheme="minorHAnsi" w:cstheme="minorHAnsi"/>
                <w:sz w:val="22"/>
                <w:szCs w:val="22"/>
              </w:rPr>
              <w:t xml:space="preserve"> </w:t>
            </w:r>
            <w:r>
              <w:rPr>
                <w:rFonts w:asciiTheme="minorHAnsi" w:hAnsiTheme="minorHAnsi" w:cstheme="minorHAnsi"/>
                <w:sz w:val="22"/>
                <w:szCs w:val="22"/>
                <w:lang w:val="en-US"/>
              </w:rPr>
              <w:t>816</w:t>
            </w:r>
          </w:p>
        </w:tc>
        <w:tc>
          <w:tcPr>
            <w:tcW w:w="1040" w:type="dxa"/>
            <w:tcBorders>
              <w:right w:val="single" w:sz="12" w:space="0" w:color="auto"/>
            </w:tcBorders>
            <w:noWrap/>
            <w:vAlign w:val="center"/>
            <w:hideMark/>
          </w:tcPr>
          <w:p w:rsidR="00F243FA" w:rsidRPr="0013785D" w:rsidRDefault="00F243FA" w:rsidP="00CD00D9">
            <w:pPr>
              <w:jc w:val="right"/>
              <w:cnfStyle w:val="000000100000"/>
              <w:rPr>
                <w:rFonts w:asciiTheme="minorHAnsi" w:hAnsiTheme="minorHAnsi" w:cstheme="minorHAnsi"/>
                <w:sz w:val="22"/>
                <w:szCs w:val="22"/>
              </w:rPr>
            </w:pPr>
            <w:r>
              <w:rPr>
                <w:rFonts w:asciiTheme="minorHAnsi" w:hAnsiTheme="minorHAnsi" w:cstheme="minorHAnsi"/>
                <w:sz w:val="22"/>
                <w:szCs w:val="22"/>
              </w:rPr>
              <w:t>8</w:t>
            </w:r>
            <w:r w:rsidRPr="0013785D">
              <w:rPr>
                <w:rFonts w:asciiTheme="minorHAnsi" w:hAnsiTheme="minorHAnsi" w:cstheme="minorHAnsi"/>
                <w:sz w:val="22"/>
                <w:szCs w:val="22"/>
              </w:rPr>
              <w:t xml:space="preserve"> 600</w:t>
            </w:r>
          </w:p>
        </w:tc>
      </w:tr>
      <w:tr w:rsidR="00F243FA" w:rsidRPr="0061424E" w:rsidTr="00667678">
        <w:trPr>
          <w:trHeight w:val="255"/>
        </w:trPr>
        <w:tc>
          <w:tcPr>
            <w:cnfStyle w:val="001000000000"/>
            <w:tcW w:w="3544" w:type="dxa"/>
            <w:hideMark/>
          </w:tcPr>
          <w:p w:rsidR="00F243FA" w:rsidRPr="00BA4EAF" w:rsidRDefault="00F243FA" w:rsidP="0087394D">
            <w:pPr>
              <w:autoSpaceDE/>
              <w:autoSpaceDN/>
              <w:adjustRightInd/>
              <w:spacing w:after="0"/>
              <w:ind w:firstLineChars="295" w:firstLine="649"/>
              <w:jc w:val="left"/>
              <w:rPr>
                <w:rFonts w:asciiTheme="minorHAnsi" w:hAnsiTheme="minorHAnsi" w:cstheme="minorHAnsi"/>
                <w:b w:val="0"/>
                <w:i/>
                <w:sz w:val="22"/>
                <w:szCs w:val="22"/>
                <w:lang w:eastAsia="bg-BG"/>
              </w:rPr>
            </w:pPr>
            <w:r w:rsidRPr="00BA4EAF">
              <w:rPr>
                <w:rFonts w:asciiTheme="minorHAnsi" w:hAnsiTheme="minorHAnsi" w:cstheme="minorHAnsi"/>
                <w:b w:val="0"/>
                <w:i/>
                <w:sz w:val="22"/>
                <w:szCs w:val="22"/>
                <w:lang w:eastAsia="bg-BG"/>
              </w:rPr>
              <w:t>търговски заеми</w:t>
            </w:r>
          </w:p>
        </w:tc>
        <w:tc>
          <w:tcPr>
            <w:tcW w:w="1039" w:type="dxa"/>
            <w:vAlign w:val="center"/>
          </w:tcPr>
          <w:p w:rsidR="00F243FA" w:rsidRPr="0061424E" w:rsidRDefault="00F243FA" w:rsidP="00CD00D9">
            <w:pPr>
              <w:autoSpaceDE/>
              <w:autoSpaceDN/>
              <w:adjustRightInd/>
              <w:spacing w:after="0"/>
              <w:jc w:val="right"/>
              <w:cnfStyle w:val="000000000000"/>
              <w:rPr>
                <w:rFonts w:asciiTheme="minorHAnsi" w:hAnsiTheme="minorHAnsi" w:cstheme="minorHAnsi"/>
                <w:i/>
                <w:sz w:val="22"/>
                <w:szCs w:val="22"/>
                <w:lang w:eastAsia="bg-BG"/>
              </w:rPr>
            </w:pPr>
            <w:r w:rsidRPr="0061424E">
              <w:rPr>
                <w:rFonts w:asciiTheme="minorHAnsi" w:hAnsiTheme="minorHAnsi" w:cstheme="minorHAnsi"/>
                <w:i/>
                <w:sz w:val="22"/>
                <w:szCs w:val="22"/>
                <w:lang w:eastAsia="bg-BG"/>
              </w:rPr>
              <w:t>3 975</w:t>
            </w:r>
          </w:p>
        </w:tc>
        <w:tc>
          <w:tcPr>
            <w:tcW w:w="1040" w:type="dxa"/>
            <w:vAlign w:val="center"/>
          </w:tcPr>
          <w:p w:rsidR="00F243FA" w:rsidRPr="0061424E" w:rsidRDefault="00F243FA" w:rsidP="00CD00D9">
            <w:pPr>
              <w:autoSpaceDE/>
              <w:autoSpaceDN/>
              <w:adjustRightInd/>
              <w:spacing w:after="0"/>
              <w:jc w:val="right"/>
              <w:cnfStyle w:val="000000000000"/>
              <w:rPr>
                <w:rFonts w:asciiTheme="minorHAnsi" w:hAnsiTheme="minorHAnsi" w:cstheme="minorHAnsi"/>
                <w:i/>
                <w:sz w:val="22"/>
                <w:szCs w:val="22"/>
                <w:lang w:eastAsia="bg-BG"/>
              </w:rPr>
            </w:pPr>
            <w:r w:rsidRPr="0061424E">
              <w:rPr>
                <w:rFonts w:asciiTheme="minorHAnsi" w:hAnsiTheme="minorHAnsi" w:cstheme="minorHAnsi"/>
                <w:i/>
                <w:sz w:val="22"/>
                <w:szCs w:val="22"/>
                <w:lang w:eastAsia="bg-BG"/>
              </w:rPr>
              <w:t>3 988</w:t>
            </w:r>
          </w:p>
        </w:tc>
        <w:tc>
          <w:tcPr>
            <w:tcW w:w="1039" w:type="dxa"/>
            <w:vAlign w:val="center"/>
          </w:tcPr>
          <w:p w:rsidR="00F243FA" w:rsidRPr="0061424E" w:rsidRDefault="00F243FA" w:rsidP="00CD00D9">
            <w:pPr>
              <w:autoSpaceDE/>
              <w:autoSpaceDN/>
              <w:adjustRightInd/>
              <w:spacing w:after="0"/>
              <w:jc w:val="right"/>
              <w:cnfStyle w:val="000000000000"/>
              <w:rPr>
                <w:rFonts w:asciiTheme="minorHAnsi" w:hAnsiTheme="minorHAnsi" w:cstheme="minorHAnsi"/>
                <w:i/>
                <w:sz w:val="22"/>
                <w:szCs w:val="22"/>
                <w:lang w:eastAsia="bg-BG"/>
              </w:rPr>
            </w:pPr>
            <w:r w:rsidRPr="0061424E">
              <w:rPr>
                <w:rFonts w:asciiTheme="minorHAnsi" w:hAnsiTheme="minorHAnsi" w:cstheme="minorHAnsi"/>
                <w:i/>
                <w:sz w:val="22"/>
                <w:szCs w:val="22"/>
                <w:lang w:eastAsia="bg-BG"/>
              </w:rPr>
              <w:t>4 418</w:t>
            </w:r>
          </w:p>
        </w:tc>
        <w:tc>
          <w:tcPr>
            <w:tcW w:w="1040" w:type="dxa"/>
            <w:noWrap/>
            <w:vAlign w:val="center"/>
            <w:hideMark/>
          </w:tcPr>
          <w:p w:rsidR="00F243FA" w:rsidRPr="0061424E" w:rsidRDefault="00F243FA" w:rsidP="00CD00D9">
            <w:pPr>
              <w:jc w:val="right"/>
              <w:cnfStyle w:val="000000000000"/>
              <w:rPr>
                <w:rFonts w:asciiTheme="minorHAnsi" w:hAnsiTheme="minorHAnsi" w:cstheme="minorHAnsi"/>
                <w:i/>
                <w:sz w:val="22"/>
                <w:szCs w:val="22"/>
              </w:rPr>
            </w:pPr>
            <w:r w:rsidRPr="0061424E">
              <w:rPr>
                <w:rFonts w:asciiTheme="minorHAnsi" w:hAnsiTheme="minorHAnsi" w:cstheme="minorHAnsi"/>
                <w:i/>
                <w:sz w:val="22"/>
                <w:szCs w:val="22"/>
              </w:rPr>
              <w:t>4 775</w:t>
            </w:r>
          </w:p>
        </w:tc>
        <w:tc>
          <w:tcPr>
            <w:tcW w:w="1039" w:type="dxa"/>
            <w:tcBorders>
              <w:left w:val="single" w:sz="12" w:space="0" w:color="auto"/>
            </w:tcBorders>
            <w:vAlign w:val="center"/>
          </w:tcPr>
          <w:p w:rsidR="00F243FA" w:rsidRPr="0061424E" w:rsidRDefault="00F243FA" w:rsidP="00CD00D9">
            <w:pPr>
              <w:jc w:val="right"/>
              <w:cnfStyle w:val="000000000000"/>
              <w:rPr>
                <w:rFonts w:asciiTheme="minorHAnsi" w:hAnsiTheme="minorHAnsi" w:cstheme="minorHAnsi"/>
                <w:i/>
                <w:sz w:val="22"/>
                <w:szCs w:val="22"/>
              </w:rPr>
            </w:pPr>
            <w:r w:rsidRPr="0061424E">
              <w:rPr>
                <w:rFonts w:asciiTheme="minorHAnsi" w:hAnsiTheme="minorHAnsi" w:cstheme="minorHAnsi"/>
                <w:i/>
                <w:sz w:val="22"/>
                <w:szCs w:val="22"/>
              </w:rPr>
              <w:t>4 418</w:t>
            </w:r>
          </w:p>
        </w:tc>
        <w:tc>
          <w:tcPr>
            <w:tcW w:w="1040" w:type="dxa"/>
            <w:tcBorders>
              <w:right w:val="single" w:sz="12" w:space="0" w:color="auto"/>
            </w:tcBorders>
            <w:noWrap/>
            <w:vAlign w:val="center"/>
            <w:hideMark/>
          </w:tcPr>
          <w:p w:rsidR="00F243FA" w:rsidRPr="0061424E" w:rsidRDefault="00F243FA" w:rsidP="00CD00D9">
            <w:pPr>
              <w:jc w:val="right"/>
              <w:cnfStyle w:val="000000000000"/>
              <w:rPr>
                <w:rFonts w:asciiTheme="minorHAnsi" w:hAnsiTheme="minorHAnsi" w:cstheme="minorHAnsi"/>
                <w:i/>
                <w:sz w:val="22"/>
                <w:szCs w:val="22"/>
              </w:rPr>
            </w:pPr>
            <w:r w:rsidRPr="0061424E">
              <w:rPr>
                <w:rFonts w:asciiTheme="minorHAnsi" w:hAnsiTheme="minorHAnsi" w:cstheme="minorHAnsi"/>
                <w:i/>
                <w:sz w:val="22"/>
                <w:szCs w:val="22"/>
              </w:rPr>
              <w:t>4 775</w:t>
            </w:r>
          </w:p>
        </w:tc>
      </w:tr>
      <w:tr w:rsidR="00F243FA" w:rsidRPr="0013785D" w:rsidTr="00667678">
        <w:trPr>
          <w:cnfStyle w:val="000000100000"/>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Материални запаси</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216</w:t>
            </w:r>
          </w:p>
        </w:tc>
        <w:tc>
          <w:tcPr>
            <w:tcW w:w="1040"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263</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438</w:t>
            </w:r>
          </w:p>
        </w:tc>
        <w:tc>
          <w:tcPr>
            <w:tcW w:w="1040" w:type="dxa"/>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564</w:t>
            </w:r>
          </w:p>
        </w:tc>
        <w:tc>
          <w:tcPr>
            <w:tcW w:w="1039" w:type="dxa"/>
            <w:tcBorders>
              <w:left w:val="single" w:sz="12" w:space="0" w:color="auto"/>
            </w:tcBorders>
            <w:vAlign w:val="center"/>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438</w:t>
            </w:r>
          </w:p>
        </w:tc>
        <w:tc>
          <w:tcPr>
            <w:tcW w:w="1040" w:type="dxa"/>
            <w:tcBorders>
              <w:right w:val="single" w:sz="12" w:space="0" w:color="auto"/>
            </w:tcBorders>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564</w:t>
            </w:r>
          </w:p>
        </w:tc>
      </w:tr>
      <w:tr w:rsidR="00F243FA" w:rsidRPr="0013785D" w:rsidTr="00667678">
        <w:trPr>
          <w:trHeight w:val="270"/>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Разходи за бъд. периоди</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178</w:t>
            </w:r>
          </w:p>
        </w:tc>
        <w:tc>
          <w:tcPr>
            <w:tcW w:w="1040"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141</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438</w:t>
            </w:r>
          </w:p>
        </w:tc>
        <w:tc>
          <w:tcPr>
            <w:tcW w:w="1040" w:type="dxa"/>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164</w:t>
            </w:r>
          </w:p>
        </w:tc>
        <w:tc>
          <w:tcPr>
            <w:tcW w:w="1039" w:type="dxa"/>
            <w:tcBorders>
              <w:left w:val="single" w:sz="12" w:space="0" w:color="auto"/>
            </w:tcBorders>
            <w:vAlign w:val="center"/>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438</w:t>
            </w:r>
          </w:p>
        </w:tc>
        <w:tc>
          <w:tcPr>
            <w:tcW w:w="1040" w:type="dxa"/>
            <w:tcBorders>
              <w:right w:val="single" w:sz="12" w:space="0" w:color="auto"/>
            </w:tcBorders>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294</w:t>
            </w:r>
          </w:p>
        </w:tc>
      </w:tr>
      <w:tr w:rsidR="00F243FA" w:rsidRPr="00CD00D9" w:rsidTr="00667678">
        <w:trPr>
          <w:cnfStyle w:val="000000100000"/>
          <w:trHeight w:val="255"/>
        </w:trPr>
        <w:tc>
          <w:tcPr>
            <w:cnfStyle w:val="001000000000"/>
            <w:tcW w:w="3544" w:type="dxa"/>
            <w:hideMark/>
          </w:tcPr>
          <w:p w:rsidR="00F243FA" w:rsidRPr="00BA4EAF" w:rsidRDefault="00F243FA" w:rsidP="007A679F">
            <w:pPr>
              <w:autoSpaceDE/>
              <w:autoSpaceDN/>
              <w:adjustRightInd/>
              <w:spacing w:after="0"/>
              <w:jc w:val="left"/>
              <w:rPr>
                <w:rFonts w:asciiTheme="minorHAnsi" w:hAnsiTheme="minorHAnsi" w:cstheme="minorHAnsi"/>
                <w:bCs w:val="0"/>
                <w:sz w:val="22"/>
                <w:szCs w:val="22"/>
                <w:lang w:eastAsia="bg-BG"/>
              </w:rPr>
            </w:pPr>
            <w:r w:rsidRPr="00BA4EAF">
              <w:rPr>
                <w:rFonts w:asciiTheme="minorHAnsi" w:hAnsiTheme="minorHAnsi" w:cstheme="minorHAnsi"/>
                <w:bCs w:val="0"/>
                <w:sz w:val="22"/>
                <w:szCs w:val="22"/>
                <w:lang w:eastAsia="bg-BG"/>
              </w:rPr>
              <w:t>Дълготрайни активи</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5 790</w:t>
            </w:r>
          </w:p>
        </w:tc>
        <w:tc>
          <w:tcPr>
            <w:tcW w:w="1040"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5 038</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6 575</w:t>
            </w:r>
          </w:p>
        </w:tc>
        <w:tc>
          <w:tcPr>
            <w:tcW w:w="1040" w:type="dxa"/>
            <w:noWrap/>
            <w:vAlign w:val="center"/>
            <w:hideMark/>
          </w:tcPr>
          <w:p w:rsidR="00F243FA" w:rsidRPr="00CD00D9" w:rsidRDefault="00F243FA" w:rsidP="00CD00D9">
            <w:pPr>
              <w:jc w:val="right"/>
              <w:cnfStyle w:val="000000100000"/>
              <w:rPr>
                <w:rFonts w:asciiTheme="minorHAnsi" w:hAnsiTheme="minorHAnsi" w:cstheme="minorHAnsi"/>
                <w:b/>
                <w:sz w:val="22"/>
                <w:szCs w:val="22"/>
              </w:rPr>
            </w:pPr>
            <w:r>
              <w:rPr>
                <w:rFonts w:asciiTheme="minorHAnsi" w:hAnsiTheme="minorHAnsi" w:cstheme="minorHAnsi"/>
                <w:b/>
                <w:sz w:val="22"/>
                <w:szCs w:val="22"/>
              </w:rPr>
              <w:t>7 338</w:t>
            </w:r>
          </w:p>
        </w:tc>
        <w:tc>
          <w:tcPr>
            <w:tcW w:w="1039" w:type="dxa"/>
            <w:tcBorders>
              <w:left w:val="single" w:sz="12" w:space="0" w:color="auto"/>
            </w:tcBorders>
            <w:vAlign w:val="center"/>
          </w:tcPr>
          <w:p w:rsidR="00F243FA" w:rsidRPr="00CD00D9" w:rsidRDefault="00F243FA" w:rsidP="00CD00D9">
            <w:pPr>
              <w:jc w:val="right"/>
              <w:cnfStyle w:val="000000100000"/>
              <w:rPr>
                <w:rFonts w:asciiTheme="minorHAnsi" w:hAnsiTheme="minorHAnsi" w:cstheme="minorHAnsi"/>
                <w:b/>
                <w:sz w:val="22"/>
                <w:szCs w:val="22"/>
              </w:rPr>
            </w:pPr>
            <w:r>
              <w:rPr>
                <w:rFonts w:asciiTheme="minorHAnsi" w:hAnsiTheme="minorHAnsi" w:cstheme="minorHAnsi"/>
                <w:b/>
                <w:sz w:val="22"/>
                <w:szCs w:val="22"/>
              </w:rPr>
              <w:t>6 039</w:t>
            </w:r>
          </w:p>
        </w:tc>
        <w:tc>
          <w:tcPr>
            <w:tcW w:w="1040" w:type="dxa"/>
            <w:tcBorders>
              <w:right w:val="single" w:sz="12" w:space="0" w:color="auto"/>
            </w:tcBorders>
            <w:noWrap/>
            <w:vAlign w:val="center"/>
            <w:hideMark/>
          </w:tcPr>
          <w:p w:rsidR="00F243FA" w:rsidRPr="00CD00D9" w:rsidRDefault="00F243FA" w:rsidP="00CD00D9">
            <w:pPr>
              <w:jc w:val="right"/>
              <w:cnfStyle w:val="000000100000"/>
              <w:rPr>
                <w:rFonts w:asciiTheme="minorHAnsi" w:hAnsiTheme="minorHAnsi" w:cstheme="minorHAnsi"/>
                <w:b/>
                <w:sz w:val="22"/>
                <w:szCs w:val="22"/>
              </w:rPr>
            </w:pPr>
            <w:r>
              <w:rPr>
                <w:rFonts w:asciiTheme="minorHAnsi" w:hAnsiTheme="minorHAnsi" w:cstheme="minorHAnsi"/>
                <w:b/>
                <w:sz w:val="22"/>
                <w:szCs w:val="22"/>
              </w:rPr>
              <w:t>6 699</w:t>
            </w:r>
          </w:p>
        </w:tc>
      </w:tr>
      <w:tr w:rsidR="00F243FA" w:rsidRPr="0013785D" w:rsidTr="00667678">
        <w:trPr>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Материални</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4 886</w:t>
            </w:r>
          </w:p>
        </w:tc>
        <w:tc>
          <w:tcPr>
            <w:tcW w:w="1040"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4 026</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4 339</w:t>
            </w:r>
          </w:p>
        </w:tc>
        <w:tc>
          <w:tcPr>
            <w:tcW w:w="1040" w:type="dxa"/>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5 102</w:t>
            </w:r>
          </w:p>
        </w:tc>
        <w:tc>
          <w:tcPr>
            <w:tcW w:w="1039" w:type="dxa"/>
            <w:tcBorders>
              <w:left w:val="single" w:sz="12" w:space="0" w:color="auto"/>
            </w:tcBorders>
            <w:vAlign w:val="center"/>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4 639</w:t>
            </w:r>
          </w:p>
        </w:tc>
        <w:tc>
          <w:tcPr>
            <w:tcW w:w="1040" w:type="dxa"/>
            <w:tcBorders>
              <w:right w:val="single" w:sz="12" w:space="0" w:color="auto"/>
            </w:tcBorders>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5 297</w:t>
            </w:r>
          </w:p>
        </w:tc>
      </w:tr>
      <w:tr w:rsidR="00F243FA" w:rsidRPr="0013785D" w:rsidTr="00667678">
        <w:trPr>
          <w:cnfStyle w:val="000000100000"/>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 xml:space="preserve">Нематерилани </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846</w:t>
            </w:r>
          </w:p>
        </w:tc>
        <w:tc>
          <w:tcPr>
            <w:tcW w:w="1040"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927</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1 141</w:t>
            </w:r>
          </w:p>
        </w:tc>
        <w:tc>
          <w:tcPr>
            <w:tcW w:w="1040" w:type="dxa"/>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1 141</w:t>
            </w:r>
          </w:p>
        </w:tc>
        <w:tc>
          <w:tcPr>
            <w:tcW w:w="1039" w:type="dxa"/>
            <w:tcBorders>
              <w:left w:val="single" w:sz="12" w:space="0" w:color="auto"/>
            </w:tcBorders>
            <w:vAlign w:val="center"/>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1 227</w:t>
            </w:r>
          </w:p>
        </w:tc>
        <w:tc>
          <w:tcPr>
            <w:tcW w:w="1040" w:type="dxa"/>
            <w:tcBorders>
              <w:right w:val="single" w:sz="12" w:space="0" w:color="auto"/>
            </w:tcBorders>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1 229</w:t>
            </w:r>
          </w:p>
        </w:tc>
      </w:tr>
      <w:tr w:rsidR="00F243FA" w:rsidRPr="0013785D" w:rsidTr="00667678">
        <w:trPr>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Отложени данъци</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58</w:t>
            </w:r>
          </w:p>
        </w:tc>
        <w:tc>
          <w:tcPr>
            <w:tcW w:w="1040"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85</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113</w:t>
            </w:r>
          </w:p>
        </w:tc>
        <w:tc>
          <w:tcPr>
            <w:tcW w:w="1040" w:type="dxa"/>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113</w:t>
            </w:r>
          </w:p>
        </w:tc>
        <w:tc>
          <w:tcPr>
            <w:tcW w:w="1039" w:type="dxa"/>
            <w:tcBorders>
              <w:left w:val="single" w:sz="12" w:space="0" w:color="auto"/>
            </w:tcBorders>
            <w:vAlign w:val="center"/>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173</w:t>
            </w:r>
          </w:p>
        </w:tc>
        <w:tc>
          <w:tcPr>
            <w:tcW w:w="1040" w:type="dxa"/>
            <w:tcBorders>
              <w:right w:val="single" w:sz="12" w:space="0" w:color="auto"/>
            </w:tcBorders>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173</w:t>
            </w:r>
          </w:p>
        </w:tc>
      </w:tr>
      <w:tr w:rsidR="00F243FA" w:rsidRPr="0013785D" w:rsidTr="00667678">
        <w:trPr>
          <w:cnfStyle w:val="000000100000"/>
          <w:trHeight w:val="270"/>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Дългосрочни инвестиции</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 </w:t>
            </w:r>
          </w:p>
        </w:tc>
        <w:tc>
          <w:tcPr>
            <w:tcW w:w="1040"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 </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982</w:t>
            </w:r>
          </w:p>
        </w:tc>
        <w:tc>
          <w:tcPr>
            <w:tcW w:w="1040" w:type="dxa"/>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982</w:t>
            </w:r>
          </w:p>
        </w:tc>
        <w:tc>
          <w:tcPr>
            <w:tcW w:w="1039" w:type="dxa"/>
            <w:tcBorders>
              <w:left w:val="single" w:sz="12" w:space="0" w:color="auto"/>
            </w:tcBorders>
            <w:vAlign w:val="center"/>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 </w:t>
            </w:r>
          </w:p>
        </w:tc>
        <w:tc>
          <w:tcPr>
            <w:tcW w:w="1040" w:type="dxa"/>
            <w:tcBorders>
              <w:right w:val="single" w:sz="12" w:space="0" w:color="auto"/>
            </w:tcBorders>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 </w:t>
            </w:r>
          </w:p>
        </w:tc>
      </w:tr>
      <w:tr w:rsidR="00F243FA" w:rsidRPr="00CD00D9" w:rsidTr="00667678">
        <w:trPr>
          <w:trHeight w:val="270"/>
        </w:trPr>
        <w:tc>
          <w:tcPr>
            <w:cnfStyle w:val="001000000000"/>
            <w:tcW w:w="3544" w:type="dxa"/>
            <w:hideMark/>
          </w:tcPr>
          <w:p w:rsidR="00F243FA" w:rsidRPr="00BA4EAF" w:rsidRDefault="00F243FA" w:rsidP="007A679F">
            <w:pPr>
              <w:autoSpaceDE/>
              <w:autoSpaceDN/>
              <w:adjustRightInd/>
              <w:spacing w:after="0"/>
              <w:jc w:val="left"/>
              <w:rPr>
                <w:rFonts w:asciiTheme="minorHAnsi" w:hAnsiTheme="minorHAnsi" w:cstheme="minorHAnsi"/>
                <w:bCs w:val="0"/>
                <w:sz w:val="22"/>
                <w:szCs w:val="22"/>
                <w:lang w:eastAsia="bg-BG"/>
              </w:rPr>
            </w:pPr>
            <w:r w:rsidRPr="00BA4EAF">
              <w:rPr>
                <w:rFonts w:asciiTheme="minorHAnsi" w:hAnsiTheme="minorHAnsi" w:cstheme="minorHAnsi"/>
                <w:bCs w:val="0"/>
                <w:sz w:val="22"/>
                <w:szCs w:val="22"/>
                <w:lang w:eastAsia="bg-BG"/>
              </w:rPr>
              <w:t>ОБЩО АКТИВИ</w:t>
            </w:r>
          </w:p>
        </w:tc>
        <w:tc>
          <w:tcPr>
            <w:tcW w:w="1039" w:type="dxa"/>
            <w:vAlign w:val="center"/>
          </w:tcPr>
          <w:p w:rsidR="00F243FA" w:rsidRPr="00CD00D9" w:rsidRDefault="00F243FA" w:rsidP="00CD00D9">
            <w:pPr>
              <w:autoSpaceDE/>
              <w:autoSpaceDN/>
              <w:adjustRightInd/>
              <w:spacing w:after="0"/>
              <w:jc w:val="right"/>
              <w:cnfStyle w:val="0000000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14 888</w:t>
            </w:r>
          </w:p>
        </w:tc>
        <w:tc>
          <w:tcPr>
            <w:tcW w:w="1040" w:type="dxa"/>
            <w:vAlign w:val="center"/>
          </w:tcPr>
          <w:p w:rsidR="00F243FA" w:rsidRPr="00CD00D9" w:rsidRDefault="00F243FA" w:rsidP="00CD00D9">
            <w:pPr>
              <w:autoSpaceDE/>
              <w:autoSpaceDN/>
              <w:adjustRightInd/>
              <w:spacing w:after="0"/>
              <w:jc w:val="right"/>
              <w:cnfStyle w:val="0000000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17 456</w:t>
            </w:r>
          </w:p>
        </w:tc>
        <w:tc>
          <w:tcPr>
            <w:tcW w:w="1039" w:type="dxa"/>
            <w:vAlign w:val="center"/>
          </w:tcPr>
          <w:p w:rsidR="00F243FA" w:rsidRPr="00CD00D9" w:rsidRDefault="00F243FA" w:rsidP="00CD00D9">
            <w:pPr>
              <w:autoSpaceDE/>
              <w:autoSpaceDN/>
              <w:adjustRightInd/>
              <w:spacing w:after="0"/>
              <w:jc w:val="right"/>
              <w:cnfStyle w:val="0000000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20 593</w:t>
            </w:r>
          </w:p>
        </w:tc>
        <w:tc>
          <w:tcPr>
            <w:tcW w:w="1040" w:type="dxa"/>
            <w:noWrap/>
            <w:vAlign w:val="center"/>
            <w:hideMark/>
          </w:tcPr>
          <w:p w:rsidR="00F243FA" w:rsidRPr="00CD00D9" w:rsidRDefault="00F243FA" w:rsidP="00CD00D9">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18 235</w:t>
            </w:r>
          </w:p>
        </w:tc>
        <w:tc>
          <w:tcPr>
            <w:tcW w:w="1039" w:type="dxa"/>
            <w:tcBorders>
              <w:left w:val="single" w:sz="12" w:space="0" w:color="auto"/>
            </w:tcBorders>
            <w:vAlign w:val="center"/>
          </w:tcPr>
          <w:p w:rsidR="00F243FA" w:rsidRPr="00CD00D9" w:rsidRDefault="00F243FA" w:rsidP="00A45AE3">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2</w:t>
            </w:r>
            <w:r>
              <w:rPr>
                <w:rFonts w:asciiTheme="minorHAnsi" w:hAnsiTheme="minorHAnsi" w:cstheme="minorHAnsi"/>
                <w:b/>
                <w:bCs/>
                <w:sz w:val="22"/>
                <w:szCs w:val="22"/>
                <w:lang w:val="en-US"/>
              </w:rPr>
              <w:t>0</w:t>
            </w:r>
            <w:r w:rsidRPr="00CD00D9">
              <w:rPr>
                <w:rFonts w:asciiTheme="minorHAnsi" w:hAnsiTheme="minorHAnsi" w:cstheme="minorHAnsi"/>
                <w:b/>
                <w:bCs/>
                <w:sz w:val="22"/>
                <w:szCs w:val="22"/>
              </w:rPr>
              <w:t xml:space="preserve"> </w:t>
            </w:r>
            <w:r>
              <w:rPr>
                <w:rFonts w:asciiTheme="minorHAnsi" w:hAnsiTheme="minorHAnsi" w:cstheme="minorHAnsi"/>
                <w:b/>
                <w:bCs/>
                <w:sz w:val="22"/>
                <w:szCs w:val="22"/>
                <w:lang w:val="en-US"/>
              </w:rPr>
              <w:t>90</w:t>
            </w:r>
            <w:r w:rsidRPr="00CD00D9">
              <w:rPr>
                <w:rFonts w:asciiTheme="minorHAnsi" w:hAnsiTheme="minorHAnsi" w:cstheme="minorHAnsi"/>
                <w:b/>
                <w:bCs/>
                <w:sz w:val="22"/>
                <w:szCs w:val="22"/>
              </w:rPr>
              <w:t>0</w:t>
            </w:r>
          </w:p>
        </w:tc>
        <w:tc>
          <w:tcPr>
            <w:tcW w:w="1040" w:type="dxa"/>
            <w:tcBorders>
              <w:right w:val="single" w:sz="12" w:space="0" w:color="auto"/>
            </w:tcBorders>
            <w:noWrap/>
            <w:vAlign w:val="center"/>
            <w:hideMark/>
          </w:tcPr>
          <w:p w:rsidR="00F243FA" w:rsidRPr="00CD00D9" w:rsidRDefault="00F243FA" w:rsidP="00B852D4">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1</w:t>
            </w:r>
            <w:r>
              <w:rPr>
                <w:rFonts w:asciiTheme="minorHAnsi" w:hAnsiTheme="minorHAnsi" w:cstheme="minorHAnsi"/>
                <w:b/>
                <w:bCs/>
                <w:sz w:val="22"/>
                <w:szCs w:val="22"/>
              </w:rPr>
              <w:t>8</w:t>
            </w:r>
            <w:r w:rsidRPr="00CD00D9">
              <w:rPr>
                <w:rFonts w:asciiTheme="minorHAnsi" w:hAnsiTheme="minorHAnsi" w:cstheme="minorHAnsi"/>
                <w:b/>
                <w:bCs/>
                <w:sz w:val="22"/>
                <w:szCs w:val="22"/>
              </w:rPr>
              <w:t xml:space="preserve"> 502</w:t>
            </w:r>
          </w:p>
        </w:tc>
      </w:tr>
      <w:tr w:rsidR="00F243FA" w:rsidRPr="00CD00D9" w:rsidTr="00667678">
        <w:trPr>
          <w:cnfStyle w:val="000000100000"/>
          <w:trHeight w:val="255"/>
        </w:trPr>
        <w:tc>
          <w:tcPr>
            <w:cnfStyle w:val="001000000000"/>
            <w:tcW w:w="3544" w:type="dxa"/>
            <w:hideMark/>
          </w:tcPr>
          <w:p w:rsidR="00F243FA" w:rsidRPr="00BA4EAF" w:rsidRDefault="00F243FA" w:rsidP="007A679F">
            <w:pPr>
              <w:autoSpaceDE/>
              <w:autoSpaceDN/>
              <w:adjustRightInd/>
              <w:spacing w:after="0"/>
              <w:jc w:val="left"/>
              <w:rPr>
                <w:rFonts w:asciiTheme="minorHAnsi" w:hAnsiTheme="minorHAnsi" w:cstheme="minorHAnsi"/>
                <w:bCs w:val="0"/>
                <w:sz w:val="22"/>
                <w:szCs w:val="22"/>
                <w:lang w:eastAsia="bg-BG"/>
              </w:rPr>
            </w:pPr>
            <w:r w:rsidRPr="00BA4EAF">
              <w:rPr>
                <w:rFonts w:asciiTheme="minorHAnsi" w:hAnsiTheme="minorHAnsi" w:cstheme="minorHAnsi"/>
                <w:bCs w:val="0"/>
                <w:sz w:val="22"/>
                <w:szCs w:val="22"/>
                <w:lang w:eastAsia="bg-BG"/>
              </w:rPr>
              <w:t>Текущи пасиви</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8 416</w:t>
            </w:r>
          </w:p>
        </w:tc>
        <w:tc>
          <w:tcPr>
            <w:tcW w:w="1040"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9 602</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11 203</w:t>
            </w:r>
          </w:p>
        </w:tc>
        <w:tc>
          <w:tcPr>
            <w:tcW w:w="1040" w:type="dxa"/>
            <w:vAlign w:val="center"/>
            <w:hideMark/>
          </w:tcPr>
          <w:p w:rsidR="00F243FA" w:rsidRPr="00CD00D9" w:rsidRDefault="00F243FA" w:rsidP="00CD00D9">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7 300</w:t>
            </w:r>
          </w:p>
        </w:tc>
        <w:tc>
          <w:tcPr>
            <w:tcW w:w="1039" w:type="dxa"/>
            <w:tcBorders>
              <w:left w:val="single" w:sz="12" w:space="0" w:color="auto"/>
            </w:tcBorders>
            <w:vAlign w:val="center"/>
          </w:tcPr>
          <w:p w:rsidR="00F243FA" w:rsidRPr="00CD00D9" w:rsidRDefault="00F243FA" w:rsidP="00A45AE3">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1</w:t>
            </w:r>
            <w:r>
              <w:rPr>
                <w:rFonts w:asciiTheme="minorHAnsi" w:hAnsiTheme="minorHAnsi" w:cstheme="minorHAnsi"/>
                <w:b/>
                <w:i/>
                <w:iCs/>
                <w:sz w:val="22"/>
                <w:szCs w:val="22"/>
                <w:lang w:val="en-US"/>
              </w:rPr>
              <w:t>0</w:t>
            </w:r>
            <w:r w:rsidRPr="00CD00D9">
              <w:rPr>
                <w:rFonts w:asciiTheme="minorHAnsi" w:hAnsiTheme="minorHAnsi" w:cstheme="minorHAnsi"/>
                <w:b/>
                <w:i/>
                <w:iCs/>
                <w:sz w:val="22"/>
                <w:szCs w:val="22"/>
              </w:rPr>
              <w:t xml:space="preserve"> </w:t>
            </w:r>
            <w:r>
              <w:rPr>
                <w:rFonts w:asciiTheme="minorHAnsi" w:hAnsiTheme="minorHAnsi" w:cstheme="minorHAnsi"/>
                <w:b/>
                <w:i/>
                <w:iCs/>
                <w:sz w:val="22"/>
                <w:szCs w:val="22"/>
                <w:lang w:val="en-US"/>
              </w:rPr>
              <w:t>3</w:t>
            </w:r>
            <w:r w:rsidRPr="00CD00D9">
              <w:rPr>
                <w:rFonts w:asciiTheme="minorHAnsi" w:hAnsiTheme="minorHAnsi" w:cstheme="minorHAnsi"/>
                <w:b/>
                <w:i/>
                <w:iCs/>
                <w:sz w:val="22"/>
                <w:szCs w:val="22"/>
              </w:rPr>
              <w:t>72</w:t>
            </w:r>
          </w:p>
        </w:tc>
        <w:tc>
          <w:tcPr>
            <w:tcW w:w="1040" w:type="dxa"/>
            <w:tcBorders>
              <w:right w:val="single" w:sz="12" w:space="0" w:color="auto"/>
            </w:tcBorders>
            <w:vAlign w:val="center"/>
            <w:hideMark/>
          </w:tcPr>
          <w:p w:rsidR="00F243FA" w:rsidRPr="00CD00D9" w:rsidRDefault="00F243FA" w:rsidP="00CD00D9">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 xml:space="preserve">6 </w:t>
            </w:r>
            <w:r>
              <w:rPr>
                <w:rFonts w:asciiTheme="minorHAnsi" w:hAnsiTheme="minorHAnsi" w:cstheme="minorHAnsi"/>
                <w:b/>
                <w:i/>
                <w:iCs/>
                <w:sz w:val="22"/>
                <w:szCs w:val="22"/>
              </w:rPr>
              <w:t>8</w:t>
            </w:r>
            <w:r w:rsidRPr="00CD00D9">
              <w:rPr>
                <w:rFonts w:asciiTheme="minorHAnsi" w:hAnsiTheme="minorHAnsi" w:cstheme="minorHAnsi"/>
                <w:b/>
                <w:i/>
                <w:iCs/>
                <w:sz w:val="22"/>
                <w:szCs w:val="22"/>
              </w:rPr>
              <w:t>54</w:t>
            </w:r>
          </w:p>
        </w:tc>
      </w:tr>
      <w:tr w:rsidR="00F243FA" w:rsidRPr="0013785D" w:rsidTr="00667678">
        <w:trPr>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Задължения към доставчици</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3 163</w:t>
            </w:r>
          </w:p>
        </w:tc>
        <w:tc>
          <w:tcPr>
            <w:tcW w:w="1040"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5 760</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5 040</w:t>
            </w:r>
          </w:p>
        </w:tc>
        <w:tc>
          <w:tcPr>
            <w:tcW w:w="1040" w:type="dxa"/>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2 348</w:t>
            </w:r>
          </w:p>
        </w:tc>
        <w:tc>
          <w:tcPr>
            <w:tcW w:w="1039" w:type="dxa"/>
            <w:tcBorders>
              <w:left w:val="single" w:sz="12" w:space="0" w:color="auto"/>
            </w:tcBorders>
            <w:vAlign w:val="center"/>
          </w:tcPr>
          <w:p w:rsidR="00F243FA" w:rsidRPr="00A45AE3" w:rsidRDefault="00F243FA" w:rsidP="00A45AE3">
            <w:pPr>
              <w:jc w:val="right"/>
              <w:cnfStyle w:val="000000000000"/>
              <w:rPr>
                <w:rFonts w:asciiTheme="minorHAnsi" w:hAnsiTheme="minorHAnsi" w:cstheme="minorHAnsi"/>
                <w:sz w:val="22"/>
                <w:szCs w:val="22"/>
                <w:lang w:val="en-US"/>
              </w:rPr>
            </w:pPr>
            <w:r>
              <w:rPr>
                <w:rFonts w:asciiTheme="minorHAnsi" w:hAnsiTheme="minorHAnsi" w:cstheme="minorHAnsi"/>
                <w:sz w:val="22"/>
                <w:szCs w:val="22"/>
                <w:lang w:val="en-US"/>
              </w:rPr>
              <w:t>2</w:t>
            </w:r>
            <w:r w:rsidRPr="0013785D">
              <w:rPr>
                <w:rFonts w:asciiTheme="minorHAnsi" w:hAnsiTheme="minorHAnsi" w:cstheme="minorHAnsi"/>
                <w:sz w:val="22"/>
                <w:szCs w:val="22"/>
              </w:rPr>
              <w:t xml:space="preserve"> </w:t>
            </w:r>
            <w:r>
              <w:rPr>
                <w:rFonts w:asciiTheme="minorHAnsi" w:hAnsiTheme="minorHAnsi" w:cstheme="minorHAnsi"/>
                <w:sz w:val="22"/>
                <w:szCs w:val="22"/>
                <w:lang w:val="en-US"/>
              </w:rPr>
              <w:t>619</w:t>
            </w:r>
          </w:p>
        </w:tc>
        <w:tc>
          <w:tcPr>
            <w:tcW w:w="1040" w:type="dxa"/>
            <w:tcBorders>
              <w:right w:val="single" w:sz="12" w:space="0" w:color="auto"/>
            </w:tcBorders>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450</w:t>
            </w:r>
          </w:p>
        </w:tc>
      </w:tr>
      <w:tr w:rsidR="00F243FA" w:rsidRPr="0013785D" w:rsidTr="00667678">
        <w:trPr>
          <w:cnfStyle w:val="000000100000"/>
          <w:trHeight w:val="28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Лихвени задължения</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4 958</w:t>
            </w:r>
          </w:p>
        </w:tc>
        <w:tc>
          <w:tcPr>
            <w:tcW w:w="1040"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2 389</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2 218</w:t>
            </w:r>
          </w:p>
        </w:tc>
        <w:tc>
          <w:tcPr>
            <w:tcW w:w="1040" w:type="dxa"/>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2 560</w:t>
            </w:r>
          </w:p>
        </w:tc>
        <w:tc>
          <w:tcPr>
            <w:tcW w:w="1039" w:type="dxa"/>
            <w:tcBorders>
              <w:left w:val="single" w:sz="12" w:space="0" w:color="auto"/>
            </w:tcBorders>
            <w:vAlign w:val="center"/>
          </w:tcPr>
          <w:p w:rsidR="00F243FA" w:rsidRPr="00A45AE3" w:rsidRDefault="00F243FA" w:rsidP="00CD00D9">
            <w:pPr>
              <w:jc w:val="right"/>
              <w:cnfStyle w:val="000000100000"/>
              <w:rPr>
                <w:rFonts w:asciiTheme="minorHAnsi" w:hAnsiTheme="minorHAnsi" w:cstheme="minorHAnsi"/>
                <w:sz w:val="22"/>
                <w:szCs w:val="22"/>
                <w:lang w:val="en-US"/>
              </w:rPr>
            </w:pPr>
            <w:r w:rsidRPr="0013785D">
              <w:rPr>
                <w:rFonts w:asciiTheme="minorHAnsi" w:hAnsiTheme="minorHAnsi" w:cstheme="minorHAnsi"/>
                <w:sz w:val="22"/>
                <w:szCs w:val="22"/>
              </w:rPr>
              <w:t>2 4</w:t>
            </w:r>
            <w:r>
              <w:rPr>
                <w:rFonts w:asciiTheme="minorHAnsi" w:hAnsiTheme="minorHAnsi" w:cstheme="minorHAnsi"/>
                <w:sz w:val="22"/>
                <w:szCs w:val="22"/>
                <w:lang w:val="en-US"/>
              </w:rPr>
              <w:t>29</w:t>
            </w:r>
          </w:p>
        </w:tc>
        <w:tc>
          <w:tcPr>
            <w:tcW w:w="1040" w:type="dxa"/>
            <w:tcBorders>
              <w:right w:val="single" w:sz="12" w:space="0" w:color="auto"/>
            </w:tcBorders>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2 793</w:t>
            </w:r>
          </w:p>
        </w:tc>
      </w:tr>
      <w:tr w:rsidR="00F243FA" w:rsidRPr="0013785D" w:rsidTr="00667678">
        <w:trPr>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Задължения към персонала и за данъци</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295</w:t>
            </w:r>
          </w:p>
        </w:tc>
        <w:tc>
          <w:tcPr>
            <w:tcW w:w="1040"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480</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960</w:t>
            </w:r>
          </w:p>
        </w:tc>
        <w:tc>
          <w:tcPr>
            <w:tcW w:w="1040" w:type="dxa"/>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988</w:t>
            </w:r>
          </w:p>
        </w:tc>
        <w:tc>
          <w:tcPr>
            <w:tcW w:w="1039" w:type="dxa"/>
            <w:tcBorders>
              <w:left w:val="single" w:sz="12" w:space="0" w:color="auto"/>
            </w:tcBorders>
            <w:vAlign w:val="center"/>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2 339</w:t>
            </w:r>
          </w:p>
        </w:tc>
        <w:tc>
          <w:tcPr>
            <w:tcW w:w="1040" w:type="dxa"/>
            <w:tcBorders>
              <w:right w:val="single" w:sz="12" w:space="0" w:color="auto"/>
            </w:tcBorders>
            <w:noWrap/>
            <w:vAlign w:val="center"/>
            <w:hideMark/>
          </w:tcPr>
          <w:p w:rsidR="00F243FA" w:rsidRPr="0013785D" w:rsidRDefault="00F243FA" w:rsidP="00B852D4">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 xml:space="preserve">2 </w:t>
            </w:r>
            <w:r>
              <w:rPr>
                <w:rFonts w:asciiTheme="minorHAnsi" w:hAnsiTheme="minorHAnsi" w:cstheme="minorHAnsi"/>
                <w:sz w:val="22"/>
                <w:szCs w:val="22"/>
              </w:rPr>
              <w:t>2</w:t>
            </w:r>
            <w:r w:rsidRPr="0013785D">
              <w:rPr>
                <w:rFonts w:asciiTheme="minorHAnsi" w:hAnsiTheme="minorHAnsi" w:cstheme="minorHAnsi"/>
                <w:sz w:val="22"/>
                <w:szCs w:val="22"/>
              </w:rPr>
              <w:t>07</w:t>
            </w:r>
          </w:p>
        </w:tc>
      </w:tr>
      <w:tr w:rsidR="00F243FA" w:rsidRPr="0013785D" w:rsidTr="00667678">
        <w:trPr>
          <w:cnfStyle w:val="000000100000"/>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Задължени</w:t>
            </w:r>
            <w:r>
              <w:rPr>
                <w:rFonts w:asciiTheme="minorHAnsi" w:hAnsiTheme="minorHAnsi" w:cstheme="minorHAnsi"/>
                <w:b w:val="0"/>
                <w:sz w:val="22"/>
                <w:szCs w:val="22"/>
                <w:lang w:eastAsia="bg-BG"/>
              </w:rPr>
              <w:t>я</w:t>
            </w:r>
            <w:r w:rsidRPr="00BA4EAF">
              <w:rPr>
                <w:rFonts w:asciiTheme="minorHAnsi" w:hAnsiTheme="minorHAnsi" w:cstheme="minorHAnsi"/>
                <w:b w:val="0"/>
                <w:sz w:val="22"/>
                <w:szCs w:val="22"/>
                <w:lang w:eastAsia="bg-BG"/>
              </w:rPr>
              <w:t xml:space="preserve"> за съучастия</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 </w:t>
            </w:r>
          </w:p>
        </w:tc>
        <w:tc>
          <w:tcPr>
            <w:tcW w:w="1040"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 </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1 868</w:t>
            </w:r>
          </w:p>
        </w:tc>
        <w:tc>
          <w:tcPr>
            <w:tcW w:w="1040" w:type="dxa"/>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421</w:t>
            </w:r>
          </w:p>
        </w:tc>
        <w:tc>
          <w:tcPr>
            <w:tcW w:w="1039" w:type="dxa"/>
            <w:tcBorders>
              <w:left w:val="single" w:sz="12" w:space="0" w:color="auto"/>
            </w:tcBorders>
            <w:vAlign w:val="center"/>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1 868</w:t>
            </w:r>
          </w:p>
        </w:tc>
        <w:tc>
          <w:tcPr>
            <w:tcW w:w="1040" w:type="dxa"/>
            <w:tcBorders>
              <w:right w:val="single" w:sz="12" w:space="0" w:color="auto"/>
            </w:tcBorders>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421</w:t>
            </w:r>
          </w:p>
        </w:tc>
      </w:tr>
      <w:tr w:rsidR="00F243FA" w:rsidRPr="0013785D" w:rsidTr="00667678">
        <w:trPr>
          <w:trHeight w:val="270"/>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Суми по наложен платеж</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 </w:t>
            </w:r>
          </w:p>
        </w:tc>
        <w:tc>
          <w:tcPr>
            <w:tcW w:w="1040"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973</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1 117</w:t>
            </w:r>
          </w:p>
        </w:tc>
        <w:tc>
          <w:tcPr>
            <w:tcW w:w="1040" w:type="dxa"/>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983</w:t>
            </w:r>
          </w:p>
        </w:tc>
        <w:tc>
          <w:tcPr>
            <w:tcW w:w="1039" w:type="dxa"/>
            <w:tcBorders>
              <w:left w:val="single" w:sz="12" w:space="0" w:color="auto"/>
            </w:tcBorders>
            <w:vAlign w:val="center"/>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1 117</w:t>
            </w:r>
          </w:p>
        </w:tc>
        <w:tc>
          <w:tcPr>
            <w:tcW w:w="1040" w:type="dxa"/>
            <w:tcBorders>
              <w:right w:val="single" w:sz="12" w:space="0" w:color="auto"/>
            </w:tcBorders>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983</w:t>
            </w:r>
          </w:p>
        </w:tc>
      </w:tr>
      <w:tr w:rsidR="00F243FA" w:rsidRPr="00CD00D9" w:rsidTr="00667678">
        <w:trPr>
          <w:cnfStyle w:val="000000100000"/>
          <w:trHeight w:val="270"/>
        </w:trPr>
        <w:tc>
          <w:tcPr>
            <w:cnfStyle w:val="001000000000"/>
            <w:tcW w:w="3544" w:type="dxa"/>
            <w:hideMark/>
          </w:tcPr>
          <w:p w:rsidR="00F243FA" w:rsidRPr="00BA4EAF" w:rsidRDefault="00F243FA" w:rsidP="007A679F">
            <w:pPr>
              <w:autoSpaceDE/>
              <w:autoSpaceDN/>
              <w:adjustRightInd/>
              <w:spacing w:after="0"/>
              <w:jc w:val="left"/>
              <w:rPr>
                <w:rFonts w:asciiTheme="minorHAnsi" w:hAnsiTheme="minorHAnsi" w:cstheme="minorHAnsi"/>
                <w:bCs w:val="0"/>
                <w:sz w:val="22"/>
                <w:szCs w:val="22"/>
                <w:lang w:eastAsia="bg-BG"/>
              </w:rPr>
            </w:pPr>
            <w:r w:rsidRPr="00BA4EAF">
              <w:rPr>
                <w:rFonts w:asciiTheme="minorHAnsi" w:hAnsiTheme="minorHAnsi" w:cstheme="minorHAnsi"/>
                <w:bCs w:val="0"/>
                <w:sz w:val="22"/>
                <w:szCs w:val="22"/>
                <w:lang w:eastAsia="bg-BG"/>
              </w:rPr>
              <w:t>Дългосрочни задължения</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2 088</w:t>
            </w:r>
          </w:p>
        </w:tc>
        <w:tc>
          <w:tcPr>
            <w:tcW w:w="1040"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1 467</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2 084</w:t>
            </w:r>
          </w:p>
        </w:tc>
        <w:tc>
          <w:tcPr>
            <w:tcW w:w="1040" w:type="dxa"/>
            <w:noWrap/>
            <w:vAlign w:val="center"/>
            <w:hideMark/>
          </w:tcPr>
          <w:p w:rsidR="00F243FA" w:rsidRPr="00CD00D9" w:rsidRDefault="00F243FA" w:rsidP="00CD00D9">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2 134</w:t>
            </w:r>
          </w:p>
        </w:tc>
        <w:tc>
          <w:tcPr>
            <w:tcW w:w="1039" w:type="dxa"/>
            <w:tcBorders>
              <w:left w:val="single" w:sz="12" w:space="0" w:color="auto"/>
            </w:tcBorders>
            <w:vAlign w:val="center"/>
          </w:tcPr>
          <w:p w:rsidR="00F243FA" w:rsidRPr="00CD00D9" w:rsidRDefault="00F243FA" w:rsidP="00CD00D9">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2 094</w:t>
            </w:r>
          </w:p>
        </w:tc>
        <w:tc>
          <w:tcPr>
            <w:tcW w:w="1040" w:type="dxa"/>
            <w:tcBorders>
              <w:right w:val="single" w:sz="12" w:space="0" w:color="auto"/>
            </w:tcBorders>
            <w:noWrap/>
            <w:vAlign w:val="center"/>
            <w:hideMark/>
          </w:tcPr>
          <w:p w:rsidR="00F243FA" w:rsidRPr="00CD00D9" w:rsidRDefault="00F243FA" w:rsidP="00CD00D9">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2 146</w:t>
            </w:r>
          </w:p>
        </w:tc>
      </w:tr>
      <w:tr w:rsidR="00F243FA" w:rsidRPr="00CD00D9" w:rsidTr="00667678">
        <w:trPr>
          <w:trHeight w:val="285"/>
        </w:trPr>
        <w:tc>
          <w:tcPr>
            <w:cnfStyle w:val="001000000000"/>
            <w:tcW w:w="3544" w:type="dxa"/>
            <w:hideMark/>
          </w:tcPr>
          <w:p w:rsidR="00F243FA" w:rsidRPr="00BA4EAF" w:rsidRDefault="00F243FA" w:rsidP="007A679F">
            <w:pPr>
              <w:autoSpaceDE/>
              <w:autoSpaceDN/>
              <w:adjustRightInd/>
              <w:spacing w:after="0"/>
              <w:jc w:val="left"/>
              <w:rPr>
                <w:rFonts w:asciiTheme="minorHAnsi" w:hAnsiTheme="minorHAnsi" w:cstheme="minorHAnsi"/>
                <w:bCs w:val="0"/>
                <w:sz w:val="22"/>
                <w:szCs w:val="22"/>
                <w:lang w:eastAsia="bg-BG"/>
              </w:rPr>
            </w:pPr>
            <w:r w:rsidRPr="00BA4EAF">
              <w:rPr>
                <w:rFonts w:asciiTheme="minorHAnsi" w:hAnsiTheme="minorHAnsi" w:cstheme="minorHAnsi"/>
                <w:bCs w:val="0"/>
                <w:sz w:val="22"/>
                <w:szCs w:val="22"/>
                <w:lang w:eastAsia="bg-BG"/>
              </w:rPr>
              <w:t>ОБЩО ПАСИВИ</w:t>
            </w:r>
          </w:p>
        </w:tc>
        <w:tc>
          <w:tcPr>
            <w:tcW w:w="1039" w:type="dxa"/>
            <w:vAlign w:val="center"/>
          </w:tcPr>
          <w:p w:rsidR="00F243FA" w:rsidRPr="00CD00D9" w:rsidRDefault="00F243FA" w:rsidP="00CD00D9">
            <w:pPr>
              <w:autoSpaceDE/>
              <w:autoSpaceDN/>
              <w:adjustRightInd/>
              <w:spacing w:after="0"/>
              <w:jc w:val="right"/>
              <w:cnfStyle w:val="0000000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10 504</w:t>
            </w:r>
          </w:p>
        </w:tc>
        <w:tc>
          <w:tcPr>
            <w:tcW w:w="1040" w:type="dxa"/>
            <w:vAlign w:val="center"/>
          </w:tcPr>
          <w:p w:rsidR="00F243FA" w:rsidRPr="00CD00D9" w:rsidRDefault="00F243FA" w:rsidP="00CD00D9">
            <w:pPr>
              <w:autoSpaceDE/>
              <w:autoSpaceDN/>
              <w:adjustRightInd/>
              <w:spacing w:after="0"/>
              <w:jc w:val="right"/>
              <w:cnfStyle w:val="0000000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11 069</w:t>
            </w:r>
          </w:p>
        </w:tc>
        <w:tc>
          <w:tcPr>
            <w:tcW w:w="1039" w:type="dxa"/>
            <w:vAlign w:val="center"/>
          </w:tcPr>
          <w:p w:rsidR="00F243FA" w:rsidRPr="00CD00D9" w:rsidRDefault="00F243FA" w:rsidP="00CD00D9">
            <w:pPr>
              <w:autoSpaceDE/>
              <w:autoSpaceDN/>
              <w:adjustRightInd/>
              <w:spacing w:after="0"/>
              <w:jc w:val="right"/>
              <w:cnfStyle w:val="0000000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13 287</w:t>
            </w:r>
          </w:p>
        </w:tc>
        <w:tc>
          <w:tcPr>
            <w:tcW w:w="1040" w:type="dxa"/>
            <w:noWrap/>
            <w:vAlign w:val="center"/>
            <w:hideMark/>
          </w:tcPr>
          <w:p w:rsidR="00F243FA" w:rsidRPr="00CD00D9" w:rsidRDefault="00F243FA" w:rsidP="00CD00D9">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9 434</w:t>
            </w:r>
          </w:p>
        </w:tc>
        <w:tc>
          <w:tcPr>
            <w:tcW w:w="1039" w:type="dxa"/>
            <w:tcBorders>
              <w:left w:val="single" w:sz="12" w:space="0" w:color="auto"/>
            </w:tcBorders>
            <w:vAlign w:val="center"/>
          </w:tcPr>
          <w:p w:rsidR="00F243FA" w:rsidRPr="00CD00D9" w:rsidRDefault="00F243FA" w:rsidP="00E80658">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1</w:t>
            </w:r>
            <w:r>
              <w:rPr>
                <w:rFonts w:asciiTheme="minorHAnsi" w:hAnsiTheme="minorHAnsi" w:cstheme="minorHAnsi"/>
                <w:b/>
                <w:bCs/>
                <w:sz w:val="22"/>
                <w:szCs w:val="22"/>
                <w:lang w:val="en-US"/>
              </w:rPr>
              <w:t>2</w:t>
            </w:r>
            <w:r w:rsidRPr="00CD00D9">
              <w:rPr>
                <w:rFonts w:asciiTheme="minorHAnsi" w:hAnsiTheme="minorHAnsi" w:cstheme="minorHAnsi"/>
                <w:b/>
                <w:bCs/>
                <w:sz w:val="22"/>
                <w:szCs w:val="22"/>
              </w:rPr>
              <w:t xml:space="preserve"> </w:t>
            </w:r>
            <w:r>
              <w:rPr>
                <w:rFonts w:asciiTheme="minorHAnsi" w:hAnsiTheme="minorHAnsi" w:cstheme="minorHAnsi"/>
                <w:b/>
                <w:bCs/>
                <w:sz w:val="22"/>
                <w:szCs w:val="22"/>
                <w:lang w:val="en-US"/>
              </w:rPr>
              <w:t>46</w:t>
            </w:r>
            <w:r w:rsidRPr="00CD00D9">
              <w:rPr>
                <w:rFonts w:asciiTheme="minorHAnsi" w:hAnsiTheme="minorHAnsi" w:cstheme="minorHAnsi"/>
                <w:b/>
                <w:bCs/>
                <w:sz w:val="22"/>
                <w:szCs w:val="22"/>
              </w:rPr>
              <w:t>6</w:t>
            </w:r>
          </w:p>
        </w:tc>
        <w:tc>
          <w:tcPr>
            <w:tcW w:w="1040" w:type="dxa"/>
            <w:tcBorders>
              <w:right w:val="single" w:sz="12" w:space="0" w:color="auto"/>
            </w:tcBorders>
            <w:noWrap/>
            <w:vAlign w:val="center"/>
            <w:hideMark/>
          </w:tcPr>
          <w:p w:rsidR="00F243FA" w:rsidRPr="00CD00D9" w:rsidRDefault="00F243FA" w:rsidP="00CD00D9">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 xml:space="preserve">9 </w:t>
            </w:r>
            <w:r>
              <w:rPr>
                <w:rFonts w:asciiTheme="minorHAnsi" w:hAnsiTheme="minorHAnsi" w:cstheme="minorHAnsi"/>
                <w:b/>
                <w:bCs/>
                <w:sz w:val="22"/>
                <w:szCs w:val="22"/>
              </w:rPr>
              <w:t>0</w:t>
            </w:r>
            <w:r w:rsidRPr="00CD00D9">
              <w:rPr>
                <w:rFonts w:asciiTheme="minorHAnsi" w:hAnsiTheme="minorHAnsi" w:cstheme="minorHAnsi"/>
                <w:b/>
                <w:bCs/>
                <w:sz w:val="22"/>
                <w:szCs w:val="22"/>
              </w:rPr>
              <w:t>00</w:t>
            </w:r>
          </w:p>
        </w:tc>
      </w:tr>
      <w:tr w:rsidR="00F243FA" w:rsidRPr="00CD00D9" w:rsidTr="00667678">
        <w:trPr>
          <w:cnfStyle w:val="000000100000"/>
          <w:trHeight w:val="255"/>
        </w:trPr>
        <w:tc>
          <w:tcPr>
            <w:cnfStyle w:val="001000000000"/>
            <w:tcW w:w="3544" w:type="dxa"/>
            <w:hideMark/>
          </w:tcPr>
          <w:p w:rsidR="00F243FA" w:rsidRPr="00BA4EAF" w:rsidRDefault="00F243FA" w:rsidP="007A679F">
            <w:pPr>
              <w:autoSpaceDE/>
              <w:autoSpaceDN/>
              <w:adjustRightInd/>
              <w:spacing w:after="0"/>
              <w:jc w:val="left"/>
              <w:rPr>
                <w:rFonts w:asciiTheme="minorHAnsi" w:hAnsiTheme="minorHAnsi" w:cstheme="minorHAnsi"/>
                <w:bCs w:val="0"/>
                <w:sz w:val="22"/>
                <w:szCs w:val="22"/>
                <w:lang w:eastAsia="bg-BG"/>
              </w:rPr>
            </w:pPr>
            <w:r w:rsidRPr="00BA4EAF">
              <w:rPr>
                <w:rFonts w:asciiTheme="minorHAnsi" w:hAnsiTheme="minorHAnsi" w:cstheme="minorHAnsi"/>
                <w:bCs w:val="0"/>
                <w:sz w:val="22"/>
                <w:szCs w:val="22"/>
                <w:lang w:eastAsia="bg-BG"/>
              </w:rPr>
              <w:t>СОБСТВЕН КАПИТАЛ</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4 384</w:t>
            </w:r>
          </w:p>
        </w:tc>
        <w:tc>
          <w:tcPr>
            <w:tcW w:w="1040"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6 387</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7 306</w:t>
            </w:r>
          </w:p>
        </w:tc>
        <w:tc>
          <w:tcPr>
            <w:tcW w:w="1040" w:type="dxa"/>
            <w:noWrap/>
            <w:vAlign w:val="center"/>
            <w:hideMark/>
          </w:tcPr>
          <w:p w:rsidR="00F243FA" w:rsidRPr="00CD00D9" w:rsidRDefault="00F243FA" w:rsidP="00CD00D9">
            <w:pPr>
              <w:jc w:val="right"/>
              <w:cnfStyle w:val="000000100000"/>
              <w:rPr>
                <w:rFonts w:asciiTheme="minorHAnsi" w:hAnsiTheme="minorHAnsi" w:cstheme="minorHAnsi"/>
                <w:b/>
                <w:bCs/>
                <w:sz w:val="22"/>
                <w:szCs w:val="22"/>
              </w:rPr>
            </w:pPr>
            <w:r w:rsidRPr="00CD00D9">
              <w:rPr>
                <w:rFonts w:asciiTheme="minorHAnsi" w:hAnsiTheme="minorHAnsi" w:cstheme="minorHAnsi"/>
                <w:b/>
                <w:bCs/>
                <w:sz w:val="22"/>
                <w:szCs w:val="22"/>
              </w:rPr>
              <w:t>8 801</w:t>
            </w:r>
          </w:p>
        </w:tc>
        <w:tc>
          <w:tcPr>
            <w:tcW w:w="1039" w:type="dxa"/>
            <w:tcBorders>
              <w:left w:val="single" w:sz="12" w:space="0" w:color="auto"/>
            </w:tcBorders>
            <w:vAlign w:val="center"/>
          </w:tcPr>
          <w:p w:rsidR="00F243FA" w:rsidRPr="00CD00D9" w:rsidRDefault="00F243FA" w:rsidP="00CD00D9">
            <w:pPr>
              <w:jc w:val="right"/>
              <w:cnfStyle w:val="000000100000"/>
              <w:rPr>
                <w:rFonts w:asciiTheme="minorHAnsi" w:hAnsiTheme="minorHAnsi" w:cstheme="minorHAnsi"/>
                <w:b/>
                <w:bCs/>
                <w:sz w:val="22"/>
                <w:szCs w:val="22"/>
              </w:rPr>
            </w:pPr>
            <w:r w:rsidRPr="00CD00D9">
              <w:rPr>
                <w:rFonts w:asciiTheme="minorHAnsi" w:hAnsiTheme="minorHAnsi" w:cstheme="minorHAnsi"/>
                <w:b/>
                <w:bCs/>
                <w:sz w:val="22"/>
                <w:szCs w:val="22"/>
              </w:rPr>
              <w:t>8 434</w:t>
            </w:r>
          </w:p>
        </w:tc>
        <w:tc>
          <w:tcPr>
            <w:tcW w:w="1040" w:type="dxa"/>
            <w:tcBorders>
              <w:right w:val="single" w:sz="12" w:space="0" w:color="auto"/>
            </w:tcBorders>
            <w:noWrap/>
            <w:vAlign w:val="center"/>
            <w:hideMark/>
          </w:tcPr>
          <w:p w:rsidR="00F243FA" w:rsidRPr="00CD00D9" w:rsidRDefault="00F243FA" w:rsidP="00B852D4">
            <w:pPr>
              <w:jc w:val="right"/>
              <w:cnfStyle w:val="000000100000"/>
              <w:rPr>
                <w:rFonts w:asciiTheme="minorHAnsi" w:hAnsiTheme="minorHAnsi" w:cstheme="minorHAnsi"/>
                <w:b/>
                <w:bCs/>
                <w:sz w:val="22"/>
                <w:szCs w:val="22"/>
              </w:rPr>
            </w:pPr>
            <w:r>
              <w:rPr>
                <w:rFonts w:asciiTheme="minorHAnsi" w:hAnsiTheme="minorHAnsi" w:cstheme="minorHAnsi"/>
                <w:b/>
                <w:bCs/>
                <w:sz w:val="22"/>
                <w:szCs w:val="22"/>
              </w:rPr>
              <w:t>9</w:t>
            </w:r>
            <w:r w:rsidRPr="00CD00D9">
              <w:rPr>
                <w:rFonts w:asciiTheme="minorHAnsi" w:hAnsiTheme="minorHAnsi" w:cstheme="minorHAnsi"/>
                <w:b/>
                <w:bCs/>
                <w:sz w:val="22"/>
                <w:szCs w:val="22"/>
              </w:rPr>
              <w:t xml:space="preserve"> </w:t>
            </w:r>
            <w:r>
              <w:rPr>
                <w:rFonts w:asciiTheme="minorHAnsi" w:hAnsiTheme="minorHAnsi" w:cstheme="minorHAnsi"/>
                <w:b/>
                <w:bCs/>
                <w:sz w:val="22"/>
                <w:szCs w:val="22"/>
              </w:rPr>
              <w:t>5</w:t>
            </w:r>
            <w:r w:rsidRPr="00CD00D9">
              <w:rPr>
                <w:rFonts w:asciiTheme="minorHAnsi" w:hAnsiTheme="minorHAnsi" w:cstheme="minorHAnsi"/>
                <w:b/>
                <w:bCs/>
                <w:sz w:val="22"/>
                <w:szCs w:val="22"/>
              </w:rPr>
              <w:t>02</w:t>
            </w:r>
          </w:p>
        </w:tc>
      </w:tr>
      <w:tr w:rsidR="00F243FA" w:rsidRPr="0013785D" w:rsidTr="00667678">
        <w:trPr>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Основен капитал</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500</w:t>
            </w:r>
          </w:p>
        </w:tc>
        <w:tc>
          <w:tcPr>
            <w:tcW w:w="1040"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500</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1 482</w:t>
            </w:r>
          </w:p>
        </w:tc>
        <w:tc>
          <w:tcPr>
            <w:tcW w:w="1040" w:type="dxa"/>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1 482</w:t>
            </w:r>
          </w:p>
        </w:tc>
        <w:tc>
          <w:tcPr>
            <w:tcW w:w="1039" w:type="dxa"/>
            <w:tcBorders>
              <w:left w:val="single" w:sz="12" w:space="0" w:color="auto"/>
            </w:tcBorders>
            <w:vAlign w:val="center"/>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1 482</w:t>
            </w:r>
          </w:p>
        </w:tc>
        <w:tc>
          <w:tcPr>
            <w:tcW w:w="1040" w:type="dxa"/>
            <w:tcBorders>
              <w:right w:val="single" w:sz="12" w:space="0" w:color="auto"/>
            </w:tcBorders>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1 482</w:t>
            </w:r>
          </w:p>
        </w:tc>
      </w:tr>
      <w:tr w:rsidR="00F243FA" w:rsidRPr="0013785D" w:rsidTr="00667678">
        <w:trPr>
          <w:cnfStyle w:val="000000100000"/>
          <w:trHeight w:val="255"/>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Резерви</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348</w:t>
            </w:r>
          </w:p>
        </w:tc>
        <w:tc>
          <w:tcPr>
            <w:tcW w:w="1040"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348</w:t>
            </w:r>
          </w:p>
        </w:tc>
        <w:tc>
          <w:tcPr>
            <w:tcW w:w="1039" w:type="dxa"/>
            <w:vAlign w:val="center"/>
          </w:tcPr>
          <w:p w:rsidR="00F243FA" w:rsidRPr="0013785D" w:rsidRDefault="00F243FA" w:rsidP="00CD00D9">
            <w:pPr>
              <w:autoSpaceDE/>
              <w:autoSpaceDN/>
              <w:adjustRightInd/>
              <w:spacing w:after="0"/>
              <w:jc w:val="right"/>
              <w:cnfStyle w:val="0000001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348</w:t>
            </w:r>
          </w:p>
        </w:tc>
        <w:tc>
          <w:tcPr>
            <w:tcW w:w="1040" w:type="dxa"/>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348</w:t>
            </w:r>
          </w:p>
        </w:tc>
        <w:tc>
          <w:tcPr>
            <w:tcW w:w="1039" w:type="dxa"/>
            <w:tcBorders>
              <w:left w:val="single" w:sz="12" w:space="0" w:color="auto"/>
            </w:tcBorders>
            <w:vAlign w:val="center"/>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348</w:t>
            </w:r>
          </w:p>
        </w:tc>
        <w:tc>
          <w:tcPr>
            <w:tcW w:w="1040" w:type="dxa"/>
            <w:tcBorders>
              <w:right w:val="single" w:sz="12" w:space="0" w:color="auto"/>
            </w:tcBorders>
            <w:noWrap/>
            <w:vAlign w:val="center"/>
            <w:hideMark/>
          </w:tcPr>
          <w:p w:rsidR="00F243FA" w:rsidRPr="0013785D" w:rsidRDefault="00F243FA" w:rsidP="00CD00D9">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348</w:t>
            </w:r>
          </w:p>
        </w:tc>
      </w:tr>
      <w:tr w:rsidR="00F243FA" w:rsidRPr="0013785D" w:rsidTr="00667678">
        <w:trPr>
          <w:trHeight w:val="270"/>
        </w:trPr>
        <w:tc>
          <w:tcPr>
            <w:cnfStyle w:val="001000000000"/>
            <w:tcW w:w="3544" w:type="dxa"/>
            <w:hideMark/>
          </w:tcPr>
          <w:p w:rsidR="00F243FA" w:rsidRPr="00BA4EAF" w:rsidRDefault="00F243FA" w:rsidP="0087394D">
            <w:pPr>
              <w:autoSpaceDE/>
              <w:autoSpaceDN/>
              <w:adjustRightInd/>
              <w:spacing w:after="0"/>
              <w:ind w:firstLineChars="101" w:firstLine="222"/>
              <w:jc w:val="left"/>
              <w:rPr>
                <w:rFonts w:asciiTheme="minorHAnsi" w:hAnsiTheme="minorHAnsi" w:cstheme="minorHAnsi"/>
                <w:b w:val="0"/>
                <w:sz w:val="22"/>
                <w:szCs w:val="22"/>
                <w:lang w:eastAsia="bg-BG"/>
              </w:rPr>
            </w:pPr>
            <w:r w:rsidRPr="00BA4EAF">
              <w:rPr>
                <w:rFonts w:asciiTheme="minorHAnsi" w:hAnsiTheme="minorHAnsi" w:cstheme="minorHAnsi"/>
                <w:b w:val="0"/>
                <w:sz w:val="22"/>
                <w:szCs w:val="22"/>
                <w:lang w:eastAsia="bg-BG"/>
              </w:rPr>
              <w:t>Неразпределена печалба</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3 536</w:t>
            </w:r>
          </w:p>
        </w:tc>
        <w:tc>
          <w:tcPr>
            <w:tcW w:w="1040"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5 539</w:t>
            </w:r>
          </w:p>
        </w:tc>
        <w:tc>
          <w:tcPr>
            <w:tcW w:w="1039" w:type="dxa"/>
            <w:vAlign w:val="center"/>
          </w:tcPr>
          <w:p w:rsidR="00F243FA" w:rsidRPr="0013785D" w:rsidRDefault="00F243FA" w:rsidP="00CD00D9">
            <w:pPr>
              <w:autoSpaceDE/>
              <w:autoSpaceDN/>
              <w:adjustRightInd/>
              <w:spacing w:after="0"/>
              <w:jc w:val="right"/>
              <w:cnfStyle w:val="000000000000"/>
              <w:rPr>
                <w:rFonts w:asciiTheme="minorHAnsi" w:hAnsiTheme="minorHAnsi" w:cstheme="minorHAnsi"/>
                <w:sz w:val="22"/>
                <w:szCs w:val="22"/>
                <w:lang w:eastAsia="bg-BG"/>
              </w:rPr>
            </w:pPr>
            <w:r w:rsidRPr="0013785D">
              <w:rPr>
                <w:rFonts w:asciiTheme="minorHAnsi" w:hAnsiTheme="minorHAnsi" w:cstheme="minorHAnsi"/>
                <w:sz w:val="22"/>
                <w:szCs w:val="22"/>
                <w:lang w:eastAsia="bg-BG"/>
              </w:rPr>
              <w:t>5 476</w:t>
            </w:r>
          </w:p>
        </w:tc>
        <w:tc>
          <w:tcPr>
            <w:tcW w:w="1040" w:type="dxa"/>
            <w:noWrap/>
            <w:vAlign w:val="center"/>
            <w:hideMark/>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6 971</w:t>
            </w:r>
          </w:p>
        </w:tc>
        <w:tc>
          <w:tcPr>
            <w:tcW w:w="1039" w:type="dxa"/>
            <w:tcBorders>
              <w:left w:val="single" w:sz="12" w:space="0" w:color="auto"/>
            </w:tcBorders>
            <w:vAlign w:val="center"/>
          </w:tcPr>
          <w:p w:rsidR="00F243FA" w:rsidRPr="0013785D" w:rsidRDefault="00F243FA" w:rsidP="00CD00D9">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6 604</w:t>
            </w:r>
          </w:p>
        </w:tc>
        <w:tc>
          <w:tcPr>
            <w:tcW w:w="1040" w:type="dxa"/>
            <w:tcBorders>
              <w:right w:val="single" w:sz="12" w:space="0" w:color="auto"/>
            </w:tcBorders>
            <w:noWrap/>
            <w:vAlign w:val="center"/>
            <w:hideMark/>
          </w:tcPr>
          <w:p w:rsidR="00F243FA" w:rsidRPr="0013785D" w:rsidRDefault="00F243FA" w:rsidP="00CD00D9">
            <w:pPr>
              <w:jc w:val="right"/>
              <w:cnfStyle w:val="000000000000"/>
              <w:rPr>
                <w:rFonts w:asciiTheme="minorHAnsi" w:hAnsiTheme="minorHAnsi" w:cstheme="minorHAnsi"/>
                <w:sz w:val="22"/>
                <w:szCs w:val="22"/>
              </w:rPr>
            </w:pPr>
            <w:r>
              <w:rPr>
                <w:rFonts w:asciiTheme="minorHAnsi" w:hAnsiTheme="minorHAnsi" w:cstheme="minorHAnsi"/>
                <w:sz w:val="22"/>
                <w:szCs w:val="22"/>
              </w:rPr>
              <w:t>7</w:t>
            </w:r>
            <w:r w:rsidRPr="0013785D">
              <w:rPr>
                <w:rFonts w:asciiTheme="minorHAnsi" w:hAnsiTheme="minorHAnsi" w:cstheme="minorHAnsi"/>
                <w:sz w:val="22"/>
                <w:szCs w:val="22"/>
              </w:rPr>
              <w:t xml:space="preserve"> </w:t>
            </w:r>
            <w:r>
              <w:rPr>
                <w:rFonts w:asciiTheme="minorHAnsi" w:hAnsiTheme="minorHAnsi" w:cstheme="minorHAnsi"/>
                <w:sz w:val="22"/>
                <w:szCs w:val="22"/>
              </w:rPr>
              <w:t>6</w:t>
            </w:r>
            <w:r w:rsidRPr="0013785D">
              <w:rPr>
                <w:rFonts w:asciiTheme="minorHAnsi" w:hAnsiTheme="minorHAnsi" w:cstheme="minorHAnsi"/>
                <w:sz w:val="22"/>
                <w:szCs w:val="22"/>
              </w:rPr>
              <w:t>72</w:t>
            </w:r>
          </w:p>
        </w:tc>
      </w:tr>
      <w:tr w:rsidR="00F243FA" w:rsidRPr="00CD00D9" w:rsidTr="00667678">
        <w:trPr>
          <w:cnfStyle w:val="000000100000"/>
          <w:trHeight w:val="270"/>
        </w:trPr>
        <w:tc>
          <w:tcPr>
            <w:cnfStyle w:val="001000000000"/>
            <w:tcW w:w="3544" w:type="dxa"/>
            <w:hideMark/>
          </w:tcPr>
          <w:p w:rsidR="00F243FA" w:rsidRPr="00BA4EAF" w:rsidRDefault="00F243FA" w:rsidP="007A679F">
            <w:pPr>
              <w:autoSpaceDE/>
              <w:autoSpaceDN/>
              <w:adjustRightInd/>
              <w:spacing w:after="0"/>
              <w:jc w:val="left"/>
              <w:rPr>
                <w:rFonts w:asciiTheme="minorHAnsi" w:hAnsiTheme="minorHAnsi" w:cstheme="minorHAnsi"/>
                <w:bCs w:val="0"/>
                <w:sz w:val="22"/>
                <w:szCs w:val="22"/>
                <w:lang w:eastAsia="bg-BG"/>
              </w:rPr>
            </w:pPr>
            <w:r w:rsidRPr="00BA4EAF">
              <w:rPr>
                <w:rFonts w:asciiTheme="minorHAnsi" w:hAnsiTheme="minorHAnsi" w:cstheme="minorHAnsi"/>
                <w:bCs w:val="0"/>
                <w:sz w:val="22"/>
                <w:szCs w:val="22"/>
                <w:lang w:eastAsia="bg-BG"/>
              </w:rPr>
              <w:t>Общо пасиви и соб. капитал</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14 888</w:t>
            </w:r>
          </w:p>
        </w:tc>
        <w:tc>
          <w:tcPr>
            <w:tcW w:w="1040"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17 456</w:t>
            </w:r>
          </w:p>
        </w:tc>
        <w:tc>
          <w:tcPr>
            <w:tcW w:w="1039" w:type="dxa"/>
            <w:vAlign w:val="center"/>
          </w:tcPr>
          <w:p w:rsidR="00F243FA" w:rsidRPr="00CD00D9" w:rsidRDefault="00F243FA" w:rsidP="00CD00D9">
            <w:pPr>
              <w:autoSpaceDE/>
              <w:autoSpaceDN/>
              <w:adjustRightInd/>
              <w:spacing w:after="0"/>
              <w:jc w:val="right"/>
              <w:cnfStyle w:val="000000100000"/>
              <w:rPr>
                <w:rFonts w:asciiTheme="minorHAnsi" w:hAnsiTheme="minorHAnsi" w:cstheme="minorHAnsi"/>
                <w:b/>
                <w:sz w:val="22"/>
                <w:szCs w:val="22"/>
                <w:lang w:eastAsia="bg-BG"/>
              </w:rPr>
            </w:pPr>
            <w:r w:rsidRPr="00CD00D9">
              <w:rPr>
                <w:rFonts w:asciiTheme="minorHAnsi" w:hAnsiTheme="minorHAnsi" w:cstheme="minorHAnsi"/>
                <w:b/>
                <w:sz w:val="22"/>
                <w:szCs w:val="22"/>
                <w:lang w:eastAsia="bg-BG"/>
              </w:rPr>
              <w:t>20 593</w:t>
            </w:r>
          </w:p>
        </w:tc>
        <w:tc>
          <w:tcPr>
            <w:tcW w:w="1040" w:type="dxa"/>
            <w:noWrap/>
            <w:vAlign w:val="center"/>
            <w:hideMark/>
          </w:tcPr>
          <w:p w:rsidR="00F243FA" w:rsidRPr="00CD00D9" w:rsidRDefault="00F243FA" w:rsidP="00CD00D9">
            <w:pPr>
              <w:jc w:val="right"/>
              <w:cnfStyle w:val="000000100000"/>
              <w:rPr>
                <w:rFonts w:asciiTheme="minorHAnsi" w:hAnsiTheme="minorHAnsi" w:cstheme="minorHAnsi"/>
                <w:b/>
                <w:bCs/>
                <w:sz w:val="22"/>
                <w:szCs w:val="22"/>
              </w:rPr>
            </w:pPr>
            <w:r w:rsidRPr="00CD00D9">
              <w:rPr>
                <w:rFonts w:asciiTheme="minorHAnsi" w:hAnsiTheme="minorHAnsi" w:cstheme="minorHAnsi"/>
                <w:b/>
                <w:bCs/>
                <w:sz w:val="22"/>
                <w:szCs w:val="22"/>
              </w:rPr>
              <w:t>18 235</w:t>
            </w:r>
          </w:p>
        </w:tc>
        <w:tc>
          <w:tcPr>
            <w:tcW w:w="1039" w:type="dxa"/>
            <w:tcBorders>
              <w:left w:val="single" w:sz="12" w:space="0" w:color="auto"/>
            </w:tcBorders>
            <w:vAlign w:val="center"/>
          </w:tcPr>
          <w:p w:rsidR="00F243FA" w:rsidRPr="00CD00D9" w:rsidRDefault="00F243FA" w:rsidP="00E80658">
            <w:pPr>
              <w:jc w:val="right"/>
              <w:cnfStyle w:val="000000100000"/>
              <w:rPr>
                <w:rFonts w:asciiTheme="minorHAnsi" w:hAnsiTheme="minorHAnsi" w:cstheme="minorHAnsi"/>
                <w:b/>
                <w:bCs/>
                <w:sz w:val="22"/>
                <w:szCs w:val="22"/>
              </w:rPr>
            </w:pPr>
            <w:r w:rsidRPr="00CD00D9">
              <w:rPr>
                <w:rFonts w:asciiTheme="minorHAnsi" w:hAnsiTheme="minorHAnsi" w:cstheme="minorHAnsi"/>
                <w:b/>
                <w:bCs/>
                <w:sz w:val="22"/>
                <w:szCs w:val="22"/>
              </w:rPr>
              <w:t>2</w:t>
            </w:r>
            <w:r>
              <w:rPr>
                <w:rFonts w:asciiTheme="minorHAnsi" w:hAnsiTheme="minorHAnsi" w:cstheme="minorHAnsi"/>
                <w:b/>
                <w:bCs/>
                <w:sz w:val="22"/>
                <w:szCs w:val="22"/>
                <w:lang w:val="en-US"/>
              </w:rPr>
              <w:t>0</w:t>
            </w:r>
            <w:r w:rsidRPr="00CD00D9">
              <w:rPr>
                <w:rFonts w:asciiTheme="minorHAnsi" w:hAnsiTheme="minorHAnsi" w:cstheme="minorHAnsi"/>
                <w:b/>
                <w:bCs/>
                <w:sz w:val="22"/>
                <w:szCs w:val="22"/>
              </w:rPr>
              <w:t xml:space="preserve"> </w:t>
            </w:r>
            <w:r>
              <w:rPr>
                <w:rFonts w:asciiTheme="minorHAnsi" w:hAnsiTheme="minorHAnsi" w:cstheme="minorHAnsi"/>
                <w:b/>
                <w:bCs/>
                <w:sz w:val="22"/>
                <w:szCs w:val="22"/>
                <w:lang w:val="en-US"/>
              </w:rPr>
              <w:t>90</w:t>
            </w:r>
            <w:r w:rsidRPr="00CD00D9">
              <w:rPr>
                <w:rFonts w:asciiTheme="minorHAnsi" w:hAnsiTheme="minorHAnsi" w:cstheme="minorHAnsi"/>
                <w:b/>
                <w:bCs/>
                <w:sz w:val="22"/>
                <w:szCs w:val="22"/>
              </w:rPr>
              <w:t>0</w:t>
            </w:r>
          </w:p>
        </w:tc>
        <w:tc>
          <w:tcPr>
            <w:tcW w:w="1040" w:type="dxa"/>
            <w:tcBorders>
              <w:right w:val="single" w:sz="12" w:space="0" w:color="auto"/>
            </w:tcBorders>
            <w:noWrap/>
            <w:vAlign w:val="center"/>
            <w:hideMark/>
          </w:tcPr>
          <w:p w:rsidR="00F243FA" w:rsidRPr="00CD00D9" w:rsidRDefault="00F243FA" w:rsidP="00CD00D9">
            <w:pPr>
              <w:jc w:val="right"/>
              <w:cnfStyle w:val="000000100000"/>
              <w:rPr>
                <w:rFonts w:asciiTheme="minorHAnsi" w:hAnsiTheme="minorHAnsi" w:cstheme="minorHAnsi"/>
                <w:b/>
                <w:bCs/>
                <w:sz w:val="22"/>
                <w:szCs w:val="22"/>
              </w:rPr>
            </w:pPr>
            <w:r>
              <w:rPr>
                <w:rFonts w:asciiTheme="minorHAnsi" w:hAnsiTheme="minorHAnsi" w:cstheme="minorHAnsi"/>
                <w:b/>
                <w:bCs/>
                <w:sz w:val="22"/>
                <w:szCs w:val="22"/>
              </w:rPr>
              <w:t>18</w:t>
            </w:r>
            <w:r w:rsidRPr="00CD00D9">
              <w:rPr>
                <w:rFonts w:asciiTheme="minorHAnsi" w:hAnsiTheme="minorHAnsi" w:cstheme="minorHAnsi"/>
                <w:b/>
                <w:bCs/>
                <w:sz w:val="22"/>
                <w:szCs w:val="22"/>
              </w:rPr>
              <w:t xml:space="preserve"> 502</w:t>
            </w:r>
          </w:p>
        </w:tc>
      </w:tr>
    </w:tbl>
    <w:p w:rsidR="00A904E3" w:rsidRPr="00A904E3" w:rsidRDefault="00A904E3" w:rsidP="00A904E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9F3575" w:rsidRDefault="009F3575" w:rsidP="00B651BE">
      <w:pPr>
        <w:spacing w:after="120"/>
      </w:pPr>
      <w:r>
        <w:t xml:space="preserve">Активите показват стабилен темп на нарастване в резултат най-вече на вземанията, които формират между 55% и 60% от активите. </w:t>
      </w:r>
      <w:r w:rsidR="005C7B3F">
        <w:t>Увеличението се</w:t>
      </w:r>
      <w:r>
        <w:t xml:space="preserve"> дължи на ръста в продажбите и удължаването на сроковете за плащане от страна на клиентите.</w:t>
      </w:r>
      <w:r w:rsidR="005C7B3F">
        <w:t xml:space="preserve"> Значителна част от вземанията са предоставените търговски заеми на свързани лица, които представляват над 20% от общите активи. Увеличение </w:t>
      </w:r>
      <w:r w:rsidR="00736DDA">
        <w:t>има и при паричните средства, като</w:t>
      </w:r>
      <w:r w:rsidR="005C7B3F">
        <w:t xml:space="preserve"> това са в по-голямата си част събраните суми</w:t>
      </w:r>
      <w:r w:rsidR="00A05ED2">
        <w:t>, но все още неизплатени</w:t>
      </w:r>
      <w:r w:rsidR="00736DDA">
        <w:t xml:space="preserve"> (1 117 хил. .лв. през 2011 г.)</w:t>
      </w:r>
      <w:r w:rsidR="005C7B3F">
        <w:t xml:space="preserve"> от името на клиенти </w:t>
      </w:r>
      <w:r w:rsidR="00FA45DE">
        <w:t>по извършени доставки с наложен платеж.</w:t>
      </w:r>
    </w:p>
    <w:p w:rsidR="00265B00" w:rsidRDefault="00FA45DE" w:rsidP="00B651BE">
      <w:pPr>
        <w:spacing w:after="120"/>
      </w:pPr>
      <w:r>
        <w:t>Другото голямо перо в активите са дълготрайните материални активи – главно тр</w:t>
      </w:r>
      <w:r w:rsidR="002637CF">
        <w:t>а</w:t>
      </w:r>
      <w:r>
        <w:t>нспортни средства, както е описано по-подробно в т. 4.6.1. от настоящия документ.</w:t>
      </w:r>
      <w:r w:rsidR="00EF54AF">
        <w:t xml:space="preserve"> Размерът на ДМА се променя слабо през последните три години и не следва ръста на продажбите, поради което и</w:t>
      </w:r>
      <w:r>
        <w:t xml:space="preserve"> </w:t>
      </w:r>
      <w:r w:rsidR="00EF54AF">
        <w:t>техния</w:t>
      </w:r>
      <w:r w:rsidR="002637CF">
        <w:t>т</w:t>
      </w:r>
      <w:r w:rsidR="00EF54AF">
        <w:t xml:space="preserve"> </w:t>
      </w:r>
      <w:r>
        <w:t>дял в общите активи намалява от 33% през 2009 г. до 21% през 2011 г.</w:t>
      </w:r>
    </w:p>
    <w:p w:rsidR="00736DDA" w:rsidRDefault="001667D2" w:rsidP="00B651BE">
      <w:pPr>
        <w:spacing w:after="120"/>
      </w:pPr>
      <w:r>
        <w:t>В структурата на пасивите най-голям дял заемат</w:t>
      </w:r>
      <w:r w:rsidR="0041300B">
        <w:t xml:space="preserve"> задълженията към доставчици (2</w:t>
      </w:r>
      <w:r w:rsidR="0041300B">
        <w:rPr>
          <w:lang w:val="en-US"/>
        </w:rPr>
        <w:t>1</w:t>
      </w:r>
      <w:r>
        <w:t>%</w:t>
      </w:r>
      <w:r w:rsidR="00A05ED2">
        <w:t xml:space="preserve"> през 2011 г.), следван от лихве</w:t>
      </w:r>
      <w:r>
        <w:t>ните задължения, краткосроч</w:t>
      </w:r>
      <w:r w:rsidR="0041300B">
        <w:t>ни и дългосрочни (</w:t>
      </w:r>
      <w:r>
        <w:t>1</w:t>
      </w:r>
      <w:r w:rsidR="0041300B">
        <w:rPr>
          <w:lang w:val="en-US"/>
        </w:rPr>
        <w:t>9,5</w:t>
      </w:r>
      <w:r>
        <w:t>%).</w:t>
      </w:r>
      <w:r w:rsidR="00736DDA">
        <w:t xml:space="preserve"> Задълженията са лизинг на закупените автомобили и ползваните суми по овърдрафт кредит.</w:t>
      </w:r>
    </w:p>
    <w:p w:rsidR="001667D2" w:rsidRDefault="00736DDA" w:rsidP="00B651BE">
      <w:pPr>
        <w:spacing w:after="120"/>
      </w:pPr>
      <w:r>
        <w:t>На консолидирана база значителни са задълженията към персонала, начислените месечни и допъ</w:t>
      </w:r>
      <w:r w:rsidR="002637CF">
        <w:t>л</w:t>
      </w:r>
      <w:r>
        <w:t>нителни възнаграждения, тъй като в „Спиди” ЕООД е съсредоточена и основната част от персонала.</w:t>
      </w:r>
    </w:p>
    <w:p w:rsidR="00FA45DE" w:rsidRDefault="00736DDA" w:rsidP="00B651BE">
      <w:pPr>
        <w:spacing w:after="120"/>
      </w:pPr>
      <w:r>
        <w:t>За</w:t>
      </w:r>
      <w:r w:rsidR="002637CF">
        <w:t>дължения по съучастия са неизпла</w:t>
      </w:r>
      <w:r>
        <w:t>тени дивиденти, съгласно решение на общото събрание на акционерите от 2011 г.</w:t>
      </w:r>
    </w:p>
    <w:p w:rsidR="009F3575" w:rsidRPr="00B651BE" w:rsidRDefault="005504B7" w:rsidP="00B651BE">
      <w:pPr>
        <w:spacing w:after="120"/>
      </w:pPr>
      <w:r>
        <w:t>Политиката на дружеството е всяка година да разпределя дивидент, поради което, въпреки значителния размер на генерираните печалби, собственият капитал на компанията отбелязва слабо нарастване.</w:t>
      </w:r>
    </w:p>
    <w:p w:rsidR="00FC3657" w:rsidRDefault="00B651BE" w:rsidP="00B651BE">
      <w:pPr>
        <w:pStyle w:val="Heading1"/>
        <w:numPr>
          <w:ilvl w:val="2"/>
          <w:numId w:val="11"/>
        </w:numPr>
        <w:ind w:left="709" w:hanging="709"/>
        <w:rPr>
          <w:rFonts w:ascii="Times New Roman" w:hAnsi="Times New Roman"/>
          <w:b w:val="0"/>
          <w:i/>
          <w:sz w:val="24"/>
          <w:szCs w:val="24"/>
        </w:rPr>
      </w:pPr>
      <w:bookmarkStart w:id="93" w:name="_Toc324376936"/>
      <w:bookmarkStart w:id="94" w:name="_Toc324380095"/>
      <w:r w:rsidRPr="00B651BE">
        <w:rPr>
          <w:rFonts w:ascii="Times New Roman" w:hAnsi="Times New Roman"/>
          <w:b w:val="0"/>
          <w:i/>
          <w:sz w:val="24"/>
          <w:szCs w:val="24"/>
        </w:rPr>
        <w:t xml:space="preserve">Влияние </w:t>
      </w:r>
      <w:r w:rsidR="00FC3657" w:rsidRPr="00B651BE">
        <w:rPr>
          <w:rFonts w:ascii="Times New Roman" w:hAnsi="Times New Roman"/>
          <w:b w:val="0"/>
          <w:i/>
          <w:sz w:val="24"/>
          <w:szCs w:val="24"/>
        </w:rPr>
        <w:t xml:space="preserve">на инфлацията и промените във </w:t>
      </w:r>
      <w:r w:rsidR="00CC1B1A">
        <w:rPr>
          <w:rFonts w:ascii="Times New Roman" w:hAnsi="Times New Roman"/>
          <w:b w:val="0"/>
          <w:i/>
          <w:sz w:val="24"/>
          <w:szCs w:val="24"/>
        </w:rPr>
        <w:t>валутния курс.</w:t>
      </w:r>
      <w:bookmarkEnd w:id="93"/>
      <w:bookmarkEnd w:id="94"/>
    </w:p>
    <w:p w:rsidR="005025F5" w:rsidRDefault="005025F5" w:rsidP="005025F5">
      <w:pPr>
        <w:spacing w:after="120"/>
      </w:pPr>
      <w:r>
        <w:t>Изменението на валутните курсове практически не оказва влияние върху финансовите резултати на дружеството – за последните три години общо разходите за валутни разлики са едва 6 хил. лв.</w:t>
      </w:r>
    </w:p>
    <w:p w:rsidR="00CA2BBE" w:rsidRPr="005025F5" w:rsidRDefault="00CA2BBE" w:rsidP="005025F5">
      <w:pPr>
        <w:spacing w:after="120"/>
      </w:pPr>
      <w:r>
        <w:t>Последните три години нивото на и</w:t>
      </w:r>
      <w:r w:rsidR="00407192">
        <w:t>н</w:t>
      </w:r>
      <w:r>
        <w:t xml:space="preserve">флация в страната е сравително ниско </w:t>
      </w:r>
      <w:r w:rsidR="00407192">
        <w:t>и не оказва значително влияние върху резулататите от дейността. По-съществени са измененията в цената на горивото, които до голяма степен бяха неутр</w:t>
      </w:r>
      <w:r w:rsidR="002637CF">
        <w:t>а</w:t>
      </w:r>
      <w:r w:rsidR="00407192">
        <w:t xml:space="preserve">лизирани с въвеждането </w:t>
      </w:r>
      <w:r w:rsidR="0013383D">
        <w:t>на</w:t>
      </w:r>
      <w:r w:rsidR="00407192">
        <w:t xml:space="preserve"> такса гориво, което дава възможност да се обвърже цената на услугата с измененията в цените на горивата.</w:t>
      </w:r>
    </w:p>
    <w:p w:rsidR="00FC3657" w:rsidRPr="003B2C1E" w:rsidRDefault="003B2C1E" w:rsidP="003B2C1E">
      <w:pPr>
        <w:pStyle w:val="Heading1"/>
        <w:numPr>
          <w:ilvl w:val="2"/>
          <w:numId w:val="11"/>
        </w:numPr>
        <w:ind w:left="709" w:hanging="709"/>
        <w:rPr>
          <w:rFonts w:ascii="Times New Roman" w:hAnsi="Times New Roman"/>
          <w:b w:val="0"/>
          <w:i/>
          <w:sz w:val="24"/>
          <w:szCs w:val="24"/>
        </w:rPr>
      </w:pPr>
      <w:bookmarkStart w:id="95" w:name="_Toc324376937"/>
      <w:bookmarkStart w:id="96" w:name="_Toc324380096"/>
      <w:r w:rsidRPr="003B2C1E">
        <w:rPr>
          <w:rFonts w:ascii="Times New Roman" w:hAnsi="Times New Roman"/>
          <w:b w:val="0"/>
          <w:i/>
          <w:sz w:val="24"/>
          <w:szCs w:val="24"/>
        </w:rPr>
        <w:t xml:space="preserve">Информация </w:t>
      </w:r>
      <w:r w:rsidR="00FC3657" w:rsidRPr="003B2C1E">
        <w:rPr>
          <w:rFonts w:ascii="Times New Roman" w:hAnsi="Times New Roman"/>
          <w:b w:val="0"/>
          <w:i/>
          <w:sz w:val="24"/>
          <w:szCs w:val="24"/>
        </w:rPr>
        <w:t>за правителствени, икономически, данъчни, монетарн</w:t>
      </w:r>
      <w:r w:rsidR="00CC1B1A">
        <w:rPr>
          <w:rFonts w:ascii="Times New Roman" w:hAnsi="Times New Roman"/>
          <w:b w:val="0"/>
          <w:i/>
          <w:sz w:val="24"/>
          <w:szCs w:val="24"/>
        </w:rPr>
        <w:t>и или политически фактори, имащи</w:t>
      </w:r>
      <w:r w:rsidR="00FC3657" w:rsidRPr="003B2C1E">
        <w:rPr>
          <w:rFonts w:ascii="Times New Roman" w:hAnsi="Times New Roman"/>
          <w:b w:val="0"/>
          <w:i/>
          <w:sz w:val="24"/>
          <w:szCs w:val="24"/>
        </w:rPr>
        <w:t xml:space="preserve"> съществено влияние.</w:t>
      </w:r>
      <w:bookmarkEnd w:id="95"/>
      <w:bookmarkEnd w:id="96"/>
    </w:p>
    <w:p w:rsidR="003B2C1E" w:rsidRPr="003B2C1E" w:rsidRDefault="003B2C1E" w:rsidP="00AB4949">
      <w:r w:rsidRPr="003B2C1E">
        <w:t>През разглеждания период не е имало фактори от правителствени, икономически, данъчни, монетарни или политически фактори, които са оказали съществено влияние</w:t>
      </w:r>
      <w:r>
        <w:t xml:space="preserve"> върху дейността на дружеството с изключение на рязкото влошаване на макроикономическата среда, запо</w:t>
      </w:r>
      <w:r w:rsidR="0013383D">
        <w:t>чна</w:t>
      </w:r>
      <w:r w:rsidR="002637CF">
        <w:t>л</w:t>
      </w:r>
      <w:r w:rsidR="0013383D">
        <w:t>о в края на 2008 г. и продълж</w:t>
      </w:r>
      <w:r>
        <w:t xml:space="preserve">ило 2009 </w:t>
      </w:r>
      <w:r w:rsidR="0013383D">
        <w:t>г</w:t>
      </w:r>
      <w:r>
        <w:t>.</w:t>
      </w:r>
    </w:p>
    <w:p w:rsidR="0091248A" w:rsidRDefault="00AB4949" w:rsidP="0013383D">
      <w:pPr>
        <w:rPr>
          <w:b/>
          <w:i/>
          <w:smallCaps/>
        </w:rPr>
      </w:pPr>
      <w:r w:rsidRPr="003B2C1E">
        <w:t xml:space="preserve">Основните фактори, които </w:t>
      </w:r>
      <w:r w:rsidR="003B2C1E">
        <w:t>могат да повлияят</w:t>
      </w:r>
      <w:r w:rsidR="002637CF">
        <w:t xml:space="preserve"> на</w:t>
      </w:r>
      <w:r w:rsidRPr="003B2C1E">
        <w:t xml:space="preserve"> дейността на Емитента и как Дружеството управлява риска, са описани в „Рискови фактори“ от настоящия документ.</w:t>
      </w:r>
    </w:p>
    <w:p w:rsidR="00FC3657" w:rsidRPr="00244DD5" w:rsidRDefault="00B446A2" w:rsidP="00244DD5">
      <w:pPr>
        <w:pStyle w:val="Heading1"/>
        <w:numPr>
          <w:ilvl w:val="1"/>
          <w:numId w:val="11"/>
        </w:numPr>
        <w:ind w:left="567" w:hanging="567"/>
        <w:rPr>
          <w:rFonts w:ascii="Times New Roman" w:hAnsi="Times New Roman"/>
          <w:b w:val="0"/>
          <w:i/>
          <w:smallCaps/>
          <w:sz w:val="24"/>
          <w:szCs w:val="24"/>
        </w:rPr>
      </w:pPr>
      <w:bookmarkStart w:id="97" w:name="_Toc324376938"/>
      <w:bookmarkStart w:id="98" w:name="_Toc324380097"/>
      <w:r w:rsidRPr="00244DD5">
        <w:rPr>
          <w:rFonts w:ascii="Times New Roman" w:hAnsi="Times New Roman"/>
          <w:b w:val="0"/>
          <w:i/>
          <w:smallCaps/>
          <w:sz w:val="24"/>
          <w:szCs w:val="24"/>
        </w:rPr>
        <w:t xml:space="preserve">Капиталови </w:t>
      </w:r>
      <w:r w:rsidR="0091248A">
        <w:rPr>
          <w:rFonts w:ascii="Times New Roman" w:hAnsi="Times New Roman"/>
          <w:b w:val="0"/>
          <w:i/>
          <w:smallCaps/>
          <w:sz w:val="24"/>
          <w:szCs w:val="24"/>
        </w:rPr>
        <w:t>ресурси</w:t>
      </w:r>
      <w:bookmarkEnd w:id="97"/>
      <w:bookmarkEnd w:id="98"/>
    </w:p>
    <w:p w:rsidR="002466B5" w:rsidRPr="00265B00" w:rsidRDefault="0091248A" w:rsidP="00265B00">
      <w:pPr>
        <w:pStyle w:val="Heading1"/>
        <w:numPr>
          <w:ilvl w:val="2"/>
          <w:numId w:val="11"/>
        </w:numPr>
        <w:ind w:left="709" w:hanging="709"/>
        <w:rPr>
          <w:rFonts w:ascii="Times New Roman" w:hAnsi="Times New Roman"/>
          <w:b w:val="0"/>
          <w:i/>
          <w:sz w:val="24"/>
          <w:szCs w:val="24"/>
        </w:rPr>
      </w:pPr>
      <w:bookmarkStart w:id="99" w:name="_Toc324376939"/>
      <w:bookmarkStart w:id="100" w:name="_Toc324380098"/>
      <w:r w:rsidRPr="00265B00">
        <w:rPr>
          <w:rFonts w:ascii="Times New Roman" w:hAnsi="Times New Roman"/>
          <w:b w:val="0"/>
          <w:i/>
          <w:sz w:val="24"/>
          <w:szCs w:val="24"/>
        </w:rPr>
        <w:t xml:space="preserve">Източници </w:t>
      </w:r>
      <w:r w:rsidR="005312CA" w:rsidRPr="00265B00">
        <w:rPr>
          <w:rFonts w:ascii="Times New Roman" w:hAnsi="Times New Roman"/>
          <w:b w:val="0"/>
          <w:i/>
          <w:sz w:val="24"/>
          <w:szCs w:val="24"/>
        </w:rPr>
        <w:t>на фи</w:t>
      </w:r>
      <w:r>
        <w:rPr>
          <w:rFonts w:ascii="Times New Roman" w:hAnsi="Times New Roman"/>
          <w:b w:val="0"/>
          <w:i/>
          <w:sz w:val="24"/>
          <w:szCs w:val="24"/>
        </w:rPr>
        <w:t>нансиране</w:t>
      </w:r>
      <w:bookmarkEnd w:id="99"/>
      <w:bookmarkEnd w:id="100"/>
    </w:p>
    <w:p w:rsidR="0091248A" w:rsidRDefault="008F13F9" w:rsidP="00265B00">
      <w:pPr>
        <w:spacing w:after="120"/>
      </w:pPr>
      <w:r>
        <w:t xml:space="preserve"> </w:t>
      </w:r>
    </w:p>
    <w:p w:rsidR="008F13F9" w:rsidRDefault="00146FDE" w:rsidP="00265B00">
      <w:pPr>
        <w:spacing w:after="120"/>
      </w:pPr>
      <w:r>
        <w:t>„СПИДИ</w:t>
      </w:r>
      <w:r w:rsidR="00393A33">
        <w:t>“ Е</w:t>
      </w:r>
      <w:r>
        <w:t>АД използва като източник на капитал, както собствени така и заемни средства</w:t>
      </w:r>
      <w:r w:rsidR="008F13F9">
        <w:t>, лизингово финансиране и банков овърдрафт.</w:t>
      </w:r>
      <w:r w:rsidR="002637CF">
        <w:t xml:space="preserve"> </w:t>
      </w:r>
      <w:r w:rsidR="00F12EC8">
        <w:t>В общата структура преобладават средствата от външни източници, като собствения</w:t>
      </w:r>
      <w:r w:rsidR="002637CF">
        <w:t>т</w:t>
      </w:r>
      <w:r w:rsidR="00F12EC8">
        <w:t xml:space="preserve"> капитал финансира около 1/3 от активите. </w:t>
      </w:r>
      <w:r w:rsidR="00B17B42">
        <w:t>Въпреки малкия</w:t>
      </w:r>
      <w:r w:rsidR="002637CF">
        <w:t>т</w:t>
      </w:r>
      <w:r w:rsidR="00B17B42">
        <w:t xml:space="preserve"> дял на собствения капитал, структурата е устойчива по няколко причини. Първо, тенденцията </w:t>
      </w:r>
      <w:r w:rsidR="00F12EC8">
        <w:t>е дела на собствения капитал да се увеличава, като през последните две годи</w:t>
      </w:r>
      <w:r w:rsidR="00B17B42">
        <w:t>ни покрива лихвените задължени приблизително два пъти. Второ, високият дял на пасивите се дължи на текущите задължения, основно към доставчици, но дружеството поддържа високо ниво на оборотния капитал и</w:t>
      </w:r>
      <w:r w:rsidR="00426E2F">
        <w:t xml:space="preserve"> ликвидността </w:t>
      </w:r>
      <w:r w:rsidR="00393A33">
        <w:t>–</w:t>
      </w:r>
      <w:r w:rsidR="00426E2F">
        <w:t xml:space="preserve"> покритието на те</w:t>
      </w:r>
      <w:r w:rsidR="00B17B42">
        <w:t>кущите задължения е 1,25 пъти на неконсолидирана и 1,4 пъти на консолидирана база.</w:t>
      </w:r>
      <w:r w:rsidR="008F13F9">
        <w:t xml:space="preserve"> Трето, генерирания</w:t>
      </w:r>
      <w:r w:rsidR="002637CF">
        <w:t>т</w:t>
      </w:r>
      <w:r w:rsidR="008F13F9">
        <w:t xml:space="preserve"> положителен паричен поток от дейността е доста</w:t>
      </w:r>
      <w:r w:rsidR="002637CF">
        <w:t>т</w:t>
      </w:r>
      <w:r w:rsidR="008F13F9">
        <w:t>ъчен за покриването на всички текущи и дългосрочни задължения. Печалбата от дейността е и основния</w:t>
      </w:r>
      <w:r w:rsidR="002637CF">
        <w:t>т</w:t>
      </w:r>
      <w:r w:rsidR="008F13F9">
        <w:t xml:space="preserve"> източник на ликвидност на компанията. Външните източници на финансиране са банкови кредити и лизингово финансиране.</w:t>
      </w:r>
    </w:p>
    <w:tbl>
      <w:tblPr>
        <w:tblStyle w:val="MediumShading2-Accent11"/>
        <w:tblW w:w="9781" w:type="dxa"/>
        <w:tblInd w:w="108" w:type="dxa"/>
        <w:tblLayout w:type="fixed"/>
        <w:tblLook w:val="04A0"/>
      </w:tblPr>
      <w:tblGrid>
        <w:gridCol w:w="3124"/>
        <w:gridCol w:w="1109"/>
        <w:gridCol w:w="1110"/>
        <w:gridCol w:w="1109"/>
        <w:gridCol w:w="1110"/>
        <w:gridCol w:w="1109"/>
        <w:gridCol w:w="1110"/>
      </w:tblGrid>
      <w:tr w:rsidR="00F243FA" w:rsidRPr="00A22A05" w:rsidTr="00667678">
        <w:trPr>
          <w:cnfStyle w:val="100000000000"/>
          <w:trHeight w:val="270"/>
        </w:trPr>
        <w:tc>
          <w:tcPr>
            <w:cnfStyle w:val="001000000100"/>
            <w:tcW w:w="3124" w:type="dxa"/>
            <w:noWrap/>
            <w:hideMark/>
          </w:tcPr>
          <w:p w:rsidR="00F243FA" w:rsidRPr="00F05A3A" w:rsidRDefault="00F243FA" w:rsidP="0080674A">
            <w:pPr>
              <w:tabs>
                <w:tab w:val="right" w:pos="2477"/>
              </w:tabs>
              <w:autoSpaceDE/>
              <w:autoSpaceDN/>
              <w:adjustRightInd/>
              <w:spacing w:after="0"/>
              <w:jc w:val="center"/>
              <w:rPr>
                <w:rFonts w:asciiTheme="minorHAnsi" w:hAnsiTheme="minorHAnsi" w:cstheme="minorHAnsi"/>
                <w:sz w:val="22"/>
                <w:szCs w:val="22"/>
                <w:lang w:eastAsia="bg-BG"/>
              </w:rPr>
            </w:pPr>
            <w:r>
              <w:rPr>
                <w:rFonts w:asciiTheme="minorHAnsi" w:hAnsiTheme="minorHAnsi" w:cstheme="minorHAnsi"/>
                <w:sz w:val="22"/>
                <w:szCs w:val="22"/>
                <w:lang w:eastAsia="bg-BG"/>
              </w:rPr>
              <w:t>В хил. лв.</w:t>
            </w:r>
          </w:p>
        </w:tc>
        <w:tc>
          <w:tcPr>
            <w:tcW w:w="1109" w:type="dxa"/>
            <w:hideMark/>
          </w:tcPr>
          <w:p w:rsidR="00F243FA" w:rsidRPr="00A22A05" w:rsidRDefault="00F243FA" w:rsidP="00A22A05">
            <w:pPr>
              <w:autoSpaceDE/>
              <w:autoSpaceDN/>
              <w:adjustRightInd/>
              <w:spacing w:after="0"/>
              <w:jc w:val="center"/>
              <w:cnfStyle w:val="1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2009</w:t>
            </w:r>
          </w:p>
        </w:tc>
        <w:tc>
          <w:tcPr>
            <w:tcW w:w="1110" w:type="dxa"/>
            <w:hideMark/>
          </w:tcPr>
          <w:p w:rsidR="00F243FA" w:rsidRPr="00A22A05" w:rsidRDefault="00F243FA" w:rsidP="00A22A05">
            <w:pPr>
              <w:autoSpaceDE/>
              <w:autoSpaceDN/>
              <w:adjustRightInd/>
              <w:spacing w:after="0"/>
              <w:jc w:val="center"/>
              <w:cnfStyle w:val="1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2010</w:t>
            </w:r>
          </w:p>
        </w:tc>
        <w:tc>
          <w:tcPr>
            <w:tcW w:w="1109" w:type="dxa"/>
            <w:hideMark/>
          </w:tcPr>
          <w:p w:rsidR="00F243FA" w:rsidRPr="00A22A05" w:rsidRDefault="00F243FA" w:rsidP="00A22A05">
            <w:pPr>
              <w:autoSpaceDE/>
              <w:autoSpaceDN/>
              <w:adjustRightInd/>
              <w:spacing w:after="0"/>
              <w:jc w:val="center"/>
              <w:cnfStyle w:val="1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2011</w:t>
            </w:r>
          </w:p>
        </w:tc>
        <w:tc>
          <w:tcPr>
            <w:tcW w:w="1110" w:type="dxa"/>
            <w:tcBorders>
              <w:right w:val="single" w:sz="12" w:space="0" w:color="auto"/>
            </w:tcBorders>
            <w:hideMark/>
          </w:tcPr>
          <w:p w:rsidR="00F243FA" w:rsidRPr="00A22A05" w:rsidRDefault="00F243FA" w:rsidP="00A22A05">
            <w:pPr>
              <w:autoSpaceDE/>
              <w:autoSpaceDN/>
              <w:adjustRightInd/>
              <w:spacing w:after="0"/>
              <w:jc w:val="center"/>
              <w:cnfStyle w:val="1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Q1 12</w:t>
            </w:r>
          </w:p>
        </w:tc>
        <w:tc>
          <w:tcPr>
            <w:tcW w:w="1109" w:type="dxa"/>
            <w:tcBorders>
              <w:left w:val="single" w:sz="12" w:space="0" w:color="auto"/>
            </w:tcBorders>
            <w:hideMark/>
          </w:tcPr>
          <w:p w:rsidR="00F243FA" w:rsidRPr="00A22A05" w:rsidRDefault="00F243FA" w:rsidP="00A22A05">
            <w:pPr>
              <w:autoSpaceDE/>
              <w:autoSpaceDN/>
              <w:adjustRightInd/>
              <w:spacing w:after="0"/>
              <w:jc w:val="center"/>
              <w:cnfStyle w:val="1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 xml:space="preserve">2011 </w:t>
            </w:r>
            <w:r w:rsidRPr="00A22A05">
              <w:rPr>
                <w:rFonts w:asciiTheme="minorHAnsi" w:hAnsiTheme="minorHAnsi" w:cstheme="minorHAnsi"/>
                <w:b w:val="0"/>
                <w:bCs w:val="0"/>
                <w:sz w:val="22"/>
                <w:szCs w:val="22"/>
                <w:lang w:eastAsia="bg-BG"/>
              </w:rPr>
              <w:t>К</w:t>
            </w:r>
          </w:p>
        </w:tc>
        <w:tc>
          <w:tcPr>
            <w:tcW w:w="1110" w:type="dxa"/>
            <w:tcBorders>
              <w:right w:val="single" w:sz="12" w:space="0" w:color="auto"/>
            </w:tcBorders>
            <w:hideMark/>
          </w:tcPr>
          <w:p w:rsidR="00F243FA" w:rsidRPr="00A22A05" w:rsidRDefault="00F243FA" w:rsidP="00A22A05">
            <w:pPr>
              <w:autoSpaceDE/>
              <w:autoSpaceDN/>
              <w:adjustRightInd/>
              <w:spacing w:after="0"/>
              <w:jc w:val="center"/>
              <w:cnfStyle w:val="1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Q1 12</w:t>
            </w:r>
            <w:r w:rsidRPr="00A22A05">
              <w:rPr>
                <w:rFonts w:asciiTheme="minorHAnsi" w:hAnsiTheme="minorHAnsi" w:cstheme="minorHAnsi"/>
                <w:b w:val="0"/>
                <w:bCs w:val="0"/>
                <w:sz w:val="22"/>
                <w:szCs w:val="22"/>
                <w:lang w:eastAsia="bg-BG"/>
              </w:rPr>
              <w:t xml:space="preserve"> К</w:t>
            </w:r>
          </w:p>
        </w:tc>
      </w:tr>
      <w:tr w:rsidR="00F243FA" w:rsidRPr="00A22A05" w:rsidTr="00667678">
        <w:trPr>
          <w:cnfStyle w:val="000000100000"/>
          <w:trHeight w:val="255"/>
        </w:trPr>
        <w:tc>
          <w:tcPr>
            <w:cnfStyle w:val="001000000000"/>
            <w:tcW w:w="3124" w:type="dxa"/>
            <w:noWrap/>
            <w:hideMark/>
          </w:tcPr>
          <w:p w:rsidR="00F243FA" w:rsidRPr="00A22A05" w:rsidRDefault="00F243FA" w:rsidP="00A22A05">
            <w:pPr>
              <w:autoSpaceDE/>
              <w:autoSpaceDN/>
              <w:adjustRightInd/>
              <w:spacing w:after="0"/>
              <w:jc w:val="left"/>
              <w:rPr>
                <w:rFonts w:asciiTheme="minorHAnsi" w:hAnsiTheme="minorHAnsi" w:cstheme="minorHAnsi"/>
                <w:sz w:val="22"/>
                <w:szCs w:val="22"/>
                <w:lang w:eastAsia="bg-BG"/>
              </w:rPr>
            </w:pPr>
            <w:r w:rsidRPr="00A22A05">
              <w:rPr>
                <w:rFonts w:asciiTheme="minorHAnsi" w:hAnsiTheme="minorHAnsi" w:cstheme="minorHAnsi"/>
                <w:sz w:val="22"/>
                <w:szCs w:val="22"/>
                <w:lang w:eastAsia="bg-BG"/>
              </w:rPr>
              <w:t>Собствен капитал</w:t>
            </w:r>
          </w:p>
        </w:tc>
        <w:tc>
          <w:tcPr>
            <w:tcW w:w="1109" w:type="dxa"/>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4 384</w:t>
            </w:r>
          </w:p>
        </w:tc>
        <w:tc>
          <w:tcPr>
            <w:tcW w:w="1110" w:type="dxa"/>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6 387</w:t>
            </w:r>
          </w:p>
        </w:tc>
        <w:tc>
          <w:tcPr>
            <w:tcW w:w="1109" w:type="dxa"/>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7 306</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8 801</w:t>
            </w:r>
          </w:p>
        </w:tc>
        <w:tc>
          <w:tcPr>
            <w:tcW w:w="1109" w:type="dxa"/>
            <w:tcBorders>
              <w:left w:val="single" w:sz="12" w:space="0" w:color="auto"/>
            </w:tcBorders>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8 434</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9</w:t>
            </w:r>
            <w:r w:rsidRPr="00A22A05">
              <w:rPr>
                <w:rFonts w:asciiTheme="minorHAnsi" w:hAnsiTheme="minorHAnsi" w:cstheme="minorHAnsi"/>
                <w:sz w:val="22"/>
                <w:szCs w:val="22"/>
                <w:lang w:eastAsia="bg-BG"/>
              </w:rPr>
              <w:t xml:space="preserve"> </w:t>
            </w:r>
            <w:r>
              <w:rPr>
                <w:rFonts w:asciiTheme="minorHAnsi" w:hAnsiTheme="minorHAnsi" w:cstheme="minorHAnsi"/>
                <w:sz w:val="22"/>
                <w:szCs w:val="22"/>
                <w:lang w:eastAsia="bg-BG"/>
              </w:rPr>
              <w:t>5</w:t>
            </w:r>
            <w:r w:rsidRPr="00A22A05">
              <w:rPr>
                <w:rFonts w:asciiTheme="minorHAnsi" w:hAnsiTheme="minorHAnsi" w:cstheme="minorHAnsi"/>
                <w:sz w:val="22"/>
                <w:szCs w:val="22"/>
                <w:lang w:eastAsia="bg-BG"/>
              </w:rPr>
              <w:t>02</w:t>
            </w:r>
          </w:p>
        </w:tc>
      </w:tr>
      <w:tr w:rsidR="00F243FA" w:rsidRPr="00A22A05" w:rsidTr="00667678">
        <w:trPr>
          <w:trHeight w:val="255"/>
        </w:trPr>
        <w:tc>
          <w:tcPr>
            <w:cnfStyle w:val="001000000000"/>
            <w:tcW w:w="3124" w:type="dxa"/>
            <w:noWrap/>
            <w:hideMark/>
          </w:tcPr>
          <w:p w:rsidR="00F243FA" w:rsidRPr="00A22A05" w:rsidRDefault="00F243FA" w:rsidP="00A22A05">
            <w:pPr>
              <w:autoSpaceDE/>
              <w:autoSpaceDN/>
              <w:adjustRightInd/>
              <w:spacing w:after="0"/>
              <w:jc w:val="left"/>
              <w:rPr>
                <w:rFonts w:asciiTheme="minorHAnsi" w:hAnsiTheme="minorHAnsi" w:cstheme="minorHAnsi"/>
                <w:sz w:val="22"/>
                <w:szCs w:val="22"/>
                <w:lang w:eastAsia="bg-BG"/>
              </w:rPr>
            </w:pPr>
            <w:r w:rsidRPr="00A22A05">
              <w:rPr>
                <w:rFonts w:asciiTheme="minorHAnsi" w:hAnsiTheme="minorHAnsi" w:cstheme="minorHAnsi"/>
                <w:sz w:val="22"/>
                <w:szCs w:val="22"/>
                <w:lang w:eastAsia="bg-BG"/>
              </w:rPr>
              <w:t>Лихвени заеми</w:t>
            </w:r>
          </w:p>
        </w:tc>
        <w:tc>
          <w:tcPr>
            <w:tcW w:w="1109"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7 046</w:t>
            </w:r>
          </w:p>
        </w:tc>
        <w:tc>
          <w:tcPr>
            <w:tcW w:w="1110"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3 856</w:t>
            </w:r>
          </w:p>
        </w:tc>
        <w:tc>
          <w:tcPr>
            <w:tcW w:w="1109"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4 302</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4 694</w:t>
            </w:r>
          </w:p>
        </w:tc>
        <w:tc>
          <w:tcPr>
            <w:tcW w:w="1109" w:type="dxa"/>
            <w:tcBorders>
              <w:lef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4 529</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4 939</w:t>
            </w:r>
          </w:p>
        </w:tc>
      </w:tr>
      <w:tr w:rsidR="00F243FA" w:rsidRPr="00A22A05" w:rsidTr="00667678">
        <w:trPr>
          <w:cnfStyle w:val="000000100000"/>
          <w:trHeight w:val="255"/>
        </w:trPr>
        <w:tc>
          <w:tcPr>
            <w:cnfStyle w:val="001000000000"/>
            <w:tcW w:w="3124" w:type="dxa"/>
            <w:noWrap/>
            <w:hideMark/>
          </w:tcPr>
          <w:p w:rsidR="00F243FA" w:rsidRPr="00A22A05" w:rsidRDefault="00F243FA" w:rsidP="00A22A05">
            <w:pPr>
              <w:autoSpaceDE/>
              <w:autoSpaceDN/>
              <w:adjustRightInd/>
              <w:spacing w:after="0"/>
              <w:jc w:val="left"/>
              <w:rPr>
                <w:rFonts w:asciiTheme="minorHAnsi" w:hAnsiTheme="minorHAnsi" w:cstheme="minorHAnsi"/>
                <w:sz w:val="22"/>
                <w:szCs w:val="22"/>
                <w:lang w:eastAsia="bg-BG"/>
              </w:rPr>
            </w:pPr>
            <w:r w:rsidRPr="00A22A05">
              <w:rPr>
                <w:rFonts w:asciiTheme="minorHAnsi" w:hAnsiTheme="minorHAnsi" w:cstheme="minorHAnsi"/>
                <w:sz w:val="22"/>
                <w:szCs w:val="22"/>
                <w:lang w:eastAsia="bg-BG"/>
              </w:rPr>
              <w:t>Нетен оборотен капитал</w:t>
            </w:r>
          </w:p>
        </w:tc>
        <w:tc>
          <w:tcPr>
            <w:tcW w:w="1109" w:type="dxa"/>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4 694</w:t>
            </w:r>
          </w:p>
        </w:tc>
        <w:tc>
          <w:tcPr>
            <w:tcW w:w="1110" w:type="dxa"/>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3 582</w:t>
            </w:r>
          </w:p>
        </w:tc>
        <w:tc>
          <w:tcPr>
            <w:tcW w:w="1109" w:type="dxa"/>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3 151</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4 530</w:t>
            </w:r>
          </w:p>
        </w:tc>
        <w:tc>
          <w:tcPr>
            <w:tcW w:w="1109" w:type="dxa"/>
            <w:tcBorders>
              <w:left w:val="single" w:sz="12" w:space="0" w:color="auto"/>
            </w:tcBorders>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4 755</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5 3</w:t>
            </w:r>
            <w:r w:rsidRPr="00A22A05">
              <w:rPr>
                <w:rFonts w:asciiTheme="minorHAnsi" w:hAnsiTheme="minorHAnsi" w:cstheme="minorHAnsi"/>
                <w:sz w:val="22"/>
                <w:szCs w:val="22"/>
                <w:lang w:eastAsia="bg-BG"/>
              </w:rPr>
              <w:t>97</w:t>
            </w:r>
          </w:p>
        </w:tc>
      </w:tr>
      <w:tr w:rsidR="00F243FA" w:rsidRPr="00A22A05" w:rsidTr="00667678">
        <w:trPr>
          <w:trHeight w:val="255"/>
        </w:trPr>
        <w:tc>
          <w:tcPr>
            <w:cnfStyle w:val="001000000000"/>
            <w:tcW w:w="3124" w:type="dxa"/>
            <w:noWrap/>
            <w:hideMark/>
          </w:tcPr>
          <w:p w:rsidR="00F243FA" w:rsidRPr="00A22A05" w:rsidRDefault="00F243FA" w:rsidP="00A22A05">
            <w:pPr>
              <w:autoSpaceDE/>
              <w:autoSpaceDN/>
              <w:adjustRightInd/>
              <w:spacing w:after="0"/>
              <w:jc w:val="left"/>
              <w:rPr>
                <w:rFonts w:asciiTheme="minorHAnsi" w:hAnsiTheme="minorHAnsi" w:cstheme="minorHAnsi"/>
                <w:sz w:val="22"/>
                <w:szCs w:val="22"/>
                <w:lang w:eastAsia="bg-BG"/>
              </w:rPr>
            </w:pPr>
            <w:r w:rsidRPr="00A22A05">
              <w:rPr>
                <w:rFonts w:asciiTheme="minorHAnsi" w:hAnsiTheme="minorHAnsi" w:cstheme="minorHAnsi"/>
                <w:sz w:val="22"/>
                <w:szCs w:val="22"/>
                <w:lang w:eastAsia="bg-BG"/>
              </w:rPr>
              <w:t>Изменение в НОК</w:t>
            </w:r>
          </w:p>
        </w:tc>
        <w:tc>
          <w:tcPr>
            <w:tcW w:w="1109"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2 186</w:t>
            </w:r>
          </w:p>
        </w:tc>
        <w:tc>
          <w:tcPr>
            <w:tcW w:w="1110"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-1 112</w:t>
            </w:r>
          </w:p>
        </w:tc>
        <w:tc>
          <w:tcPr>
            <w:tcW w:w="1109"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-431</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1 379</w:t>
            </w:r>
          </w:p>
        </w:tc>
        <w:tc>
          <w:tcPr>
            <w:tcW w:w="1109" w:type="dxa"/>
            <w:tcBorders>
              <w:lef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6</w:t>
            </w:r>
            <w:r w:rsidRPr="00A22A05">
              <w:rPr>
                <w:rFonts w:asciiTheme="minorHAnsi" w:hAnsiTheme="minorHAnsi" w:cstheme="minorHAnsi"/>
                <w:sz w:val="22"/>
                <w:szCs w:val="22"/>
                <w:lang w:eastAsia="bg-BG"/>
              </w:rPr>
              <w:t>42</w:t>
            </w:r>
          </w:p>
        </w:tc>
      </w:tr>
      <w:tr w:rsidR="00F243FA" w:rsidRPr="00A22A05" w:rsidTr="00667678">
        <w:trPr>
          <w:cnfStyle w:val="000000100000"/>
          <w:trHeight w:val="255"/>
        </w:trPr>
        <w:tc>
          <w:tcPr>
            <w:cnfStyle w:val="001000000000"/>
            <w:tcW w:w="3124" w:type="dxa"/>
            <w:noWrap/>
            <w:hideMark/>
          </w:tcPr>
          <w:p w:rsidR="00F243FA" w:rsidRPr="00A22A05" w:rsidRDefault="00F243FA" w:rsidP="00A22A05">
            <w:pPr>
              <w:autoSpaceDE/>
              <w:autoSpaceDN/>
              <w:adjustRightInd/>
              <w:spacing w:after="0"/>
              <w:jc w:val="left"/>
              <w:rPr>
                <w:rFonts w:asciiTheme="minorHAnsi" w:hAnsiTheme="minorHAnsi" w:cstheme="minorHAnsi"/>
                <w:sz w:val="22"/>
                <w:szCs w:val="22"/>
                <w:lang w:eastAsia="bg-BG"/>
              </w:rPr>
            </w:pPr>
            <w:r w:rsidRPr="00A22A05">
              <w:rPr>
                <w:rFonts w:asciiTheme="minorHAnsi" w:hAnsiTheme="minorHAnsi" w:cstheme="minorHAnsi"/>
                <w:sz w:val="22"/>
                <w:szCs w:val="22"/>
                <w:lang w:eastAsia="bg-BG"/>
              </w:rPr>
              <w:t> </w:t>
            </w:r>
          </w:p>
        </w:tc>
        <w:tc>
          <w:tcPr>
            <w:tcW w:w="1109" w:type="dxa"/>
            <w:noWrap/>
            <w:hideMark/>
          </w:tcPr>
          <w:p w:rsidR="00F243FA" w:rsidRPr="00A22A05" w:rsidRDefault="00F243FA" w:rsidP="00A22A05">
            <w:pPr>
              <w:autoSpaceDE/>
              <w:autoSpaceDN/>
              <w:adjustRightInd/>
              <w:spacing w:after="0"/>
              <w:jc w:val="lef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 </w:t>
            </w:r>
          </w:p>
        </w:tc>
        <w:tc>
          <w:tcPr>
            <w:tcW w:w="1110" w:type="dxa"/>
            <w:noWrap/>
            <w:hideMark/>
          </w:tcPr>
          <w:p w:rsidR="00F243FA" w:rsidRPr="00A22A05" w:rsidRDefault="00F243FA" w:rsidP="00A22A05">
            <w:pPr>
              <w:autoSpaceDE/>
              <w:autoSpaceDN/>
              <w:adjustRightInd/>
              <w:spacing w:after="0"/>
              <w:jc w:val="lef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 </w:t>
            </w:r>
          </w:p>
        </w:tc>
        <w:tc>
          <w:tcPr>
            <w:tcW w:w="1109" w:type="dxa"/>
            <w:noWrap/>
            <w:hideMark/>
          </w:tcPr>
          <w:p w:rsidR="00F243FA" w:rsidRPr="00A22A05" w:rsidRDefault="00F243FA" w:rsidP="00A22A05">
            <w:pPr>
              <w:autoSpaceDE/>
              <w:autoSpaceDN/>
              <w:adjustRightInd/>
              <w:spacing w:after="0"/>
              <w:jc w:val="lef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 </w:t>
            </w:r>
          </w:p>
        </w:tc>
        <w:tc>
          <w:tcPr>
            <w:tcW w:w="1110" w:type="dxa"/>
            <w:tcBorders>
              <w:right w:val="single" w:sz="12" w:space="0" w:color="auto"/>
            </w:tcBorders>
            <w:noWrap/>
            <w:hideMark/>
          </w:tcPr>
          <w:p w:rsidR="00F243FA" w:rsidRPr="00A22A05" w:rsidRDefault="00F243FA" w:rsidP="00A22A05">
            <w:pPr>
              <w:autoSpaceDE/>
              <w:autoSpaceDN/>
              <w:adjustRightInd/>
              <w:spacing w:after="0"/>
              <w:jc w:val="lef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 </w:t>
            </w:r>
          </w:p>
        </w:tc>
        <w:tc>
          <w:tcPr>
            <w:tcW w:w="1109" w:type="dxa"/>
            <w:tcBorders>
              <w:left w:val="single" w:sz="12" w:space="0" w:color="auto"/>
            </w:tcBorders>
            <w:noWrap/>
            <w:hideMark/>
          </w:tcPr>
          <w:p w:rsidR="00F243FA" w:rsidRPr="00A22A05" w:rsidRDefault="00F243FA" w:rsidP="00A22A05">
            <w:pPr>
              <w:autoSpaceDE/>
              <w:autoSpaceDN/>
              <w:adjustRightInd/>
              <w:spacing w:after="0"/>
              <w:jc w:val="lef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 </w:t>
            </w:r>
          </w:p>
        </w:tc>
        <w:tc>
          <w:tcPr>
            <w:tcW w:w="1110" w:type="dxa"/>
            <w:tcBorders>
              <w:right w:val="single" w:sz="12" w:space="0" w:color="auto"/>
            </w:tcBorders>
            <w:noWrap/>
            <w:hideMark/>
          </w:tcPr>
          <w:p w:rsidR="00F243FA" w:rsidRPr="00A22A05" w:rsidRDefault="00F243FA" w:rsidP="00A22A05">
            <w:pPr>
              <w:autoSpaceDE/>
              <w:autoSpaceDN/>
              <w:adjustRightInd/>
              <w:spacing w:after="0"/>
              <w:jc w:val="lef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 </w:t>
            </w:r>
          </w:p>
        </w:tc>
      </w:tr>
      <w:tr w:rsidR="00F243FA" w:rsidRPr="00A22A05" w:rsidTr="00667678">
        <w:trPr>
          <w:trHeight w:val="255"/>
        </w:trPr>
        <w:tc>
          <w:tcPr>
            <w:cnfStyle w:val="001000000000"/>
            <w:tcW w:w="3124" w:type="dxa"/>
            <w:noWrap/>
            <w:hideMark/>
          </w:tcPr>
          <w:p w:rsidR="00F243FA" w:rsidRPr="00A22A05" w:rsidRDefault="00F243FA" w:rsidP="00A22A05">
            <w:pPr>
              <w:autoSpaceDE/>
              <w:autoSpaceDN/>
              <w:adjustRightInd/>
              <w:spacing w:after="0"/>
              <w:jc w:val="left"/>
              <w:rPr>
                <w:rFonts w:asciiTheme="minorHAnsi" w:hAnsiTheme="minorHAnsi" w:cstheme="minorHAnsi"/>
                <w:sz w:val="22"/>
                <w:szCs w:val="22"/>
                <w:lang w:eastAsia="bg-BG"/>
              </w:rPr>
            </w:pPr>
            <w:r w:rsidRPr="00A22A05">
              <w:rPr>
                <w:rFonts w:asciiTheme="minorHAnsi" w:hAnsiTheme="minorHAnsi" w:cstheme="minorHAnsi"/>
                <w:sz w:val="22"/>
                <w:szCs w:val="22"/>
                <w:lang w:eastAsia="bg-BG"/>
              </w:rPr>
              <w:t>СК/Активи</w:t>
            </w:r>
          </w:p>
        </w:tc>
        <w:tc>
          <w:tcPr>
            <w:tcW w:w="1109"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29%</w:t>
            </w:r>
          </w:p>
        </w:tc>
        <w:tc>
          <w:tcPr>
            <w:tcW w:w="1110"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37%</w:t>
            </w:r>
          </w:p>
        </w:tc>
        <w:tc>
          <w:tcPr>
            <w:tcW w:w="1109"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35%</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48%</w:t>
            </w:r>
          </w:p>
        </w:tc>
        <w:tc>
          <w:tcPr>
            <w:tcW w:w="1109" w:type="dxa"/>
            <w:tcBorders>
              <w:lef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38%</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5</w:t>
            </w:r>
            <w:r>
              <w:rPr>
                <w:rFonts w:asciiTheme="minorHAnsi" w:hAnsiTheme="minorHAnsi" w:cstheme="minorHAnsi"/>
                <w:sz w:val="22"/>
                <w:szCs w:val="22"/>
                <w:lang w:eastAsia="bg-BG"/>
              </w:rPr>
              <w:t>1</w:t>
            </w:r>
            <w:r w:rsidRPr="00A22A05">
              <w:rPr>
                <w:rFonts w:asciiTheme="minorHAnsi" w:hAnsiTheme="minorHAnsi" w:cstheme="minorHAnsi"/>
                <w:sz w:val="22"/>
                <w:szCs w:val="22"/>
                <w:lang w:eastAsia="bg-BG"/>
              </w:rPr>
              <w:t>%</w:t>
            </w:r>
          </w:p>
        </w:tc>
      </w:tr>
      <w:tr w:rsidR="00F243FA" w:rsidRPr="00A22A05" w:rsidTr="00667678">
        <w:trPr>
          <w:cnfStyle w:val="000000100000"/>
          <w:trHeight w:val="255"/>
        </w:trPr>
        <w:tc>
          <w:tcPr>
            <w:cnfStyle w:val="001000000000"/>
            <w:tcW w:w="3124" w:type="dxa"/>
            <w:noWrap/>
            <w:hideMark/>
          </w:tcPr>
          <w:p w:rsidR="00F243FA" w:rsidRPr="00A22A05" w:rsidRDefault="00F243FA" w:rsidP="00A22A05">
            <w:pPr>
              <w:autoSpaceDE/>
              <w:autoSpaceDN/>
              <w:adjustRightInd/>
              <w:spacing w:after="0"/>
              <w:jc w:val="left"/>
              <w:rPr>
                <w:rFonts w:asciiTheme="minorHAnsi" w:hAnsiTheme="minorHAnsi" w:cstheme="minorHAnsi"/>
                <w:sz w:val="22"/>
                <w:szCs w:val="22"/>
                <w:lang w:eastAsia="bg-BG"/>
              </w:rPr>
            </w:pPr>
            <w:r w:rsidRPr="00A22A05">
              <w:rPr>
                <w:rFonts w:asciiTheme="minorHAnsi" w:hAnsiTheme="minorHAnsi" w:cstheme="minorHAnsi"/>
                <w:sz w:val="22"/>
                <w:szCs w:val="22"/>
                <w:lang w:eastAsia="bg-BG"/>
              </w:rPr>
              <w:t>СК/Пасиви</w:t>
            </w:r>
          </w:p>
        </w:tc>
        <w:tc>
          <w:tcPr>
            <w:tcW w:w="1109" w:type="dxa"/>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42%</w:t>
            </w:r>
          </w:p>
        </w:tc>
        <w:tc>
          <w:tcPr>
            <w:tcW w:w="1110" w:type="dxa"/>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58%</w:t>
            </w:r>
          </w:p>
        </w:tc>
        <w:tc>
          <w:tcPr>
            <w:tcW w:w="1109" w:type="dxa"/>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55%</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93%</w:t>
            </w:r>
          </w:p>
        </w:tc>
        <w:tc>
          <w:tcPr>
            <w:tcW w:w="1109" w:type="dxa"/>
            <w:tcBorders>
              <w:left w:val="single" w:sz="12" w:space="0" w:color="auto"/>
            </w:tcBorders>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61%</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1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1</w:t>
            </w:r>
            <w:r>
              <w:rPr>
                <w:rFonts w:asciiTheme="minorHAnsi" w:hAnsiTheme="minorHAnsi" w:cstheme="minorHAnsi"/>
                <w:sz w:val="22"/>
                <w:szCs w:val="22"/>
                <w:lang w:eastAsia="bg-BG"/>
              </w:rPr>
              <w:t>06</w:t>
            </w:r>
            <w:r w:rsidRPr="00A22A05">
              <w:rPr>
                <w:rFonts w:asciiTheme="minorHAnsi" w:hAnsiTheme="minorHAnsi" w:cstheme="minorHAnsi"/>
                <w:sz w:val="22"/>
                <w:szCs w:val="22"/>
                <w:lang w:eastAsia="bg-BG"/>
              </w:rPr>
              <w:t>%</w:t>
            </w:r>
          </w:p>
        </w:tc>
      </w:tr>
      <w:tr w:rsidR="00F243FA" w:rsidRPr="00A22A05" w:rsidTr="00667678">
        <w:trPr>
          <w:trHeight w:val="255"/>
        </w:trPr>
        <w:tc>
          <w:tcPr>
            <w:cnfStyle w:val="001000000000"/>
            <w:tcW w:w="3124" w:type="dxa"/>
            <w:noWrap/>
            <w:hideMark/>
          </w:tcPr>
          <w:p w:rsidR="00F243FA" w:rsidRPr="00A22A05" w:rsidRDefault="00F243FA" w:rsidP="00A22A05">
            <w:pPr>
              <w:autoSpaceDE/>
              <w:autoSpaceDN/>
              <w:adjustRightInd/>
              <w:spacing w:after="0"/>
              <w:jc w:val="left"/>
              <w:rPr>
                <w:rFonts w:asciiTheme="minorHAnsi" w:hAnsiTheme="minorHAnsi" w:cstheme="minorHAnsi"/>
                <w:sz w:val="22"/>
                <w:szCs w:val="22"/>
                <w:lang w:eastAsia="bg-BG"/>
              </w:rPr>
            </w:pPr>
            <w:r w:rsidRPr="00A22A05">
              <w:rPr>
                <w:rFonts w:asciiTheme="minorHAnsi" w:hAnsiTheme="minorHAnsi" w:cstheme="minorHAnsi"/>
                <w:sz w:val="22"/>
                <w:szCs w:val="22"/>
                <w:lang w:eastAsia="bg-BG"/>
              </w:rPr>
              <w:t>К.ср. Активи/К.ср. Пасиви</w:t>
            </w:r>
          </w:p>
        </w:tc>
        <w:tc>
          <w:tcPr>
            <w:tcW w:w="1109"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1,08</w:t>
            </w:r>
          </w:p>
        </w:tc>
        <w:tc>
          <w:tcPr>
            <w:tcW w:w="1110"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1,29</w:t>
            </w:r>
          </w:p>
        </w:tc>
        <w:tc>
          <w:tcPr>
            <w:tcW w:w="1109" w:type="dxa"/>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1,25</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1,49</w:t>
            </w:r>
          </w:p>
        </w:tc>
        <w:tc>
          <w:tcPr>
            <w:tcW w:w="1109" w:type="dxa"/>
            <w:tcBorders>
              <w:lef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1,38</w:t>
            </w:r>
          </w:p>
        </w:tc>
        <w:tc>
          <w:tcPr>
            <w:tcW w:w="1110" w:type="dxa"/>
            <w:tcBorders>
              <w:right w:val="single" w:sz="12" w:space="0" w:color="auto"/>
            </w:tcBorders>
            <w:noWrap/>
            <w:hideMark/>
          </w:tcPr>
          <w:p w:rsidR="00F243FA" w:rsidRPr="00A22A05" w:rsidRDefault="00F243FA" w:rsidP="00A22A05">
            <w:pPr>
              <w:autoSpaceDE/>
              <w:autoSpaceDN/>
              <w:adjustRightInd/>
              <w:spacing w:after="0"/>
              <w:jc w:val="right"/>
              <w:cnfStyle w:val="000000000000"/>
              <w:rPr>
                <w:rFonts w:asciiTheme="minorHAnsi" w:hAnsiTheme="minorHAnsi" w:cstheme="minorHAnsi"/>
                <w:sz w:val="22"/>
                <w:szCs w:val="22"/>
                <w:lang w:eastAsia="bg-BG"/>
              </w:rPr>
            </w:pPr>
            <w:r w:rsidRPr="00A22A05">
              <w:rPr>
                <w:rFonts w:asciiTheme="minorHAnsi" w:hAnsiTheme="minorHAnsi" w:cstheme="minorHAnsi"/>
                <w:sz w:val="22"/>
                <w:szCs w:val="22"/>
                <w:lang w:eastAsia="bg-BG"/>
              </w:rPr>
              <w:t>1,</w:t>
            </w:r>
            <w:r>
              <w:rPr>
                <w:rFonts w:asciiTheme="minorHAnsi" w:hAnsiTheme="minorHAnsi" w:cstheme="minorHAnsi"/>
                <w:sz w:val="22"/>
                <w:szCs w:val="22"/>
                <w:lang w:eastAsia="bg-BG"/>
              </w:rPr>
              <w:t>72</w:t>
            </w:r>
          </w:p>
        </w:tc>
      </w:tr>
    </w:tbl>
    <w:p w:rsidR="008B6AB3" w:rsidRPr="00A904E3" w:rsidRDefault="008B6AB3" w:rsidP="008B6AB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91248A" w:rsidRDefault="0091248A" w:rsidP="00265B00">
      <w:pPr>
        <w:spacing w:after="120"/>
      </w:pPr>
    </w:p>
    <w:p w:rsidR="008F13F9" w:rsidRDefault="008F13F9" w:rsidP="00265B00">
      <w:pPr>
        <w:spacing w:after="120"/>
      </w:pPr>
      <w:r>
        <w:t>Свободните източници на ликвидност са договорения банков овърдрафт, предоставените търговски заеми и най-вече частта от печалбата на дружеството, която надхвърля необходимостта от реинвестиции за развитието на дейността.</w:t>
      </w:r>
    </w:p>
    <w:p w:rsidR="00D373AE" w:rsidRPr="00EA1CC6" w:rsidRDefault="00D373AE" w:rsidP="00265B00">
      <w:pPr>
        <w:spacing w:after="120"/>
      </w:pPr>
    </w:p>
    <w:p w:rsidR="00426E2F" w:rsidRDefault="00426E2F">
      <w:pPr>
        <w:autoSpaceDE/>
        <w:autoSpaceDN/>
        <w:adjustRightInd/>
        <w:spacing w:after="0"/>
        <w:jc w:val="left"/>
        <w:rPr>
          <w:bCs/>
          <w:i/>
          <w:kern w:val="32"/>
        </w:rPr>
      </w:pPr>
      <w:r>
        <w:rPr>
          <w:b/>
          <w:i/>
        </w:rPr>
        <w:br w:type="page"/>
      </w:r>
    </w:p>
    <w:p w:rsidR="00FC3657" w:rsidRDefault="0091248A" w:rsidP="005B0AC1">
      <w:pPr>
        <w:pStyle w:val="Heading1"/>
        <w:numPr>
          <w:ilvl w:val="2"/>
          <w:numId w:val="11"/>
        </w:numPr>
        <w:ind w:left="709" w:hanging="709"/>
        <w:rPr>
          <w:rFonts w:ascii="Times New Roman" w:hAnsi="Times New Roman"/>
          <w:b w:val="0"/>
          <w:i/>
          <w:sz w:val="24"/>
          <w:szCs w:val="24"/>
        </w:rPr>
      </w:pPr>
      <w:bookmarkStart w:id="101" w:name="_Toc324376940"/>
      <w:bookmarkStart w:id="102" w:name="_Toc324380099"/>
      <w:r w:rsidRPr="005B0AC1">
        <w:rPr>
          <w:rFonts w:ascii="Times New Roman" w:hAnsi="Times New Roman"/>
          <w:b w:val="0"/>
          <w:i/>
          <w:sz w:val="24"/>
          <w:szCs w:val="24"/>
        </w:rPr>
        <w:t xml:space="preserve">Описание </w:t>
      </w:r>
      <w:r w:rsidR="002F0D08" w:rsidRPr="005B0AC1">
        <w:rPr>
          <w:rFonts w:ascii="Times New Roman" w:hAnsi="Times New Roman"/>
          <w:b w:val="0"/>
          <w:i/>
          <w:sz w:val="24"/>
          <w:szCs w:val="24"/>
        </w:rPr>
        <w:t>на</w:t>
      </w:r>
      <w:r w:rsidR="00FC3657" w:rsidRPr="005B0AC1">
        <w:rPr>
          <w:rFonts w:ascii="Times New Roman" w:hAnsi="Times New Roman"/>
          <w:b w:val="0"/>
          <w:i/>
          <w:sz w:val="24"/>
          <w:szCs w:val="24"/>
        </w:rPr>
        <w:t xml:space="preserve"> парични</w:t>
      </w:r>
      <w:r w:rsidR="002F0D08" w:rsidRPr="005B0AC1">
        <w:rPr>
          <w:rFonts w:ascii="Times New Roman" w:hAnsi="Times New Roman"/>
          <w:b w:val="0"/>
          <w:i/>
          <w:sz w:val="24"/>
          <w:szCs w:val="24"/>
        </w:rPr>
        <w:t>те</w:t>
      </w:r>
      <w:r w:rsidR="00FC3657" w:rsidRPr="005B0AC1">
        <w:rPr>
          <w:rFonts w:ascii="Times New Roman" w:hAnsi="Times New Roman"/>
          <w:b w:val="0"/>
          <w:i/>
          <w:sz w:val="24"/>
          <w:szCs w:val="24"/>
        </w:rPr>
        <w:t xml:space="preserve"> потоци;</w:t>
      </w:r>
      <w:bookmarkEnd w:id="101"/>
      <w:bookmarkEnd w:id="102"/>
    </w:p>
    <w:p w:rsidR="0091248A" w:rsidRPr="00EA1CC6" w:rsidRDefault="0091248A" w:rsidP="0091248A">
      <w:pPr>
        <w:spacing w:after="120"/>
      </w:pPr>
      <w:r>
        <w:t xml:space="preserve">Положителните парични потоци се формират от постъпленията от продажби, а плащанията са към доставчици, персонала и държавата. </w:t>
      </w:r>
      <w:r w:rsidR="00D70BF4">
        <w:t>„СПИДИ” ЕАД</w:t>
      </w:r>
      <w:r>
        <w:t xml:space="preserve"> генерира силен паричен поток от оперативна дейност, който е достатъчен за финансиране на инвестиционната програма и погасяването на падежиращите задължения. Останалите свободни средства дават възможност на компанията да разпредел</w:t>
      </w:r>
      <w:r w:rsidR="00DE0820">
        <w:t>я дивидент, който възлиза на 9,5</w:t>
      </w:r>
      <w:r>
        <w:t xml:space="preserve"> млн. лв. от 2009 г. до момента</w:t>
      </w:r>
      <w:r w:rsidR="004A6DAF">
        <w:t xml:space="preserve"> (платения с парични средства е 6,5 млн. лв.)</w:t>
      </w:r>
      <w:r>
        <w:t>.</w:t>
      </w:r>
    </w:p>
    <w:tbl>
      <w:tblPr>
        <w:tblStyle w:val="MediumShading2-Accent11"/>
        <w:tblW w:w="9781" w:type="dxa"/>
        <w:tblInd w:w="108" w:type="dxa"/>
        <w:tblLayout w:type="fixed"/>
        <w:tblLook w:val="04A0"/>
      </w:tblPr>
      <w:tblGrid>
        <w:gridCol w:w="3794"/>
        <w:gridCol w:w="835"/>
        <w:gridCol w:w="835"/>
        <w:gridCol w:w="835"/>
        <w:gridCol w:w="835"/>
        <w:gridCol w:w="835"/>
        <w:gridCol w:w="835"/>
        <w:gridCol w:w="977"/>
      </w:tblGrid>
      <w:tr w:rsidR="00F243FA" w:rsidRPr="00326949" w:rsidTr="00426E2F">
        <w:trPr>
          <w:cnfStyle w:val="100000000000"/>
          <w:trHeight w:val="300"/>
        </w:trPr>
        <w:tc>
          <w:tcPr>
            <w:cnfStyle w:val="001000000100"/>
            <w:tcW w:w="3794" w:type="dxa"/>
            <w:noWrap/>
            <w:hideMark/>
          </w:tcPr>
          <w:p w:rsidR="00F243FA" w:rsidRPr="00F05A3A" w:rsidRDefault="00F243FA" w:rsidP="0080674A">
            <w:pPr>
              <w:tabs>
                <w:tab w:val="right" w:pos="2477"/>
              </w:tabs>
              <w:autoSpaceDE/>
              <w:autoSpaceDN/>
              <w:adjustRightInd/>
              <w:spacing w:after="0"/>
              <w:jc w:val="center"/>
              <w:rPr>
                <w:rFonts w:asciiTheme="minorHAnsi" w:hAnsiTheme="minorHAnsi" w:cstheme="minorHAnsi"/>
                <w:sz w:val="22"/>
                <w:szCs w:val="22"/>
                <w:lang w:eastAsia="bg-BG"/>
              </w:rPr>
            </w:pPr>
            <w:r>
              <w:rPr>
                <w:rFonts w:asciiTheme="minorHAnsi" w:hAnsiTheme="minorHAnsi" w:cstheme="minorHAnsi"/>
                <w:sz w:val="22"/>
                <w:szCs w:val="22"/>
                <w:lang w:eastAsia="bg-BG"/>
              </w:rPr>
              <w:t>В хил. лв.</w:t>
            </w:r>
          </w:p>
        </w:tc>
        <w:tc>
          <w:tcPr>
            <w:tcW w:w="835" w:type="dxa"/>
          </w:tcPr>
          <w:p w:rsidR="00F243FA" w:rsidRPr="00326949" w:rsidRDefault="00F243FA" w:rsidP="002E2A94">
            <w:pPr>
              <w:autoSpaceDE/>
              <w:autoSpaceDN/>
              <w:adjustRightInd/>
              <w:spacing w:after="0"/>
              <w:jc w:val="center"/>
              <w:cnfStyle w:val="100000000000"/>
              <w:rPr>
                <w:rFonts w:asciiTheme="minorHAnsi" w:hAnsiTheme="minorHAnsi" w:cstheme="minorHAnsi"/>
                <w:bCs w:val="0"/>
                <w:sz w:val="20"/>
                <w:szCs w:val="20"/>
                <w:lang w:eastAsia="bg-BG"/>
              </w:rPr>
            </w:pPr>
            <w:r w:rsidRPr="00326949">
              <w:rPr>
                <w:rFonts w:asciiTheme="minorHAnsi" w:hAnsiTheme="minorHAnsi" w:cstheme="minorHAnsi"/>
                <w:bCs w:val="0"/>
                <w:sz w:val="20"/>
                <w:szCs w:val="20"/>
                <w:lang w:eastAsia="bg-BG"/>
              </w:rPr>
              <w:t>2009</w:t>
            </w:r>
          </w:p>
        </w:tc>
        <w:tc>
          <w:tcPr>
            <w:tcW w:w="835" w:type="dxa"/>
          </w:tcPr>
          <w:p w:rsidR="00F243FA" w:rsidRPr="00326949" w:rsidRDefault="00F243FA" w:rsidP="002E2A94">
            <w:pPr>
              <w:autoSpaceDE/>
              <w:autoSpaceDN/>
              <w:adjustRightInd/>
              <w:spacing w:after="0"/>
              <w:jc w:val="center"/>
              <w:cnfStyle w:val="100000000000"/>
              <w:rPr>
                <w:rFonts w:asciiTheme="minorHAnsi" w:hAnsiTheme="minorHAnsi" w:cstheme="minorHAnsi"/>
                <w:bCs w:val="0"/>
                <w:sz w:val="20"/>
                <w:szCs w:val="20"/>
                <w:lang w:eastAsia="bg-BG"/>
              </w:rPr>
            </w:pPr>
            <w:r w:rsidRPr="00326949">
              <w:rPr>
                <w:rFonts w:asciiTheme="minorHAnsi" w:hAnsiTheme="minorHAnsi" w:cstheme="minorHAnsi"/>
                <w:bCs w:val="0"/>
                <w:sz w:val="20"/>
                <w:szCs w:val="20"/>
                <w:lang w:eastAsia="bg-BG"/>
              </w:rPr>
              <w:t>2010</w:t>
            </w:r>
          </w:p>
        </w:tc>
        <w:tc>
          <w:tcPr>
            <w:tcW w:w="835" w:type="dxa"/>
          </w:tcPr>
          <w:p w:rsidR="00F243FA" w:rsidRPr="00326949" w:rsidRDefault="00F243FA" w:rsidP="002E2A94">
            <w:pPr>
              <w:autoSpaceDE/>
              <w:autoSpaceDN/>
              <w:adjustRightInd/>
              <w:spacing w:after="0"/>
              <w:jc w:val="center"/>
              <w:cnfStyle w:val="100000000000"/>
              <w:rPr>
                <w:rFonts w:asciiTheme="minorHAnsi" w:hAnsiTheme="minorHAnsi" w:cstheme="minorHAnsi"/>
                <w:bCs w:val="0"/>
                <w:sz w:val="20"/>
                <w:szCs w:val="20"/>
                <w:lang w:eastAsia="bg-BG"/>
              </w:rPr>
            </w:pPr>
            <w:r w:rsidRPr="00326949">
              <w:rPr>
                <w:rFonts w:asciiTheme="minorHAnsi" w:hAnsiTheme="minorHAnsi" w:cstheme="minorHAnsi"/>
                <w:bCs w:val="0"/>
                <w:sz w:val="20"/>
                <w:szCs w:val="20"/>
                <w:lang w:eastAsia="bg-BG"/>
              </w:rPr>
              <w:t>2011</w:t>
            </w:r>
          </w:p>
        </w:tc>
        <w:tc>
          <w:tcPr>
            <w:tcW w:w="835" w:type="dxa"/>
          </w:tcPr>
          <w:p w:rsidR="00F243FA" w:rsidRPr="00326949" w:rsidRDefault="00F243FA" w:rsidP="00640A93">
            <w:pPr>
              <w:jc w:val="center"/>
              <w:cnfStyle w:val="100000000000"/>
              <w:rPr>
                <w:rFonts w:asciiTheme="minorHAnsi" w:hAnsiTheme="minorHAnsi" w:cstheme="minorHAnsi"/>
                <w:sz w:val="20"/>
                <w:szCs w:val="20"/>
              </w:rPr>
            </w:pPr>
            <w:r w:rsidRPr="00326949">
              <w:rPr>
                <w:rFonts w:asciiTheme="minorHAnsi" w:hAnsiTheme="minorHAnsi" w:cstheme="minorHAnsi"/>
                <w:bCs w:val="0"/>
                <w:sz w:val="20"/>
                <w:szCs w:val="20"/>
              </w:rPr>
              <w:t>Q1 11</w:t>
            </w:r>
          </w:p>
        </w:tc>
        <w:tc>
          <w:tcPr>
            <w:tcW w:w="835" w:type="dxa"/>
            <w:tcBorders>
              <w:right w:val="single" w:sz="12" w:space="0" w:color="auto"/>
            </w:tcBorders>
          </w:tcPr>
          <w:p w:rsidR="00F243FA" w:rsidRPr="00326949" w:rsidRDefault="00F243FA" w:rsidP="00640A93">
            <w:pPr>
              <w:jc w:val="center"/>
              <w:cnfStyle w:val="100000000000"/>
              <w:rPr>
                <w:rFonts w:asciiTheme="minorHAnsi" w:hAnsiTheme="minorHAnsi" w:cstheme="minorHAnsi"/>
                <w:sz w:val="20"/>
                <w:szCs w:val="20"/>
              </w:rPr>
            </w:pPr>
            <w:r w:rsidRPr="00326949">
              <w:rPr>
                <w:rFonts w:asciiTheme="minorHAnsi" w:hAnsiTheme="minorHAnsi" w:cstheme="minorHAnsi"/>
                <w:bCs w:val="0"/>
                <w:sz w:val="20"/>
                <w:szCs w:val="20"/>
              </w:rPr>
              <w:t>Q1 12</w:t>
            </w:r>
          </w:p>
        </w:tc>
        <w:tc>
          <w:tcPr>
            <w:tcW w:w="835" w:type="dxa"/>
            <w:tcBorders>
              <w:left w:val="single" w:sz="12" w:space="0" w:color="auto"/>
            </w:tcBorders>
            <w:hideMark/>
          </w:tcPr>
          <w:p w:rsidR="00F243FA" w:rsidRPr="00326949" w:rsidRDefault="00F243FA" w:rsidP="00640A93">
            <w:pPr>
              <w:jc w:val="center"/>
              <w:cnfStyle w:val="100000000000"/>
              <w:rPr>
                <w:rFonts w:asciiTheme="minorHAnsi" w:hAnsiTheme="minorHAnsi" w:cstheme="minorHAnsi"/>
                <w:sz w:val="20"/>
                <w:szCs w:val="20"/>
              </w:rPr>
            </w:pPr>
            <w:r w:rsidRPr="00326949">
              <w:rPr>
                <w:rFonts w:asciiTheme="minorHAnsi" w:hAnsiTheme="minorHAnsi" w:cstheme="minorHAnsi"/>
                <w:bCs w:val="0"/>
                <w:sz w:val="20"/>
                <w:szCs w:val="20"/>
              </w:rPr>
              <w:t>2011 К</w:t>
            </w:r>
          </w:p>
        </w:tc>
        <w:tc>
          <w:tcPr>
            <w:tcW w:w="977" w:type="dxa"/>
            <w:tcBorders>
              <w:right w:val="single" w:sz="12" w:space="0" w:color="auto"/>
            </w:tcBorders>
            <w:hideMark/>
          </w:tcPr>
          <w:p w:rsidR="00F243FA" w:rsidRPr="00326949" w:rsidRDefault="00F243FA" w:rsidP="00640A93">
            <w:pPr>
              <w:jc w:val="center"/>
              <w:cnfStyle w:val="100000000000"/>
              <w:rPr>
                <w:rFonts w:asciiTheme="minorHAnsi" w:hAnsiTheme="minorHAnsi" w:cstheme="minorHAnsi"/>
                <w:sz w:val="20"/>
                <w:szCs w:val="20"/>
              </w:rPr>
            </w:pPr>
            <w:r w:rsidRPr="00326949">
              <w:rPr>
                <w:rFonts w:asciiTheme="minorHAnsi" w:hAnsiTheme="minorHAnsi" w:cstheme="minorHAnsi"/>
                <w:bCs w:val="0"/>
                <w:sz w:val="20"/>
                <w:szCs w:val="20"/>
              </w:rPr>
              <w:t>Q1 12 К</w:t>
            </w:r>
          </w:p>
        </w:tc>
      </w:tr>
      <w:tr w:rsidR="00F243FA" w:rsidRPr="00182AE4" w:rsidTr="00426E2F">
        <w:trPr>
          <w:cnfStyle w:val="000000100000"/>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Постъпления от клиенти</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43 490</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43 825</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58 689</w:t>
            </w:r>
          </w:p>
        </w:tc>
        <w:tc>
          <w:tcPr>
            <w:tcW w:w="835" w:type="dxa"/>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12 440</w:t>
            </w:r>
          </w:p>
        </w:tc>
        <w:tc>
          <w:tcPr>
            <w:tcW w:w="835" w:type="dxa"/>
            <w:tcBorders>
              <w:right w:val="single" w:sz="12" w:space="0" w:color="auto"/>
            </w:tcBorders>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15 861</w:t>
            </w:r>
          </w:p>
        </w:tc>
        <w:tc>
          <w:tcPr>
            <w:tcW w:w="835" w:type="dxa"/>
            <w:tcBorders>
              <w:left w:val="single" w:sz="12" w:space="0" w:color="auto"/>
            </w:tcBorders>
            <w:noWrap/>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59 491</w:t>
            </w:r>
          </w:p>
        </w:tc>
        <w:tc>
          <w:tcPr>
            <w:tcW w:w="977" w:type="dxa"/>
            <w:tcBorders>
              <w:right w:val="single" w:sz="12" w:space="0" w:color="auto"/>
            </w:tcBorders>
            <w:noWrap/>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16 047</w:t>
            </w:r>
          </w:p>
        </w:tc>
      </w:tr>
      <w:tr w:rsidR="00F243FA" w:rsidRPr="00182AE4" w:rsidTr="00426E2F">
        <w:trPr>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Плащания към доставчици</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-34 665</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-36 090</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-47 990</w:t>
            </w:r>
          </w:p>
        </w:tc>
        <w:tc>
          <w:tcPr>
            <w:tcW w:w="835" w:type="dxa"/>
            <w:vAlign w:val="center"/>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-11 722</w:t>
            </w:r>
          </w:p>
        </w:tc>
        <w:tc>
          <w:tcPr>
            <w:tcW w:w="835" w:type="dxa"/>
            <w:tcBorders>
              <w:right w:val="single" w:sz="12" w:space="0" w:color="auto"/>
            </w:tcBorders>
            <w:vAlign w:val="center"/>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-14 322</w:t>
            </w:r>
          </w:p>
        </w:tc>
        <w:tc>
          <w:tcPr>
            <w:tcW w:w="835" w:type="dxa"/>
            <w:tcBorders>
              <w:left w:val="single" w:sz="12" w:space="0" w:color="auto"/>
            </w:tcBorders>
            <w:noWrap/>
            <w:vAlign w:val="center"/>
            <w:hideMark/>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-32 074</w:t>
            </w:r>
          </w:p>
        </w:tc>
        <w:tc>
          <w:tcPr>
            <w:tcW w:w="977" w:type="dxa"/>
            <w:tcBorders>
              <w:right w:val="single" w:sz="12" w:space="0" w:color="auto"/>
            </w:tcBorders>
            <w:noWrap/>
            <w:vAlign w:val="center"/>
            <w:hideMark/>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-11 613</w:t>
            </w:r>
          </w:p>
        </w:tc>
      </w:tr>
      <w:tr w:rsidR="00F243FA" w:rsidRPr="00182AE4" w:rsidTr="00426E2F">
        <w:trPr>
          <w:cnfStyle w:val="000000100000"/>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Възнаграждения на перонала</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-1 757</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-2 186</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-2 968</w:t>
            </w:r>
          </w:p>
        </w:tc>
        <w:tc>
          <w:tcPr>
            <w:tcW w:w="835" w:type="dxa"/>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-788</w:t>
            </w:r>
          </w:p>
        </w:tc>
        <w:tc>
          <w:tcPr>
            <w:tcW w:w="835" w:type="dxa"/>
            <w:tcBorders>
              <w:right w:val="single" w:sz="12" w:space="0" w:color="auto"/>
            </w:tcBorders>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-798</w:t>
            </w:r>
          </w:p>
        </w:tc>
        <w:tc>
          <w:tcPr>
            <w:tcW w:w="835" w:type="dxa"/>
            <w:tcBorders>
              <w:left w:val="single" w:sz="12" w:space="0" w:color="auto"/>
            </w:tcBorders>
            <w:noWrap/>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-14 501</w:t>
            </w:r>
          </w:p>
        </w:tc>
        <w:tc>
          <w:tcPr>
            <w:tcW w:w="977" w:type="dxa"/>
            <w:tcBorders>
              <w:right w:val="single" w:sz="12" w:space="0" w:color="auto"/>
            </w:tcBorders>
            <w:noWrap/>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-2 647</w:t>
            </w:r>
          </w:p>
        </w:tc>
      </w:tr>
      <w:tr w:rsidR="00F243FA" w:rsidRPr="00182AE4" w:rsidTr="00426E2F">
        <w:trPr>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Плащания за данъци</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-1 674</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-1 903</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-1 804</w:t>
            </w:r>
          </w:p>
        </w:tc>
        <w:tc>
          <w:tcPr>
            <w:tcW w:w="835" w:type="dxa"/>
            <w:vAlign w:val="center"/>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right w:val="single" w:sz="12" w:space="0" w:color="auto"/>
            </w:tcBorders>
            <w:vAlign w:val="center"/>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left w:val="single" w:sz="12" w:space="0" w:color="auto"/>
            </w:tcBorders>
            <w:noWrap/>
            <w:vAlign w:val="center"/>
            <w:hideMark/>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-5 872</w:t>
            </w:r>
          </w:p>
        </w:tc>
        <w:tc>
          <w:tcPr>
            <w:tcW w:w="977" w:type="dxa"/>
            <w:tcBorders>
              <w:right w:val="single" w:sz="12" w:space="0" w:color="auto"/>
            </w:tcBorders>
            <w:noWrap/>
            <w:vAlign w:val="center"/>
            <w:hideMark/>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-691</w:t>
            </w:r>
          </w:p>
        </w:tc>
      </w:tr>
      <w:tr w:rsidR="00F243FA" w:rsidRPr="00182AE4" w:rsidTr="00426E2F">
        <w:trPr>
          <w:cnfStyle w:val="000000100000"/>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Други постъпления (плащания)</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142</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244</w:t>
            </w:r>
          </w:p>
        </w:tc>
        <w:tc>
          <w:tcPr>
            <w:tcW w:w="835" w:type="dxa"/>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right w:val="single" w:sz="12" w:space="0" w:color="auto"/>
            </w:tcBorders>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left w:val="single" w:sz="12" w:space="0" w:color="auto"/>
            </w:tcBorders>
            <w:noWrap/>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244</w:t>
            </w:r>
          </w:p>
        </w:tc>
        <w:tc>
          <w:tcPr>
            <w:tcW w:w="977" w:type="dxa"/>
            <w:tcBorders>
              <w:right w:val="single" w:sz="12" w:space="0" w:color="auto"/>
            </w:tcBorders>
            <w:noWrap/>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r>
      <w:tr w:rsidR="00F243FA" w:rsidRPr="00326949" w:rsidTr="00426E2F">
        <w:trPr>
          <w:trHeight w:val="255"/>
        </w:trPr>
        <w:tc>
          <w:tcPr>
            <w:cnfStyle w:val="001000000000"/>
            <w:tcW w:w="3794" w:type="dxa"/>
            <w:hideMark/>
          </w:tcPr>
          <w:p w:rsidR="00F243FA" w:rsidRPr="00326949" w:rsidRDefault="00F243FA" w:rsidP="002E2A94">
            <w:pPr>
              <w:autoSpaceDE/>
              <w:autoSpaceDN/>
              <w:adjustRightInd/>
              <w:spacing w:after="0"/>
              <w:jc w:val="right"/>
              <w:rPr>
                <w:rFonts w:asciiTheme="minorHAnsi" w:hAnsiTheme="minorHAnsi" w:cstheme="minorHAnsi"/>
                <w:bCs w:val="0"/>
                <w:sz w:val="20"/>
                <w:szCs w:val="20"/>
                <w:lang w:eastAsia="bg-BG"/>
              </w:rPr>
            </w:pPr>
            <w:r w:rsidRPr="00326949">
              <w:rPr>
                <w:rFonts w:asciiTheme="minorHAnsi" w:hAnsiTheme="minorHAnsi" w:cstheme="minorHAnsi"/>
                <w:bCs w:val="0"/>
                <w:sz w:val="20"/>
                <w:szCs w:val="20"/>
                <w:lang w:eastAsia="bg-BG"/>
              </w:rPr>
              <w:t>Нетен паричен поток от оперативна дейност</w:t>
            </w:r>
          </w:p>
        </w:tc>
        <w:tc>
          <w:tcPr>
            <w:tcW w:w="835" w:type="dxa"/>
            <w:vAlign w:val="center"/>
          </w:tcPr>
          <w:p w:rsidR="00F243FA" w:rsidRPr="00326949" w:rsidRDefault="00F243FA" w:rsidP="00326949">
            <w:pPr>
              <w:autoSpaceDE/>
              <w:autoSpaceDN/>
              <w:adjustRightInd/>
              <w:spacing w:after="0"/>
              <w:jc w:val="right"/>
              <w:cnfStyle w:val="000000000000"/>
              <w:rPr>
                <w:rFonts w:asciiTheme="minorHAnsi" w:hAnsiTheme="minorHAnsi" w:cstheme="minorHAnsi"/>
                <w:b/>
                <w:bCs/>
                <w:sz w:val="20"/>
                <w:szCs w:val="20"/>
                <w:lang w:eastAsia="bg-BG"/>
              </w:rPr>
            </w:pPr>
            <w:r w:rsidRPr="00326949">
              <w:rPr>
                <w:rFonts w:asciiTheme="minorHAnsi" w:hAnsiTheme="minorHAnsi" w:cstheme="minorHAnsi"/>
                <w:b/>
                <w:bCs/>
                <w:sz w:val="20"/>
                <w:szCs w:val="20"/>
                <w:lang w:eastAsia="bg-BG"/>
              </w:rPr>
              <w:t>5 394</w:t>
            </w:r>
          </w:p>
        </w:tc>
        <w:tc>
          <w:tcPr>
            <w:tcW w:w="835" w:type="dxa"/>
            <w:vAlign w:val="center"/>
          </w:tcPr>
          <w:p w:rsidR="00F243FA" w:rsidRPr="00326949" w:rsidRDefault="00F243FA" w:rsidP="00326949">
            <w:pPr>
              <w:autoSpaceDE/>
              <w:autoSpaceDN/>
              <w:adjustRightInd/>
              <w:spacing w:after="0"/>
              <w:jc w:val="right"/>
              <w:cnfStyle w:val="000000000000"/>
              <w:rPr>
                <w:rFonts w:asciiTheme="minorHAnsi" w:hAnsiTheme="minorHAnsi" w:cstheme="minorHAnsi"/>
                <w:b/>
                <w:bCs/>
                <w:sz w:val="20"/>
                <w:szCs w:val="20"/>
                <w:lang w:eastAsia="bg-BG"/>
              </w:rPr>
            </w:pPr>
            <w:r w:rsidRPr="00326949">
              <w:rPr>
                <w:rFonts w:asciiTheme="minorHAnsi" w:hAnsiTheme="minorHAnsi" w:cstheme="minorHAnsi"/>
                <w:b/>
                <w:bCs/>
                <w:sz w:val="20"/>
                <w:szCs w:val="20"/>
                <w:lang w:eastAsia="bg-BG"/>
              </w:rPr>
              <w:t>3 788</w:t>
            </w:r>
          </w:p>
        </w:tc>
        <w:tc>
          <w:tcPr>
            <w:tcW w:w="835" w:type="dxa"/>
            <w:vAlign w:val="center"/>
          </w:tcPr>
          <w:p w:rsidR="00F243FA" w:rsidRPr="00326949" w:rsidRDefault="00F243FA" w:rsidP="00326949">
            <w:pPr>
              <w:autoSpaceDE/>
              <w:autoSpaceDN/>
              <w:adjustRightInd/>
              <w:spacing w:after="0"/>
              <w:jc w:val="right"/>
              <w:cnfStyle w:val="000000000000"/>
              <w:rPr>
                <w:rFonts w:asciiTheme="minorHAnsi" w:hAnsiTheme="minorHAnsi" w:cstheme="minorHAnsi"/>
                <w:b/>
                <w:bCs/>
                <w:sz w:val="20"/>
                <w:szCs w:val="20"/>
                <w:lang w:eastAsia="bg-BG"/>
              </w:rPr>
            </w:pPr>
            <w:r w:rsidRPr="00326949">
              <w:rPr>
                <w:rFonts w:asciiTheme="minorHAnsi" w:hAnsiTheme="minorHAnsi" w:cstheme="minorHAnsi"/>
                <w:b/>
                <w:bCs/>
                <w:sz w:val="20"/>
                <w:szCs w:val="20"/>
                <w:lang w:eastAsia="bg-BG"/>
              </w:rPr>
              <w:t>6 171</w:t>
            </w:r>
          </w:p>
        </w:tc>
        <w:tc>
          <w:tcPr>
            <w:tcW w:w="835" w:type="dxa"/>
            <w:vAlign w:val="center"/>
          </w:tcPr>
          <w:p w:rsidR="00F243FA" w:rsidRPr="00326949" w:rsidRDefault="00F243FA" w:rsidP="00326949">
            <w:pPr>
              <w:jc w:val="right"/>
              <w:cnfStyle w:val="000000000000"/>
              <w:rPr>
                <w:rFonts w:asciiTheme="minorHAnsi" w:hAnsiTheme="minorHAnsi" w:cstheme="minorHAnsi"/>
                <w:b/>
                <w:bCs/>
                <w:sz w:val="20"/>
                <w:szCs w:val="20"/>
              </w:rPr>
            </w:pPr>
            <w:r w:rsidRPr="00326949">
              <w:rPr>
                <w:rFonts w:asciiTheme="minorHAnsi" w:hAnsiTheme="minorHAnsi" w:cstheme="minorHAnsi"/>
                <w:b/>
                <w:bCs/>
                <w:sz w:val="20"/>
                <w:szCs w:val="20"/>
              </w:rPr>
              <w:t>-70</w:t>
            </w:r>
          </w:p>
        </w:tc>
        <w:tc>
          <w:tcPr>
            <w:tcW w:w="835" w:type="dxa"/>
            <w:tcBorders>
              <w:right w:val="single" w:sz="12" w:space="0" w:color="auto"/>
            </w:tcBorders>
            <w:vAlign w:val="center"/>
          </w:tcPr>
          <w:p w:rsidR="00F243FA" w:rsidRPr="00326949" w:rsidRDefault="00F243FA" w:rsidP="00326949">
            <w:pPr>
              <w:jc w:val="right"/>
              <w:cnfStyle w:val="000000000000"/>
              <w:rPr>
                <w:rFonts w:asciiTheme="minorHAnsi" w:hAnsiTheme="minorHAnsi" w:cstheme="minorHAnsi"/>
                <w:b/>
                <w:bCs/>
                <w:sz w:val="20"/>
                <w:szCs w:val="20"/>
              </w:rPr>
            </w:pPr>
            <w:r w:rsidRPr="00326949">
              <w:rPr>
                <w:rFonts w:asciiTheme="minorHAnsi" w:hAnsiTheme="minorHAnsi" w:cstheme="minorHAnsi"/>
                <w:b/>
                <w:bCs/>
                <w:sz w:val="20"/>
                <w:szCs w:val="20"/>
              </w:rPr>
              <w:t>741</w:t>
            </w:r>
          </w:p>
        </w:tc>
        <w:tc>
          <w:tcPr>
            <w:tcW w:w="835" w:type="dxa"/>
            <w:tcBorders>
              <w:left w:val="single" w:sz="12" w:space="0" w:color="auto"/>
            </w:tcBorders>
            <w:vAlign w:val="center"/>
            <w:hideMark/>
          </w:tcPr>
          <w:p w:rsidR="00F243FA" w:rsidRPr="00326949" w:rsidRDefault="00F243FA" w:rsidP="00326949">
            <w:pPr>
              <w:jc w:val="right"/>
              <w:cnfStyle w:val="000000000000"/>
              <w:rPr>
                <w:rFonts w:asciiTheme="minorHAnsi" w:hAnsiTheme="minorHAnsi" w:cstheme="minorHAnsi"/>
                <w:b/>
                <w:bCs/>
                <w:sz w:val="20"/>
                <w:szCs w:val="20"/>
              </w:rPr>
            </w:pPr>
            <w:r w:rsidRPr="00326949">
              <w:rPr>
                <w:rFonts w:asciiTheme="minorHAnsi" w:hAnsiTheme="minorHAnsi" w:cstheme="minorHAnsi"/>
                <w:b/>
                <w:bCs/>
                <w:sz w:val="20"/>
                <w:szCs w:val="20"/>
              </w:rPr>
              <w:t>7 288</w:t>
            </w:r>
          </w:p>
        </w:tc>
        <w:tc>
          <w:tcPr>
            <w:tcW w:w="977" w:type="dxa"/>
            <w:tcBorders>
              <w:right w:val="single" w:sz="12" w:space="0" w:color="auto"/>
            </w:tcBorders>
            <w:vAlign w:val="center"/>
            <w:hideMark/>
          </w:tcPr>
          <w:p w:rsidR="00F243FA" w:rsidRPr="00326949" w:rsidRDefault="00F243FA" w:rsidP="00326949">
            <w:pPr>
              <w:jc w:val="right"/>
              <w:cnfStyle w:val="000000000000"/>
              <w:rPr>
                <w:rFonts w:asciiTheme="minorHAnsi" w:hAnsiTheme="minorHAnsi" w:cstheme="minorHAnsi"/>
                <w:b/>
                <w:bCs/>
                <w:sz w:val="20"/>
                <w:szCs w:val="20"/>
              </w:rPr>
            </w:pPr>
            <w:r w:rsidRPr="00326949">
              <w:rPr>
                <w:rFonts w:asciiTheme="minorHAnsi" w:hAnsiTheme="minorHAnsi" w:cstheme="minorHAnsi"/>
                <w:b/>
                <w:bCs/>
                <w:sz w:val="20"/>
                <w:szCs w:val="20"/>
              </w:rPr>
              <w:t>1 096</w:t>
            </w:r>
          </w:p>
        </w:tc>
      </w:tr>
      <w:tr w:rsidR="00F243FA" w:rsidRPr="00182AE4" w:rsidTr="00426E2F">
        <w:trPr>
          <w:cnfStyle w:val="000000100000"/>
          <w:trHeight w:val="255"/>
        </w:trPr>
        <w:tc>
          <w:tcPr>
            <w:cnfStyle w:val="001000000000"/>
            <w:tcW w:w="3794" w:type="dxa"/>
            <w:hideMark/>
          </w:tcPr>
          <w:p w:rsidR="00F243FA" w:rsidRPr="00182AE4" w:rsidRDefault="00F243FA" w:rsidP="002E2A94">
            <w:pPr>
              <w:autoSpaceDE/>
              <w:autoSpaceDN/>
              <w:adjustRightInd/>
              <w:spacing w:after="0"/>
              <w:jc w:val="left"/>
              <w:rPr>
                <w:rFonts w:asciiTheme="minorHAnsi" w:hAnsiTheme="minorHAnsi" w:cstheme="minorHAnsi"/>
                <w:b w:val="0"/>
                <w:bCs w:val="0"/>
                <w:i/>
                <w:iCs/>
                <w:sz w:val="20"/>
                <w:szCs w:val="20"/>
                <w:lang w:eastAsia="bg-BG"/>
              </w:rPr>
            </w:pPr>
            <w:r w:rsidRPr="00182AE4">
              <w:rPr>
                <w:rFonts w:asciiTheme="minorHAnsi" w:hAnsiTheme="minorHAnsi" w:cstheme="minorHAnsi"/>
                <w:b w:val="0"/>
                <w:bCs w:val="0"/>
                <w:i/>
                <w:iCs/>
                <w:sz w:val="20"/>
                <w:szCs w:val="20"/>
                <w:lang w:eastAsia="bg-BG"/>
              </w:rPr>
              <w:t>Паричен поток от инвестиционна дейност</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right w:val="single" w:sz="12" w:space="0" w:color="auto"/>
            </w:tcBorders>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left w:val="single" w:sz="12" w:space="0" w:color="auto"/>
            </w:tcBorders>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977" w:type="dxa"/>
            <w:tcBorders>
              <w:right w:val="single" w:sz="12" w:space="0" w:color="auto"/>
            </w:tcBorders>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r>
      <w:tr w:rsidR="00F243FA" w:rsidRPr="00182AE4" w:rsidTr="00426E2F">
        <w:trPr>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Закупени дълготрайни активи</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-865</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-357</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-588</w:t>
            </w:r>
          </w:p>
        </w:tc>
        <w:tc>
          <w:tcPr>
            <w:tcW w:w="835" w:type="dxa"/>
            <w:vAlign w:val="center"/>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right w:val="single" w:sz="12" w:space="0" w:color="auto"/>
            </w:tcBorders>
            <w:vAlign w:val="center"/>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left w:val="single" w:sz="12" w:space="0" w:color="auto"/>
            </w:tcBorders>
            <w:vAlign w:val="center"/>
            <w:hideMark/>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-588</w:t>
            </w:r>
          </w:p>
        </w:tc>
        <w:tc>
          <w:tcPr>
            <w:tcW w:w="977" w:type="dxa"/>
            <w:tcBorders>
              <w:right w:val="single" w:sz="12" w:space="0" w:color="auto"/>
            </w:tcBorders>
            <w:vAlign w:val="center"/>
            <w:hideMark/>
          </w:tcPr>
          <w:p w:rsidR="00F243FA" w:rsidRPr="00182AE4" w:rsidRDefault="00F243FA" w:rsidP="00326949">
            <w:pPr>
              <w:jc w:val="right"/>
              <w:cnfStyle w:val="000000000000"/>
              <w:rPr>
                <w:rFonts w:asciiTheme="minorHAnsi" w:hAnsiTheme="minorHAnsi" w:cstheme="minorHAnsi"/>
                <w:sz w:val="20"/>
                <w:szCs w:val="20"/>
              </w:rPr>
            </w:pPr>
            <w:r w:rsidRPr="00182AE4">
              <w:rPr>
                <w:rFonts w:asciiTheme="minorHAnsi" w:hAnsiTheme="minorHAnsi" w:cstheme="minorHAnsi"/>
                <w:sz w:val="20"/>
                <w:szCs w:val="20"/>
              </w:rPr>
              <w:t> </w:t>
            </w:r>
          </w:p>
        </w:tc>
      </w:tr>
      <w:tr w:rsidR="00F243FA" w:rsidRPr="00182AE4" w:rsidTr="00426E2F">
        <w:trPr>
          <w:cnfStyle w:val="000000100000"/>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Постъпления от продадени активи</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519</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right w:val="single" w:sz="12" w:space="0" w:color="auto"/>
            </w:tcBorders>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left w:val="single" w:sz="12" w:space="0" w:color="auto"/>
            </w:tcBorders>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977" w:type="dxa"/>
            <w:tcBorders>
              <w:right w:val="single" w:sz="12" w:space="0" w:color="auto"/>
            </w:tcBorders>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r>
      <w:tr w:rsidR="00F243FA" w:rsidRPr="00182AE4" w:rsidTr="00426E2F">
        <w:trPr>
          <w:trHeight w:val="255"/>
        </w:trPr>
        <w:tc>
          <w:tcPr>
            <w:cnfStyle w:val="001000000000"/>
            <w:tcW w:w="3794" w:type="dxa"/>
            <w:hideMark/>
          </w:tcPr>
          <w:p w:rsidR="00F243FA" w:rsidRPr="00182AE4" w:rsidRDefault="00F243FA" w:rsidP="002E2A94">
            <w:pPr>
              <w:autoSpaceDE/>
              <w:autoSpaceDN/>
              <w:adjustRightInd/>
              <w:spacing w:after="0"/>
              <w:jc w:val="right"/>
              <w:rPr>
                <w:rFonts w:asciiTheme="minorHAnsi" w:hAnsiTheme="minorHAnsi" w:cstheme="minorHAnsi"/>
                <w:bCs w:val="0"/>
                <w:sz w:val="20"/>
                <w:szCs w:val="20"/>
                <w:lang w:eastAsia="bg-BG"/>
              </w:rPr>
            </w:pPr>
            <w:r w:rsidRPr="00182AE4">
              <w:rPr>
                <w:rFonts w:asciiTheme="minorHAnsi" w:hAnsiTheme="minorHAnsi" w:cstheme="minorHAnsi"/>
                <w:bCs w:val="0"/>
                <w:sz w:val="20"/>
                <w:szCs w:val="20"/>
                <w:lang w:eastAsia="bg-BG"/>
              </w:rPr>
              <w:t>Нетен паричен поток от инвестиционна дейност</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b/>
                <w:bCs/>
                <w:sz w:val="20"/>
                <w:szCs w:val="20"/>
                <w:lang w:eastAsia="bg-BG"/>
              </w:rPr>
            </w:pPr>
            <w:r w:rsidRPr="00182AE4">
              <w:rPr>
                <w:rFonts w:asciiTheme="minorHAnsi" w:hAnsiTheme="minorHAnsi" w:cstheme="minorHAnsi"/>
                <w:b/>
                <w:bCs/>
                <w:sz w:val="20"/>
                <w:szCs w:val="20"/>
                <w:lang w:eastAsia="bg-BG"/>
              </w:rPr>
              <w:t>-346</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b/>
                <w:bCs/>
                <w:sz w:val="20"/>
                <w:szCs w:val="20"/>
                <w:lang w:eastAsia="bg-BG"/>
              </w:rPr>
            </w:pPr>
            <w:r w:rsidRPr="00182AE4">
              <w:rPr>
                <w:rFonts w:asciiTheme="minorHAnsi" w:hAnsiTheme="minorHAnsi" w:cstheme="minorHAnsi"/>
                <w:b/>
                <w:bCs/>
                <w:sz w:val="20"/>
                <w:szCs w:val="20"/>
                <w:lang w:eastAsia="bg-BG"/>
              </w:rPr>
              <w:t>-357</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b/>
                <w:bCs/>
                <w:sz w:val="20"/>
                <w:szCs w:val="20"/>
                <w:lang w:eastAsia="bg-BG"/>
              </w:rPr>
            </w:pPr>
            <w:r w:rsidRPr="00182AE4">
              <w:rPr>
                <w:rFonts w:asciiTheme="minorHAnsi" w:hAnsiTheme="minorHAnsi" w:cstheme="minorHAnsi"/>
                <w:b/>
                <w:bCs/>
                <w:sz w:val="20"/>
                <w:szCs w:val="20"/>
                <w:lang w:eastAsia="bg-BG"/>
              </w:rPr>
              <w:t>-588</w:t>
            </w:r>
          </w:p>
        </w:tc>
        <w:tc>
          <w:tcPr>
            <w:tcW w:w="835" w:type="dxa"/>
            <w:vAlign w:val="center"/>
          </w:tcPr>
          <w:p w:rsidR="00F243FA" w:rsidRPr="00182AE4" w:rsidRDefault="00F243FA" w:rsidP="00326949">
            <w:pPr>
              <w:jc w:val="right"/>
              <w:cnfStyle w:val="000000000000"/>
              <w:rPr>
                <w:rFonts w:asciiTheme="minorHAnsi" w:hAnsiTheme="minorHAnsi" w:cstheme="minorHAnsi"/>
                <w:b/>
                <w:bCs/>
                <w:sz w:val="20"/>
                <w:szCs w:val="20"/>
              </w:rPr>
            </w:pPr>
            <w:r w:rsidRPr="00182AE4">
              <w:rPr>
                <w:rFonts w:asciiTheme="minorHAnsi" w:hAnsiTheme="minorHAnsi" w:cstheme="minorHAnsi"/>
                <w:b/>
                <w:bCs/>
                <w:sz w:val="20"/>
                <w:szCs w:val="20"/>
              </w:rPr>
              <w:t>0</w:t>
            </w:r>
          </w:p>
        </w:tc>
        <w:tc>
          <w:tcPr>
            <w:tcW w:w="835" w:type="dxa"/>
            <w:tcBorders>
              <w:right w:val="single" w:sz="12" w:space="0" w:color="auto"/>
            </w:tcBorders>
            <w:vAlign w:val="center"/>
          </w:tcPr>
          <w:p w:rsidR="00F243FA" w:rsidRPr="00182AE4" w:rsidRDefault="00F243FA" w:rsidP="00326949">
            <w:pPr>
              <w:jc w:val="right"/>
              <w:cnfStyle w:val="000000000000"/>
              <w:rPr>
                <w:rFonts w:asciiTheme="minorHAnsi" w:hAnsiTheme="minorHAnsi" w:cstheme="minorHAnsi"/>
                <w:b/>
                <w:bCs/>
                <w:sz w:val="20"/>
                <w:szCs w:val="20"/>
              </w:rPr>
            </w:pPr>
            <w:r w:rsidRPr="00182AE4">
              <w:rPr>
                <w:rFonts w:asciiTheme="minorHAnsi" w:hAnsiTheme="minorHAnsi" w:cstheme="minorHAnsi"/>
                <w:b/>
                <w:bCs/>
                <w:sz w:val="20"/>
                <w:szCs w:val="20"/>
              </w:rPr>
              <w:t>0</w:t>
            </w:r>
          </w:p>
        </w:tc>
        <w:tc>
          <w:tcPr>
            <w:tcW w:w="835" w:type="dxa"/>
            <w:tcBorders>
              <w:left w:val="single" w:sz="12" w:space="0" w:color="auto"/>
            </w:tcBorders>
            <w:vAlign w:val="center"/>
            <w:hideMark/>
          </w:tcPr>
          <w:p w:rsidR="00F243FA" w:rsidRPr="00182AE4" w:rsidRDefault="00F243FA" w:rsidP="00326949">
            <w:pPr>
              <w:jc w:val="right"/>
              <w:cnfStyle w:val="000000000000"/>
              <w:rPr>
                <w:rFonts w:asciiTheme="minorHAnsi" w:hAnsiTheme="minorHAnsi" w:cstheme="minorHAnsi"/>
                <w:b/>
                <w:bCs/>
                <w:sz w:val="20"/>
                <w:szCs w:val="20"/>
              </w:rPr>
            </w:pPr>
            <w:r w:rsidRPr="00182AE4">
              <w:rPr>
                <w:rFonts w:asciiTheme="minorHAnsi" w:hAnsiTheme="minorHAnsi" w:cstheme="minorHAnsi"/>
                <w:b/>
                <w:bCs/>
                <w:sz w:val="20"/>
                <w:szCs w:val="20"/>
              </w:rPr>
              <w:t>-588</w:t>
            </w:r>
          </w:p>
        </w:tc>
        <w:tc>
          <w:tcPr>
            <w:tcW w:w="977" w:type="dxa"/>
            <w:tcBorders>
              <w:right w:val="single" w:sz="12" w:space="0" w:color="auto"/>
            </w:tcBorders>
            <w:vAlign w:val="center"/>
            <w:hideMark/>
          </w:tcPr>
          <w:p w:rsidR="00F243FA" w:rsidRPr="00182AE4" w:rsidRDefault="00F243FA" w:rsidP="00326949">
            <w:pPr>
              <w:jc w:val="right"/>
              <w:cnfStyle w:val="000000000000"/>
              <w:rPr>
                <w:rFonts w:asciiTheme="minorHAnsi" w:hAnsiTheme="minorHAnsi" w:cstheme="minorHAnsi"/>
                <w:b/>
                <w:bCs/>
                <w:sz w:val="20"/>
                <w:szCs w:val="20"/>
              </w:rPr>
            </w:pPr>
            <w:r w:rsidRPr="00182AE4">
              <w:rPr>
                <w:rFonts w:asciiTheme="minorHAnsi" w:hAnsiTheme="minorHAnsi" w:cstheme="minorHAnsi"/>
                <w:b/>
                <w:bCs/>
                <w:sz w:val="20"/>
                <w:szCs w:val="20"/>
              </w:rPr>
              <w:t>0</w:t>
            </w:r>
          </w:p>
        </w:tc>
      </w:tr>
      <w:tr w:rsidR="00F243FA" w:rsidRPr="00182AE4" w:rsidTr="00426E2F">
        <w:trPr>
          <w:cnfStyle w:val="000000100000"/>
          <w:trHeight w:val="255"/>
        </w:trPr>
        <w:tc>
          <w:tcPr>
            <w:cnfStyle w:val="001000000000"/>
            <w:tcW w:w="3794" w:type="dxa"/>
            <w:hideMark/>
          </w:tcPr>
          <w:p w:rsidR="00F243FA" w:rsidRPr="00182AE4" w:rsidRDefault="00F243FA" w:rsidP="002E2A94">
            <w:pPr>
              <w:autoSpaceDE/>
              <w:autoSpaceDN/>
              <w:adjustRightInd/>
              <w:spacing w:after="0"/>
              <w:jc w:val="left"/>
              <w:rPr>
                <w:rFonts w:asciiTheme="minorHAnsi" w:hAnsiTheme="minorHAnsi" w:cstheme="minorHAnsi"/>
                <w:b w:val="0"/>
                <w:bCs w:val="0"/>
                <w:i/>
                <w:iCs/>
                <w:sz w:val="20"/>
                <w:szCs w:val="20"/>
                <w:lang w:eastAsia="bg-BG"/>
              </w:rPr>
            </w:pPr>
            <w:r w:rsidRPr="00182AE4">
              <w:rPr>
                <w:rFonts w:asciiTheme="minorHAnsi" w:hAnsiTheme="minorHAnsi" w:cstheme="minorHAnsi"/>
                <w:b w:val="0"/>
                <w:bCs w:val="0"/>
                <w:i/>
                <w:iCs/>
                <w:sz w:val="20"/>
                <w:szCs w:val="20"/>
                <w:lang w:eastAsia="bg-BG"/>
              </w:rPr>
              <w:t>Паричен поток от финансова дейност</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right w:val="single" w:sz="12" w:space="0" w:color="auto"/>
            </w:tcBorders>
            <w:vAlign w:val="center"/>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835" w:type="dxa"/>
            <w:tcBorders>
              <w:left w:val="single" w:sz="12" w:space="0" w:color="auto"/>
            </w:tcBorders>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c>
          <w:tcPr>
            <w:tcW w:w="977" w:type="dxa"/>
            <w:tcBorders>
              <w:right w:val="single" w:sz="12" w:space="0" w:color="auto"/>
            </w:tcBorders>
            <w:vAlign w:val="center"/>
            <w:hideMark/>
          </w:tcPr>
          <w:p w:rsidR="00F243FA" w:rsidRPr="00182AE4" w:rsidRDefault="00F243FA" w:rsidP="00326949">
            <w:pPr>
              <w:jc w:val="right"/>
              <w:cnfStyle w:val="000000100000"/>
              <w:rPr>
                <w:rFonts w:asciiTheme="minorHAnsi" w:hAnsiTheme="minorHAnsi" w:cstheme="minorHAnsi"/>
                <w:sz w:val="20"/>
                <w:szCs w:val="20"/>
              </w:rPr>
            </w:pPr>
            <w:r w:rsidRPr="00182AE4">
              <w:rPr>
                <w:rFonts w:asciiTheme="minorHAnsi" w:hAnsiTheme="minorHAnsi" w:cstheme="minorHAnsi"/>
                <w:sz w:val="20"/>
                <w:szCs w:val="20"/>
              </w:rPr>
              <w:t> </w:t>
            </w:r>
          </w:p>
        </w:tc>
      </w:tr>
      <w:tr w:rsidR="00F243FA" w:rsidRPr="00182AE4" w:rsidTr="00426E2F">
        <w:trPr>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Получени заеми</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-1 046</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-212</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411</w:t>
            </w:r>
          </w:p>
        </w:tc>
        <w:tc>
          <w:tcPr>
            <w:tcW w:w="835" w:type="dxa"/>
            <w:vAlign w:val="center"/>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 </w:t>
            </w:r>
          </w:p>
        </w:tc>
        <w:tc>
          <w:tcPr>
            <w:tcW w:w="835" w:type="dxa"/>
            <w:tcBorders>
              <w:right w:val="single" w:sz="12" w:space="0" w:color="auto"/>
            </w:tcBorders>
            <w:vAlign w:val="center"/>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 </w:t>
            </w:r>
          </w:p>
        </w:tc>
        <w:tc>
          <w:tcPr>
            <w:tcW w:w="835" w:type="dxa"/>
            <w:tcBorders>
              <w:left w:val="single" w:sz="12" w:space="0" w:color="auto"/>
            </w:tcBorders>
            <w:vAlign w:val="center"/>
            <w:hideMark/>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1 062</w:t>
            </w:r>
          </w:p>
        </w:tc>
        <w:tc>
          <w:tcPr>
            <w:tcW w:w="977" w:type="dxa"/>
            <w:tcBorders>
              <w:right w:val="single" w:sz="12" w:space="0" w:color="auto"/>
            </w:tcBorders>
            <w:vAlign w:val="center"/>
            <w:hideMark/>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78</w:t>
            </w:r>
          </w:p>
        </w:tc>
      </w:tr>
      <w:tr w:rsidR="00F243FA" w:rsidRPr="00182AE4" w:rsidTr="00426E2F">
        <w:trPr>
          <w:cnfStyle w:val="000000100000"/>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Плащания по получени заеми</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 </w:t>
            </w:r>
          </w:p>
        </w:tc>
        <w:tc>
          <w:tcPr>
            <w:tcW w:w="835" w:type="dxa"/>
            <w:vAlign w:val="center"/>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-491</w:t>
            </w:r>
          </w:p>
        </w:tc>
        <w:tc>
          <w:tcPr>
            <w:tcW w:w="835" w:type="dxa"/>
            <w:tcBorders>
              <w:right w:val="single" w:sz="12" w:space="0" w:color="auto"/>
            </w:tcBorders>
            <w:vAlign w:val="center"/>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-902</w:t>
            </w:r>
          </w:p>
        </w:tc>
        <w:tc>
          <w:tcPr>
            <w:tcW w:w="835" w:type="dxa"/>
            <w:tcBorders>
              <w:left w:val="single" w:sz="12" w:space="0" w:color="auto"/>
            </w:tcBorders>
            <w:vAlign w:val="center"/>
            <w:hideMark/>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-1 150</w:t>
            </w:r>
          </w:p>
        </w:tc>
        <w:tc>
          <w:tcPr>
            <w:tcW w:w="977" w:type="dxa"/>
            <w:tcBorders>
              <w:right w:val="single" w:sz="12" w:space="0" w:color="auto"/>
            </w:tcBorders>
            <w:vAlign w:val="center"/>
            <w:hideMark/>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-902</w:t>
            </w:r>
          </w:p>
        </w:tc>
      </w:tr>
      <w:tr w:rsidR="00F243FA" w:rsidRPr="00182AE4" w:rsidTr="00426E2F">
        <w:trPr>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Плащания по лизингови задължения</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-2 606</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-2 209</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-2 346</w:t>
            </w:r>
          </w:p>
        </w:tc>
        <w:tc>
          <w:tcPr>
            <w:tcW w:w="835" w:type="dxa"/>
            <w:vAlign w:val="center"/>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 </w:t>
            </w:r>
          </w:p>
        </w:tc>
        <w:tc>
          <w:tcPr>
            <w:tcW w:w="835" w:type="dxa"/>
            <w:tcBorders>
              <w:right w:val="single" w:sz="12" w:space="0" w:color="auto"/>
            </w:tcBorders>
            <w:vAlign w:val="center"/>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 </w:t>
            </w:r>
          </w:p>
        </w:tc>
        <w:tc>
          <w:tcPr>
            <w:tcW w:w="835" w:type="dxa"/>
            <w:tcBorders>
              <w:left w:val="single" w:sz="12" w:space="0" w:color="auto"/>
            </w:tcBorders>
            <w:vAlign w:val="center"/>
            <w:hideMark/>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-2 848</w:t>
            </w:r>
          </w:p>
        </w:tc>
        <w:tc>
          <w:tcPr>
            <w:tcW w:w="977" w:type="dxa"/>
            <w:tcBorders>
              <w:right w:val="single" w:sz="12" w:space="0" w:color="auto"/>
            </w:tcBorders>
            <w:vAlign w:val="center"/>
            <w:hideMark/>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 </w:t>
            </w:r>
          </w:p>
        </w:tc>
      </w:tr>
      <w:tr w:rsidR="00F243FA" w:rsidRPr="00182AE4" w:rsidTr="00426E2F">
        <w:trPr>
          <w:cnfStyle w:val="000000100000"/>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Постъпления (плащания) от лихви, такси</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-327</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-89</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139</w:t>
            </w:r>
          </w:p>
        </w:tc>
        <w:tc>
          <w:tcPr>
            <w:tcW w:w="835" w:type="dxa"/>
            <w:vAlign w:val="center"/>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256</w:t>
            </w:r>
          </w:p>
        </w:tc>
        <w:tc>
          <w:tcPr>
            <w:tcW w:w="835" w:type="dxa"/>
            <w:tcBorders>
              <w:right w:val="single" w:sz="12" w:space="0" w:color="auto"/>
            </w:tcBorders>
            <w:vAlign w:val="center"/>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-39</w:t>
            </w:r>
          </w:p>
        </w:tc>
        <w:tc>
          <w:tcPr>
            <w:tcW w:w="835" w:type="dxa"/>
            <w:tcBorders>
              <w:left w:val="single" w:sz="12" w:space="0" w:color="auto"/>
            </w:tcBorders>
            <w:vAlign w:val="center"/>
            <w:hideMark/>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121</w:t>
            </w:r>
          </w:p>
        </w:tc>
        <w:tc>
          <w:tcPr>
            <w:tcW w:w="977" w:type="dxa"/>
            <w:tcBorders>
              <w:right w:val="single" w:sz="12" w:space="0" w:color="auto"/>
            </w:tcBorders>
            <w:vAlign w:val="center"/>
            <w:hideMark/>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34</w:t>
            </w:r>
          </w:p>
        </w:tc>
      </w:tr>
      <w:tr w:rsidR="00F243FA" w:rsidRPr="00182AE4" w:rsidTr="00426E2F">
        <w:trPr>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Плащания за дивиденти</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-2 200</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-650</w:t>
            </w:r>
          </w:p>
        </w:tc>
        <w:tc>
          <w:tcPr>
            <w:tcW w:w="835" w:type="dxa"/>
            <w:vAlign w:val="center"/>
          </w:tcPr>
          <w:p w:rsidR="00F243FA" w:rsidRPr="00182AE4" w:rsidRDefault="00F243FA" w:rsidP="00326949">
            <w:pPr>
              <w:autoSpaceDE/>
              <w:autoSpaceDN/>
              <w:adjustRightInd/>
              <w:spacing w:after="0"/>
              <w:jc w:val="right"/>
              <w:cnfStyle w:val="0000000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-3 671</w:t>
            </w:r>
          </w:p>
        </w:tc>
        <w:tc>
          <w:tcPr>
            <w:tcW w:w="835" w:type="dxa"/>
            <w:vAlign w:val="center"/>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 </w:t>
            </w:r>
          </w:p>
        </w:tc>
        <w:tc>
          <w:tcPr>
            <w:tcW w:w="835" w:type="dxa"/>
            <w:tcBorders>
              <w:right w:val="single" w:sz="12" w:space="0" w:color="auto"/>
            </w:tcBorders>
            <w:vAlign w:val="center"/>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 </w:t>
            </w:r>
          </w:p>
        </w:tc>
        <w:tc>
          <w:tcPr>
            <w:tcW w:w="835" w:type="dxa"/>
            <w:tcBorders>
              <w:left w:val="single" w:sz="12" w:space="0" w:color="auto"/>
            </w:tcBorders>
            <w:vAlign w:val="center"/>
            <w:hideMark/>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-3 671</w:t>
            </w:r>
          </w:p>
        </w:tc>
        <w:tc>
          <w:tcPr>
            <w:tcW w:w="977" w:type="dxa"/>
            <w:tcBorders>
              <w:right w:val="single" w:sz="12" w:space="0" w:color="auto"/>
            </w:tcBorders>
            <w:vAlign w:val="center"/>
            <w:hideMark/>
          </w:tcPr>
          <w:p w:rsidR="00F243FA" w:rsidRPr="00DE0820" w:rsidRDefault="00F243FA" w:rsidP="00DE0820">
            <w:pPr>
              <w:autoSpaceDE/>
              <w:autoSpaceDN/>
              <w:adjustRightInd/>
              <w:spacing w:after="0"/>
              <w:jc w:val="right"/>
              <w:cnfStyle w:val="0000000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 </w:t>
            </w:r>
          </w:p>
        </w:tc>
      </w:tr>
      <w:tr w:rsidR="00F243FA" w:rsidRPr="00182AE4" w:rsidTr="00426E2F">
        <w:trPr>
          <w:cnfStyle w:val="000000100000"/>
          <w:trHeight w:val="255"/>
        </w:trPr>
        <w:tc>
          <w:tcPr>
            <w:cnfStyle w:val="001000000000"/>
            <w:tcW w:w="3794" w:type="dxa"/>
            <w:hideMark/>
          </w:tcPr>
          <w:p w:rsidR="00F243FA" w:rsidRPr="00182AE4" w:rsidRDefault="00F243FA" w:rsidP="00326949">
            <w:pPr>
              <w:autoSpaceDE/>
              <w:autoSpaceDN/>
              <w:adjustRightInd/>
              <w:spacing w:after="0"/>
              <w:ind w:left="284"/>
              <w:jc w:val="left"/>
              <w:rPr>
                <w:rFonts w:asciiTheme="minorHAnsi" w:hAnsiTheme="minorHAnsi" w:cstheme="minorHAnsi"/>
                <w:b w:val="0"/>
                <w:sz w:val="20"/>
                <w:szCs w:val="20"/>
                <w:lang w:eastAsia="bg-BG"/>
              </w:rPr>
            </w:pPr>
            <w:r w:rsidRPr="00182AE4">
              <w:rPr>
                <w:rFonts w:asciiTheme="minorHAnsi" w:hAnsiTheme="minorHAnsi" w:cstheme="minorHAnsi"/>
                <w:b w:val="0"/>
                <w:sz w:val="20"/>
                <w:szCs w:val="20"/>
                <w:lang w:eastAsia="bg-BG"/>
              </w:rPr>
              <w:t>Други постъпления (плащания)</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568</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406</w:t>
            </w:r>
          </w:p>
        </w:tc>
        <w:tc>
          <w:tcPr>
            <w:tcW w:w="835" w:type="dxa"/>
            <w:vAlign w:val="center"/>
          </w:tcPr>
          <w:p w:rsidR="00F243FA" w:rsidRPr="00182AE4" w:rsidRDefault="00F243FA" w:rsidP="00326949">
            <w:pPr>
              <w:autoSpaceDE/>
              <w:autoSpaceDN/>
              <w:adjustRightInd/>
              <w:spacing w:after="0"/>
              <w:jc w:val="right"/>
              <w:cnfStyle w:val="000000100000"/>
              <w:rPr>
                <w:rFonts w:asciiTheme="minorHAnsi" w:hAnsiTheme="minorHAnsi" w:cstheme="minorHAnsi"/>
                <w:sz w:val="20"/>
                <w:szCs w:val="20"/>
                <w:lang w:eastAsia="bg-BG"/>
              </w:rPr>
            </w:pPr>
            <w:r w:rsidRPr="00182AE4">
              <w:rPr>
                <w:rFonts w:asciiTheme="minorHAnsi" w:hAnsiTheme="minorHAnsi" w:cstheme="minorHAnsi"/>
                <w:sz w:val="20"/>
                <w:szCs w:val="20"/>
                <w:lang w:eastAsia="bg-BG"/>
              </w:rPr>
              <w:t>143</w:t>
            </w:r>
          </w:p>
        </w:tc>
        <w:tc>
          <w:tcPr>
            <w:tcW w:w="835" w:type="dxa"/>
            <w:vAlign w:val="center"/>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-612</w:t>
            </w:r>
          </w:p>
        </w:tc>
        <w:tc>
          <w:tcPr>
            <w:tcW w:w="835" w:type="dxa"/>
            <w:tcBorders>
              <w:right w:val="single" w:sz="12" w:space="0" w:color="auto"/>
            </w:tcBorders>
            <w:vAlign w:val="center"/>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-133</w:t>
            </w:r>
          </w:p>
        </w:tc>
        <w:tc>
          <w:tcPr>
            <w:tcW w:w="835" w:type="dxa"/>
            <w:tcBorders>
              <w:left w:val="single" w:sz="12" w:space="0" w:color="auto"/>
            </w:tcBorders>
            <w:vAlign w:val="center"/>
            <w:hideMark/>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197</w:t>
            </w:r>
          </w:p>
        </w:tc>
        <w:tc>
          <w:tcPr>
            <w:tcW w:w="977" w:type="dxa"/>
            <w:tcBorders>
              <w:right w:val="single" w:sz="12" w:space="0" w:color="auto"/>
            </w:tcBorders>
            <w:vAlign w:val="center"/>
            <w:hideMark/>
          </w:tcPr>
          <w:p w:rsidR="00F243FA" w:rsidRPr="00DE0820" w:rsidRDefault="00F243FA" w:rsidP="00DE0820">
            <w:pPr>
              <w:autoSpaceDE/>
              <w:autoSpaceDN/>
              <w:adjustRightInd/>
              <w:spacing w:after="0"/>
              <w:jc w:val="right"/>
              <w:cnfStyle w:val="000000100000"/>
              <w:rPr>
                <w:rFonts w:asciiTheme="minorHAnsi" w:hAnsiTheme="minorHAnsi" w:cstheme="minorHAnsi"/>
                <w:sz w:val="20"/>
                <w:szCs w:val="20"/>
                <w:lang w:eastAsia="bg-BG"/>
              </w:rPr>
            </w:pPr>
            <w:r w:rsidRPr="00DE0820">
              <w:rPr>
                <w:rFonts w:asciiTheme="minorHAnsi" w:hAnsiTheme="minorHAnsi" w:cstheme="minorHAnsi"/>
                <w:sz w:val="20"/>
                <w:szCs w:val="20"/>
                <w:lang w:eastAsia="bg-BG"/>
              </w:rPr>
              <w:t>-125</w:t>
            </w:r>
          </w:p>
        </w:tc>
      </w:tr>
      <w:tr w:rsidR="00F243FA" w:rsidRPr="00326949" w:rsidTr="00426E2F">
        <w:trPr>
          <w:trHeight w:val="255"/>
        </w:trPr>
        <w:tc>
          <w:tcPr>
            <w:cnfStyle w:val="001000000000"/>
            <w:tcW w:w="3794" w:type="dxa"/>
            <w:hideMark/>
          </w:tcPr>
          <w:p w:rsidR="00F243FA" w:rsidRPr="00326949" w:rsidRDefault="00F243FA" w:rsidP="002E2A94">
            <w:pPr>
              <w:autoSpaceDE/>
              <w:autoSpaceDN/>
              <w:adjustRightInd/>
              <w:spacing w:after="0"/>
              <w:jc w:val="right"/>
              <w:rPr>
                <w:rFonts w:asciiTheme="minorHAnsi" w:hAnsiTheme="minorHAnsi" w:cstheme="minorHAnsi"/>
                <w:bCs w:val="0"/>
                <w:sz w:val="20"/>
                <w:szCs w:val="20"/>
                <w:lang w:eastAsia="bg-BG"/>
              </w:rPr>
            </w:pPr>
            <w:r w:rsidRPr="00326949">
              <w:rPr>
                <w:rFonts w:asciiTheme="minorHAnsi" w:hAnsiTheme="minorHAnsi" w:cstheme="minorHAnsi"/>
                <w:bCs w:val="0"/>
                <w:sz w:val="20"/>
                <w:szCs w:val="20"/>
                <w:lang w:eastAsia="bg-BG"/>
              </w:rPr>
              <w:t>Нетен паричен поток от финансова дейност</w:t>
            </w:r>
          </w:p>
        </w:tc>
        <w:tc>
          <w:tcPr>
            <w:tcW w:w="835" w:type="dxa"/>
            <w:vAlign w:val="center"/>
          </w:tcPr>
          <w:p w:rsidR="00F243FA" w:rsidRPr="00326949" w:rsidRDefault="00F243FA" w:rsidP="00326949">
            <w:pPr>
              <w:autoSpaceDE/>
              <w:autoSpaceDN/>
              <w:adjustRightInd/>
              <w:spacing w:after="0"/>
              <w:jc w:val="right"/>
              <w:cnfStyle w:val="000000000000"/>
              <w:rPr>
                <w:rFonts w:asciiTheme="minorHAnsi" w:hAnsiTheme="minorHAnsi" w:cstheme="minorHAnsi"/>
                <w:b/>
                <w:bCs/>
                <w:sz w:val="20"/>
                <w:szCs w:val="20"/>
                <w:lang w:eastAsia="bg-BG"/>
              </w:rPr>
            </w:pPr>
            <w:r w:rsidRPr="00326949">
              <w:rPr>
                <w:rFonts w:asciiTheme="minorHAnsi" w:hAnsiTheme="minorHAnsi" w:cstheme="minorHAnsi"/>
                <w:b/>
                <w:bCs/>
                <w:sz w:val="20"/>
                <w:szCs w:val="20"/>
                <w:lang w:eastAsia="bg-BG"/>
              </w:rPr>
              <w:t>-5 611</w:t>
            </w:r>
          </w:p>
        </w:tc>
        <w:tc>
          <w:tcPr>
            <w:tcW w:w="835" w:type="dxa"/>
            <w:vAlign w:val="center"/>
          </w:tcPr>
          <w:p w:rsidR="00F243FA" w:rsidRPr="00326949" w:rsidRDefault="00F243FA" w:rsidP="00326949">
            <w:pPr>
              <w:autoSpaceDE/>
              <w:autoSpaceDN/>
              <w:adjustRightInd/>
              <w:spacing w:after="0"/>
              <w:jc w:val="right"/>
              <w:cnfStyle w:val="000000000000"/>
              <w:rPr>
                <w:rFonts w:asciiTheme="minorHAnsi" w:hAnsiTheme="minorHAnsi" w:cstheme="minorHAnsi"/>
                <w:b/>
                <w:bCs/>
                <w:sz w:val="20"/>
                <w:szCs w:val="20"/>
                <w:lang w:eastAsia="bg-BG"/>
              </w:rPr>
            </w:pPr>
            <w:r w:rsidRPr="00326949">
              <w:rPr>
                <w:rFonts w:asciiTheme="minorHAnsi" w:hAnsiTheme="minorHAnsi" w:cstheme="minorHAnsi"/>
                <w:b/>
                <w:bCs/>
                <w:sz w:val="20"/>
                <w:szCs w:val="20"/>
                <w:lang w:eastAsia="bg-BG"/>
              </w:rPr>
              <w:t>-2 754</w:t>
            </w:r>
          </w:p>
        </w:tc>
        <w:tc>
          <w:tcPr>
            <w:tcW w:w="835" w:type="dxa"/>
            <w:vAlign w:val="center"/>
          </w:tcPr>
          <w:p w:rsidR="00F243FA" w:rsidRPr="00326949" w:rsidRDefault="00F243FA" w:rsidP="00326949">
            <w:pPr>
              <w:autoSpaceDE/>
              <w:autoSpaceDN/>
              <w:adjustRightInd/>
              <w:spacing w:after="0"/>
              <w:jc w:val="right"/>
              <w:cnfStyle w:val="000000000000"/>
              <w:rPr>
                <w:rFonts w:asciiTheme="minorHAnsi" w:hAnsiTheme="minorHAnsi" w:cstheme="minorHAnsi"/>
                <w:b/>
                <w:bCs/>
                <w:sz w:val="20"/>
                <w:szCs w:val="20"/>
                <w:lang w:eastAsia="bg-BG"/>
              </w:rPr>
            </w:pPr>
            <w:r w:rsidRPr="00326949">
              <w:rPr>
                <w:rFonts w:asciiTheme="minorHAnsi" w:hAnsiTheme="minorHAnsi" w:cstheme="minorHAnsi"/>
                <w:b/>
                <w:bCs/>
                <w:sz w:val="20"/>
                <w:szCs w:val="20"/>
                <w:lang w:eastAsia="bg-BG"/>
              </w:rPr>
              <w:t>-5 324</w:t>
            </w:r>
          </w:p>
        </w:tc>
        <w:tc>
          <w:tcPr>
            <w:tcW w:w="835" w:type="dxa"/>
            <w:vAlign w:val="center"/>
          </w:tcPr>
          <w:p w:rsidR="00F243FA" w:rsidRPr="00DE0820" w:rsidRDefault="00F243FA" w:rsidP="00DE0820">
            <w:pPr>
              <w:autoSpaceDE/>
              <w:autoSpaceDN/>
              <w:adjustRightInd/>
              <w:spacing w:after="0"/>
              <w:jc w:val="right"/>
              <w:cnfStyle w:val="000000000000"/>
              <w:rPr>
                <w:rFonts w:asciiTheme="minorHAnsi" w:hAnsiTheme="minorHAnsi" w:cstheme="minorHAnsi"/>
                <w:b/>
                <w:sz w:val="20"/>
                <w:szCs w:val="20"/>
                <w:lang w:eastAsia="bg-BG"/>
              </w:rPr>
            </w:pPr>
            <w:r w:rsidRPr="00DE0820">
              <w:rPr>
                <w:rFonts w:asciiTheme="minorHAnsi" w:hAnsiTheme="minorHAnsi" w:cstheme="minorHAnsi"/>
                <w:b/>
                <w:sz w:val="20"/>
                <w:szCs w:val="20"/>
                <w:lang w:eastAsia="bg-BG"/>
              </w:rPr>
              <w:t>-847</w:t>
            </w:r>
          </w:p>
        </w:tc>
        <w:tc>
          <w:tcPr>
            <w:tcW w:w="835" w:type="dxa"/>
            <w:tcBorders>
              <w:right w:val="single" w:sz="12" w:space="0" w:color="auto"/>
            </w:tcBorders>
            <w:vAlign w:val="center"/>
          </w:tcPr>
          <w:p w:rsidR="00F243FA" w:rsidRPr="00DE0820" w:rsidRDefault="00F243FA" w:rsidP="00DE0820">
            <w:pPr>
              <w:autoSpaceDE/>
              <w:autoSpaceDN/>
              <w:adjustRightInd/>
              <w:spacing w:after="0"/>
              <w:jc w:val="right"/>
              <w:cnfStyle w:val="000000000000"/>
              <w:rPr>
                <w:rFonts w:asciiTheme="minorHAnsi" w:hAnsiTheme="minorHAnsi" w:cstheme="minorHAnsi"/>
                <w:b/>
                <w:sz w:val="20"/>
                <w:szCs w:val="20"/>
                <w:lang w:eastAsia="bg-BG"/>
              </w:rPr>
            </w:pPr>
            <w:r w:rsidRPr="00DE0820">
              <w:rPr>
                <w:rFonts w:asciiTheme="minorHAnsi" w:hAnsiTheme="minorHAnsi" w:cstheme="minorHAnsi"/>
                <w:b/>
                <w:sz w:val="20"/>
                <w:szCs w:val="20"/>
                <w:lang w:eastAsia="bg-BG"/>
              </w:rPr>
              <w:t>-1 074</w:t>
            </w:r>
          </w:p>
        </w:tc>
        <w:tc>
          <w:tcPr>
            <w:tcW w:w="835" w:type="dxa"/>
            <w:tcBorders>
              <w:left w:val="single" w:sz="12" w:space="0" w:color="auto"/>
            </w:tcBorders>
            <w:vAlign w:val="center"/>
            <w:hideMark/>
          </w:tcPr>
          <w:p w:rsidR="00F243FA" w:rsidRPr="00DE0820" w:rsidRDefault="00F243FA" w:rsidP="00DE0820">
            <w:pPr>
              <w:autoSpaceDE/>
              <w:autoSpaceDN/>
              <w:adjustRightInd/>
              <w:spacing w:after="0"/>
              <w:jc w:val="right"/>
              <w:cnfStyle w:val="000000000000"/>
              <w:rPr>
                <w:rFonts w:asciiTheme="minorHAnsi" w:hAnsiTheme="minorHAnsi" w:cstheme="minorHAnsi"/>
                <w:b/>
                <w:sz w:val="20"/>
                <w:szCs w:val="20"/>
                <w:lang w:eastAsia="bg-BG"/>
              </w:rPr>
            </w:pPr>
            <w:r w:rsidRPr="00DE0820">
              <w:rPr>
                <w:rFonts w:asciiTheme="minorHAnsi" w:hAnsiTheme="minorHAnsi" w:cstheme="minorHAnsi"/>
                <w:b/>
                <w:sz w:val="20"/>
                <w:szCs w:val="20"/>
                <w:lang w:eastAsia="bg-BG"/>
              </w:rPr>
              <w:t>-6 289</w:t>
            </w:r>
          </w:p>
        </w:tc>
        <w:tc>
          <w:tcPr>
            <w:tcW w:w="977" w:type="dxa"/>
            <w:tcBorders>
              <w:right w:val="single" w:sz="12" w:space="0" w:color="auto"/>
            </w:tcBorders>
            <w:vAlign w:val="center"/>
            <w:hideMark/>
          </w:tcPr>
          <w:p w:rsidR="00F243FA" w:rsidRPr="00DE0820" w:rsidRDefault="00F243FA" w:rsidP="00DE0820">
            <w:pPr>
              <w:autoSpaceDE/>
              <w:autoSpaceDN/>
              <w:adjustRightInd/>
              <w:spacing w:after="0"/>
              <w:jc w:val="right"/>
              <w:cnfStyle w:val="000000000000"/>
              <w:rPr>
                <w:rFonts w:asciiTheme="minorHAnsi" w:hAnsiTheme="minorHAnsi" w:cstheme="minorHAnsi"/>
                <w:b/>
                <w:sz w:val="20"/>
                <w:szCs w:val="20"/>
                <w:lang w:eastAsia="bg-BG"/>
              </w:rPr>
            </w:pPr>
            <w:r w:rsidRPr="00DE0820">
              <w:rPr>
                <w:rFonts w:asciiTheme="minorHAnsi" w:hAnsiTheme="minorHAnsi" w:cstheme="minorHAnsi"/>
                <w:b/>
                <w:sz w:val="20"/>
                <w:szCs w:val="20"/>
                <w:lang w:eastAsia="bg-BG"/>
              </w:rPr>
              <w:t>-915</w:t>
            </w:r>
          </w:p>
        </w:tc>
      </w:tr>
    </w:tbl>
    <w:p w:rsidR="008B6AB3" w:rsidRPr="00A904E3" w:rsidRDefault="008B6AB3" w:rsidP="008B6AB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5312CA" w:rsidRPr="00557F6C" w:rsidRDefault="005D03EF" w:rsidP="005B0AC1">
      <w:pPr>
        <w:pStyle w:val="Heading1"/>
        <w:numPr>
          <w:ilvl w:val="2"/>
          <w:numId w:val="11"/>
        </w:numPr>
        <w:ind w:left="709" w:hanging="709"/>
        <w:rPr>
          <w:rFonts w:ascii="Times New Roman" w:hAnsi="Times New Roman"/>
          <w:b w:val="0"/>
          <w:i/>
          <w:sz w:val="24"/>
          <w:szCs w:val="24"/>
        </w:rPr>
      </w:pPr>
      <w:bookmarkStart w:id="103" w:name="_Toc324376941"/>
      <w:bookmarkStart w:id="104" w:name="_Toc324380100"/>
      <w:r w:rsidRPr="00557F6C">
        <w:rPr>
          <w:rFonts w:ascii="Times New Roman" w:hAnsi="Times New Roman"/>
          <w:b w:val="0"/>
          <w:i/>
          <w:sz w:val="24"/>
          <w:szCs w:val="24"/>
        </w:rPr>
        <w:t xml:space="preserve">Условията </w:t>
      </w:r>
      <w:r w:rsidR="005312CA" w:rsidRPr="00557F6C">
        <w:rPr>
          <w:rFonts w:ascii="Times New Roman" w:hAnsi="Times New Roman"/>
          <w:b w:val="0"/>
          <w:i/>
          <w:sz w:val="24"/>
          <w:szCs w:val="24"/>
        </w:rPr>
        <w:t>за заемане на средства и структурата на финансирането</w:t>
      </w:r>
      <w:r>
        <w:rPr>
          <w:rFonts w:ascii="Times New Roman" w:hAnsi="Times New Roman"/>
          <w:b w:val="0"/>
          <w:i/>
          <w:sz w:val="24"/>
          <w:szCs w:val="24"/>
        </w:rPr>
        <w:t>.</w:t>
      </w:r>
      <w:bookmarkEnd w:id="103"/>
      <w:bookmarkEnd w:id="104"/>
    </w:p>
    <w:tbl>
      <w:tblPr>
        <w:tblStyle w:val="MediumShading2-Accent11"/>
        <w:tblW w:w="9781" w:type="dxa"/>
        <w:tblInd w:w="108" w:type="dxa"/>
        <w:tblLayout w:type="fixed"/>
        <w:tblLook w:val="04A0"/>
      </w:tblPr>
      <w:tblGrid>
        <w:gridCol w:w="3261"/>
        <w:gridCol w:w="1086"/>
        <w:gridCol w:w="1087"/>
        <w:gridCol w:w="1087"/>
        <w:gridCol w:w="1086"/>
        <w:gridCol w:w="1087"/>
        <w:gridCol w:w="1087"/>
      </w:tblGrid>
      <w:tr w:rsidR="005D03EF" w:rsidRPr="00F615C1" w:rsidTr="005D03EF">
        <w:trPr>
          <w:cnfStyle w:val="100000000000"/>
          <w:trHeight w:val="255"/>
        </w:trPr>
        <w:tc>
          <w:tcPr>
            <w:cnfStyle w:val="001000000100"/>
            <w:tcW w:w="3261" w:type="dxa"/>
            <w:noWrap/>
            <w:hideMark/>
          </w:tcPr>
          <w:p w:rsidR="005D03EF" w:rsidRPr="00F615C1" w:rsidRDefault="005D03EF">
            <w:pPr>
              <w:rPr>
                <w:rFonts w:asciiTheme="minorHAnsi" w:hAnsiTheme="minorHAnsi" w:cstheme="minorHAnsi"/>
                <w:sz w:val="22"/>
                <w:szCs w:val="22"/>
              </w:rPr>
            </w:pPr>
            <w:r w:rsidRPr="00F615C1">
              <w:rPr>
                <w:rFonts w:asciiTheme="minorHAnsi" w:hAnsiTheme="minorHAnsi" w:cstheme="minorHAnsi"/>
                <w:sz w:val="22"/>
                <w:szCs w:val="22"/>
              </w:rPr>
              <w:t> </w:t>
            </w:r>
          </w:p>
        </w:tc>
        <w:tc>
          <w:tcPr>
            <w:tcW w:w="1086" w:type="dxa"/>
            <w:hideMark/>
          </w:tcPr>
          <w:p w:rsidR="005D03EF" w:rsidRPr="00F615C1" w:rsidRDefault="005D03EF">
            <w:pPr>
              <w:jc w:val="center"/>
              <w:cnfStyle w:val="100000000000"/>
              <w:rPr>
                <w:rFonts w:asciiTheme="minorHAnsi" w:hAnsiTheme="minorHAnsi" w:cstheme="minorHAnsi"/>
                <w:sz w:val="22"/>
                <w:szCs w:val="22"/>
              </w:rPr>
            </w:pPr>
            <w:r w:rsidRPr="00F615C1">
              <w:rPr>
                <w:rFonts w:asciiTheme="minorHAnsi" w:hAnsiTheme="minorHAnsi" w:cstheme="minorHAnsi"/>
                <w:bCs w:val="0"/>
                <w:sz w:val="22"/>
                <w:szCs w:val="22"/>
              </w:rPr>
              <w:t>2009</w:t>
            </w:r>
          </w:p>
        </w:tc>
        <w:tc>
          <w:tcPr>
            <w:tcW w:w="1087" w:type="dxa"/>
            <w:hideMark/>
          </w:tcPr>
          <w:p w:rsidR="005D03EF" w:rsidRPr="00F615C1" w:rsidRDefault="005D03EF">
            <w:pPr>
              <w:jc w:val="center"/>
              <w:cnfStyle w:val="100000000000"/>
              <w:rPr>
                <w:rFonts w:asciiTheme="minorHAnsi" w:hAnsiTheme="minorHAnsi" w:cstheme="minorHAnsi"/>
                <w:sz w:val="22"/>
                <w:szCs w:val="22"/>
              </w:rPr>
            </w:pPr>
            <w:r w:rsidRPr="00F615C1">
              <w:rPr>
                <w:rFonts w:asciiTheme="minorHAnsi" w:hAnsiTheme="minorHAnsi" w:cstheme="minorHAnsi"/>
                <w:bCs w:val="0"/>
                <w:sz w:val="22"/>
                <w:szCs w:val="22"/>
              </w:rPr>
              <w:t>2010</w:t>
            </w:r>
          </w:p>
        </w:tc>
        <w:tc>
          <w:tcPr>
            <w:tcW w:w="1087" w:type="dxa"/>
            <w:hideMark/>
          </w:tcPr>
          <w:p w:rsidR="005D03EF" w:rsidRPr="00F615C1" w:rsidRDefault="005D03EF">
            <w:pPr>
              <w:jc w:val="center"/>
              <w:cnfStyle w:val="100000000000"/>
              <w:rPr>
                <w:rFonts w:asciiTheme="minorHAnsi" w:hAnsiTheme="minorHAnsi" w:cstheme="minorHAnsi"/>
                <w:sz w:val="22"/>
                <w:szCs w:val="22"/>
              </w:rPr>
            </w:pPr>
            <w:r w:rsidRPr="00F615C1">
              <w:rPr>
                <w:rFonts w:asciiTheme="minorHAnsi" w:hAnsiTheme="minorHAnsi" w:cstheme="minorHAnsi"/>
                <w:bCs w:val="0"/>
                <w:sz w:val="22"/>
                <w:szCs w:val="22"/>
              </w:rPr>
              <w:t>2011</w:t>
            </w:r>
          </w:p>
        </w:tc>
        <w:tc>
          <w:tcPr>
            <w:tcW w:w="1086" w:type="dxa"/>
            <w:hideMark/>
          </w:tcPr>
          <w:p w:rsidR="005D03EF" w:rsidRPr="00F615C1" w:rsidRDefault="005D03EF">
            <w:pPr>
              <w:jc w:val="center"/>
              <w:cnfStyle w:val="100000000000"/>
              <w:rPr>
                <w:rFonts w:asciiTheme="minorHAnsi" w:hAnsiTheme="minorHAnsi" w:cstheme="minorHAnsi"/>
                <w:sz w:val="22"/>
                <w:szCs w:val="22"/>
              </w:rPr>
            </w:pPr>
            <w:r w:rsidRPr="00F615C1">
              <w:rPr>
                <w:rFonts w:asciiTheme="minorHAnsi" w:hAnsiTheme="minorHAnsi" w:cstheme="minorHAnsi"/>
                <w:bCs w:val="0"/>
                <w:sz w:val="22"/>
                <w:szCs w:val="22"/>
              </w:rPr>
              <w:t>Q1 12</w:t>
            </w:r>
          </w:p>
        </w:tc>
        <w:tc>
          <w:tcPr>
            <w:tcW w:w="1087" w:type="dxa"/>
            <w:tcBorders>
              <w:left w:val="single" w:sz="12" w:space="0" w:color="auto"/>
            </w:tcBorders>
          </w:tcPr>
          <w:p w:rsidR="005D03EF" w:rsidRPr="00F615C1" w:rsidRDefault="005D03EF" w:rsidP="00F615C1">
            <w:pPr>
              <w:jc w:val="center"/>
              <w:cnfStyle w:val="100000000000"/>
              <w:rPr>
                <w:rFonts w:asciiTheme="minorHAnsi" w:hAnsiTheme="minorHAnsi" w:cstheme="minorHAnsi"/>
                <w:b w:val="0"/>
                <w:bCs w:val="0"/>
                <w:sz w:val="22"/>
                <w:szCs w:val="22"/>
              </w:rPr>
            </w:pPr>
            <w:r w:rsidRPr="00F615C1">
              <w:rPr>
                <w:rFonts w:asciiTheme="minorHAnsi" w:hAnsiTheme="minorHAnsi" w:cstheme="minorHAnsi"/>
                <w:bCs w:val="0"/>
                <w:sz w:val="22"/>
                <w:szCs w:val="22"/>
              </w:rPr>
              <w:t>2011 К</w:t>
            </w:r>
          </w:p>
        </w:tc>
        <w:tc>
          <w:tcPr>
            <w:tcW w:w="1087" w:type="dxa"/>
            <w:tcBorders>
              <w:right w:val="single" w:sz="12" w:space="0" w:color="auto"/>
            </w:tcBorders>
            <w:hideMark/>
          </w:tcPr>
          <w:p w:rsidR="005D03EF" w:rsidRPr="00F615C1" w:rsidRDefault="005D03EF">
            <w:pPr>
              <w:jc w:val="center"/>
              <w:cnfStyle w:val="100000000000"/>
              <w:rPr>
                <w:rFonts w:asciiTheme="minorHAnsi" w:hAnsiTheme="minorHAnsi" w:cstheme="minorHAnsi"/>
                <w:sz w:val="22"/>
                <w:szCs w:val="22"/>
              </w:rPr>
            </w:pPr>
            <w:r w:rsidRPr="00F615C1">
              <w:rPr>
                <w:rFonts w:asciiTheme="minorHAnsi" w:hAnsiTheme="minorHAnsi" w:cstheme="minorHAnsi"/>
                <w:bCs w:val="0"/>
                <w:sz w:val="22"/>
                <w:szCs w:val="22"/>
              </w:rPr>
              <w:t>Q1 12 К</w:t>
            </w:r>
          </w:p>
        </w:tc>
      </w:tr>
      <w:tr w:rsidR="005D03EF" w:rsidRPr="00F615C1" w:rsidTr="005D03EF">
        <w:trPr>
          <w:cnfStyle w:val="000000100000"/>
          <w:trHeight w:val="255"/>
        </w:trPr>
        <w:tc>
          <w:tcPr>
            <w:cnfStyle w:val="001000000000"/>
            <w:tcW w:w="3261" w:type="dxa"/>
            <w:noWrap/>
            <w:hideMark/>
          </w:tcPr>
          <w:p w:rsidR="005D03EF" w:rsidRPr="00F615C1" w:rsidRDefault="005D03EF">
            <w:pPr>
              <w:rPr>
                <w:rFonts w:asciiTheme="minorHAnsi" w:hAnsiTheme="minorHAnsi" w:cstheme="minorHAnsi"/>
                <w:b w:val="0"/>
                <w:sz w:val="22"/>
                <w:szCs w:val="22"/>
              </w:rPr>
            </w:pPr>
            <w:r w:rsidRPr="00F615C1">
              <w:rPr>
                <w:rFonts w:asciiTheme="minorHAnsi" w:hAnsiTheme="minorHAnsi" w:cstheme="minorHAnsi"/>
                <w:b w:val="0"/>
                <w:sz w:val="22"/>
                <w:szCs w:val="22"/>
              </w:rPr>
              <w:t>Дългосрочни заеми,  хил.лв.</w:t>
            </w:r>
          </w:p>
        </w:tc>
        <w:tc>
          <w:tcPr>
            <w:tcW w:w="1086" w:type="dxa"/>
            <w:noWrap/>
            <w:hideMark/>
          </w:tcPr>
          <w:p w:rsidR="005D03EF" w:rsidRPr="00F615C1" w:rsidRDefault="005D03EF">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2 088</w:t>
            </w:r>
          </w:p>
        </w:tc>
        <w:tc>
          <w:tcPr>
            <w:tcW w:w="1087" w:type="dxa"/>
            <w:noWrap/>
            <w:hideMark/>
          </w:tcPr>
          <w:p w:rsidR="005D03EF" w:rsidRPr="00F615C1" w:rsidRDefault="005D03EF">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1 467</w:t>
            </w:r>
          </w:p>
        </w:tc>
        <w:tc>
          <w:tcPr>
            <w:tcW w:w="1087" w:type="dxa"/>
            <w:noWrap/>
            <w:hideMark/>
          </w:tcPr>
          <w:p w:rsidR="005D03EF" w:rsidRPr="00F615C1" w:rsidRDefault="005D03EF">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2 084</w:t>
            </w:r>
          </w:p>
        </w:tc>
        <w:tc>
          <w:tcPr>
            <w:tcW w:w="1086" w:type="dxa"/>
            <w:noWrap/>
            <w:hideMark/>
          </w:tcPr>
          <w:p w:rsidR="005D03EF" w:rsidRPr="00F615C1" w:rsidRDefault="005D03EF">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2 134</w:t>
            </w:r>
          </w:p>
        </w:tc>
        <w:tc>
          <w:tcPr>
            <w:tcW w:w="1087" w:type="dxa"/>
            <w:tcBorders>
              <w:left w:val="single" w:sz="12" w:space="0" w:color="auto"/>
            </w:tcBorders>
          </w:tcPr>
          <w:p w:rsidR="005D03EF" w:rsidRPr="00F615C1" w:rsidRDefault="005D03EF" w:rsidP="006713D6">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2 094</w:t>
            </w:r>
          </w:p>
        </w:tc>
        <w:tc>
          <w:tcPr>
            <w:tcW w:w="1087" w:type="dxa"/>
            <w:tcBorders>
              <w:right w:val="single" w:sz="12" w:space="0" w:color="auto"/>
            </w:tcBorders>
            <w:noWrap/>
            <w:hideMark/>
          </w:tcPr>
          <w:p w:rsidR="005D03EF" w:rsidRPr="00F615C1" w:rsidRDefault="005D03EF">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2 146</w:t>
            </w:r>
          </w:p>
        </w:tc>
      </w:tr>
      <w:tr w:rsidR="005D03EF" w:rsidRPr="00F615C1" w:rsidTr="005D03EF">
        <w:trPr>
          <w:trHeight w:val="255"/>
        </w:trPr>
        <w:tc>
          <w:tcPr>
            <w:cnfStyle w:val="001000000000"/>
            <w:tcW w:w="3261" w:type="dxa"/>
            <w:noWrap/>
            <w:hideMark/>
          </w:tcPr>
          <w:p w:rsidR="005D03EF" w:rsidRPr="00F615C1" w:rsidRDefault="005D03EF">
            <w:pPr>
              <w:rPr>
                <w:rFonts w:asciiTheme="minorHAnsi" w:hAnsiTheme="minorHAnsi" w:cstheme="minorHAnsi"/>
                <w:b w:val="0"/>
                <w:sz w:val="22"/>
                <w:szCs w:val="22"/>
              </w:rPr>
            </w:pPr>
            <w:r w:rsidRPr="00F615C1">
              <w:rPr>
                <w:rFonts w:asciiTheme="minorHAnsi" w:hAnsiTheme="minorHAnsi" w:cstheme="minorHAnsi"/>
                <w:b w:val="0"/>
                <w:sz w:val="22"/>
                <w:szCs w:val="22"/>
              </w:rPr>
              <w:t>Краткосрочни заеми,  хил.лв.</w:t>
            </w:r>
          </w:p>
        </w:tc>
        <w:tc>
          <w:tcPr>
            <w:tcW w:w="1086" w:type="dxa"/>
            <w:noWrap/>
            <w:hideMark/>
          </w:tcPr>
          <w:p w:rsidR="005D03EF" w:rsidRPr="00F615C1" w:rsidRDefault="005D03EF">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4 958</w:t>
            </w:r>
          </w:p>
        </w:tc>
        <w:tc>
          <w:tcPr>
            <w:tcW w:w="1087" w:type="dxa"/>
            <w:noWrap/>
            <w:hideMark/>
          </w:tcPr>
          <w:p w:rsidR="005D03EF" w:rsidRPr="00F615C1" w:rsidRDefault="005D03EF">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2 389</w:t>
            </w:r>
          </w:p>
        </w:tc>
        <w:tc>
          <w:tcPr>
            <w:tcW w:w="1087" w:type="dxa"/>
            <w:noWrap/>
            <w:hideMark/>
          </w:tcPr>
          <w:p w:rsidR="005D03EF" w:rsidRPr="00F615C1" w:rsidRDefault="005D03EF">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2 218</w:t>
            </w:r>
          </w:p>
        </w:tc>
        <w:tc>
          <w:tcPr>
            <w:tcW w:w="1086" w:type="dxa"/>
            <w:noWrap/>
            <w:hideMark/>
          </w:tcPr>
          <w:p w:rsidR="005D03EF" w:rsidRPr="00F615C1" w:rsidRDefault="005D03EF">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2 560</w:t>
            </w:r>
          </w:p>
        </w:tc>
        <w:tc>
          <w:tcPr>
            <w:tcW w:w="1087" w:type="dxa"/>
            <w:tcBorders>
              <w:left w:val="single" w:sz="12" w:space="0" w:color="auto"/>
            </w:tcBorders>
          </w:tcPr>
          <w:p w:rsidR="005D03EF" w:rsidRPr="00096CB1" w:rsidRDefault="005D03EF" w:rsidP="00096CB1">
            <w:pPr>
              <w:jc w:val="right"/>
              <w:cnfStyle w:val="000000000000"/>
              <w:rPr>
                <w:rFonts w:asciiTheme="minorHAnsi" w:hAnsiTheme="minorHAnsi" w:cstheme="minorHAnsi"/>
                <w:sz w:val="22"/>
                <w:szCs w:val="22"/>
                <w:lang w:val="en-US"/>
              </w:rPr>
            </w:pPr>
            <w:r w:rsidRPr="00F615C1">
              <w:rPr>
                <w:rFonts w:asciiTheme="minorHAnsi" w:hAnsiTheme="minorHAnsi" w:cstheme="minorHAnsi"/>
                <w:sz w:val="22"/>
                <w:szCs w:val="22"/>
              </w:rPr>
              <w:t>2 4</w:t>
            </w:r>
            <w:r w:rsidR="00096CB1">
              <w:rPr>
                <w:rFonts w:asciiTheme="minorHAnsi" w:hAnsiTheme="minorHAnsi" w:cstheme="minorHAnsi"/>
                <w:sz w:val="22"/>
                <w:szCs w:val="22"/>
                <w:lang w:val="en-US"/>
              </w:rPr>
              <w:t>29</w:t>
            </w:r>
          </w:p>
        </w:tc>
        <w:tc>
          <w:tcPr>
            <w:tcW w:w="1087" w:type="dxa"/>
            <w:tcBorders>
              <w:right w:val="single" w:sz="12" w:space="0" w:color="auto"/>
            </w:tcBorders>
            <w:noWrap/>
            <w:hideMark/>
          </w:tcPr>
          <w:p w:rsidR="005D03EF" w:rsidRPr="00F615C1" w:rsidRDefault="005D03EF">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2 793</w:t>
            </w:r>
          </w:p>
        </w:tc>
      </w:tr>
      <w:tr w:rsidR="005D03EF" w:rsidRPr="00F615C1" w:rsidTr="005D03EF">
        <w:trPr>
          <w:cnfStyle w:val="000000100000"/>
          <w:trHeight w:val="255"/>
        </w:trPr>
        <w:tc>
          <w:tcPr>
            <w:cnfStyle w:val="001000000000"/>
            <w:tcW w:w="3261" w:type="dxa"/>
            <w:noWrap/>
            <w:hideMark/>
          </w:tcPr>
          <w:p w:rsidR="005D03EF" w:rsidRPr="00F615C1" w:rsidRDefault="005D03EF">
            <w:pPr>
              <w:rPr>
                <w:rFonts w:asciiTheme="minorHAnsi" w:hAnsiTheme="minorHAnsi" w:cstheme="minorHAnsi"/>
                <w:b w:val="0"/>
                <w:sz w:val="22"/>
                <w:szCs w:val="22"/>
              </w:rPr>
            </w:pPr>
            <w:r w:rsidRPr="00F615C1">
              <w:rPr>
                <w:rFonts w:asciiTheme="minorHAnsi" w:hAnsiTheme="minorHAnsi" w:cstheme="minorHAnsi"/>
                <w:b w:val="0"/>
                <w:sz w:val="22"/>
                <w:szCs w:val="22"/>
              </w:rPr>
              <w:t> </w:t>
            </w:r>
          </w:p>
        </w:tc>
        <w:tc>
          <w:tcPr>
            <w:tcW w:w="1086" w:type="dxa"/>
            <w:noWrap/>
            <w:hideMark/>
          </w:tcPr>
          <w:p w:rsidR="005D03EF" w:rsidRPr="00F615C1" w:rsidRDefault="005D03EF">
            <w:pPr>
              <w:cnfStyle w:val="000000100000"/>
              <w:rPr>
                <w:rFonts w:asciiTheme="minorHAnsi" w:hAnsiTheme="minorHAnsi" w:cstheme="minorHAnsi"/>
                <w:sz w:val="22"/>
                <w:szCs w:val="22"/>
              </w:rPr>
            </w:pPr>
            <w:r w:rsidRPr="00F615C1">
              <w:rPr>
                <w:rFonts w:asciiTheme="minorHAnsi" w:hAnsiTheme="minorHAnsi" w:cstheme="minorHAnsi"/>
                <w:sz w:val="22"/>
                <w:szCs w:val="22"/>
              </w:rPr>
              <w:t> </w:t>
            </w:r>
          </w:p>
        </w:tc>
        <w:tc>
          <w:tcPr>
            <w:tcW w:w="1087" w:type="dxa"/>
            <w:noWrap/>
            <w:hideMark/>
          </w:tcPr>
          <w:p w:rsidR="005D03EF" w:rsidRPr="00F615C1" w:rsidRDefault="005D03EF">
            <w:pPr>
              <w:cnfStyle w:val="000000100000"/>
              <w:rPr>
                <w:rFonts w:asciiTheme="minorHAnsi" w:hAnsiTheme="minorHAnsi" w:cstheme="minorHAnsi"/>
                <w:sz w:val="22"/>
                <w:szCs w:val="22"/>
              </w:rPr>
            </w:pPr>
            <w:r w:rsidRPr="00F615C1">
              <w:rPr>
                <w:rFonts w:asciiTheme="minorHAnsi" w:hAnsiTheme="minorHAnsi" w:cstheme="minorHAnsi"/>
                <w:sz w:val="22"/>
                <w:szCs w:val="22"/>
              </w:rPr>
              <w:t> </w:t>
            </w:r>
          </w:p>
        </w:tc>
        <w:tc>
          <w:tcPr>
            <w:tcW w:w="1087" w:type="dxa"/>
            <w:noWrap/>
            <w:hideMark/>
          </w:tcPr>
          <w:p w:rsidR="005D03EF" w:rsidRPr="00F615C1" w:rsidRDefault="005D03EF">
            <w:pPr>
              <w:cnfStyle w:val="000000100000"/>
              <w:rPr>
                <w:rFonts w:asciiTheme="minorHAnsi" w:hAnsiTheme="minorHAnsi" w:cstheme="minorHAnsi"/>
                <w:sz w:val="22"/>
                <w:szCs w:val="22"/>
              </w:rPr>
            </w:pPr>
            <w:r w:rsidRPr="00F615C1">
              <w:rPr>
                <w:rFonts w:asciiTheme="minorHAnsi" w:hAnsiTheme="minorHAnsi" w:cstheme="minorHAnsi"/>
                <w:sz w:val="22"/>
                <w:szCs w:val="22"/>
              </w:rPr>
              <w:t> </w:t>
            </w:r>
          </w:p>
        </w:tc>
        <w:tc>
          <w:tcPr>
            <w:tcW w:w="1086" w:type="dxa"/>
            <w:noWrap/>
            <w:hideMark/>
          </w:tcPr>
          <w:p w:rsidR="005D03EF" w:rsidRPr="00F615C1" w:rsidRDefault="005D03EF">
            <w:pPr>
              <w:cnfStyle w:val="000000100000"/>
              <w:rPr>
                <w:rFonts w:asciiTheme="minorHAnsi" w:hAnsiTheme="minorHAnsi" w:cstheme="minorHAnsi"/>
                <w:sz w:val="22"/>
                <w:szCs w:val="22"/>
              </w:rPr>
            </w:pPr>
            <w:r w:rsidRPr="00F615C1">
              <w:rPr>
                <w:rFonts w:asciiTheme="minorHAnsi" w:hAnsiTheme="minorHAnsi" w:cstheme="minorHAnsi"/>
                <w:sz w:val="22"/>
                <w:szCs w:val="22"/>
              </w:rPr>
              <w:t> </w:t>
            </w:r>
          </w:p>
        </w:tc>
        <w:tc>
          <w:tcPr>
            <w:tcW w:w="1087" w:type="dxa"/>
            <w:tcBorders>
              <w:left w:val="single" w:sz="12" w:space="0" w:color="auto"/>
            </w:tcBorders>
          </w:tcPr>
          <w:p w:rsidR="005D03EF" w:rsidRPr="00F615C1" w:rsidRDefault="005D03EF" w:rsidP="006713D6">
            <w:pPr>
              <w:cnfStyle w:val="000000100000"/>
              <w:rPr>
                <w:rFonts w:asciiTheme="minorHAnsi" w:hAnsiTheme="minorHAnsi" w:cstheme="minorHAnsi"/>
                <w:sz w:val="22"/>
                <w:szCs w:val="22"/>
              </w:rPr>
            </w:pPr>
          </w:p>
        </w:tc>
        <w:tc>
          <w:tcPr>
            <w:tcW w:w="1087" w:type="dxa"/>
            <w:tcBorders>
              <w:right w:val="single" w:sz="12" w:space="0" w:color="auto"/>
            </w:tcBorders>
            <w:noWrap/>
            <w:hideMark/>
          </w:tcPr>
          <w:p w:rsidR="005D03EF" w:rsidRPr="00F615C1" w:rsidRDefault="005D03EF">
            <w:pPr>
              <w:cnfStyle w:val="000000100000"/>
              <w:rPr>
                <w:rFonts w:asciiTheme="minorHAnsi" w:hAnsiTheme="minorHAnsi" w:cstheme="minorHAnsi"/>
                <w:sz w:val="22"/>
                <w:szCs w:val="22"/>
              </w:rPr>
            </w:pPr>
            <w:r w:rsidRPr="00F615C1">
              <w:rPr>
                <w:rFonts w:asciiTheme="minorHAnsi" w:hAnsiTheme="minorHAnsi" w:cstheme="minorHAnsi"/>
                <w:sz w:val="22"/>
                <w:szCs w:val="22"/>
              </w:rPr>
              <w:t> </w:t>
            </w:r>
          </w:p>
        </w:tc>
      </w:tr>
      <w:tr w:rsidR="005D03EF" w:rsidRPr="00F615C1" w:rsidTr="005D03EF">
        <w:trPr>
          <w:trHeight w:val="255"/>
        </w:trPr>
        <w:tc>
          <w:tcPr>
            <w:cnfStyle w:val="001000000000"/>
            <w:tcW w:w="3261" w:type="dxa"/>
            <w:noWrap/>
            <w:hideMark/>
          </w:tcPr>
          <w:p w:rsidR="005D03EF" w:rsidRPr="00F615C1" w:rsidRDefault="005D03EF">
            <w:pPr>
              <w:rPr>
                <w:rFonts w:asciiTheme="minorHAnsi" w:hAnsiTheme="minorHAnsi" w:cstheme="minorHAnsi"/>
                <w:b w:val="0"/>
                <w:sz w:val="22"/>
                <w:szCs w:val="22"/>
              </w:rPr>
            </w:pPr>
            <w:r w:rsidRPr="00F615C1">
              <w:rPr>
                <w:rFonts w:asciiTheme="minorHAnsi" w:hAnsiTheme="minorHAnsi" w:cstheme="minorHAnsi"/>
                <w:b w:val="0"/>
                <w:sz w:val="22"/>
                <w:szCs w:val="22"/>
              </w:rPr>
              <w:t>Дългосрочни заеми, %</w:t>
            </w:r>
          </w:p>
        </w:tc>
        <w:tc>
          <w:tcPr>
            <w:tcW w:w="1086" w:type="dxa"/>
            <w:noWrap/>
            <w:hideMark/>
          </w:tcPr>
          <w:p w:rsidR="005D03EF" w:rsidRPr="00F615C1" w:rsidRDefault="005D03EF">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30%</w:t>
            </w:r>
          </w:p>
        </w:tc>
        <w:tc>
          <w:tcPr>
            <w:tcW w:w="1087" w:type="dxa"/>
            <w:noWrap/>
            <w:hideMark/>
          </w:tcPr>
          <w:p w:rsidR="005D03EF" w:rsidRPr="00F615C1" w:rsidRDefault="005D03EF">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38%</w:t>
            </w:r>
          </w:p>
        </w:tc>
        <w:tc>
          <w:tcPr>
            <w:tcW w:w="1087" w:type="dxa"/>
            <w:noWrap/>
            <w:hideMark/>
          </w:tcPr>
          <w:p w:rsidR="005D03EF" w:rsidRPr="00F615C1" w:rsidRDefault="005D03EF">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48%</w:t>
            </w:r>
          </w:p>
        </w:tc>
        <w:tc>
          <w:tcPr>
            <w:tcW w:w="1086" w:type="dxa"/>
            <w:noWrap/>
            <w:hideMark/>
          </w:tcPr>
          <w:p w:rsidR="005D03EF" w:rsidRPr="00F615C1" w:rsidRDefault="005D03EF">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45%</w:t>
            </w:r>
          </w:p>
        </w:tc>
        <w:tc>
          <w:tcPr>
            <w:tcW w:w="1087" w:type="dxa"/>
            <w:tcBorders>
              <w:left w:val="single" w:sz="12" w:space="0" w:color="auto"/>
            </w:tcBorders>
          </w:tcPr>
          <w:p w:rsidR="005D03EF" w:rsidRPr="00F615C1" w:rsidRDefault="005D03EF" w:rsidP="006713D6">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46%</w:t>
            </w:r>
          </w:p>
        </w:tc>
        <w:tc>
          <w:tcPr>
            <w:tcW w:w="1087" w:type="dxa"/>
            <w:tcBorders>
              <w:right w:val="single" w:sz="12" w:space="0" w:color="auto"/>
            </w:tcBorders>
            <w:noWrap/>
            <w:hideMark/>
          </w:tcPr>
          <w:p w:rsidR="005D03EF" w:rsidRPr="00F615C1" w:rsidRDefault="005D03EF">
            <w:pPr>
              <w:jc w:val="right"/>
              <w:cnfStyle w:val="000000000000"/>
              <w:rPr>
                <w:rFonts w:asciiTheme="minorHAnsi" w:hAnsiTheme="minorHAnsi" w:cstheme="minorHAnsi"/>
                <w:sz w:val="22"/>
                <w:szCs w:val="22"/>
              </w:rPr>
            </w:pPr>
            <w:r w:rsidRPr="00F615C1">
              <w:rPr>
                <w:rFonts w:asciiTheme="minorHAnsi" w:hAnsiTheme="minorHAnsi" w:cstheme="minorHAnsi"/>
                <w:sz w:val="22"/>
                <w:szCs w:val="22"/>
              </w:rPr>
              <w:t>43%</w:t>
            </w:r>
          </w:p>
        </w:tc>
      </w:tr>
      <w:tr w:rsidR="005D03EF" w:rsidRPr="00F615C1" w:rsidTr="005D03EF">
        <w:trPr>
          <w:cnfStyle w:val="000000100000"/>
          <w:trHeight w:val="255"/>
        </w:trPr>
        <w:tc>
          <w:tcPr>
            <w:cnfStyle w:val="001000000000"/>
            <w:tcW w:w="3261" w:type="dxa"/>
            <w:noWrap/>
            <w:hideMark/>
          </w:tcPr>
          <w:p w:rsidR="005D03EF" w:rsidRPr="00F615C1" w:rsidRDefault="005D03EF">
            <w:pPr>
              <w:rPr>
                <w:rFonts w:asciiTheme="minorHAnsi" w:hAnsiTheme="minorHAnsi" w:cstheme="minorHAnsi"/>
                <w:b w:val="0"/>
                <w:sz w:val="22"/>
                <w:szCs w:val="22"/>
              </w:rPr>
            </w:pPr>
            <w:r w:rsidRPr="00F615C1">
              <w:rPr>
                <w:rFonts w:asciiTheme="minorHAnsi" w:hAnsiTheme="minorHAnsi" w:cstheme="minorHAnsi"/>
                <w:b w:val="0"/>
                <w:sz w:val="22"/>
                <w:szCs w:val="22"/>
              </w:rPr>
              <w:t>Краткосрочни заеми, %</w:t>
            </w:r>
          </w:p>
        </w:tc>
        <w:tc>
          <w:tcPr>
            <w:tcW w:w="1086" w:type="dxa"/>
            <w:noWrap/>
            <w:hideMark/>
          </w:tcPr>
          <w:p w:rsidR="005D03EF" w:rsidRPr="00F615C1" w:rsidRDefault="005D03EF">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70%</w:t>
            </w:r>
          </w:p>
        </w:tc>
        <w:tc>
          <w:tcPr>
            <w:tcW w:w="1087" w:type="dxa"/>
            <w:noWrap/>
            <w:hideMark/>
          </w:tcPr>
          <w:p w:rsidR="005D03EF" w:rsidRPr="00F615C1" w:rsidRDefault="005D03EF">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62%</w:t>
            </w:r>
          </w:p>
        </w:tc>
        <w:tc>
          <w:tcPr>
            <w:tcW w:w="1087" w:type="dxa"/>
            <w:noWrap/>
            <w:hideMark/>
          </w:tcPr>
          <w:p w:rsidR="005D03EF" w:rsidRPr="00F615C1" w:rsidRDefault="005D03EF">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52%</w:t>
            </w:r>
          </w:p>
        </w:tc>
        <w:tc>
          <w:tcPr>
            <w:tcW w:w="1086" w:type="dxa"/>
            <w:noWrap/>
            <w:hideMark/>
          </w:tcPr>
          <w:p w:rsidR="005D03EF" w:rsidRPr="00F615C1" w:rsidRDefault="005D03EF">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55%</w:t>
            </w:r>
          </w:p>
        </w:tc>
        <w:tc>
          <w:tcPr>
            <w:tcW w:w="1087" w:type="dxa"/>
            <w:tcBorders>
              <w:left w:val="single" w:sz="12" w:space="0" w:color="auto"/>
            </w:tcBorders>
          </w:tcPr>
          <w:p w:rsidR="005D03EF" w:rsidRPr="00F615C1" w:rsidRDefault="005D03EF" w:rsidP="006713D6">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54%</w:t>
            </w:r>
          </w:p>
        </w:tc>
        <w:tc>
          <w:tcPr>
            <w:tcW w:w="1087" w:type="dxa"/>
            <w:tcBorders>
              <w:right w:val="single" w:sz="12" w:space="0" w:color="auto"/>
            </w:tcBorders>
            <w:noWrap/>
            <w:hideMark/>
          </w:tcPr>
          <w:p w:rsidR="005D03EF" w:rsidRPr="00F615C1" w:rsidRDefault="005D03EF">
            <w:pPr>
              <w:jc w:val="right"/>
              <w:cnfStyle w:val="000000100000"/>
              <w:rPr>
                <w:rFonts w:asciiTheme="minorHAnsi" w:hAnsiTheme="minorHAnsi" w:cstheme="minorHAnsi"/>
                <w:sz w:val="22"/>
                <w:szCs w:val="22"/>
              </w:rPr>
            </w:pPr>
            <w:r w:rsidRPr="00F615C1">
              <w:rPr>
                <w:rFonts w:asciiTheme="minorHAnsi" w:hAnsiTheme="minorHAnsi" w:cstheme="minorHAnsi"/>
                <w:sz w:val="22"/>
                <w:szCs w:val="22"/>
              </w:rPr>
              <w:t>57%</w:t>
            </w:r>
          </w:p>
        </w:tc>
      </w:tr>
    </w:tbl>
    <w:p w:rsidR="008B6AB3" w:rsidRPr="00A904E3" w:rsidRDefault="008B6AB3" w:rsidP="008B6AB3">
      <w:pPr>
        <w:spacing w:after="120"/>
        <w:rPr>
          <w:i/>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423FAF" w:rsidRDefault="00423FAF" w:rsidP="00265B00">
      <w:pPr>
        <w:spacing w:after="120"/>
      </w:pPr>
      <w:r>
        <w:t>Лихвените задължения са формирани от договори за овърдрафт и средносрочни лизингови задължения, поради което преобладават краткосрочните финансирания.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18"/>
      </w:tblGrid>
      <w:tr w:rsidR="00423FAF" w:rsidTr="000D13DC">
        <w:tc>
          <w:tcPr>
            <w:tcW w:w="4361" w:type="dxa"/>
          </w:tcPr>
          <w:p w:rsidR="00423FAF" w:rsidRPr="000D13DC" w:rsidRDefault="001E2C1D" w:rsidP="001C4F5F">
            <w:pPr>
              <w:rPr>
                <w:b/>
              </w:rPr>
            </w:pPr>
            <w:r w:rsidRPr="000D13DC">
              <w:rPr>
                <w:b/>
              </w:rPr>
              <w:t>Вид на финансирането</w:t>
            </w:r>
          </w:p>
        </w:tc>
        <w:tc>
          <w:tcPr>
            <w:tcW w:w="5418" w:type="dxa"/>
          </w:tcPr>
          <w:p w:rsidR="00423FAF" w:rsidRDefault="001E2C1D" w:rsidP="001C4F5F">
            <w:r>
              <w:t>Овърдрафт</w:t>
            </w:r>
          </w:p>
        </w:tc>
      </w:tr>
      <w:tr w:rsidR="002637CF" w:rsidTr="000D13DC">
        <w:tc>
          <w:tcPr>
            <w:tcW w:w="4361" w:type="dxa"/>
          </w:tcPr>
          <w:p w:rsidR="002637CF" w:rsidRPr="000D13DC" w:rsidRDefault="002637CF" w:rsidP="001C4F5F">
            <w:pPr>
              <w:rPr>
                <w:b/>
              </w:rPr>
            </w:pPr>
            <w:r>
              <w:rPr>
                <w:b/>
              </w:rPr>
              <w:t>Крадитор</w:t>
            </w:r>
          </w:p>
        </w:tc>
        <w:tc>
          <w:tcPr>
            <w:tcW w:w="5418" w:type="dxa"/>
          </w:tcPr>
          <w:p w:rsidR="002637CF" w:rsidRPr="00393A33" w:rsidRDefault="00393A33" w:rsidP="001C4F5F">
            <w:pPr>
              <w:rPr>
                <w:strike/>
              </w:rPr>
            </w:pPr>
            <w:r w:rsidRPr="00393A33">
              <w:t>Уникредит Булбанк АД</w:t>
            </w:r>
          </w:p>
        </w:tc>
      </w:tr>
      <w:tr w:rsidR="00423FAF" w:rsidTr="000D13DC">
        <w:tc>
          <w:tcPr>
            <w:tcW w:w="4361" w:type="dxa"/>
          </w:tcPr>
          <w:p w:rsidR="00423FAF" w:rsidRPr="000D13DC" w:rsidRDefault="001E2C1D" w:rsidP="001C4F5F">
            <w:pPr>
              <w:rPr>
                <w:b/>
              </w:rPr>
            </w:pPr>
            <w:r w:rsidRPr="000D13DC">
              <w:rPr>
                <w:b/>
              </w:rPr>
              <w:t xml:space="preserve">Размер (лимит) на финансирането </w:t>
            </w:r>
          </w:p>
        </w:tc>
        <w:tc>
          <w:tcPr>
            <w:tcW w:w="5418" w:type="dxa"/>
          </w:tcPr>
          <w:p w:rsidR="00C856AE" w:rsidRDefault="00C856AE" w:rsidP="001C4F5F">
            <w:r>
              <w:t>2</w:t>
            </w:r>
            <w:r w:rsidR="001E2C1D">
              <w:t>00 000 лв.</w:t>
            </w:r>
            <w:r>
              <w:t xml:space="preserve"> Спиди ЕАД</w:t>
            </w:r>
          </w:p>
        </w:tc>
      </w:tr>
      <w:tr w:rsidR="001E2C1D" w:rsidTr="000D13DC">
        <w:tc>
          <w:tcPr>
            <w:tcW w:w="4361" w:type="dxa"/>
          </w:tcPr>
          <w:p w:rsidR="001E2C1D" w:rsidRPr="000D13DC" w:rsidRDefault="001E2C1D" w:rsidP="001C4F5F">
            <w:pPr>
              <w:rPr>
                <w:b/>
              </w:rPr>
            </w:pPr>
            <w:r w:rsidRPr="000D13DC">
              <w:rPr>
                <w:b/>
              </w:rPr>
              <w:t>Цел</w:t>
            </w:r>
          </w:p>
        </w:tc>
        <w:tc>
          <w:tcPr>
            <w:tcW w:w="5418" w:type="dxa"/>
          </w:tcPr>
          <w:p w:rsidR="001E2C1D" w:rsidRDefault="001E2C1D" w:rsidP="001C4F5F">
            <w:r>
              <w:t>Текущи разплащания</w:t>
            </w:r>
          </w:p>
        </w:tc>
      </w:tr>
      <w:tr w:rsidR="00423FAF" w:rsidRPr="00A05087" w:rsidTr="000D13DC">
        <w:tc>
          <w:tcPr>
            <w:tcW w:w="4361" w:type="dxa"/>
          </w:tcPr>
          <w:p w:rsidR="00423FAF" w:rsidRPr="00A05087" w:rsidRDefault="001E2C1D" w:rsidP="001C4F5F">
            <w:pPr>
              <w:rPr>
                <w:b/>
              </w:rPr>
            </w:pPr>
            <w:r w:rsidRPr="00A05087">
              <w:rPr>
                <w:b/>
              </w:rPr>
              <w:t>Падеж/срок</w:t>
            </w:r>
          </w:p>
        </w:tc>
        <w:tc>
          <w:tcPr>
            <w:tcW w:w="5418" w:type="dxa"/>
          </w:tcPr>
          <w:p w:rsidR="00423FAF" w:rsidRPr="00A05087" w:rsidRDefault="00BA3FCA" w:rsidP="001C4F5F">
            <w:r w:rsidRPr="00A05087">
              <w:t>Подновява се всяка година</w:t>
            </w:r>
          </w:p>
        </w:tc>
      </w:tr>
      <w:tr w:rsidR="00423FAF" w:rsidTr="000D13DC">
        <w:tc>
          <w:tcPr>
            <w:tcW w:w="4361" w:type="dxa"/>
          </w:tcPr>
          <w:p w:rsidR="00423FAF" w:rsidRPr="000D13DC" w:rsidRDefault="001E2C1D" w:rsidP="001C4F5F">
            <w:pPr>
              <w:rPr>
                <w:b/>
              </w:rPr>
            </w:pPr>
            <w:r w:rsidRPr="000D13DC">
              <w:rPr>
                <w:b/>
              </w:rPr>
              <w:t>Лихвен процент</w:t>
            </w:r>
          </w:p>
        </w:tc>
        <w:tc>
          <w:tcPr>
            <w:tcW w:w="5418" w:type="dxa"/>
          </w:tcPr>
          <w:p w:rsidR="00423FAF" w:rsidRPr="000A4933" w:rsidRDefault="000A4933" w:rsidP="001C4F5F">
            <w:r>
              <w:t xml:space="preserve">1-седмичен </w:t>
            </w:r>
            <w:r>
              <w:rPr>
                <w:lang w:val="en-US"/>
              </w:rPr>
              <w:t>SOFIBOR+</w:t>
            </w:r>
            <w:r>
              <w:t>3,85%</w:t>
            </w:r>
          </w:p>
        </w:tc>
      </w:tr>
      <w:tr w:rsidR="00423FAF" w:rsidRPr="00A05087" w:rsidTr="000D13DC">
        <w:tc>
          <w:tcPr>
            <w:tcW w:w="4361" w:type="dxa"/>
          </w:tcPr>
          <w:p w:rsidR="00423FAF" w:rsidRPr="00A05087" w:rsidRDefault="001E2C1D" w:rsidP="001C4F5F">
            <w:pPr>
              <w:rPr>
                <w:b/>
              </w:rPr>
            </w:pPr>
            <w:r w:rsidRPr="00A05087">
              <w:rPr>
                <w:b/>
              </w:rPr>
              <w:t>Размер към 31.03.12 г.</w:t>
            </w:r>
          </w:p>
        </w:tc>
        <w:tc>
          <w:tcPr>
            <w:tcW w:w="5418" w:type="dxa"/>
          </w:tcPr>
          <w:p w:rsidR="00423FAF" w:rsidRPr="00A05087" w:rsidRDefault="001237E2" w:rsidP="001C4F5F">
            <w:r w:rsidRPr="00A05087">
              <w:t>137 650 лв. Спиди ЕАД</w:t>
            </w:r>
          </w:p>
        </w:tc>
      </w:tr>
      <w:tr w:rsidR="00423FAF" w:rsidRPr="005806E3" w:rsidTr="000D13DC">
        <w:tc>
          <w:tcPr>
            <w:tcW w:w="4361" w:type="dxa"/>
          </w:tcPr>
          <w:p w:rsidR="00423FAF" w:rsidRPr="005806E3" w:rsidRDefault="00423FAF" w:rsidP="001C4F5F">
            <w:pPr>
              <w:rPr>
                <w:b/>
                <w:sz w:val="6"/>
                <w:szCs w:val="6"/>
              </w:rPr>
            </w:pPr>
          </w:p>
        </w:tc>
        <w:tc>
          <w:tcPr>
            <w:tcW w:w="5418" w:type="dxa"/>
          </w:tcPr>
          <w:p w:rsidR="00423FAF" w:rsidRPr="005806E3" w:rsidRDefault="00423FAF" w:rsidP="001C4F5F">
            <w:pPr>
              <w:rPr>
                <w:sz w:val="6"/>
                <w:szCs w:val="6"/>
              </w:rPr>
            </w:pPr>
          </w:p>
        </w:tc>
      </w:tr>
      <w:tr w:rsidR="001E2C1D" w:rsidTr="000D13DC">
        <w:tc>
          <w:tcPr>
            <w:tcW w:w="4361" w:type="dxa"/>
          </w:tcPr>
          <w:p w:rsidR="001E2C1D" w:rsidRPr="000D13DC" w:rsidRDefault="001E2C1D" w:rsidP="001C4F5F">
            <w:pPr>
              <w:rPr>
                <w:b/>
              </w:rPr>
            </w:pPr>
            <w:r w:rsidRPr="000D13DC">
              <w:rPr>
                <w:b/>
              </w:rPr>
              <w:t>Вид на финансирането</w:t>
            </w:r>
          </w:p>
        </w:tc>
        <w:tc>
          <w:tcPr>
            <w:tcW w:w="5418" w:type="dxa"/>
          </w:tcPr>
          <w:p w:rsidR="001E2C1D" w:rsidRDefault="00C856AE" w:rsidP="001C4F5F">
            <w:r>
              <w:t>Овърдрафт</w:t>
            </w:r>
          </w:p>
        </w:tc>
      </w:tr>
      <w:tr w:rsidR="002637CF" w:rsidTr="000D13DC">
        <w:tc>
          <w:tcPr>
            <w:tcW w:w="4361" w:type="dxa"/>
          </w:tcPr>
          <w:p w:rsidR="002637CF" w:rsidRPr="000D13DC" w:rsidRDefault="002637CF" w:rsidP="001C4F5F">
            <w:pPr>
              <w:rPr>
                <w:b/>
              </w:rPr>
            </w:pPr>
            <w:r>
              <w:rPr>
                <w:b/>
              </w:rPr>
              <w:t>Крадитор</w:t>
            </w:r>
          </w:p>
        </w:tc>
        <w:tc>
          <w:tcPr>
            <w:tcW w:w="5418" w:type="dxa"/>
          </w:tcPr>
          <w:p w:rsidR="002637CF" w:rsidRPr="00393A33" w:rsidRDefault="00393A33" w:rsidP="001C4F5F">
            <w:pPr>
              <w:rPr>
                <w:strike/>
              </w:rPr>
            </w:pPr>
            <w:r w:rsidRPr="00393A33">
              <w:t>Райфайзенбанк ЕАД</w:t>
            </w:r>
          </w:p>
        </w:tc>
      </w:tr>
      <w:tr w:rsidR="001E2C1D" w:rsidTr="000D13DC">
        <w:tc>
          <w:tcPr>
            <w:tcW w:w="4361" w:type="dxa"/>
          </w:tcPr>
          <w:p w:rsidR="001E2C1D" w:rsidRPr="000D13DC" w:rsidRDefault="001E2C1D" w:rsidP="001C4F5F">
            <w:pPr>
              <w:rPr>
                <w:b/>
              </w:rPr>
            </w:pPr>
            <w:r w:rsidRPr="000D13DC">
              <w:rPr>
                <w:b/>
              </w:rPr>
              <w:t xml:space="preserve">Размер (лимит) на финансирането </w:t>
            </w:r>
          </w:p>
        </w:tc>
        <w:tc>
          <w:tcPr>
            <w:tcW w:w="5418" w:type="dxa"/>
          </w:tcPr>
          <w:p w:rsidR="001E2C1D" w:rsidRDefault="00F128DF" w:rsidP="001C4F5F">
            <w:r>
              <w:t>700 000 лв.</w:t>
            </w:r>
          </w:p>
        </w:tc>
      </w:tr>
      <w:tr w:rsidR="00F128DF" w:rsidTr="000D13DC">
        <w:tc>
          <w:tcPr>
            <w:tcW w:w="4361" w:type="dxa"/>
          </w:tcPr>
          <w:p w:rsidR="00F128DF" w:rsidRPr="000D13DC" w:rsidRDefault="00F128DF" w:rsidP="001C4F5F">
            <w:pPr>
              <w:rPr>
                <w:b/>
              </w:rPr>
            </w:pPr>
            <w:r w:rsidRPr="000D13DC">
              <w:rPr>
                <w:b/>
              </w:rPr>
              <w:t>Цел</w:t>
            </w:r>
          </w:p>
        </w:tc>
        <w:tc>
          <w:tcPr>
            <w:tcW w:w="5418" w:type="dxa"/>
          </w:tcPr>
          <w:p w:rsidR="00F128DF" w:rsidRDefault="00F128DF" w:rsidP="001C4F5F">
            <w:r>
              <w:t>Текущи разплащания</w:t>
            </w:r>
          </w:p>
        </w:tc>
      </w:tr>
      <w:tr w:rsidR="001E2C1D" w:rsidRPr="00A05087" w:rsidTr="000D13DC">
        <w:tc>
          <w:tcPr>
            <w:tcW w:w="4361" w:type="dxa"/>
          </w:tcPr>
          <w:p w:rsidR="001E2C1D" w:rsidRPr="00A05087" w:rsidRDefault="001E2C1D" w:rsidP="001C4F5F">
            <w:pPr>
              <w:rPr>
                <w:b/>
              </w:rPr>
            </w:pPr>
            <w:r w:rsidRPr="00A05087">
              <w:rPr>
                <w:b/>
              </w:rPr>
              <w:t>Падеж/срок</w:t>
            </w:r>
          </w:p>
        </w:tc>
        <w:tc>
          <w:tcPr>
            <w:tcW w:w="5418" w:type="dxa"/>
          </w:tcPr>
          <w:p w:rsidR="001E2C1D" w:rsidRPr="00A05087" w:rsidRDefault="00BA3FCA" w:rsidP="001C4F5F">
            <w:r w:rsidRPr="00A05087">
              <w:t>Подновява се всяка година</w:t>
            </w:r>
          </w:p>
        </w:tc>
      </w:tr>
      <w:tr w:rsidR="001E2C1D" w:rsidTr="000D13DC">
        <w:tc>
          <w:tcPr>
            <w:tcW w:w="4361" w:type="dxa"/>
          </w:tcPr>
          <w:p w:rsidR="001E2C1D" w:rsidRPr="000D13DC" w:rsidRDefault="001E2C1D" w:rsidP="001C4F5F">
            <w:pPr>
              <w:rPr>
                <w:b/>
              </w:rPr>
            </w:pPr>
            <w:r w:rsidRPr="000D13DC">
              <w:rPr>
                <w:b/>
              </w:rPr>
              <w:t>Лихвен процент</w:t>
            </w:r>
          </w:p>
        </w:tc>
        <w:tc>
          <w:tcPr>
            <w:tcW w:w="5418" w:type="dxa"/>
          </w:tcPr>
          <w:p w:rsidR="001E2C1D" w:rsidRDefault="0091571B" w:rsidP="001C4F5F">
            <w:r>
              <w:t>3-месечен СОФИБОР</w:t>
            </w:r>
            <w:r w:rsidR="00CF508B">
              <w:t>+3,5%</w:t>
            </w:r>
          </w:p>
        </w:tc>
      </w:tr>
      <w:tr w:rsidR="001E2C1D" w:rsidRPr="00A05087" w:rsidTr="000D13DC">
        <w:tc>
          <w:tcPr>
            <w:tcW w:w="4361" w:type="dxa"/>
          </w:tcPr>
          <w:p w:rsidR="001E2C1D" w:rsidRPr="00A05087" w:rsidRDefault="001E2C1D" w:rsidP="001C4F5F">
            <w:pPr>
              <w:rPr>
                <w:b/>
              </w:rPr>
            </w:pPr>
            <w:r w:rsidRPr="00A05087">
              <w:rPr>
                <w:b/>
              </w:rPr>
              <w:t>Размер към 31.03.12 г.</w:t>
            </w:r>
          </w:p>
        </w:tc>
        <w:tc>
          <w:tcPr>
            <w:tcW w:w="5418" w:type="dxa"/>
          </w:tcPr>
          <w:p w:rsidR="001E2C1D" w:rsidRPr="00A05087" w:rsidRDefault="00CF508B" w:rsidP="001C4F5F">
            <w:r>
              <w:t>505 954</w:t>
            </w:r>
            <w:r w:rsidR="00A05087">
              <w:t xml:space="preserve"> лв.</w:t>
            </w:r>
          </w:p>
        </w:tc>
      </w:tr>
    </w:tbl>
    <w:p w:rsidR="00E802DD" w:rsidRDefault="00E802DD" w:rsidP="001C4F5F"/>
    <w:p w:rsidR="00FD280C" w:rsidRDefault="005406AE" w:rsidP="00265B00">
      <w:pPr>
        <w:spacing w:after="120"/>
      </w:pPr>
      <w:r>
        <w:t>Дружеството им 82 договора за лизинг на транспортни средства и техническо оборудване.</w:t>
      </w:r>
    </w:p>
    <w:tbl>
      <w:tblPr>
        <w:tblStyle w:val="MediumShading2-Accent11"/>
        <w:tblW w:w="9781" w:type="dxa"/>
        <w:tblInd w:w="108" w:type="dxa"/>
        <w:tblLayout w:type="fixed"/>
        <w:tblLook w:val="0460"/>
      </w:tblPr>
      <w:tblGrid>
        <w:gridCol w:w="2977"/>
        <w:gridCol w:w="1630"/>
        <w:gridCol w:w="1630"/>
        <w:gridCol w:w="3544"/>
      </w:tblGrid>
      <w:tr w:rsidR="002637CF" w:rsidRPr="005406AE" w:rsidTr="002637CF">
        <w:trPr>
          <w:cnfStyle w:val="100000000000"/>
          <w:trHeight w:val="300"/>
        </w:trPr>
        <w:tc>
          <w:tcPr>
            <w:tcW w:w="2977" w:type="dxa"/>
          </w:tcPr>
          <w:p w:rsidR="002637CF" w:rsidRDefault="002637CF" w:rsidP="005406AE">
            <w:pPr>
              <w:autoSpaceDE/>
              <w:autoSpaceDN/>
              <w:adjustRightInd/>
              <w:spacing w:after="0"/>
              <w:jc w:val="center"/>
              <w:rPr>
                <w:rFonts w:ascii="Calibri" w:hAnsi="Calibri" w:cs="Calibri"/>
                <w:b w:val="0"/>
                <w:bCs w:val="0"/>
                <w:i/>
                <w:iCs/>
                <w:color w:val="000000"/>
                <w:sz w:val="22"/>
                <w:szCs w:val="22"/>
                <w:lang w:eastAsia="bg-BG"/>
              </w:rPr>
            </w:pPr>
            <w:r>
              <w:rPr>
                <w:rFonts w:ascii="Calibri" w:hAnsi="Calibri" w:cs="Calibri"/>
                <w:b w:val="0"/>
                <w:bCs w:val="0"/>
                <w:i/>
                <w:iCs/>
                <w:color w:val="000000"/>
                <w:sz w:val="22"/>
                <w:szCs w:val="22"/>
                <w:lang w:eastAsia="bg-BG"/>
              </w:rPr>
              <w:t>Кредитор</w:t>
            </w:r>
          </w:p>
        </w:tc>
        <w:tc>
          <w:tcPr>
            <w:tcW w:w="1630" w:type="dxa"/>
            <w:noWrap/>
            <w:hideMark/>
          </w:tcPr>
          <w:p w:rsidR="002637CF" w:rsidRPr="00F243FA" w:rsidRDefault="00F243FA" w:rsidP="005406AE">
            <w:pPr>
              <w:autoSpaceDE/>
              <w:autoSpaceDN/>
              <w:adjustRightInd/>
              <w:spacing w:after="0"/>
              <w:jc w:val="center"/>
              <w:rPr>
                <w:rFonts w:ascii="Calibri" w:hAnsi="Calibri" w:cs="Calibri"/>
                <w:b w:val="0"/>
                <w:bCs w:val="0"/>
                <w:i/>
                <w:iCs/>
                <w:color w:val="000000"/>
                <w:sz w:val="22"/>
                <w:szCs w:val="22"/>
                <w:lang w:eastAsia="bg-BG"/>
              </w:rPr>
            </w:pPr>
            <w:r>
              <w:rPr>
                <w:rFonts w:ascii="Calibri" w:hAnsi="Calibri" w:cs="Calibri"/>
                <w:b w:val="0"/>
                <w:bCs w:val="0"/>
                <w:i/>
                <w:iCs/>
                <w:color w:val="000000"/>
                <w:sz w:val="22"/>
                <w:szCs w:val="22"/>
                <w:lang w:eastAsia="bg-BG"/>
              </w:rPr>
              <w:t>Падеж до 12 мес</w:t>
            </w:r>
            <w:r w:rsidRPr="00F243FA">
              <w:rPr>
                <w:rFonts w:ascii="Calibri" w:hAnsi="Calibri" w:cs="Calibri"/>
                <w:b w:val="0"/>
                <w:bCs w:val="0"/>
                <w:i/>
                <w:iCs/>
                <w:color w:val="000000"/>
                <w:sz w:val="22"/>
                <w:szCs w:val="22"/>
                <w:lang w:eastAsia="bg-BG"/>
              </w:rPr>
              <w:t>.</w:t>
            </w:r>
          </w:p>
        </w:tc>
        <w:tc>
          <w:tcPr>
            <w:tcW w:w="1630" w:type="dxa"/>
            <w:noWrap/>
            <w:hideMark/>
          </w:tcPr>
          <w:p w:rsidR="002637CF" w:rsidRPr="00F243FA" w:rsidRDefault="002637CF" w:rsidP="005406AE">
            <w:pPr>
              <w:autoSpaceDE/>
              <w:autoSpaceDN/>
              <w:adjustRightInd/>
              <w:spacing w:after="0"/>
              <w:jc w:val="center"/>
              <w:rPr>
                <w:rFonts w:ascii="Calibri" w:hAnsi="Calibri" w:cs="Calibri"/>
                <w:b w:val="0"/>
                <w:bCs w:val="0"/>
                <w:i/>
                <w:iCs/>
                <w:color w:val="000000"/>
                <w:sz w:val="22"/>
                <w:szCs w:val="22"/>
                <w:lang w:eastAsia="bg-BG"/>
              </w:rPr>
            </w:pPr>
            <w:r>
              <w:rPr>
                <w:rFonts w:ascii="Calibri" w:hAnsi="Calibri" w:cs="Calibri"/>
                <w:b w:val="0"/>
                <w:bCs w:val="0"/>
                <w:i/>
                <w:iCs/>
                <w:color w:val="000000"/>
                <w:sz w:val="22"/>
                <w:szCs w:val="22"/>
                <w:lang w:eastAsia="bg-BG"/>
              </w:rPr>
              <w:t>Падеж над 12 мес</w:t>
            </w:r>
            <w:r w:rsidR="00F243FA" w:rsidRPr="00F243FA">
              <w:rPr>
                <w:rFonts w:ascii="Calibri" w:hAnsi="Calibri" w:cs="Calibri"/>
                <w:b w:val="0"/>
                <w:bCs w:val="0"/>
                <w:i/>
                <w:iCs/>
                <w:color w:val="000000"/>
                <w:sz w:val="22"/>
                <w:szCs w:val="22"/>
                <w:lang w:eastAsia="bg-BG"/>
              </w:rPr>
              <w:t>.</w:t>
            </w:r>
          </w:p>
        </w:tc>
        <w:tc>
          <w:tcPr>
            <w:tcW w:w="3544" w:type="dxa"/>
            <w:noWrap/>
            <w:hideMark/>
          </w:tcPr>
          <w:p w:rsidR="002637CF" w:rsidRPr="00F243FA" w:rsidRDefault="002637CF" w:rsidP="005406AE">
            <w:pPr>
              <w:autoSpaceDE/>
              <w:autoSpaceDN/>
              <w:adjustRightInd/>
              <w:spacing w:after="0"/>
              <w:jc w:val="center"/>
              <w:rPr>
                <w:rFonts w:ascii="Calibri" w:hAnsi="Calibri" w:cs="Calibri"/>
                <w:b w:val="0"/>
                <w:i/>
                <w:iCs/>
                <w:color w:val="000000"/>
                <w:sz w:val="22"/>
                <w:szCs w:val="22"/>
                <w:lang w:eastAsia="bg-BG"/>
              </w:rPr>
            </w:pPr>
            <w:r w:rsidRPr="00F243FA">
              <w:rPr>
                <w:rFonts w:ascii="Calibri" w:hAnsi="Calibri" w:cs="Calibri"/>
                <w:b w:val="0"/>
                <w:i/>
                <w:iCs/>
                <w:color w:val="000000"/>
                <w:sz w:val="22"/>
                <w:szCs w:val="22"/>
                <w:lang w:eastAsia="bg-BG"/>
              </w:rPr>
              <w:t>Лихвен процент</w:t>
            </w:r>
          </w:p>
        </w:tc>
      </w:tr>
      <w:tr w:rsidR="002637CF" w:rsidRPr="005406AE" w:rsidTr="002637CF">
        <w:trPr>
          <w:cnfStyle w:val="000000100000"/>
          <w:trHeight w:val="300"/>
        </w:trPr>
        <w:tc>
          <w:tcPr>
            <w:tcW w:w="2977" w:type="dxa"/>
            <w:vAlign w:val="bottom"/>
          </w:tcPr>
          <w:p w:rsidR="002637CF" w:rsidRDefault="002637CF">
            <w:pPr>
              <w:rPr>
                <w:rFonts w:ascii="Calibri" w:hAnsi="Calibri" w:cs="Calibri"/>
                <w:color w:val="000000"/>
                <w:sz w:val="22"/>
                <w:szCs w:val="22"/>
              </w:rPr>
            </w:pPr>
            <w:r>
              <w:rPr>
                <w:rFonts w:ascii="Calibri" w:hAnsi="Calibri" w:cs="Calibri"/>
                <w:color w:val="000000"/>
                <w:sz w:val="22"/>
                <w:szCs w:val="22"/>
              </w:rPr>
              <w:t>Хипо Алпе Адрия Аутолизинг</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65 042</w:t>
            </w:r>
          </w:p>
        </w:tc>
        <w:tc>
          <w:tcPr>
            <w:tcW w:w="1630" w:type="dxa"/>
            <w:noWrap/>
            <w:hideMark/>
          </w:tcPr>
          <w:p w:rsidR="002637CF" w:rsidRPr="005406AE" w:rsidRDefault="002637CF" w:rsidP="005406AE">
            <w:pPr>
              <w:autoSpaceDE/>
              <w:autoSpaceDN/>
              <w:adjustRightInd/>
              <w:spacing w:after="0"/>
              <w:jc w:val="left"/>
              <w:rPr>
                <w:rFonts w:ascii="Calibri" w:hAnsi="Calibri" w:cs="Calibri"/>
                <w:color w:val="000000"/>
                <w:sz w:val="22"/>
                <w:szCs w:val="22"/>
                <w:lang w:eastAsia="bg-BG"/>
              </w:rPr>
            </w:pPr>
            <w:r w:rsidRPr="005406AE">
              <w:rPr>
                <w:rFonts w:ascii="Calibri" w:hAnsi="Calibri" w:cs="Calibri"/>
                <w:color w:val="000000"/>
                <w:sz w:val="22"/>
                <w:szCs w:val="22"/>
                <w:lang w:eastAsia="bg-BG"/>
              </w:rPr>
              <w:t> </w:t>
            </w:r>
          </w:p>
        </w:tc>
        <w:tc>
          <w:tcPr>
            <w:tcW w:w="3544" w:type="dxa"/>
            <w:noWrap/>
            <w:hideMark/>
          </w:tcPr>
          <w:p w:rsidR="002637CF" w:rsidRPr="005406AE" w:rsidRDefault="002637CF" w:rsidP="005406AE">
            <w:pPr>
              <w:autoSpaceDE/>
              <w:autoSpaceDN/>
              <w:adjustRightInd/>
              <w:spacing w:after="0"/>
              <w:jc w:val="left"/>
              <w:rPr>
                <w:rFonts w:ascii="Calibri" w:hAnsi="Calibri" w:cs="Calibri"/>
                <w:color w:val="000000"/>
                <w:sz w:val="22"/>
                <w:szCs w:val="22"/>
                <w:lang w:eastAsia="bg-BG"/>
              </w:rPr>
            </w:pPr>
            <w:r w:rsidRPr="005406AE">
              <w:rPr>
                <w:rFonts w:ascii="Calibri" w:hAnsi="Calibri" w:cs="Calibri"/>
                <w:color w:val="000000"/>
                <w:sz w:val="22"/>
                <w:szCs w:val="22"/>
                <w:lang w:eastAsia="bg-BG"/>
              </w:rPr>
              <w:t>3 месечен Euribor +2.64</w:t>
            </w:r>
            <w:r>
              <w:rPr>
                <w:rFonts w:ascii="Calibri" w:hAnsi="Calibri" w:cs="Calibri"/>
                <w:color w:val="000000"/>
                <w:sz w:val="22"/>
                <w:szCs w:val="22"/>
                <w:lang w:eastAsia="bg-BG"/>
              </w:rPr>
              <w:t>%</w:t>
            </w:r>
            <w:r w:rsidRPr="005406AE">
              <w:rPr>
                <w:rFonts w:ascii="Calibri" w:hAnsi="Calibri" w:cs="Calibri"/>
                <w:color w:val="000000"/>
                <w:sz w:val="22"/>
                <w:szCs w:val="22"/>
                <w:lang w:eastAsia="bg-BG"/>
              </w:rPr>
              <w:t xml:space="preserve"> надбавка</w:t>
            </w:r>
          </w:p>
        </w:tc>
      </w:tr>
      <w:tr w:rsidR="002637CF" w:rsidRPr="005406AE" w:rsidTr="002637CF">
        <w:trPr>
          <w:trHeight w:val="300"/>
        </w:trPr>
        <w:tc>
          <w:tcPr>
            <w:tcW w:w="2977" w:type="dxa"/>
            <w:vAlign w:val="bottom"/>
          </w:tcPr>
          <w:p w:rsidR="002637CF" w:rsidRDefault="002637CF">
            <w:pPr>
              <w:rPr>
                <w:rFonts w:ascii="Calibri" w:hAnsi="Calibri" w:cs="Calibri"/>
                <w:color w:val="000000"/>
                <w:sz w:val="22"/>
                <w:szCs w:val="22"/>
              </w:rPr>
            </w:pPr>
            <w:r>
              <w:rPr>
                <w:rFonts w:ascii="Calibri" w:hAnsi="Calibri" w:cs="Calibri"/>
                <w:color w:val="000000"/>
                <w:sz w:val="22"/>
                <w:szCs w:val="22"/>
              </w:rPr>
              <w:t>Интерлийз Ауто</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152 726</w:t>
            </w:r>
          </w:p>
        </w:tc>
        <w:tc>
          <w:tcPr>
            <w:tcW w:w="1630" w:type="dxa"/>
            <w:noWrap/>
            <w:hideMark/>
          </w:tcPr>
          <w:p w:rsidR="002637CF" w:rsidRPr="005406AE" w:rsidRDefault="002637CF" w:rsidP="005406AE">
            <w:pPr>
              <w:autoSpaceDE/>
              <w:autoSpaceDN/>
              <w:adjustRightInd/>
              <w:spacing w:after="0"/>
              <w:jc w:val="left"/>
              <w:rPr>
                <w:rFonts w:ascii="Calibri" w:hAnsi="Calibri" w:cs="Calibri"/>
                <w:color w:val="000000"/>
                <w:sz w:val="22"/>
                <w:szCs w:val="22"/>
                <w:lang w:eastAsia="bg-BG"/>
              </w:rPr>
            </w:pPr>
            <w:r w:rsidRPr="005406AE">
              <w:rPr>
                <w:rFonts w:ascii="Calibri" w:hAnsi="Calibri" w:cs="Calibri"/>
                <w:color w:val="000000"/>
                <w:sz w:val="22"/>
                <w:szCs w:val="22"/>
                <w:lang w:eastAsia="bg-BG"/>
              </w:rPr>
              <w:t> </w:t>
            </w:r>
          </w:p>
        </w:tc>
        <w:tc>
          <w:tcPr>
            <w:tcW w:w="3544" w:type="dxa"/>
            <w:noWrap/>
            <w:hideMark/>
          </w:tcPr>
          <w:p w:rsidR="002637CF" w:rsidRPr="005406AE" w:rsidRDefault="002637CF" w:rsidP="005406AE">
            <w:pPr>
              <w:autoSpaceDE/>
              <w:autoSpaceDN/>
              <w:adjustRightInd/>
              <w:spacing w:after="0"/>
              <w:jc w:val="left"/>
              <w:rPr>
                <w:rFonts w:ascii="Calibri" w:hAnsi="Calibri" w:cs="Calibri"/>
                <w:color w:val="000000"/>
                <w:sz w:val="22"/>
                <w:szCs w:val="22"/>
                <w:lang w:eastAsia="bg-BG"/>
              </w:rPr>
            </w:pPr>
            <w:r w:rsidRPr="005406AE">
              <w:rPr>
                <w:rFonts w:ascii="Calibri" w:hAnsi="Calibri" w:cs="Calibri"/>
                <w:color w:val="000000"/>
                <w:sz w:val="22"/>
                <w:szCs w:val="22"/>
                <w:lang w:eastAsia="bg-BG"/>
              </w:rPr>
              <w:t>3 месечен Euribor +3.5</w:t>
            </w:r>
            <w:r>
              <w:rPr>
                <w:rFonts w:ascii="Calibri" w:hAnsi="Calibri" w:cs="Calibri"/>
                <w:color w:val="000000"/>
                <w:sz w:val="22"/>
                <w:szCs w:val="22"/>
                <w:lang w:eastAsia="bg-BG"/>
              </w:rPr>
              <w:t>0%</w:t>
            </w:r>
            <w:r w:rsidRPr="005406AE">
              <w:rPr>
                <w:rFonts w:ascii="Calibri" w:hAnsi="Calibri" w:cs="Calibri"/>
                <w:color w:val="000000"/>
                <w:sz w:val="22"/>
                <w:szCs w:val="22"/>
                <w:lang w:eastAsia="bg-BG"/>
              </w:rPr>
              <w:t xml:space="preserve"> надбавка</w:t>
            </w:r>
          </w:p>
        </w:tc>
      </w:tr>
      <w:tr w:rsidR="002637CF" w:rsidRPr="005406AE" w:rsidTr="002637CF">
        <w:trPr>
          <w:cnfStyle w:val="000000100000"/>
          <w:trHeight w:val="300"/>
        </w:trPr>
        <w:tc>
          <w:tcPr>
            <w:tcW w:w="2977" w:type="dxa"/>
            <w:vAlign w:val="bottom"/>
          </w:tcPr>
          <w:p w:rsidR="002637CF" w:rsidRDefault="002637CF">
            <w:pPr>
              <w:rPr>
                <w:rFonts w:ascii="Calibri" w:hAnsi="Calibri" w:cs="Calibri"/>
                <w:color w:val="000000"/>
                <w:sz w:val="22"/>
                <w:szCs w:val="22"/>
              </w:rPr>
            </w:pPr>
            <w:r>
              <w:rPr>
                <w:rFonts w:ascii="Calibri" w:hAnsi="Calibri" w:cs="Calibri"/>
                <w:color w:val="000000"/>
                <w:sz w:val="22"/>
                <w:szCs w:val="22"/>
              </w:rPr>
              <w:t>Интерлийз</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71 743</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13 528</w:t>
            </w:r>
          </w:p>
        </w:tc>
        <w:tc>
          <w:tcPr>
            <w:tcW w:w="3544" w:type="dxa"/>
            <w:noWrap/>
            <w:hideMark/>
          </w:tcPr>
          <w:p w:rsidR="002637CF" w:rsidRPr="005406AE" w:rsidRDefault="002637CF" w:rsidP="005406AE">
            <w:pPr>
              <w:autoSpaceDE/>
              <w:autoSpaceDN/>
              <w:adjustRightInd/>
              <w:spacing w:after="0"/>
              <w:jc w:val="left"/>
              <w:rPr>
                <w:rFonts w:ascii="Calibri" w:hAnsi="Calibri" w:cs="Calibri"/>
                <w:color w:val="000000"/>
                <w:sz w:val="22"/>
                <w:szCs w:val="22"/>
                <w:lang w:eastAsia="bg-BG"/>
              </w:rPr>
            </w:pPr>
            <w:r w:rsidRPr="005406AE">
              <w:rPr>
                <w:rFonts w:ascii="Calibri" w:hAnsi="Calibri" w:cs="Calibri"/>
                <w:color w:val="000000"/>
                <w:sz w:val="22"/>
                <w:szCs w:val="22"/>
                <w:lang w:eastAsia="bg-BG"/>
              </w:rPr>
              <w:t>3 месечен Euribor +3.95</w:t>
            </w:r>
            <w:r>
              <w:rPr>
                <w:rFonts w:ascii="Calibri" w:hAnsi="Calibri" w:cs="Calibri"/>
                <w:color w:val="000000"/>
                <w:sz w:val="22"/>
                <w:szCs w:val="22"/>
                <w:lang w:eastAsia="bg-BG"/>
              </w:rPr>
              <w:t>%</w:t>
            </w:r>
            <w:r w:rsidRPr="005406AE">
              <w:rPr>
                <w:rFonts w:ascii="Calibri" w:hAnsi="Calibri" w:cs="Calibri"/>
                <w:color w:val="000000"/>
                <w:sz w:val="22"/>
                <w:szCs w:val="22"/>
                <w:lang w:eastAsia="bg-BG"/>
              </w:rPr>
              <w:t xml:space="preserve"> надбавка</w:t>
            </w:r>
          </w:p>
        </w:tc>
      </w:tr>
      <w:tr w:rsidR="002637CF" w:rsidRPr="005406AE" w:rsidTr="002637CF">
        <w:trPr>
          <w:trHeight w:val="300"/>
        </w:trPr>
        <w:tc>
          <w:tcPr>
            <w:tcW w:w="2977" w:type="dxa"/>
            <w:vAlign w:val="bottom"/>
          </w:tcPr>
          <w:p w:rsidR="002637CF" w:rsidRDefault="002637CF">
            <w:pPr>
              <w:rPr>
                <w:rFonts w:ascii="Calibri" w:hAnsi="Calibri" w:cs="Calibri"/>
                <w:color w:val="000000"/>
                <w:sz w:val="22"/>
                <w:szCs w:val="22"/>
              </w:rPr>
            </w:pPr>
            <w:r>
              <w:rPr>
                <w:rFonts w:ascii="Calibri" w:hAnsi="Calibri" w:cs="Calibri"/>
                <w:color w:val="000000"/>
                <w:sz w:val="22"/>
                <w:szCs w:val="22"/>
              </w:rPr>
              <w:t>БМ Лизинг</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278 578</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340 214</w:t>
            </w:r>
          </w:p>
        </w:tc>
        <w:tc>
          <w:tcPr>
            <w:tcW w:w="3544" w:type="dxa"/>
            <w:noWrap/>
            <w:hideMark/>
          </w:tcPr>
          <w:p w:rsidR="002637CF" w:rsidRPr="005406AE" w:rsidRDefault="002637CF" w:rsidP="005406AE">
            <w:pPr>
              <w:autoSpaceDE/>
              <w:autoSpaceDN/>
              <w:adjustRightInd/>
              <w:spacing w:after="0"/>
              <w:jc w:val="left"/>
              <w:rPr>
                <w:rFonts w:ascii="Calibri" w:hAnsi="Calibri" w:cs="Calibri"/>
                <w:color w:val="000000"/>
                <w:sz w:val="22"/>
                <w:szCs w:val="22"/>
                <w:lang w:eastAsia="bg-BG"/>
              </w:rPr>
            </w:pPr>
            <w:r w:rsidRPr="005406AE">
              <w:rPr>
                <w:rFonts w:ascii="Calibri" w:hAnsi="Calibri" w:cs="Calibri"/>
                <w:color w:val="000000"/>
                <w:sz w:val="22"/>
                <w:szCs w:val="22"/>
                <w:lang w:eastAsia="bg-BG"/>
              </w:rPr>
              <w:t>3 месечен Euribor +4</w:t>
            </w:r>
            <w:r>
              <w:rPr>
                <w:rFonts w:ascii="Calibri" w:hAnsi="Calibri" w:cs="Calibri"/>
                <w:color w:val="000000"/>
                <w:sz w:val="22"/>
                <w:szCs w:val="22"/>
                <w:lang w:eastAsia="bg-BG"/>
              </w:rPr>
              <w:t>,00</w:t>
            </w:r>
            <w:r w:rsidRPr="005406AE">
              <w:rPr>
                <w:rFonts w:ascii="Calibri" w:hAnsi="Calibri" w:cs="Calibri"/>
                <w:color w:val="000000"/>
                <w:sz w:val="22"/>
                <w:szCs w:val="22"/>
                <w:lang w:eastAsia="bg-BG"/>
              </w:rPr>
              <w:t>% надбавка</w:t>
            </w:r>
          </w:p>
        </w:tc>
      </w:tr>
      <w:tr w:rsidR="002637CF" w:rsidRPr="005406AE" w:rsidTr="002637CF">
        <w:trPr>
          <w:cnfStyle w:val="000000100000"/>
          <w:trHeight w:val="300"/>
        </w:trPr>
        <w:tc>
          <w:tcPr>
            <w:tcW w:w="2977" w:type="dxa"/>
            <w:vAlign w:val="bottom"/>
          </w:tcPr>
          <w:p w:rsidR="002637CF" w:rsidRDefault="002637CF">
            <w:pPr>
              <w:rPr>
                <w:rFonts w:ascii="Calibri" w:hAnsi="Calibri" w:cs="Calibri"/>
                <w:color w:val="000000"/>
                <w:sz w:val="22"/>
                <w:szCs w:val="22"/>
              </w:rPr>
            </w:pPr>
            <w:r>
              <w:rPr>
                <w:rFonts w:ascii="Calibri" w:hAnsi="Calibri" w:cs="Calibri"/>
                <w:color w:val="000000"/>
                <w:sz w:val="22"/>
                <w:szCs w:val="22"/>
              </w:rPr>
              <w:t>Райфайзен лизинг</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1 067 421</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1 508 653</w:t>
            </w:r>
          </w:p>
        </w:tc>
        <w:tc>
          <w:tcPr>
            <w:tcW w:w="3544" w:type="dxa"/>
            <w:noWrap/>
            <w:hideMark/>
          </w:tcPr>
          <w:p w:rsidR="002637CF" w:rsidRPr="005406AE" w:rsidRDefault="002637CF" w:rsidP="005406AE">
            <w:pPr>
              <w:autoSpaceDE/>
              <w:autoSpaceDN/>
              <w:adjustRightInd/>
              <w:spacing w:after="0"/>
              <w:jc w:val="left"/>
              <w:rPr>
                <w:rFonts w:ascii="Calibri" w:hAnsi="Calibri" w:cs="Calibri"/>
                <w:color w:val="000000"/>
                <w:sz w:val="22"/>
                <w:szCs w:val="22"/>
                <w:lang w:eastAsia="bg-BG"/>
              </w:rPr>
            </w:pPr>
            <w:r w:rsidRPr="005406AE">
              <w:rPr>
                <w:rFonts w:ascii="Calibri" w:hAnsi="Calibri" w:cs="Calibri"/>
                <w:color w:val="000000"/>
                <w:sz w:val="22"/>
                <w:szCs w:val="22"/>
                <w:lang w:eastAsia="bg-BG"/>
              </w:rPr>
              <w:t>3 месечен Euribor +4.562 надбавка</w:t>
            </w:r>
          </w:p>
        </w:tc>
      </w:tr>
      <w:tr w:rsidR="002637CF" w:rsidRPr="005406AE" w:rsidTr="002637CF">
        <w:trPr>
          <w:trHeight w:val="300"/>
        </w:trPr>
        <w:tc>
          <w:tcPr>
            <w:tcW w:w="2977" w:type="dxa"/>
            <w:vAlign w:val="bottom"/>
          </w:tcPr>
          <w:p w:rsidR="002637CF" w:rsidRDefault="002637CF">
            <w:pPr>
              <w:rPr>
                <w:rFonts w:ascii="Calibri" w:hAnsi="Calibri" w:cs="Calibri"/>
                <w:color w:val="000000"/>
                <w:sz w:val="22"/>
                <w:szCs w:val="22"/>
              </w:rPr>
            </w:pPr>
            <w:r>
              <w:rPr>
                <w:rFonts w:ascii="Calibri" w:hAnsi="Calibri" w:cs="Calibri"/>
                <w:color w:val="000000"/>
                <w:sz w:val="22"/>
                <w:szCs w:val="22"/>
              </w:rPr>
              <w:t xml:space="preserve">Уникредит Лизинг АД                        </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280 236</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271 814</w:t>
            </w:r>
          </w:p>
        </w:tc>
        <w:tc>
          <w:tcPr>
            <w:tcW w:w="3544" w:type="dxa"/>
            <w:noWrap/>
            <w:hideMark/>
          </w:tcPr>
          <w:p w:rsidR="002637CF" w:rsidRPr="005406AE" w:rsidRDefault="002637CF" w:rsidP="005406AE">
            <w:pPr>
              <w:autoSpaceDE/>
              <w:autoSpaceDN/>
              <w:adjustRightInd/>
              <w:spacing w:after="0"/>
              <w:jc w:val="left"/>
              <w:rPr>
                <w:rFonts w:ascii="Calibri" w:hAnsi="Calibri" w:cs="Calibri"/>
                <w:color w:val="000000"/>
                <w:sz w:val="22"/>
                <w:szCs w:val="22"/>
                <w:lang w:eastAsia="bg-BG"/>
              </w:rPr>
            </w:pPr>
            <w:r w:rsidRPr="005406AE">
              <w:rPr>
                <w:rFonts w:ascii="Calibri" w:hAnsi="Calibri" w:cs="Calibri"/>
                <w:color w:val="000000"/>
                <w:sz w:val="22"/>
                <w:szCs w:val="22"/>
                <w:lang w:eastAsia="bg-BG"/>
              </w:rPr>
              <w:t>3 месечен Euribor +4.57% надбавка</w:t>
            </w:r>
          </w:p>
        </w:tc>
      </w:tr>
      <w:tr w:rsidR="002637CF" w:rsidRPr="005406AE" w:rsidTr="002637CF">
        <w:trPr>
          <w:cnfStyle w:val="010000000000"/>
          <w:trHeight w:val="300"/>
        </w:trPr>
        <w:tc>
          <w:tcPr>
            <w:tcW w:w="2977" w:type="dxa"/>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1 915 747</w:t>
            </w:r>
          </w:p>
        </w:tc>
        <w:tc>
          <w:tcPr>
            <w:tcW w:w="1630" w:type="dxa"/>
            <w:noWrap/>
            <w:hideMark/>
          </w:tcPr>
          <w:p w:rsidR="002637CF" w:rsidRPr="005406AE" w:rsidRDefault="002637CF" w:rsidP="005406AE">
            <w:pPr>
              <w:autoSpaceDE/>
              <w:autoSpaceDN/>
              <w:adjustRightInd/>
              <w:spacing w:after="0"/>
              <w:jc w:val="right"/>
              <w:rPr>
                <w:rFonts w:ascii="Calibri" w:hAnsi="Calibri" w:cs="Calibri"/>
                <w:color w:val="000000"/>
                <w:sz w:val="22"/>
                <w:szCs w:val="22"/>
                <w:lang w:eastAsia="bg-BG"/>
              </w:rPr>
            </w:pPr>
            <w:r w:rsidRPr="005406AE">
              <w:rPr>
                <w:rFonts w:ascii="Calibri" w:hAnsi="Calibri" w:cs="Calibri"/>
                <w:color w:val="000000"/>
                <w:sz w:val="22"/>
                <w:szCs w:val="22"/>
                <w:lang w:eastAsia="bg-BG"/>
              </w:rPr>
              <w:t>2 134 209</w:t>
            </w:r>
          </w:p>
        </w:tc>
        <w:tc>
          <w:tcPr>
            <w:tcW w:w="3544" w:type="dxa"/>
            <w:noWrap/>
            <w:hideMark/>
          </w:tcPr>
          <w:p w:rsidR="002637CF" w:rsidRPr="005406AE" w:rsidRDefault="002637CF" w:rsidP="005406AE">
            <w:pPr>
              <w:autoSpaceDE/>
              <w:autoSpaceDN/>
              <w:adjustRightInd/>
              <w:spacing w:after="0"/>
              <w:jc w:val="left"/>
              <w:rPr>
                <w:rFonts w:ascii="Calibri" w:hAnsi="Calibri" w:cs="Calibri"/>
                <w:color w:val="000000"/>
                <w:sz w:val="22"/>
                <w:szCs w:val="22"/>
                <w:lang w:eastAsia="bg-BG"/>
              </w:rPr>
            </w:pPr>
            <w:r>
              <w:rPr>
                <w:rFonts w:ascii="Calibri" w:hAnsi="Calibri" w:cs="Calibri"/>
                <w:color w:val="000000"/>
                <w:sz w:val="22"/>
                <w:szCs w:val="22"/>
                <w:lang w:eastAsia="bg-BG"/>
              </w:rPr>
              <w:t>ОБЩО</w:t>
            </w:r>
          </w:p>
        </w:tc>
      </w:tr>
    </w:tbl>
    <w:p w:rsidR="005312CA" w:rsidRPr="00EA1CC6" w:rsidRDefault="00DC372C" w:rsidP="00265B00">
      <w:pPr>
        <w:spacing w:after="120"/>
      </w:pPr>
      <w:r>
        <w:t>С изключение на автомобилите</w:t>
      </w:r>
      <w:r w:rsidR="00297D2C">
        <w:t xml:space="preserve"> и компютърното оборудване</w:t>
      </w:r>
      <w:r w:rsidR="00BC1EFD">
        <w:t>, закупени на лизинг, няма други тежести върху активите на дружеството</w:t>
      </w:r>
      <w:r w:rsidR="008A1B3C">
        <w:t xml:space="preserve"> и</w:t>
      </w:r>
      <w:r>
        <w:t xml:space="preserve"> </w:t>
      </w:r>
      <w:r w:rsidR="008A1B3C">
        <w:t xml:space="preserve">няма </w:t>
      </w:r>
      <w:r w:rsidR="00155C29">
        <w:t>ограничения</w:t>
      </w:r>
      <w:r w:rsidR="005312CA" w:rsidRPr="00EA1CC6">
        <w:t xml:space="preserve"> за използване</w:t>
      </w:r>
      <w:r w:rsidR="00155C29">
        <w:t>то</w:t>
      </w:r>
      <w:r w:rsidR="005312CA" w:rsidRPr="00EA1CC6">
        <w:t xml:space="preserve"> на финансовите ресурси</w:t>
      </w:r>
      <w:r w:rsidR="00155C29">
        <w:t>.</w:t>
      </w:r>
    </w:p>
    <w:p w:rsidR="00C6449B" w:rsidRPr="004717C3" w:rsidRDefault="005806E3" w:rsidP="004717C3">
      <w:pPr>
        <w:pStyle w:val="Heading1"/>
        <w:numPr>
          <w:ilvl w:val="2"/>
          <w:numId w:val="11"/>
        </w:numPr>
        <w:ind w:left="709" w:hanging="709"/>
        <w:rPr>
          <w:rFonts w:ascii="Times New Roman" w:hAnsi="Times New Roman"/>
          <w:b w:val="0"/>
          <w:i/>
          <w:sz w:val="24"/>
          <w:szCs w:val="24"/>
        </w:rPr>
      </w:pPr>
      <w:bookmarkStart w:id="105" w:name="_Toc324376942"/>
      <w:bookmarkStart w:id="106" w:name="_Toc324380101"/>
      <w:r w:rsidRPr="004717C3">
        <w:rPr>
          <w:rFonts w:ascii="Times New Roman" w:hAnsi="Times New Roman"/>
          <w:b w:val="0"/>
          <w:i/>
          <w:sz w:val="24"/>
          <w:szCs w:val="24"/>
        </w:rPr>
        <w:t xml:space="preserve">Ангажименти </w:t>
      </w:r>
      <w:r w:rsidR="00C6449B" w:rsidRPr="004717C3">
        <w:rPr>
          <w:rFonts w:ascii="Times New Roman" w:hAnsi="Times New Roman"/>
          <w:b w:val="0"/>
          <w:i/>
          <w:sz w:val="24"/>
          <w:szCs w:val="24"/>
        </w:rPr>
        <w:t>за извършване на инвестиции.</w:t>
      </w:r>
      <w:bookmarkEnd w:id="105"/>
      <w:bookmarkEnd w:id="106"/>
      <w:r w:rsidR="00736EB0">
        <w:rPr>
          <w:rFonts w:ascii="Times New Roman" w:hAnsi="Times New Roman"/>
          <w:b w:val="0"/>
          <w:i/>
          <w:sz w:val="24"/>
          <w:szCs w:val="24"/>
        </w:rPr>
        <w:t xml:space="preserve"> Източници за финансиране.</w:t>
      </w:r>
    </w:p>
    <w:p w:rsidR="00265B00" w:rsidRDefault="00D70BF4" w:rsidP="00155C29">
      <w:pPr>
        <w:spacing w:after="120"/>
      </w:pPr>
      <w:r>
        <w:t>„СПИДИ” ЕАД</w:t>
      </w:r>
      <w:r w:rsidR="00155C29">
        <w:t xml:space="preserve"> не е поемало ангаж</w:t>
      </w:r>
      <w:r w:rsidR="00BE502A">
        <w:t>именти за инвестиции. Текущата</w:t>
      </w:r>
      <w:r w:rsidR="00155C29">
        <w:t xml:space="preserve"> иинвестиционна програма се планира да се финансира със собствени средства, с изключение на новозакупените автомобили</w:t>
      </w:r>
      <w:r w:rsidR="00BE502A">
        <w:t xml:space="preserve"> и компютърна техника</w:t>
      </w:r>
      <w:r w:rsidR="00155C29">
        <w:t>, за които ще се използва лизингово финансиране.</w:t>
      </w:r>
    </w:p>
    <w:p w:rsidR="00C6449B" w:rsidRPr="00A4154B" w:rsidRDefault="00FC3657" w:rsidP="00A4154B">
      <w:pPr>
        <w:pStyle w:val="Heading1"/>
        <w:numPr>
          <w:ilvl w:val="1"/>
          <w:numId w:val="11"/>
        </w:numPr>
        <w:ind w:left="567" w:hanging="567"/>
        <w:rPr>
          <w:rFonts w:ascii="Times New Roman" w:hAnsi="Times New Roman"/>
          <w:b w:val="0"/>
          <w:i/>
          <w:smallCaps/>
          <w:sz w:val="24"/>
          <w:szCs w:val="24"/>
        </w:rPr>
      </w:pPr>
      <w:r w:rsidRPr="00A4154B">
        <w:rPr>
          <w:rFonts w:ascii="Times New Roman" w:hAnsi="Times New Roman"/>
          <w:b w:val="0"/>
          <w:i/>
          <w:smallCaps/>
          <w:sz w:val="24"/>
          <w:szCs w:val="24"/>
        </w:rPr>
        <w:t xml:space="preserve"> </w:t>
      </w:r>
      <w:bookmarkStart w:id="107" w:name="_Toc324376943"/>
      <w:bookmarkStart w:id="108" w:name="_Toc324380102"/>
      <w:r w:rsidR="00B446A2" w:rsidRPr="00A4154B">
        <w:rPr>
          <w:rFonts w:ascii="Times New Roman" w:hAnsi="Times New Roman"/>
          <w:b w:val="0"/>
          <w:i/>
          <w:smallCaps/>
          <w:sz w:val="24"/>
          <w:szCs w:val="24"/>
        </w:rPr>
        <w:t>R&amp;D</w:t>
      </w:r>
      <w:r w:rsidR="00A4154B">
        <w:rPr>
          <w:rFonts w:ascii="Times New Roman" w:hAnsi="Times New Roman"/>
          <w:b w:val="0"/>
          <w:i/>
          <w:smallCaps/>
          <w:sz w:val="24"/>
          <w:szCs w:val="24"/>
        </w:rPr>
        <w:t xml:space="preserve"> дейност за последните 3 години</w:t>
      </w:r>
      <w:bookmarkEnd w:id="107"/>
      <w:bookmarkEnd w:id="108"/>
    </w:p>
    <w:p w:rsidR="00265B00" w:rsidRDefault="00675F84">
      <w:pPr>
        <w:autoSpaceDE/>
        <w:autoSpaceDN/>
        <w:adjustRightInd/>
        <w:spacing w:after="0"/>
        <w:jc w:val="left"/>
      </w:pPr>
      <w:r>
        <w:t>Дружеството не извършва изследователска и развойна дейност.</w:t>
      </w:r>
      <w:r w:rsidR="00265B00">
        <w:br w:type="page"/>
      </w:r>
    </w:p>
    <w:p w:rsidR="00FC3657" w:rsidRPr="00A4154B" w:rsidRDefault="00FC3657" w:rsidP="00A4154B">
      <w:pPr>
        <w:pStyle w:val="Heading1"/>
        <w:numPr>
          <w:ilvl w:val="1"/>
          <w:numId w:val="11"/>
        </w:numPr>
        <w:ind w:left="567" w:hanging="567"/>
        <w:rPr>
          <w:rFonts w:ascii="Times New Roman" w:hAnsi="Times New Roman"/>
          <w:b w:val="0"/>
          <w:i/>
          <w:smallCaps/>
          <w:sz w:val="24"/>
          <w:szCs w:val="24"/>
        </w:rPr>
      </w:pPr>
      <w:r w:rsidRPr="00A4154B">
        <w:rPr>
          <w:rFonts w:ascii="Times New Roman" w:hAnsi="Times New Roman"/>
          <w:b w:val="0"/>
          <w:i/>
          <w:smallCaps/>
          <w:sz w:val="24"/>
          <w:szCs w:val="24"/>
        </w:rPr>
        <w:t xml:space="preserve"> </w:t>
      </w:r>
      <w:bookmarkStart w:id="109" w:name="_Toc324376944"/>
      <w:bookmarkStart w:id="110" w:name="_Toc324380103"/>
      <w:r w:rsidRPr="00A4154B">
        <w:rPr>
          <w:rFonts w:ascii="Times New Roman" w:hAnsi="Times New Roman"/>
          <w:b w:val="0"/>
          <w:i/>
          <w:smallCaps/>
          <w:sz w:val="24"/>
          <w:szCs w:val="24"/>
        </w:rPr>
        <w:t>Основни тенденции</w:t>
      </w:r>
      <w:bookmarkEnd w:id="109"/>
      <w:bookmarkEnd w:id="110"/>
    </w:p>
    <w:p w:rsidR="00BA3FCA" w:rsidRDefault="00BA3FCA" w:rsidP="006A3924">
      <w:pPr>
        <w:spacing w:after="120"/>
      </w:pPr>
    </w:p>
    <w:p w:rsidR="00323BF6" w:rsidRDefault="00323BF6" w:rsidP="00323BF6">
      <w:pPr>
        <w:spacing w:after="120"/>
      </w:pPr>
      <w:r>
        <w:t xml:space="preserve">През текущия период </w:t>
      </w:r>
      <w:r w:rsidR="007E2961">
        <w:t>не се очаква наличието на съществени фактори или събития, които да повлияят съществено на приходите, разходите, активите, пасивите и тяхната структура.</w:t>
      </w:r>
      <w:r w:rsidR="007E2961" w:rsidRPr="007E2961">
        <w:t xml:space="preserve"> </w:t>
      </w:r>
      <w:r w:rsidR="007E2961">
        <w:t>Тенденциите в развитието на компанията се зап</w:t>
      </w:r>
      <w:r w:rsidR="00F05848">
        <w:t>а</w:t>
      </w:r>
      <w:r w:rsidR="007E2961">
        <w:t>зват същите, както през последните две години.</w:t>
      </w:r>
    </w:p>
    <w:p w:rsidR="008C75A7" w:rsidRDefault="008C75A7" w:rsidP="006A3924">
      <w:pPr>
        <w:spacing w:after="120"/>
      </w:pPr>
      <w:r>
        <w:t xml:space="preserve">Запазва се ръста на приходите, като той е равномерен за различните продукти, които дружеството предлага – в рамките на 15-18%. Изключения правят по-високите ръстове при палетите (което е тенденция от последните 3 години) и 50% увеличение на международните услуги, което се дължи на партньорството с </w:t>
      </w:r>
      <w:r>
        <w:rPr>
          <w:lang w:val="en-US"/>
        </w:rPr>
        <w:t>DPD</w:t>
      </w:r>
      <w:r>
        <w:t xml:space="preserve"> и ниската база през предходната година. И двете услуги все още представляват малък дял в общите приходи на компаинята.</w:t>
      </w:r>
    </w:p>
    <w:p w:rsidR="008C75A7" w:rsidRDefault="008C75A7" w:rsidP="006A3924">
      <w:pPr>
        <w:spacing w:after="120"/>
      </w:pPr>
      <w:r>
        <w:t xml:space="preserve">Увеличението на приходите се дължи на увеличението на превозените пратки, като цените се запазват </w:t>
      </w:r>
      <w:r w:rsidR="007E2961">
        <w:t xml:space="preserve">сравнително </w:t>
      </w:r>
      <w:r>
        <w:t>непроменени.</w:t>
      </w:r>
      <w:r w:rsidR="00D647C9">
        <w:t xml:space="preserve"> По-големия брой пратки се дължи, както на привличането нови клиенти, така и на увеличението при съществуващите.</w:t>
      </w:r>
    </w:p>
    <w:p w:rsidR="008C75A7" w:rsidRDefault="008C75A7" w:rsidP="006A3924">
      <w:pPr>
        <w:spacing w:after="120"/>
      </w:pPr>
      <w:r>
        <w:t>Заедно с увеличението на приходите</w:t>
      </w:r>
      <w:r w:rsidR="00D647C9">
        <w:t>, пропорционално нарастват и разходите, като най-съществени увеличения има в цената на горивото и увеличението на заплатите през второто тримесечие с 10%. Поради въведената „такса гориво”, като компонент в цената на услугата, по-високите цени на горивата няма да се отразят на крайната рентабилност на компанията.</w:t>
      </w:r>
    </w:p>
    <w:p w:rsidR="00323BF6" w:rsidRDefault="00323BF6" w:rsidP="006A3924">
      <w:pPr>
        <w:spacing w:after="120"/>
      </w:pPr>
      <w:r>
        <w:t>Преместването на логистичния център в гр. София в по-голям ще увеличи капацитета почти три пъти и ще позволи да се поеме увеличението в обработените пратки.</w:t>
      </w:r>
    </w:p>
    <w:p w:rsidR="00F13BA7" w:rsidRDefault="00F13BA7" w:rsidP="006A3924">
      <w:pPr>
        <w:spacing w:after="120"/>
      </w:pPr>
      <w:r>
        <w:t>Няма други съществени тенденции, фактори и събития, които да са оказали съществено влияние на финансовите резултата от началото на годината до датата на изготвяне на проспекта.</w:t>
      </w:r>
    </w:p>
    <w:p w:rsidR="00675F84" w:rsidRDefault="00675F84">
      <w:pPr>
        <w:autoSpaceDE/>
        <w:autoSpaceDN/>
        <w:adjustRightInd/>
        <w:spacing w:after="0"/>
        <w:jc w:val="left"/>
      </w:pPr>
      <w:r>
        <w:br w:type="page"/>
      </w:r>
    </w:p>
    <w:p w:rsidR="00FC3657" w:rsidRPr="00675F84" w:rsidRDefault="00FC3657" w:rsidP="00675F84">
      <w:pPr>
        <w:pStyle w:val="Heading1"/>
        <w:numPr>
          <w:ilvl w:val="0"/>
          <w:numId w:val="11"/>
        </w:numPr>
        <w:rPr>
          <w:rFonts w:ascii="Times New Roman" w:hAnsi="Times New Roman"/>
          <w:smallCaps/>
          <w:sz w:val="28"/>
          <w:szCs w:val="28"/>
        </w:rPr>
      </w:pPr>
      <w:bookmarkStart w:id="111" w:name="_Toc324376945"/>
      <w:bookmarkStart w:id="112" w:name="_Toc324380104"/>
      <w:r w:rsidRPr="00675F84">
        <w:rPr>
          <w:rFonts w:ascii="Times New Roman" w:hAnsi="Times New Roman"/>
          <w:smallCaps/>
          <w:sz w:val="28"/>
          <w:szCs w:val="28"/>
        </w:rPr>
        <w:t>Членове на управителните органи, висш ръководен състав и служители</w:t>
      </w:r>
      <w:bookmarkEnd w:id="111"/>
      <w:bookmarkEnd w:id="112"/>
    </w:p>
    <w:p w:rsidR="00FC3657" w:rsidRPr="00A740D2" w:rsidRDefault="00FC3657" w:rsidP="00A740D2">
      <w:pPr>
        <w:pStyle w:val="Heading1"/>
        <w:numPr>
          <w:ilvl w:val="1"/>
          <w:numId w:val="11"/>
        </w:numPr>
        <w:ind w:left="567" w:hanging="567"/>
        <w:rPr>
          <w:rFonts w:ascii="Times New Roman" w:hAnsi="Times New Roman"/>
          <w:b w:val="0"/>
          <w:i/>
          <w:smallCaps/>
          <w:sz w:val="24"/>
          <w:szCs w:val="24"/>
        </w:rPr>
      </w:pPr>
      <w:r w:rsidRPr="00A740D2">
        <w:rPr>
          <w:rFonts w:ascii="Times New Roman" w:hAnsi="Times New Roman"/>
          <w:b w:val="0"/>
          <w:i/>
          <w:smallCaps/>
          <w:sz w:val="24"/>
          <w:szCs w:val="24"/>
        </w:rPr>
        <w:t xml:space="preserve"> </w:t>
      </w:r>
      <w:bookmarkStart w:id="113" w:name="_Toc324376946"/>
      <w:bookmarkStart w:id="114" w:name="_Toc324380105"/>
      <w:r w:rsidRPr="00A740D2">
        <w:rPr>
          <w:rFonts w:ascii="Times New Roman" w:hAnsi="Times New Roman"/>
          <w:b w:val="0"/>
          <w:i/>
          <w:smallCaps/>
          <w:sz w:val="24"/>
          <w:szCs w:val="24"/>
        </w:rPr>
        <w:t>Информация за членовете на управителните и на контролните органи, прокуристите, висшия</w:t>
      </w:r>
      <w:r w:rsidR="00B13C10" w:rsidRPr="00A740D2">
        <w:rPr>
          <w:rFonts w:ascii="Times New Roman" w:hAnsi="Times New Roman"/>
          <w:b w:val="0"/>
          <w:i/>
          <w:smallCaps/>
          <w:sz w:val="24"/>
          <w:szCs w:val="24"/>
        </w:rPr>
        <w:t xml:space="preserve"> </w:t>
      </w:r>
      <w:r w:rsidRPr="00A740D2">
        <w:rPr>
          <w:rFonts w:ascii="Times New Roman" w:hAnsi="Times New Roman"/>
          <w:b w:val="0"/>
          <w:i/>
          <w:smallCaps/>
          <w:sz w:val="24"/>
          <w:szCs w:val="24"/>
        </w:rPr>
        <w:t xml:space="preserve">ръководен състав и </w:t>
      </w:r>
      <w:r w:rsidR="0086051B">
        <w:rPr>
          <w:rFonts w:ascii="Times New Roman" w:hAnsi="Times New Roman"/>
          <w:b w:val="0"/>
          <w:i/>
          <w:smallCaps/>
          <w:sz w:val="24"/>
          <w:szCs w:val="24"/>
        </w:rPr>
        <w:t>н</w:t>
      </w:r>
      <w:r w:rsidRPr="00A740D2">
        <w:rPr>
          <w:rFonts w:ascii="Times New Roman" w:hAnsi="Times New Roman"/>
          <w:b w:val="0"/>
          <w:i/>
          <w:smallCaps/>
          <w:sz w:val="24"/>
          <w:szCs w:val="24"/>
        </w:rPr>
        <w:t>а</w:t>
      </w:r>
      <w:r w:rsidR="0086051B">
        <w:rPr>
          <w:rFonts w:ascii="Times New Roman" w:hAnsi="Times New Roman"/>
          <w:b w:val="0"/>
          <w:i/>
          <w:smallCaps/>
          <w:sz w:val="24"/>
          <w:szCs w:val="24"/>
        </w:rPr>
        <w:t xml:space="preserve"> ключови</w:t>
      </w:r>
      <w:r w:rsidRPr="00A740D2">
        <w:rPr>
          <w:rFonts w:ascii="Times New Roman" w:hAnsi="Times New Roman"/>
          <w:b w:val="0"/>
          <w:i/>
          <w:smallCaps/>
          <w:sz w:val="24"/>
          <w:szCs w:val="24"/>
        </w:rPr>
        <w:t xml:space="preserve"> служители</w:t>
      </w:r>
      <w:bookmarkEnd w:id="113"/>
      <w:bookmarkEnd w:id="114"/>
    </w:p>
    <w:p w:rsidR="00A740D2" w:rsidRDefault="00A740D2" w:rsidP="00942CE6"/>
    <w:p w:rsidR="00DF5F5D" w:rsidRDefault="00A740D2" w:rsidP="00736EB0">
      <w:pPr>
        <w:spacing w:after="120"/>
      </w:pPr>
      <w:r>
        <w:t>„СПИДИ” ЕАД е с едностепенна форма на управление и се управлява от Съвет на директорите</w:t>
      </w:r>
      <w:r w:rsidR="0036442A">
        <w:t xml:space="preserve"> състоящ се от три лица</w:t>
      </w:r>
      <w:r>
        <w:t xml:space="preserve">. </w:t>
      </w:r>
      <w:r w:rsidRPr="00A740D2">
        <w:t>В Дружеството не са назначавани прокуристи</w:t>
      </w:r>
      <w:r w:rsidR="00DF5F5D">
        <w:t>.</w:t>
      </w:r>
    </w:p>
    <w:p w:rsidR="00DF5F5D" w:rsidRDefault="00DF5F5D" w:rsidP="00DF5F5D">
      <w:pPr>
        <w:rPr>
          <w:rFonts w:ascii="Tahoma-Bold" w:hAnsi="Tahoma-Bold" w:cs="Tahoma-Bold"/>
          <w:bCs/>
          <w:i/>
          <w:color w:val="000000"/>
          <w:sz w:val="22"/>
          <w:szCs w:val="22"/>
          <w:u w:val="single"/>
          <w:lang w:eastAsia="bg-BG"/>
        </w:rPr>
      </w:pPr>
    </w:p>
    <w:p w:rsidR="00DF5F5D" w:rsidRPr="005569C1" w:rsidRDefault="00DF5F5D" w:rsidP="00DF5F5D">
      <w:pPr>
        <w:rPr>
          <w:bCs/>
          <w:i/>
          <w:color w:val="000000"/>
          <w:sz w:val="22"/>
          <w:szCs w:val="22"/>
          <w:u w:val="single"/>
          <w:lang w:eastAsia="bg-BG"/>
        </w:rPr>
      </w:pPr>
      <w:r w:rsidRPr="005569C1">
        <w:rPr>
          <w:bCs/>
          <w:i/>
          <w:color w:val="000000"/>
          <w:sz w:val="22"/>
          <w:szCs w:val="22"/>
          <w:u w:val="single"/>
          <w:lang w:eastAsia="bg-BG"/>
        </w:rPr>
        <w:t>Учредители на „Спиди” ЕАД са, както следва:</w:t>
      </w:r>
    </w:p>
    <w:p w:rsidR="00DF5F5D" w:rsidRPr="00736EB0" w:rsidRDefault="00982690" w:rsidP="00736EB0">
      <w:pPr>
        <w:spacing w:after="120"/>
      </w:pPr>
      <w:r>
        <w:t xml:space="preserve">„Омникар БГ” ЕООД, контролирано от </w:t>
      </w:r>
      <w:r w:rsidR="00DF5F5D" w:rsidRPr="00736EB0">
        <w:t>Вал</w:t>
      </w:r>
      <w:r w:rsidR="0048448E">
        <w:t>ери Мектупчиян, притежаващ</w:t>
      </w:r>
      <w:r>
        <w:t>о</w:t>
      </w:r>
      <w:r w:rsidR="0048448E">
        <w:t xml:space="preserve"> 67</w:t>
      </w:r>
      <w:r w:rsidR="00DF5F5D" w:rsidRPr="00736EB0">
        <w:t>% от капитала на дружеството</w:t>
      </w:r>
      <w:r w:rsidR="0048448E">
        <w:t xml:space="preserve">, </w:t>
      </w:r>
      <w:r w:rsidRPr="00736EB0">
        <w:t>„Алекс Г“ ЕООД</w:t>
      </w:r>
      <w:r>
        <w:t xml:space="preserve">, контролирано от </w:t>
      </w:r>
      <w:r w:rsidR="0048448E">
        <w:t>Георги Глогов, притежаващ 25</w:t>
      </w:r>
      <w:r>
        <w:t>% от капитала и</w:t>
      </w:r>
      <w:r w:rsidR="00DF5F5D" w:rsidRPr="00736EB0">
        <w:t xml:space="preserve"> Славчо Панталеев, притежаващ 8 % от капитала на дружеството.</w:t>
      </w:r>
      <w:r w:rsidR="00E316CE">
        <w:t xml:space="preserve"> (</w:t>
      </w:r>
      <w:r w:rsidR="00E316CE" w:rsidRPr="00E316CE">
        <w:rPr>
          <w:i/>
        </w:rPr>
        <w:t>Дяловете са към момента на учредяване</w:t>
      </w:r>
      <w:r w:rsidR="00E316CE">
        <w:t>)</w:t>
      </w:r>
    </w:p>
    <w:p w:rsidR="00DF5F5D" w:rsidRPr="005569C1" w:rsidRDefault="00DF5F5D" w:rsidP="00DF5F5D">
      <w:pPr>
        <w:rPr>
          <w:sz w:val="22"/>
          <w:szCs w:val="22"/>
        </w:rPr>
      </w:pPr>
    </w:p>
    <w:p w:rsidR="00DF5F5D" w:rsidRPr="005569C1" w:rsidRDefault="00DF5F5D" w:rsidP="0036442A">
      <w:pPr>
        <w:rPr>
          <w:bCs/>
          <w:i/>
          <w:color w:val="000000"/>
          <w:sz w:val="22"/>
          <w:szCs w:val="22"/>
          <w:u w:val="single"/>
          <w:lang w:eastAsia="bg-BG"/>
        </w:rPr>
      </w:pPr>
      <w:r w:rsidRPr="005569C1">
        <w:rPr>
          <w:bCs/>
          <w:i/>
          <w:color w:val="000000"/>
          <w:sz w:val="22"/>
          <w:szCs w:val="22"/>
          <w:u w:val="single"/>
          <w:lang w:eastAsia="bg-BG"/>
        </w:rPr>
        <w:t>Имената и функциите на членовете на Съвета на директорите на „Спиди" ЕАД са, както следва:</w:t>
      </w:r>
    </w:p>
    <w:p w:rsidR="00DF5F5D" w:rsidRDefault="00DF5F5D" w:rsidP="0036442A">
      <w:pPr>
        <w:pStyle w:val="ListParagraph"/>
        <w:numPr>
          <w:ilvl w:val="5"/>
          <w:numId w:val="26"/>
        </w:numPr>
        <w:ind w:left="426" w:hanging="426"/>
      </w:pPr>
      <w:r w:rsidRPr="005569C1">
        <w:rPr>
          <w:b/>
          <w:sz w:val="22"/>
          <w:szCs w:val="22"/>
        </w:rPr>
        <w:t xml:space="preserve">Валери Харутюн Мектупчиян – </w:t>
      </w:r>
      <w:r w:rsidRPr="005569C1">
        <w:rPr>
          <w:sz w:val="22"/>
          <w:szCs w:val="22"/>
        </w:rPr>
        <w:t>Изпълнителен директор</w:t>
      </w:r>
      <w:r w:rsidR="0071258F">
        <w:t>.</w:t>
      </w:r>
      <w:r>
        <w:t xml:space="preserve"> Бизнес адрес: гр. София, район Младост, ул. „</w:t>
      </w:r>
      <w:r w:rsidR="00D33D7C">
        <w:t xml:space="preserve">Самоковско </w:t>
      </w:r>
      <w:r>
        <w:t>шосе“  № 1;</w:t>
      </w:r>
    </w:p>
    <w:p w:rsidR="00DF5F5D" w:rsidRDefault="00DF5F5D" w:rsidP="0036442A">
      <w:pPr>
        <w:pStyle w:val="ListParagraph"/>
        <w:numPr>
          <w:ilvl w:val="5"/>
          <w:numId w:val="26"/>
        </w:numPr>
        <w:ind w:left="426" w:hanging="426"/>
      </w:pPr>
      <w:r w:rsidRPr="00D464F0">
        <w:rPr>
          <w:b/>
        </w:rPr>
        <w:t xml:space="preserve">Георги Иванов Глогов – </w:t>
      </w:r>
      <w:r w:rsidRPr="00D464F0">
        <w:t>Член на Съвета на Директорите и Директор „Международен отдел”</w:t>
      </w:r>
      <w:r>
        <w:t>. Бизнес адрес: гр. София, район Младост, ул. „</w:t>
      </w:r>
      <w:r w:rsidR="00D33D7C">
        <w:t xml:space="preserve">Самоковско </w:t>
      </w:r>
      <w:r>
        <w:t>шосе“  № 1;</w:t>
      </w:r>
    </w:p>
    <w:p w:rsidR="00DF5F5D" w:rsidRDefault="00DF5F5D" w:rsidP="00D33D7C">
      <w:pPr>
        <w:pStyle w:val="ListParagraph"/>
        <w:numPr>
          <w:ilvl w:val="5"/>
          <w:numId w:val="26"/>
        </w:numPr>
        <w:ind w:left="426" w:hanging="426"/>
      </w:pPr>
      <w:r w:rsidRPr="0036442A">
        <w:rPr>
          <w:b/>
        </w:rPr>
        <w:t xml:space="preserve"> „Омникар – С” ЕООД – </w:t>
      </w:r>
      <w:r w:rsidRPr="00B070A2">
        <w:t>член на Съвета на директорите, представляван от едноличния собственик и управител Валери Мектупчиян</w:t>
      </w:r>
      <w:r>
        <w:t>. Бизнес адрес: гр. Пловдив, район Северен, бул. „Васил Левски“  № 151;</w:t>
      </w:r>
    </w:p>
    <w:p w:rsidR="00DF5F5D" w:rsidRPr="00B070A2" w:rsidRDefault="00DF5F5D" w:rsidP="00DF5F5D">
      <w:pPr>
        <w:pStyle w:val="ListParagraph"/>
        <w:rPr>
          <w:b/>
          <w:u w:val="single"/>
        </w:rPr>
      </w:pPr>
    </w:p>
    <w:p w:rsidR="00DF5F5D" w:rsidRPr="0036442A" w:rsidRDefault="00DF5F5D" w:rsidP="0036442A">
      <w:r w:rsidRPr="0036442A">
        <w:t>Съгласно изискванията на чл. 116а, ал.2 от ЗППЦК независим член в Съвета на директорите на дружеството ще бъде избран на първото Общо събрание на акционерите след придобиване на публин статут от емитента и и по отношение на него ще спазени следните изисквания на закона:</w:t>
      </w:r>
    </w:p>
    <w:p w:rsidR="00DF5F5D" w:rsidRPr="0036442A" w:rsidRDefault="00DF5F5D" w:rsidP="0036442A">
      <w:pPr>
        <w:pStyle w:val="ListParagraph"/>
        <w:numPr>
          <w:ilvl w:val="0"/>
          <w:numId w:val="29"/>
        </w:numPr>
        <w:ind w:left="426"/>
      </w:pPr>
      <w:r w:rsidRPr="0036442A">
        <w:t>не е служител в Дружеството;</w:t>
      </w:r>
    </w:p>
    <w:p w:rsidR="00DF5F5D" w:rsidRPr="0036442A" w:rsidRDefault="00DF5F5D" w:rsidP="0036442A">
      <w:pPr>
        <w:pStyle w:val="ListParagraph"/>
        <w:numPr>
          <w:ilvl w:val="0"/>
          <w:numId w:val="29"/>
        </w:numPr>
        <w:ind w:left="426"/>
      </w:pPr>
      <w:r w:rsidRPr="0036442A">
        <w:t>не е акционер, които притежава пряко или чрез свързани лица най-малко 25 на сто от гласовете в общото събрание или е свързано с Дружеството лице;</w:t>
      </w:r>
    </w:p>
    <w:p w:rsidR="00DF5F5D" w:rsidRPr="0036442A" w:rsidRDefault="00DF5F5D" w:rsidP="0036442A">
      <w:pPr>
        <w:pStyle w:val="ListParagraph"/>
        <w:numPr>
          <w:ilvl w:val="0"/>
          <w:numId w:val="29"/>
        </w:numPr>
        <w:ind w:left="426"/>
      </w:pPr>
      <w:r w:rsidRPr="0036442A">
        <w:t>не е лице, което е в трайни търговски отношения с Дружеството;</w:t>
      </w:r>
    </w:p>
    <w:p w:rsidR="00DF5F5D" w:rsidRPr="0036442A" w:rsidRDefault="00DF5F5D" w:rsidP="0036442A">
      <w:pPr>
        <w:pStyle w:val="ListParagraph"/>
        <w:numPr>
          <w:ilvl w:val="0"/>
          <w:numId w:val="29"/>
        </w:numPr>
        <w:ind w:left="426"/>
      </w:pPr>
      <w:r w:rsidRPr="0036442A">
        <w:t>не е член на управителен или контролен орган, прокурист или служител на търговско дружество или друго юридическо лице по т. 2 и 3;</w:t>
      </w:r>
    </w:p>
    <w:p w:rsidR="00DF5F5D" w:rsidRPr="0036442A" w:rsidRDefault="00DF5F5D" w:rsidP="0036442A">
      <w:pPr>
        <w:pStyle w:val="ListParagraph"/>
        <w:numPr>
          <w:ilvl w:val="0"/>
          <w:numId w:val="29"/>
        </w:numPr>
        <w:ind w:left="426"/>
      </w:pPr>
      <w:r w:rsidRPr="0036442A">
        <w:t>не е свързано лице с друг член на съвета на директорите на Дружеството.</w:t>
      </w:r>
    </w:p>
    <w:p w:rsidR="00371915" w:rsidRDefault="00710935" w:rsidP="00785D74">
      <w:r>
        <w:t xml:space="preserve">Членовете </w:t>
      </w:r>
      <w:r w:rsidR="00784508">
        <w:t>на Съвета на директорите на „Спиди” ЕАД</w:t>
      </w:r>
      <w:r w:rsidR="00785D74">
        <w:t xml:space="preserve"> </w:t>
      </w:r>
    </w:p>
    <w:p w:rsidR="00371915" w:rsidRPr="00371915" w:rsidRDefault="00371915" w:rsidP="00371915">
      <w:pPr>
        <w:pStyle w:val="ListParagraph"/>
        <w:numPr>
          <w:ilvl w:val="0"/>
          <w:numId w:val="29"/>
        </w:numPr>
        <w:ind w:left="426"/>
      </w:pPr>
      <w:r w:rsidRPr="00371915">
        <w:t xml:space="preserve">не са осъждани за измама през последните пет години, включително и не са осъждани за каквото и да било престъпление от общ характер. </w:t>
      </w:r>
    </w:p>
    <w:p w:rsidR="00371915" w:rsidRPr="00371915" w:rsidRDefault="00371915" w:rsidP="00371915">
      <w:pPr>
        <w:pStyle w:val="ListParagraph"/>
        <w:numPr>
          <w:ilvl w:val="0"/>
          <w:numId w:val="29"/>
        </w:numPr>
        <w:ind w:left="426"/>
      </w:pPr>
      <w:r w:rsidRPr="00371915">
        <w:t xml:space="preserve">не са били, включително и през последните пет години, членове на управителен или контролен орган, членове на административен орган или служители, заемащи ръководен пост в дружество, за което е открито производство по несъстоятелност или е обявено в несъстоятелност или ликвидация; </w:t>
      </w:r>
    </w:p>
    <w:p w:rsidR="00371915" w:rsidRPr="00371915" w:rsidRDefault="00371915" w:rsidP="00371915">
      <w:pPr>
        <w:pStyle w:val="ListParagraph"/>
        <w:numPr>
          <w:ilvl w:val="0"/>
          <w:numId w:val="29"/>
        </w:numPr>
        <w:ind w:left="426"/>
      </w:pPr>
      <w:r w:rsidRPr="00371915">
        <w:t xml:space="preserve">не са бил официално публично инкриминирани и не са им налагани санкции от административни или съдебни органи (включително определени професионални органи), както и не са им налагани принудителни административни мерки; </w:t>
      </w:r>
    </w:p>
    <w:p w:rsidR="00DF5F5D" w:rsidRDefault="00371915" w:rsidP="00371915">
      <w:pPr>
        <w:pStyle w:val="ListParagraph"/>
        <w:numPr>
          <w:ilvl w:val="0"/>
          <w:numId w:val="29"/>
        </w:numPr>
        <w:ind w:left="426"/>
      </w:pPr>
      <w:r w:rsidRPr="00371915">
        <w:t>не са лишавани от съда от правото си да бъдат членове на управителни или контролни органи, членове на административни органи или ръководен служител или от изпълняването на функции или дейности в дружество-емитент.</w:t>
      </w:r>
    </w:p>
    <w:p w:rsidR="00DF5F5D" w:rsidRDefault="00DF5F5D" w:rsidP="00A740D2"/>
    <w:p w:rsidR="00A740D2" w:rsidRDefault="00A740D2" w:rsidP="00A740D2">
      <w:r w:rsidRPr="00A740D2">
        <w:t xml:space="preserve">По-долу са представени данни за членовете на </w:t>
      </w:r>
      <w:r>
        <w:t>Съвета на директорите</w:t>
      </w:r>
      <w:r w:rsidRPr="00A740D2">
        <w:t>, включително за професионалния им опит, относим към</w:t>
      </w:r>
      <w:r>
        <w:t xml:space="preserve"> </w:t>
      </w:r>
      <w:r w:rsidRPr="00A740D2">
        <w:t>дейността им като членове на съответните органи на Емитента и за дейността им извън</w:t>
      </w:r>
      <w:r>
        <w:t xml:space="preserve"> </w:t>
      </w:r>
      <w:r w:rsidRPr="00A740D2">
        <w:t>него.</w:t>
      </w:r>
    </w:p>
    <w:p w:rsidR="005E2362" w:rsidRDefault="005E2362" w:rsidP="00A740D2"/>
    <w:p w:rsidR="005E2362" w:rsidRPr="005E2362" w:rsidRDefault="005E2362" w:rsidP="00A740D2">
      <w:pPr>
        <w:rPr>
          <w:b/>
        </w:rPr>
      </w:pPr>
      <w:r w:rsidRPr="005E2362">
        <w:rPr>
          <w:b/>
          <w:u w:val="single"/>
        </w:rPr>
        <w:t>Валери Харутюн Мектупчиян</w:t>
      </w:r>
      <w:r w:rsidRPr="005E2362">
        <w:rPr>
          <w:b/>
        </w:rPr>
        <w:t xml:space="preserve"> – Изпълнителен директор и Директор „Оперативна дейност”</w:t>
      </w:r>
    </w:p>
    <w:p w:rsidR="006D5553" w:rsidRDefault="006D5553" w:rsidP="00A740D2">
      <w:r w:rsidRPr="006D5553">
        <w:t>Валери Мектупчиян</w:t>
      </w:r>
      <w:r>
        <w:t xml:space="preserve"> има</w:t>
      </w:r>
      <w:r w:rsidRPr="006D5553">
        <w:t xml:space="preserve"> </w:t>
      </w:r>
      <w:r w:rsidR="00A11BF4">
        <w:t>висше</w:t>
      </w:r>
      <w:r w:rsidRPr="006D5553">
        <w:t xml:space="preserve"> инженерно образование, като започва частен бизнес през 1991 г</w:t>
      </w:r>
      <w:r>
        <w:t>.</w:t>
      </w:r>
      <w:r w:rsidR="005A4A04">
        <w:t xml:space="preserve"> </w:t>
      </w:r>
    </w:p>
    <w:p w:rsidR="005569C1" w:rsidRDefault="005569C1" w:rsidP="005569C1">
      <w:pPr>
        <w:rPr>
          <w:bCs/>
          <w:i/>
          <w:color w:val="000000"/>
          <w:sz w:val="22"/>
          <w:szCs w:val="22"/>
          <w:u w:val="single"/>
          <w:lang w:eastAsia="bg-BG"/>
        </w:rPr>
      </w:pPr>
      <w:bookmarkStart w:id="115" w:name="bookmark34"/>
    </w:p>
    <w:p w:rsidR="005569C1" w:rsidRDefault="005569C1" w:rsidP="005569C1">
      <w:pPr>
        <w:rPr>
          <w:bCs/>
          <w:i/>
          <w:color w:val="000000"/>
          <w:sz w:val="22"/>
          <w:szCs w:val="22"/>
          <w:u w:val="single"/>
          <w:lang w:eastAsia="bg-BG"/>
        </w:rPr>
      </w:pPr>
      <w:r w:rsidRPr="005569C1">
        <w:rPr>
          <w:bCs/>
          <w:i/>
          <w:color w:val="000000"/>
          <w:sz w:val="22"/>
          <w:szCs w:val="22"/>
          <w:u w:val="single"/>
          <w:lang w:eastAsia="bg-BG"/>
        </w:rPr>
        <w:t xml:space="preserve">Управленски опит и </w:t>
      </w:r>
      <w:bookmarkEnd w:id="115"/>
      <w:r>
        <w:rPr>
          <w:bCs/>
          <w:i/>
          <w:color w:val="000000"/>
          <w:sz w:val="22"/>
          <w:szCs w:val="22"/>
          <w:u w:val="single"/>
          <w:lang w:eastAsia="bg-BG"/>
        </w:rPr>
        <w:t>образование</w:t>
      </w:r>
    </w:p>
    <w:p w:rsidR="00B367FA" w:rsidRDefault="00B367FA" w:rsidP="005569C1">
      <w:pPr>
        <w:rPr>
          <w:bCs/>
          <w:i/>
          <w:color w:val="000000"/>
          <w:sz w:val="22"/>
          <w:szCs w:val="22"/>
          <w:u w:val="single"/>
          <w:lang w:eastAsia="bg-BG"/>
        </w:rPr>
      </w:pPr>
    </w:p>
    <w:p w:rsidR="005569C1" w:rsidRDefault="005569C1" w:rsidP="005569C1">
      <w:r w:rsidRPr="008211EF">
        <w:t xml:space="preserve">„Спиди" </w:t>
      </w:r>
      <w:r w:rsidR="00D33D7C">
        <w:t>Е</w:t>
      </w:r>
      <w:r w:rsidRPr="008211EF">
        <w:t xml:space="preserve">ООД – управител </w:t>
      </w:r>
      <w:r>
        <w:t xml:space="preserve"> - от </w:t>
      </w:r>
      <w:r w:rsidRPr="008211EF">
        <w:t>04. 2004</w:t>
      </w:r>
      <w:r>
        <w:t xml:space="preserve"> г.</w:t>
      </w:r>
      <w:r w:rsidRPr="008211EF">
        <w:t xml:space="preserve"> </w:t>
      </w:r>
      <w:r>
        <w:t>–</w:t>
      </w:r>
      <w:r w:rsidRPr="008211EF">
        <w:t xml:space="preserve"> </w:t>
      </w:r>
      <w:r>
        <w:t>до сега;</w:t>
      </w:r>
    </w:p>
    <w:p w:rsidR="005569C1" w:rsidRDefault="005569C1" w:rsidP="005569C1">
      <w:r>
        <w:t xml:space="preserve">„Омникар“ </w:t>
      </w:r>
      <w:r w:rsidR="00D33D7C">
        <w:t>Е</w:t>
      </w:r>
      <w:r>
        <w:t>ООД – управител – от 02.2000 г. – до сега;</w:t>
      </w:r>
    </w:p>
    <w:p w:rsidR="005569C1" w:rsidRDefault="005569C1" w:rsidP="005569C1">
      <w:r>
        <w:t>„Омникар БГ“ ЕООД – управител  - от 12.2003 г. – до сега;</w:t>
      </w:r>
    </w:p>
    <w:p w:rsidR="005569C1" w:rsidRDefault="005569C1" w:rsidP="005569C1">
      <w:r>
        <w:t xml:space="preserve">„Омникар С“ </w:t>
      </w:r>
      <w:r w:rsidR="00D33D7C">
        <w:t>Е</w:t>
      </w:r>
      <w:r>
        <w:t>ООД – управител – от 2000 г. – до сега;</w:t>
      </w:r>
    </w:p>
    <w:p w:rsidR="005569C1" w:rsidRDefault="005569C1" w:rsidP="005569C1">
      <w:pPr>
        <w:pStyle w:val="a0"/>
        <w:shd w:val="clear" w:color="auto" w:fill="auto"/>
        <w:spacing w:before="0" w:after="0" w:line="562" w:lineRule="exact"/>
        <w:ind w:left="2160" w:right="20" w:hanging="2140"/>
        <w:rPr>
          <w:rFonts w:ascii="Times New Roman" w:eastAsia="Times New Roman" w:hAnsi="Times New Roman" w:cs="Times New Roman"/>
          <w:b/>
          <w:smallCaps/>
          <w:sz w:val="24"/>
          <w:szCs w:val="24"/>
          <w:lang w:eastAsia="en-US"/>
        </w:rPr>
      </w:pPr>
      <w:r w:rsidRPr="00C50F4F">
        <w:rPr>
          <w:rFonts w:ascii="Times New Roman" w:eastAsia="Times New Roman" w:hAnsi="Times New Roman" w:cs="Times New Roman"/>
          <w:b/>
          <w:smallCaps/>
          <w:sz w:val="24"/>
          <w:szCs w:val="24"/>
          <w:lang w:eastAsia="en-US"/>
        </w:rPr>
        <w:t xml:space="preserve">Образование </w:t>
      </w:r>
      <w:r>
        <w:rPr>
          <w:rFonts w:ascii="Times New Roman" w:eastAsia="Times New Roman" w:hAnsi="Times New Roman" w:cs="Times New Roman"/>
          <w:b/>
          <w:smallCaps/>
          <w:sz w:val="24"/>
          <w:szCs w:val="24"/>
          <w:lang w:eastAsia="en-US"/>
        </w:rPr>
        <w:tab/>
      </w:r>
      <w:r w:rsidRPr="007245C3">
        <w:rPr>
          <w:rFonts w:ascii="Times New Roman" w:eastAsia="Times New Roman" w:hAnsi="Times New Roman" w:cs="Times New Roman"/>
          <w:b/>
          <w:sz w:val="24"/>
          <w:szCs w:val="24"/>
          <w:lang w:eastAsia="en-US"/>
        </w:rPr>
        <w:t xml:space="preserve"> 09.1984 </w:t>
      </w:r>
      <w:r>
        <w:rPr>
          <w:rFonts w:ascii="Times New Roman" w:eastAsia="Times New Roman" w:hAnsi="Times New Roman" w:cs="Times New Roman"/>
          <w:b/>
          <w:sz w:val="24"/>
          <w:szCs w:val="24"/>
          <w:lang w:eastAsia="en-US"/>
        </w:rPr>
        <w:t xml:space="preserve">г. </w:t>
      </w:r>
      <w:r w:rsidRPr="007245C3">
        <w:rPr>
          <w:rFonts w:ascii="Times New Roman" w:eastAsia="Times New Roman" w:hAnsi="Times New Roman" w:cs="Times New Roman"/>
          <w:b/>
          <w:sz w:val="24"/>
          <w:szCs w:val="24"/>
          <w:lang w:eastAsia="en-US"/>
        </w:rPr>
        <w:t>– 07.1989 г.</w:t>
      </w:r>
      <w:r>
        <w:rPr>
          <w:rFonts w:ascii="Times New Roman" w:eastAsia="Times New Roman" w:hAnsi="Times New Roman" w:cs="Times New Roman"/>
          <w:b/>
          <w:smallCaps/>
          <w:sz w:val="24"/>
          <w:szCs w:val="24"/>
          <w:lang w:eastAsia="en-US"/>
        </w:rPr>
        <w:t xml:space="preserve"> </w:t>
      </w:r>
    </w:p>
    <w:p w:rsidR="005569C1" w:rsidRDefault="005569C1" w:rsidP="005569C1">
      <w:r w:rsidRPr="007245C3">
        <w:t>Магистър по</w:t>
      </w:r>
      <w:r w:rsidRPr="005569C1">
        <w:t xml:space="preserve"> </w:t>
      </w:r>
      <w:r w:rsidRPr="007245C3">
        <w:t>технология на машиностроенето, ВМИ Варна, специалност машинен инженер</w:t>
      </w:r>
      <w:r>
        <w:t>;</w:t>
      </w:r>
    </w:p>
    <w:p w:rsidR="005569C1" w:rsidRPr="007245C3" w:rsidRDefault="005569C1" w:rsidP="005569C1">
      <w:pPr>
        <w:pStyle w:val="a0"/>
        <w:shd w:val="clear" w:color="auto" w:fill="auto"/>
        <w:spacing w:before="0" w:after="0" w:line="562" w:lineRule="exact"/>
        <w:ind w:left="2160" w:right="20" w:firstLine="0"/>
        <w:rPr>
          <w:rFonts w:ascii="Times New Roman" w:eastAsia="Times New Roman" w:hAnsi="Times New Roman" w:cs="Times New Roman"/>
          <w:b/>
          <w:smallCaps/>
          <w:sz w:val="24"/>
          <w:szCs w:val="24"/>
          <w:lang w:eastAsia="en-US"/>
        </w:rPr>
      </w:pPr>
      <w:r w:rsidRPr="007245C3">
        <w:rPr>
          <w:rFonts w:ascii="Times New Roman" w:eastAsia="Times New Roman" w:hAnsi="Times New Roman" w:cs="Times New Roman"/>
          <w:b/>
          <w:sz w:val="24"/>
          <w:szCs w:val="24"/>
          <w:lang w:eastAsia="en-US"/>
        </w:rPr>
        <w:t>10.1978 г. – 07.1982 г.</w:t>
      </w:r>
    </w:p>
    <w:p w:rsidR="005569C1" w:rsidRDefault="005569C1" w:rsidP="005569C1">
      <w:r w:rsidRPr="007245C3">
        <w:t>Технолог, Техникум по механотехника</w:t>
      </w:r>
    </w:p>
    <w:p w:rsidR="005569C1" w:rsidRDefault="005569C1" w:rsidP="005569C1">
      <w:pPr>
        <w:pStyle w:val="a0"/>
        <w:shd w:val="clear" w:color="auto" w:fill="auto"/>
        <w:spacing w:before="0" w:after="0" w:line="240" w:lineRule="auto"/>
        <w:ind w:left="23" w:right="23" w:firstLine="0"/>
        <w:rPr>
          <w:rFonts w:ascii="Times New Roman" w:eastAsia="Times New Roman" w:hAnsi="Times New Roman" w:cs="Times New Roman"/>
          <w:b/>
          <w:smallCaps/>
          <w:sz w:val="24"/>
          <w:szCs w:val="24"/>
          <w:lang w:eastAsia="en-US"/>
        </w:rPr>
      </w:pPr>
    </w:p>
    <w:p w:rsidR="005569C1" w:rsidRDefault="005569C1" w:rsidP="005569C1">
      <w:pPr>
        <w:pStyle w:val="a0"/>
        <w:shd w:val="clear" w:color="auto" w:fill="auto"/>
        <w:spacing w:before="0" w:after="0" w:line="240" w:lineRule="auto"/>
        <w:ind w:left="23" w:right="23" w:firstLine="0"/>
        <w:rPr>
          <w:rFonts w:ascii="Times New Roman" w:eastAsia="Times New Roman" w:hAnsi="Times New Roman" w:cs="Times New Roman"/>
          <w:b/>
          <w:sz w:val="24"/>
          <w:szCs w:val="24"/>
          <w:lang w:eastAsia="en-US"/>
        </w:rPr>
      </w:pPr>
      <w:r w:rsidRPr="00F844D8">
        <w:rPr>
          <w:rFonts w:ascii="Times New Roman" w:eastAsia="Times New Roman" w:hAnsi="Times New Roman" w:cs="Times New Roman"/>
          <w:b/>
          <w:smallCaps/>
          <w:sz w:val="24"/>
          <w:szCs w:val="24"/>
          <w:lang w:eastAsia="en-US"/>
        </w:rPr>
        <w:t>Относим</w:t>
      </w:r>
      <w:r>
        <w:rPr>
          <w:rFonts w:ascii="Times New Roman" w:eastAsia="Times New Roman" w:hAnsi="Times New Roman" w:cs="Times New Roman"/>
          <w:b/>
          <w:smallCaps/>
          <w:sz w:val="24"/>
          <w:szCs w:val="24"/>
          <w:lang w:eastAsia="en-US"/>
        </w:rPr>
        <w:t xml:space="preserve">  професионален </w:t>
      </w:r>
      <w:r w:rsidRPr="00F844D8">
        <w:rPr>
          <w:rFonts w:ascii="Times New Roman" w:eastAsia="Times New Roman" w:hAnsi="Times New Roman" w:cs="Times New Roman"/>
          <w:b/>
          <w:smallCaps/>
          <w:sz w:val="24"/>
          <w:szCs w:val="24"/>
          <w:lang w:eastAsia="en-US"/>
        </w:rPr>
        <w:t>опит</w:t>
      </w:r>
    </w:p>
    <w:p w:rsidR="005569C1" w:rsidRDefault="005569C1" w:rsidP="005569C1">
      <w:pPr>
        <w:pStyle w:val="a0"/>
        <w:shd w:val="clear" w:color="auto" w:fill="auto"/>
        <w:spacing w:before="0" w:after="0" w:line="240" w:lineRule="auto"/>
        <w:ind w:left="23" w:right="23" w:firstLine="0"/>
        <w:rPr>
          <w:rFonts w:ascii="Times New Roman" w:eastAsia="Times New Roman" w:hAnsi="Times New Roman" w:cs="Times New Roman"/>
          <w:b/>
          <w:smallCaps/>
          <w:sz w:val="24"/>
          <w:szCs w:val="24"/>
          <w:lang w:eastAsia="en-US"/>
        </w:rPr>
      </w:pPr>
      <w:r w:rsidRPr="00C62FD8">
        <w:rPr>
          <w:rFonts w:ascii="Times New Roman" w:eastAsia="Times New Roman" w:hAnsi="Times New Roman" w:cs="Times New Roman"/>
          <w:b/>
          <w:sz w:val="24"/>
          <w:szCs w:val="24"/>
          <w:lang w:eastAsia="en-US"/>
        </w:rPr>
        <w:t>от 10.1998</w:t>
      </w:r>
      <w:r>
        <w:rPr>
          <w:rFonts w:ascii="Times New Roman" w:eastAsia="Times New Roman" w:hAnsi="Times New Roman" w:cs="Times New Roman"/>
          <w:b/>
          <w:sz w:val="24"/>
          <w:szCs w:val="24"/>
          <w:lang w:eastAsia="en-US"/>
        </w:rPr>
        <w:t xml:space="preserve"> г. </w:t>
      </w:r>
      <w:r w:rsidRPr="00C62FD8">
        <w:rPr>
          <w:rFonts w:ascii="Times New Roman" w:eastAsia="Times New Roman" w:hAnsi="Times New Roman" w:cs="Times New Roman"/>
          <w:b/>
          <w:sz w:val="24"/>
          <w:szCs w:val="24"/>
          <w:lang w:eastAsia="en-US"/>
        </w:rPr>
        <w:t xml:space="preserve"> до 02.2004 г.</w:t>
      </w:r>
      <w:r>
        <w:rPr>
          <w:rFonts w:ascii="Times New Roman" w:eastAsia="Times New Roman" w:hAnsi="Times New Roman" w:cs="Times New Roman"/>
          <w:b/>
          <w:smallCaps/>
          <w:sz w:val="24"/>
          <w:szCs w:val="24"/>
          <w:lang w:eastAsia="en-US"/>
        </w:rPr>
        <w:t xml:space="preserve"> </w:t>
      </w:r>
    </w:p>
    <w:p w:rsidR="005569C1" w:rsidRDefault="005569C1" w:rsidP="005569C1">
      <w:pPr>
        <w:pStyle w:val="a0"/>
        <w:shd w:val="clear" w:color="auto" w:fill="auto"/>
        <w:spacing w:before="0" w:after="0" w:line="240" w:lineRule="auto"/>
        <w:ind w:left="23" w:right="23" w:firstLine="0"/>
        <w:rPr>
          <w:rFonts w:ascii="Times New Roman" w:eastAsia="Times New Roman" w:hAnsi="Times New Roman" w:cs="Times New Roman"/>
          <w:sz w:val="24"/>
          <w:szCs w:val="24"/>
          <w:lang w:eastAsia="en-US"/>
        </w:rPr>
      </w:pPr>
      <w:r w:rsidRPr="00C62FD8">
        <w:rPr>
          <w:rFonts w:ascii="Times New Roman" w:eastAsia="Times New Roman" w:hAnsi="Times New Roman" w:cs="Times New Roman"/>
          <w:sz w:val="24"/>
          <w:szCs w:val="24"/>
          <w:lang w:eastAsia="en-US"/>
        </w:rPr>
        <w:t xml:space="preserve">„Спиди“ </w:t>
      </w:r>
      <w:r w:rsidR="00D33D7C">
        <w:rPr>
          <w:rFonts w:ascii="Times New Roman" w:eastAsia="Times New Roman" w:hAnsi="Times New Roman" w:cs="Times New Roman"/>
          <w:sz w:val="24"/>
          <w:szCs w:val="24"/>
          <w:lang w:eastAsia="en-US"/>
        </w:rPr>
        <w:t>Е</w:t>
      </w:r>
      <w:r w:rsidRPr="00C62FD8">
        <w:rPr>
          <w:rFonts w:ascii="Times New Roman" w:eastAsia="Times New Roman" w:hAnsi="Times New Roman" w:cs="Times New Roman"/>
          <w:sz w:val="24"/>
          <w:szCs w:val="24"/>
          <w:lang w:eastAsia="en-US"/>
        </w:rPr>
        <w:t>ООД, гр. Пловдив</w:t>
      </w:r>
      <w:r>
        <w:rPr>
          <w:rFonts w:ascii="Times New Roman" w:eastAsia="Times New Roman" w:hAnsi="Times New Roman" w:cs="Times New Roman"/>
          <w:sz w:val="24"/>
          <w:szCs w:val="24"/>
          <w:lang w:eastAsia="en-US"/>
        </w:rPr>
        <w:t xml:space="preserve"> -</w:t>
      </w:r>
      <w:r w:rsidRPr="00C62FD8">
        <w:rPr>
          <w:rFonts w:ascii="Times New Roman" w:eastAsia="Times New Roman" w:hAnsi="Times New Roman" w:cs="Times New Roman"/>
          <w:sz w:val="24"/>
          <w:szCs w:val="24"/>
          <w:lang w:eastAsia="en-US"/>
        </w:rPr>
        <w:t>отговорник регион София, с основни отговорности: управление, планиране и контрол на работата</w:t>
      </w:r>
      <w:r>
        <w:rPr>
          <w:rFonts w:ascii="Times New Roman" w:eastAsia="Times New Roman" w:hAnsi="Times New Roman" w:cs="Times New Roman"/>
          <w:sz w:val="24"/>
          <w:szCs w:val="24"/>
          <w:lang w:eastAsia="en-US"/>
        </w:rPr>
        <w:t>;</w:t>
      </w:r>
    </w:p>
    <w:p w:rsidR="005569C1" w:rsidRDefault="005569C1" w:rsidP="005569C1">
      <w:pPr>
        <w:pStyle w:val="a0"/>
        <w:shd w:val="clear" w:color="auto" w:fill="auto"/>
        <w:spacing w:before="0" w:after="0" w:line="240" w:lineRule="auto"/>
        <w:ind w:left="2153" w:right="23" w:firstLine="0"/>
        <w:rPr>
          <w:rFonts w:ascii="Times New Roman" w:eastAsia="Times New Roman" w:hAnsi="Times New Roman" w:cs="Times New Roman"/>
          <w:sz w:val="24"/>
          <w:szCs w:val="24"/>
          <w:lang w:eastAsia="en-US"/>
        </w:rPr>
      </w:pPr>
    </w:p>
    <w:p w:rsidR="005569C1" w:rsidRPr="00283FD9" w:rsidRDefault="005569C1" w:rsidP="005569C1">
      <w:pPr>
        <w:pStyle w:val="a0"/>
        <w:shd w:val="clear" w:color="auto" w:fill="auto"/>
        <w:spacing w:before="0" w:after="0" w:line="240" w:lineRule="auto"/>
        <w:ind w:right="23" w:firstLine="0"/>
        <w:rPr>
          <w:rFonts w:ascii="Times New Roman" w:eastAsia="Times New Roman" w:hAnsi="Times New Roman" w:cs="Times New Roman"/>
          <w:b/>
          <w:sz w:val="24"/>
          <w:szCs w:val="24"/>
          <w:lang w:eastAsia="en-US"/>
        </w:rPr>
      </w:pPr>
      <w:r w:rsidRPr="00283FD9">
        <w:rPr>
          <w:rFonts w:ascii="Times New Roman" w:eastAsia="Times New Roman" w:hAnsi="Times New Roman" w:cs="Times New Roman"/>
          <w:b/>
          <w:sz w:val="24"/>
          <w:szCs w:val="24"/>
          <w:lang w:eastAsia="en-US"/>
        </w:rPr>
        <w:t xml:space="preserve">от 10.1998 г. до 10.2001 г. </w:t>
      </w:r>
    </w:p>
    <w:p w:rsidR="005569C1" w:rsidRDefault="005569C1" w:rsidP="005569C1">
      <w:pPr>
        <w:pStyle w:val="a0"/>
        <w:shd w:val="clear" w:color="auto" w:fill="auto"/>
        <w:spacing w:before="0" w:after="0" w:line="240" w:lineRule="auto"/>
        <w:ind w:right="23" w:firstLine="0"/>
        <w:rPr>
          <w:rFonts w:ascii="Times New Roman" w:eastAsia="Times New Roman" w:hAnsi="Times New Roman" w:cs="Times New Roman"/>
          <w:bCs/>
          <w:i/>
          <w:color w:val="000000"/>
          <w:sz w:val="22"/>
          <w:szCs w:val="22"/>
          <w:u w:val="single"/>
        </w:rPr>
      </w:pPr>
      <w:r>
        <w:rPr>
          <w:rFonts w:ascii="Times New Roman" w:eastAsia="Times New Roman" w:hAnsi="Times New Roman" w:cs="Times New Roman"/>
          <w:sz w:val="24"/>
          <w:szCs w:val="24"/>
          <w:lang w:eastAsia="en-US"/>
        </w:rPr>
        <w:t xml:space="preserve">„Спиди“ </w:t>
      </w:r>
      <w:r w:rsidR="00D33D7C">
        <w:rPr>
          <w:rFonts w:ascii="Times New Roman" w:eastAsia="Times New Roman" w:hAnsi="Times New Roman" w:cs="Times New Roman"/>
          <w:sz w:val="24"/>
          <w:szCs w:val="24"/>
          <w:lang w:eastAsia="en-US"/>
        </w:rPr>
        <w:t>Е</w:t>
      </w:r>
      <w:r>
        <w:rPr>
          <w:rFonts w:ascii="Times New Roman" w:eastAsia="Times New Roman" w:hAnsi="Times New Roman" w:cs="Times New Roman"/>
          <w:sz w:val="24"/>
          <w:szCs w:val="24"/>
          <w:lang w:eastAsia="en-US"/>
        </w:rPr>
        <w:t xml:space="preserve">ООД, гр. Пловдив - отговорник регион Изток (гр. Варна, гр. Бургас, гр. Сливен), </w:t>
      </w:r>
      <w:r w:rsidRPr="00C62FD8">
        <w:rPr>
          <w:rFonts w:ascii="Times New Roman" w:eastAsia="Times New Roman" w:hAnsi="Times New Roman" w:cs="Times New Roman"/>
          <w:sz w:val="24"/>
          <w:szCs w:val="24"/>
          <w:lang w:eastAsia="en-US"/>
        </w:rPr>
        <w:t>с основни отговорности: управление, планиране и контрол на работата</w:t>
      </w:r>
      <w:r>
        <w:rPr>
          <w:rFonts w:ascii="Times New Roman" w:eastAsia="Times New Roman" w:hAnsi="Times New Roman" w:cs="Times New Roman"/>
          <w:sz w:val="24"/>
          <w:szCs w:val="24"/>
          <w:lang w:eastAsia="en-US"/>
        </w:rPr>
        <w:t xml:space="preserve"> в региона.</w:t>
      </w:r>
    </w:p>
    <w:p w:rsidR="005569C1" w:rsidRPr="005569C1" w:rsidRDefault="005569C1" w:rsidP="005569C1">
      <w:pPr>
        <w:pStyle w:val="a0"/>
        <w:shd w:val="clear" w:color="auto" w:fill="auto"/>
        <w:spacing w:before="0" w:after="0" w:line="240" w:lineRule="auto"/>
        <w:ind w:right="23" w:firstLine="0"/>
        <w:rPr>
          <w:rFonts w:ascii="Times New Roman" w:eastAsia="Times New Roman" w:hAnsi="Times New Roman" w:cs="Times New Roman"/>
          <w:bCs/>
          <w:i/>
          <w:color w:val="000000"/>
          <w:sz w:val="22"/>
          <w:szCs w:val="22"/>
          <w:u w:val="single"/>
        </w:rPr>
      </w:pPr>
    </w:p>
    <w:p w:rsidR="005E2362" w:rsidRDefault="005E2362" w:rsidP="00A740D2">
      <w:r>
        <w:t>Прите</w:t>
      </w:r>
      <w:r w:rsidR="00561FFD">
        <w:t>жава контролен дял в 18</w:t>
      </w:r>
      <w:r>
        <w:t xml:space="preserve"> дружества, описани в т. 4.5.1.</w:t>
      </w:r>
      <w:r w:rsidR="005A4A04">
        <w:t xml:space="preserve"> </w:t>
      </w:r>
      <w:r w:rsidR="00973C04">
        <w:t xml:space="preserve">През последните пет години </w:t>
      </w:r>
      <w:r w:rsidR="000D13DC">
        <w:t>Валери Мектупчиян е участва</w:t>
      </w:r>
      <w:r w:rsidR="00973C04">
        <w:t>л</w:t>
      </w:r>
      <w:r w:rsidR="000D13DC">
        <w:t xml:space="preserve"> в управителните и контролни</w:t>
      </w:r>
      <w:r w:rsidR="00DC2493">
        <w:t xml:space="preserve"> органи на следните дружества:</w:t>
      </w:r>
    </w:p>
    <w:p w:rsidR="00DC2493" w:rsidRDefault="00DC2493" w:rsidP="00A740D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095"/>
      </w:tblGrid>
      <w:tr w:rsidR="00DC2493" w:rsidTr="00A52886">
        <w:tc>
          <w:tcPr>
            <w:tcW w:w="3686" w:type="dxa"/>
          </w:tcPr>
          <w:p w:rsidR="00DC2493" w:rsidRPr="00AC4FE7" w:rsidRDefault="00DC2493" w:rsidP="00A740D2">
            <w:pPr>
              <w:rPr>
                <w:b/>
              </w:rPr>
            </w:pPr>
            <w:r w:rsidRPr="00AC4FE7">
              <w:rPr>
                <w:b/>
              </w:rPr>
              <w:t>„Спиди Груп” АД</w:t>
            </w:r>
          </w:p>
        </w:tc>
        <w:tc>
          <w:tcPr>
            <w:tcW w:w="6095" w:type="dxa"/>
          </w:tcPr>
          <w:p w:rsidR="00DC2493" w:rsidRDefault="00DC2493" w:rsidP="00A740D2">
            <w:r>
              <w:t>Изпълнителен директор</w:t>
            </w:r>
            <w:r w:rsidR="00AC4FE7">
              <w:t xml:space="preserve">, </w:t>
            </w:r>
            <w:hyperlink r:id="rId12" w:history="1">
              <w:r w:rsidR="00AC4FE7" w:rsidRPr="00AC4FE7">
                <w:t xml:space="preserve">до 29.06.2014 </w:t>
              </w:r>
            </w:hyperlink>
          </w:p>
        </w:tc>
      </w:tr>
      <w:tr w:rsidR="00DC2493" w:rsidTr="00A52886">
        <w:tc>
          <w:tcPr>
            <w:tcW w:w="3686" w:type="dxa"/>
          </w:tcPr>
          <w:p w:rsidR="00DC2493" w:rsidRPr="00AC4FE7" w:rsidRDefault="00DC2493" w:rsidP="00A740D2">
            <w:pPr>
              <w:rPr>
                <w:b/>
              </w:rPr>
            </w:pPr>
            <w:r w:rsidRPr="00AC4FE7">
              <w:rPr>
                <w:b/>
              </w:rPr>
              <w:t>„Спиди” ЕООД</w:t>
            </w:r>
          </w:p>
        </w:tc>
        <w:tc>
          <w:tcPr>
            <w:tcW w:w="6095" w:type="dxa"/>
          </w:tcPr>
          <w:p w:rsidR="00DC2493" w:rsidRDefault="00DC2493" w:rsidP="00A740D2">
            <w:r>
              <w:t>Управител</w:t>
            </w:r>
          </w:p>
        </w:tc>
      </w:tr>
      <w:tr w:rsidR="00DC2493" w:rsidTr="00A52886">
        <w:tc>
          <w:tcPr>
            <w:tcW w:w="3686" w:type="dxa"/>
          </w:tcPr>
          <w:p w:rsidR="00DC2493" w:rsidRPr="00AC4FE7" w:rsidRDefault="00552630" w:rsidP="00A740D2">
            <w:pPr>
              <w:rPr>
                <w:b/>
              </w:rPr>
            </w:pPr>
            <w:r w:rsidRPr="00AC4FE7">
              <w:rPr>
                <w:b/>
              </w:rPr>
              <w:t>"К</w:t>
            </w:r>
            <w:r w:rsidR="00151329" w:rsidRPr="00AC4FE7">
              <w:rPr>
                <w:b/>
              </w:rPr>
              <w:t>онсепт инвест 2011" ЕАД</w:t>
            </w:r>
          </w:p>
        </w:tc>
        <w:tc>
          <w:tcPr>
            <w:tcW w:w="6095" w:type="dxa"/>
          </w:tcPr>
          <w:p w:rsidR="00DC2493" w:rsidRDefault="00DC2493" w:rsidP="00A740D2">
            <w:r>
              <w:t>Изпълнителен директор</w:t>
            </w:r>
            <w:r w:rsidR="00AC4FE7">
              <w:t xml:space="preserve">, </w:t>
            </w:r>
            <w:hyperlink r:id="rId13" w:history="1">
              <w:r w:rsidR="00AC4FE7" w:rsidRPr="00AC4FE7">
                <w:t xml:space="preserve">до 16.02.2014 </w:t>
              </w:r>
            </w:hyperlink>
          </w:p>
        </w:tc>
      </w:tr>
      <w:tr w:rsidR="00DC2493" w:rsidTr="00A52886">
        <w:tc>
          <w:tcPr>
            <w:tcW w:w="3686" w:type="dxa"/>
          </w:tcPr>
          <w:p w:rsidR="00DC2493" w:rsidRPr="00AC4FE7" w:rsidRDefault="00151329" w:rsidP="00A740D2">
            <w:pPr>
              <w:rPr>
                <w:b/>
              </w:rPr>
            </w:pPr>
            <w:r w:rsidRPr="00AC4FE7">
              <w:rPr>
                <w:b/>
              </w:rPr>
              <w:t>"Пит бокс" ЕООД</w:t>
            </w:r>
          </w:p>
        </w:tc>
        <w:tc>
          <w:tcPr>
            <w:tcW w:w="6095" w:type="dxa"/>
          </w:tcPr>
          <w:p w:rsidR="00DC2493" w:rsidRDefault="00DC2493" w:rsidP="00A740D2">
            <w:r>
              <w:t>Управител</w:t>
            </w:r>
          </w:p>
        </w:tc>
      </w:tr>
      <w:tr w:rsidR="00DC2493" w:rsidTr="00A52886">
        <w:tc>
          <w:tcPr>
            <w:tcW w:w="3686" w:type="dxa"/>
          </w:tcPr>
          <w:p w:rsidR="00DC2493" w:rsidRPr="00AC4FE7" w:rsidRDefault="00151329" w:rsidP="00A740D2">
            <w:pPr>
              <w:rPr>
                <w:b/>
              </w:rPr>
            </w:pPr>
            <w:r w:rsidRPr="00AC4FE7">
              <w:rPr>
                <w:b/>
              </w:rPr>
              <w:t>"Омникар - БГ" ЕООД</w:t>
            </w:r>
          </w:p>
        </w:tc>
        <w:tc>
          <w:tcPr>
            <w:tcW w:w="6095" w:type="dxa"/>
          </w:tcPr>
          <w:p w:rsidR="00DC2493" w:rsidRDefault="00DC2493" w:rsidP="00A740D2">
            <w:r>
              <w:t>Управител</w:t>
            </w:r>
          </w:p>
        </w:tc>
      </w:tr>
      <w:tr w:rsidR="00DC2493" w:rsidTr="00A52886">
        <w:tc>
          <w:tcPr>
            <w:tcW w:w="3686" w:type="dxa"/>
          </w:tcPr>
          <w:p w:rsidR="00DC2493" w:rsidRPr="00AC4FE7" w:rsidRDefault="00151329" w:rsidP="00A740D2">
            <w:pPr>
              <w:rPr>
                <w:b/>
              </w:rPr>
            </w:pPr>
            <w:r w:rsidRPr="00AC4FE7">
              <w:rPr>
                <w:b/>
              </w:rPr>
              <w:t>"Омникар" ЕООД</w:t>
            </w:r>
          </w:p>
        </w:tc>
        <w:tc>
          <w:tcPr>
            <w:tcW w:w="6095" w:type="dxa"/>
          </w:tcPr>
          <w:p w:rsidR="00DC2493" w:rsidRDefault="008671CC" w:rsidP="00A740D2">
            <w:r>
              <w:t>Управител</w:t>
            </w:r>
          </w:p>
        </w:tc>
      </w:tr>
      <w:tr w:rsidR="00DC2493" w:rsidTr="00A52886">
        <w:tc>
          <w:tcPr>
            <w:tcW w:w="3686" w:type="dxa"/>
          </w:tcPr>
          <w:p w:rsidR="00DC2493" w:rsidRPr="00AC4FE7" w:rsidRDefault="00151329" w:rsidP="00A740D2">
            <w:pPr>
              <w:rPr>
                <w:b/>
              </w:rPr>
            </w:pPr>
            <w:r w:rsidRPr="00AC4FE7">
              <w:rPr>
                <w:b/>
              </w:rPr>
              <w:t>"Омникар инвест" ЕООД</w:t>
            </w:r>
          </w:p>
        </w:tc>
        <w:tc>
          <w:tcPr>
            <w:tcW w:w="6095" w:type="dxa"/>
          </w:tcPr>
          <w:p w:rsidR="00DC2493" w:rsidRDefault="008671CC" w:rsidP="00A740D2">
            <w:r>
              <w:t>Управител</w:t>
            </w:r>
          </w:p>
        </w:tc>
      </w:tr>
      <w:tr w:rsidR="008671CC" w:rsidTr="00A52886">
        <w:tc>
          <w:tcPr>
            <w:tcW w:w="3686" w:type="dxa"/>
          </w:tcPr>
          <w:p w:rsidR="008671CC" w:rsidRPr="00AC4FE7" w:rsidRDefault="00151329" w:rsidP="00A740D2">
            <w:pPr>
              <w:rPr>
                <w:b/>
              </w:rPr>
            </w:pPr>
            <w:r w:rsidRPr="00AC4FE7">
              <w:rPr>
                <w:b/>
              </w:rPr>
              <w:t xml:space="preserve">"Омникар - </w:t>
            </w:r>
            <w:r w:rsidR="00552630" w:rsidRPr="00AC4FE7">
              <w:rPr>
                <w:b/>
              </w:rPr>
              <w:t>С</w:t>
            </w:r>
            <w:r w:rsidRPr="00AC4FE7">
              <w:rPr>
                <w:b/>
              </w:rPr>
              <w:t>" ЕООД</w:t>
            </w:r>
          </w:p>
        </w:tc>
        <w:tc>
          <w:tcPr>
            <w:tcW w:w="6095" w:type="dxa"/>
          </w:tcPr>
          <w:p w:rsidR="008671CC" w:rsidRDefault="008671CC" w:rsidP="00A740D2">
            <w:r>
              <w:t>Управител</w:t>
            </w:r>
          </w:p>
        </w:tc>
      </w:tr>
      <w:tr w:rsidR="008671CC" w:rsidTr="00A52886">
        <w:tc>
          <w:tcPr>
            <w:tcW w:w="3686" w:type="dxa"/>
          </w:tcPr>
          <w:p w:rsidR="008671CC" w:rsidRPr="00AC4FE7" w:rsidRDefault="00151329" w:rsidP="00A740D2">
            <w:pPr>
              <w:rPr>
                <w:b/>
              </w:rPr>
            </w:pPr>
            <w:r w:rsidRPr="00AC4FE7">
              <w:rPr>
                <w:b/>
              </w:rPr>
              <w:t>"Булром газ - 2006" ЕООД</w:t>
            </w:r>
          </w:p>
        </w:tc>
        <w:tc>
          <w:tcPr>
            <w:tcW w:w="6095" w:type="dxa"/>
          </w:tcPr>
          <w:p w:rsidR="008671CC" w:rsidRDefault="009649C5" w:rsidP="00A740D2">
            <w:r>
              <w:t>Управител</w:t>
            </w:r>
          </w:p>
        </w:tc>
      </w:tr>
      <w:tr w:rsidR="008671CC" w:rsidTr="00A52886">
        <w:tc>
          <w:tcPr>
            <w:tcW w:w="3686" w:type="dxa"/>
          </w:tcPr>
          <w:p w:rsidR="008671CC" w:rsidRPr="00AC4FE7" w:rsidRDefault="00151329" w:rsidP="00A740D2">
            <w:pPr>
              <w:rPr>
                <w:b/>
              </w:rPr>
            </w:pPr>
            <w:r w:rsidRPr="00AC4FE7">
              <w:rPr>
                <w:b/>
              </w:rPr>
              <w:t>"Пловдив инвест 2010" ЕООД</w:t>
            </w:r>
          </w:p>
        </w:tc>
        <w:tc>
          <w:tcPr>
            <w:tcW w:w="6095" w:type="dxa"/>
          </w:tcPr>
          <w:p w:rsidR="008671CC" w:rsidRDefault="009649C5" w:rsidP="00A740D2">
            <w:r>
              <w:t>Управител</w:t>
            </w:r>
          </w:p>
        </w:tc>
      </w:tr>
      <w:tr w:rsidR="008671CC" w:rsidTr="00A52886">
        <w:tc>
          <w:tcPr>
            <w:tcW w:w="3686" w:type="dxa"/>
          </w:tcPr>
          <w:p w:rsidR="008671CC" w:rsidRPr="00AC4FE7" w:rsidRDefault="00151329" w:rsidP="00A740D2">
            <w:pPr>
              <w:rPr>
                <w:b/>
              </w:rPr>
            </w:pPr>
            <w:r w:rsidRPr="00AC4FE7">
              <w:rPr>
                <w:b/>
              </w:rPr>
              <w:t>"Балкан холидей" ЕООД</w:t>
            </w:r>
          </w:p>
        </w:tc>
        <w:tc>
          <w:tcPr>
            <w:tcW w:w="6095" w:type="dxa"/>
          </w:tcPr>
          <w:p w:rsidR="008671CC" w:rsidRDefault="009649C5" w:rsidP="00A740D2">
            <w:r>
              <w:t>Управител</w:t>
            </w:r>
          </w:p>
        </w:tc>
      </w:tr>
      <w:tr w:rsidR="008671CC" w:rsidTr="00A52886">
        <w:tc>
          <w:tcPr>
            <w:tcW w:w="3686" w:type="dxa"/>
          </w:tcPr>
          <w:p w:rsidR="008671CC" w:rsidRPr="00AC4FE7" w:rsidRDefault="00151329" w:rsidP="00A740D2">
            <w:pPr>
              <w:rPr>
                <w:b/>
              </w:rPr>
            </w:pPr>
            <w:r w:rsidRPr="00AC4FE7">
              <w:rPr>
                <w:b/>
              </w:rPr>
              <w:t>"Лукс лайт системс" ЕООД</w:t>
            </w:r>
          </w:p>
        </w:tc>
        <w:tc>
          <w:tcPr>
            <w:tcW w:w="6095" w:type="dxa"/>
          </w:tcPr>
          <w:p w:rsidR="008671CC" w:rsidRDefault="009649C5" w:rsidP="00A740D2">
            <w:r>
              <w:t>Управител</w:t>
            </w:r>
          </w:p>
        </w:tc>
      </w:tr>
    </w:tbl>
    <w:p w:rsidR="00BA5A18" w:rsidRDefault="00BA5A18" w:rsidP="00A740D2"/>
    <w:p w:rsidR="000D13DC" w:rsidRDefault="00973C04" w:rsidP="00A740D2">
      <w:r>
        <w:t>Във всички дружества е управляващ и представляващ и към момента на изготвянето на проспекта.</w:t>
      </w:r>
    </w:p>
    <w:p w:rsidR="0036442A" w:rsidRDefault="0036442A" w:rsidP="0036442A">
      <w:r w:rsidRPr="0036442A">
        <w:t>Освен посочените участия Валери Мектупчиян няма други участия в капитала и няма</w:t>
      </w:r>
      <w:r w:rsidRPr="00CA5AD2">
        <w:t xml:space="preserve"> прекратени участия в капитала или в административните, надзорните или управителните органи на други дружества през последните 5 години.</w:t>
      </w:r>
    </w:p>
    <w:p w:rsidR="005569C1" w:rsidRDefault="005569C1" w:rsidP="0036442A"/>
    <w:p w:rsidR="006D5553" w:rsidRDefault="00AC4FE7" w:rsidP="00A740D2">
      <w:pPr>
        <w:rPr>
          <w:b/>
        </w:rPr>
      </w:pPr>
      <w:r w:rsidRPr="00A11BF4">
        <w:rPr>
          <w:b/>
          <w:u w:val="single"/>
        </w:rPr>
        <w:t>Георги Иванов Глогов</w:t>
      </w:r>
      <w:r w:rsidRPr="00A11BF4">
        <w:rPr>
          <w:b/>
        </w:rPr>
        <w:t xml:space="preserve"> – </w:t>
      </w:r>
      <w:r w:rsidR="00A11BF4" w:rsidRPr="00A11BF4">
        <w:rPr>
          <w:b/>
        </w:rPr>
        <w:t>Член на Съвета на Директорите и Директор „Международен отдел”</w:t>
      </w:r>
    </w:p>
    <w:p w:rsidR="006F17A7" w:rsidRDefault="006F17A7" w:rsidP="006F17A7">
      <w:r w:rsidRPr="00A11BF4">
        <w:t xml:space="preserve">Георги Иванов Глогов, има </w:t>
      </w:r>
      <w:r>
        <w:t>висше</w:t>
      </w:r>
      <w:r w:rsidRPr="00A11BF4">
        <w:t xml:space="preserve"> икономическо образование, като ръководи различни компании в периода 1990-2000 г. В момента притежава и семеен бизнес свързан с предоставянето на счетоводни-консул</w:t>
      </w:r>
      <w:r>
        <w:t>тантски услуги.</w:t>
      </w:r>
    </w:p>
    <w:p w:rsidR="006F17A7" w:rsidRPr="006F17A7" w:rsidRDefault="006F17A7" w:rsidP="00A740D2"/>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095"/>
      </w:tblGrid>
      <w:tr w:rsidR="006D3DF6" w:rsidTr="00A52886">
        <w:tc>
          <w:tcPr>
            <w:tcW w:w="3686" w:type="dxa"/>
          </w:tcPr>
          <w:p w:rsidR="006D3DF6" w:rsidRPr="00AC4FE7" w:rsidRDefault="006D3DF6" w:rsidP="00597523">
            <w:pPr>
              <w:rPr>
                <w:b/>
              </w:rPr>
            </w:pPr>
            <w:r w:rsidRPr="00AC4FE7">
              <w:rPr>
                <w:b/>
              </w:rPr>
              <w:t>„Спиди Груп” АД</w:t>
            </w:r>
          </w:p>
        </w:tc>
        <w:tc>
          <w:tcPr>
            <w:tcW w:w="6095" w:type="dxa"/>
          </w:tcPr>
          <w:p w:rsidR="006D3DF6" w:rsidRDefault="006D3DF6" w:rsidP="00597523">
            <w:r>
              <w:t xml:space="preserve">Изпълнителен директор, </w:t>
            </w:r>
            <w:hyperlink r:id="rId14" w:history="1">
              <w:r w:rsidRPr="00AC4FE7">
                <w:t xml:space="preserve">до 29.06.2014 </w:t>
              </w:r>
            </w:hyperlink>
            <w:r>
              <w:t>и акционер с 24,8% от капитала</w:t>
            </w:r>
          </w:p>
        </w:tc>
      </w:tr>
      <w:tr w:rsidR="006D3DF6" w:rsidTr="00A52886">
        <w:tc>
          <w:tcPr>
            <w:tcW w:w="3686" w:type="dxa"/>
          </w:tcPr>
          <w:p w:rsidR="006D3DF6" w:rsidRPr="00AC4FE7" w:rsidRDefault="006D3DF6" w:rsidP="00597523">
            <w:pPr>
              <w:rPr>
                <w:b/>
              </w:rPr>
            </w:pPr>
            <w:r w:rsidRPr="00AC4FE7">
              <w:rPr>
                <w:b/>
              </w:rPr>
              <w:t>„Спиди” ЕООД</w:t>
            </w:r>
          </w:p>
        </w:tc>
        <w:tc>
          <w:tcPr>
            <w:tcW w:w="6095" w:type="dxa"/>
          </w:tcPr>
          <w:p w:rsidR="006D3DF6" w:rsidRDefault="006D3DF6" w:rsidP="00597523">
            <w:r>
              <w:t>Управител</w:t>
            </w:r>
          </w:p>
        </w:tc>
      </w:tr>
      <w:tr w:rsidR="006D3DF6" w:rsidTr="00A52886">
        <w:tc>
          <w:tcPr>
            <w:tcW w:w="3686" w:type="dxa"/>
          </w:tcPr>
          <w:p w:rsidR="006D3DF6" w:rsidRPr="00AC4FE7" w:rsidRDefault="006D3DF6" w:rsidP="00597523">
            <w:pPr>
              <w:rPr>
                <w:b/>
              </w:rPr>
            </w:pPr>
            <w:r w:rsidRPr="00AC4FE7">
              <w:rPr>
                <w:b/>
              </w:rPr>
              <w:t>"Консепт инвест 2011" ЕАД</w:t>
            </w:r>
          </w:p>
        </w:tc>
        <w:tc>
          <w:tcPr>
            <w:tcW w:w="6095" w:type="dxa"/>
          </w:tcPr>
          <w:p w:rsidR="006D3DF6" w:rsidRDefault="006D3DF6" w:rsidP="00597523">
            <w:r>
              <w:t xml:space="preserve">Изпълнителен директор, </w:t>
            </w:r>
            <w:hyperlink r:id="rId15" w:history="1">
              <w:r w:rsidRPr="00AC4FE7">
                <w:t xml:space="preserve">до 16.02.2014 </w:t>
              </w:r>
            </w:hyperlink>
          </w:p>
        </w:tc>
      </w:tr>
      <w:tr w:rsidR="00BA5A18" w:rsidTr="00A52886">
        <w:tc>
          <w:tcPr>
            <w:tcW w:w="3686" w:type="dxa"/>
          </w:tcPr>
          <w:p w:rsidR="00BA5A18" w:rsidRPr="00AC4FE7" w:rsidRDefault="008850BF" w:rsidP="00597523">
            <w:pPr>
              <w:rPr>
                <w:b/>
              </w:rPr>
            </w:pPr>
            <w:r w:rsidRPr="008850BF">
              <w:rPr>
                <w:b/>
              </w:rPr>
              <w:t>"</w:t>
            </w:r>
            <w:r w:rsidR="006D3DF6" w:rsidRPr="008850BF">
              <w:rPr>
                <w:b/>
              </w:rPr>
              <w:t>Сандрини Фло</w:t>
            </w:r>
            <w:r w:rsidRPr="008850BF">
              <w:rPr>
                <w:b/>
              </w:rPr>
              <w:t>" ООД</w:t>
            </w:r>
          </w:p>
        </w:tc>
        <w:tc>
          <w:tcPr>
            <w:tcW w:w="6095" w:type="dxa"/>
          </w:tcPr>
          <w:p w:rsidR="00BA5A18" w:rsidRDefault="008850BF" w:rsidP="008850BF">
            <w:r>
              <w:t>Управител и съдружник с 50% дял от капитала</w:t>
            </w:r>
          </w:p>
        </w:tc>
      </w:tr>
      <w:tr w:rsidR="00BA5A18" w:rsidTr="00A52886">
        <w:tc>
          <w:tcPr>
            <w:tcW w:w="3686" w:type="dxa"/>
          </w:tcPr>
          <w:p w:rsidR="00BA5A18" w:rsidRPr="00AC4FE7" w:rsidRDefault="008850BF" w:rsidP="00597523">
            <w:pPr>
              <w:rPr>
                <w:b/>
              </w:rPr>
            </w:pPr>
            <w:r w:rsidRPr="008850BF">
              <w:rPr>
                <w:b/>
              </w:rPr>
              <w:t>"</w:t>
            </w:r>
            <w:r w:rsidR="006D3DF6" w:rsidRPr="008850BF">
              <w:rPr>
                <w:b/>
              </w:rPr>
              <w:t>Трансбалкан Груп</w:t>
            </w:r>
            <w:r w:rsidRPr="008850BF">
              <w:rPr>
                <w:b/>
              </w:rPr>
              <w:t>" ООД</w:t>
            </w:r>
          </w:p>
        </w:tc>
        <w:tc>
          <w:tcPr>
            <w:tcW w:w="6095" w:type="dxa"/>
          </w:tcPr>
          <w:p w:rsidR="00BA5A18" w:rsidRDefault="008850BF" w:rsidP="00597523">
            <w:r>
              <w:t>Управител и съдружник с 24,8% дял от капитала</w:t>
            </w:r>
          </w:p>
        </w:tc>
      </w:tr>
      <w:tr w:rsidR="00BA5A18" w:rsidTr="00A52886">
        <w:tc>
          <w:tcPr>
            <w:tcW w:w="3686" w:type="dxa"/>
          </w:tcPr>
          <w:p w:rsidR="00BA5A18" w:rsidRPr="00AC4FE7" w:rsidRDefault="008850BF" w:rsidP="00597523">
            <w:pPr>
              <w:rPr>
                <w:b/>
              </w:rPr>
            </w:pPr>
            <w:r w:rsidRPr="008850BF">
              <w:rPr>
                <w:b/>
              </w:rPr>
              <w:t>„</w:t>
            </w:r>
            <w:r w:rsidR="006D3DF6" w:rsidRPr="008850BF">
              <w:rPr>
                <w:b/>
              </w:rPr>
              <w:t xml:space="preserve">Алекс </w:t>
            </w:r>
            <w:r w:rsidRPr="008850BF">
              <w:rPr>
                <w:b/>
              </w:rPr>
              <w:t>– Г” ЕООД</w:t>
            </w:r>
          </w:p>
        </w:tc>
        <w:tc>
          <w:tcPr>
            <w:tcW w:w="6095" w:type="dxa"/>
          </w:tcPr>
          <w:p w:rsidR="00BA5A18" w:rsidRDefault="008850BF" w:rsidP="00597523">
            <w:r>
              <w:t>Управител и едноличен собственик</w:t>
            </w:r>
          </w:p>
        </w:tc>
      </w:tr>
    </w:tbl>
    <w:p w:rsidR="00B367FA" w:rsidRDefault="00B367FA" w:rsidP="00B367FA">
      <w:pPr>
        <w:rPr>
          <w:bCs/>
          <w:i/>
          <w:color w:val="000000"/>
          <w:sz w:val="22"/>
          <w:szCs w:val="22"/>
          <w:u w:val="single"/>
          <w:lang w:eastAsia="bg-BG"/>
        </w:rPr>
      </w:pPr>
    </w:p>
    <w:p w:rsidR="00B367FA" w:rsidRDefault="00B367FA" w:rsidP="00B367FA">
      <w:pPr>
        <w:rPr>
          <w:bCs/>
          <w:i/>
          <w:color w:val="000000"/>
          <w:sz w:val="22"/>
          <w:szCs w:val="22"/>
          <w:u w:val="single"/>
          <w:lang w:eastAsia="bg-BG"/>
        </w:rPr>
      </w:pPr>
    </w:p>
    <w:p w:rsidR="00B367FA" w:rsidRDefault="00B367FA" w:rsidP="00B367FA">
      <w:pPr>
        <w:rPr>
          <w:bCs/>
          <w:i/>
          <w:color w:val="000000"/>
          <w:sz w:val="22"/>
          <w:szCs w:val="22"/>
          <w:u w:val="single"/>
          <w:lang w:eastAsia="bg-BG"/>
        </w:rPr>
      </w:pPr>
      <w:r w:rsidRPr="005569C1">
        <w:rPr>
          <w:bCs/>
          <w:i/>
          <w:color w:val="000000"/>
          <w:sz w:val="22"/>
          <w:szCs w:val="22"/>
          <w:u w:val="single"/>
          <w:lang w:eastAsia="bg-BG"/>
        </w:rPr>
        <w:t xml:space="preserve">Управленски опит и </w:t>
      </w:r>
      <w:r>
        <w:rPr>
          <w:bCs/>
          <w:i/>
          <w:color w:val="000000"/>
          <w:sz w:val="22"/>
          <w:szCs w:val="22"/>
          <w:u w:val="single"/>
          <w:lang w:eastAsia="bg-BG"/>
        </w:rPr>
        <w:t>образование</w:t>
      </w:r>
    </w:p>
    <w:p w:rsidR="00A740D2" w:rsidRDefault="00A740D2" w:rsidP="00942CE6"/>
    <w:p w:rsidR="00B367FA" w:rsidRDefault="00B367FA" w:rsidP="00B367FA">
      <w:pPr>
        <w:tabs>
          <w:tab w:val="left" w:pos="8265"/>
        </w:tabs>
        <w:ind w:left="720" w:hanging="720"/>
      </w:pPr>
      <w:r>
        <w:t>„Трансбалкан Груп“ ООД – управител – от 06.2011 г . до сега;</w:t>
      </w:r>
      <w:r>
        <w:tab/>
      </w:r>
    </w:p>
    <w:p w:rsidR="00B367FA" w:rsidRDefault="00D33D7C" w:rsidP="00B367FA">
      <w:pPr>
        <w:ind w:left="720" w:hanging="720"/>
      </w:pPr>
      <w:r>
        <w:t>„Спиди“ ЕА</w:t>
      </w:r>
      <w:r w:rsidR="00B367FA">
        <w:t>Д – мениджър Външни отношения – от 09.2006 г. до 06.2011 г.;</w:t>
      </w:r>
    </w:p>
    <w:p w:rsidR="00B367FA" w:rsidRDefault="00B367FA" w:rsidP="00B367FA">
      <w:pPr>
        <w:ind w:left="720" w:hanging="720"/>
      </w:pPr>
      <w:r>
        <w:t xml:space="preserve">„Трансбалкан Груп Румъния“ </w:t>
      </w:r>
      <w:r w:rsidRPr="00BB740F">
        <w:t xml:space="preserve">Srl -  </w:t>
      </w:r>
      <w:r>
        <w:t>управител – от 2002 г. до сега;</w:t>
      </w:r>
    </w:p>
    <w:p w:rsidR="00B367FA" w:rsidRDefault="00D33D7C" w:rsidP="00B367FA">
      <w:pPr>
        <w:ind w:left="720" w:hanging="720"/>
      </w:pPr>
      <w:r>
        <w:t>„Спиди“ ЕОО</w:t>
      </w:r>
      <w:r w:rsidR="00B367FA">
        <w:t>Д – управител – от 07.1998 г. до 09.2006 г.</w:t>
      </w:r>
    </w:p>
    <w:p w:rsidR="00B367FA" w:rsidRDefault="00B367FA" w:rsidP="00B367FA">
      <w:pPr>
        <w:ind w:left="720" w:firstLine="720"/>
      </w:pPr>
    </w:p>
    <w:p w:rsidR="00B367FA" w:rsidRPr="00F4264A" w:rsidRDefault="00B367FA" w:rsidP="00B367FA">
      <w:pPr>
        <w:spacing w:after="0" w:line="360" w:lineRule="auto"/>
        <w:rPr>
          <w:b/>
        </w:rPr>
      </w:pPr>
      <w:r w:rsidRPr="00C50F4F">
        <w:rPr>
          <w:b/>
          <w:smallCaps/>
        </w:rPr>
        <w:t>Образование</w:t>
      </w:r>
      <w:r>
        <w:rPr>
          <w:b/>
          <w:smallCaps/>
        </w:rPr>
        <w:tab/>
      </w:r>
      <w:r w:rsidRPr="00F4264A">
        <w:rPr>
          <w:b/>
        </w:rPr>
        <w:t>1985 г. – 1989 г.</w:t>
      </w:r>
    </w:p>
    <w:p w:rsidR="00B367FA" w:rsidRDefault="00B367FA" w:rsidP="00B367FA">
      <w:pPr>
        <w:ind w:left="720" w:hanging="720"/>
      </w:pPr>
      <w:r w:rsidRPr="00F4264A">
        <w:t>магистър по Международен туризъм в Икономически институт – Варна</w:t>
      </w:r>
    </w:p>
    <w:p w:rsidR="00B367FA" w:rsidRPr="00F4264A" w:rsidRDefault="00B367FA" w:rsidP="00B367FA">
      <w:pPr>
        <w:spacing w:after="0" w:line="360" w:lineRule="auto"/>
        <w:ind w:left="2160"/>
        <w:rPr>
          <w:b/>
        </w:rPr>
      </w:pPr>
      <w:r w:rsidRPr="00F4264A">
        <w:rPr>
          <w:b/>
        </w:rPr>
        <w:t xml:space="preserve">1978 г. – 1982 г. </w:t>
      </w:r>
    </w:p>
    <w:p w:rsidR="00B367FA" w:rsidRDefault="00B367FA" w:rsidP="00B367FA">
      <w:pPr>
        <w:ind w:left="720" w:hanging="720"/>
      </w:pPr>
      <w:r>
        <w:t>Английска езикова гимназия – гр. Пловдив</w:t>
      </w:r>
    </w:p>
    <w:p w:rsidR="00B367FA" w:rsidRDefault="00B367FA" w:rsidP="00B367FA">
      <w:pPr>
        <w:ind w:left="2160"/>
      </w:pPr>
    </w:p>
    <w:p w:rsidR="00B367FA" w:rsidRDefault="00B367FA" w:rsidP="00B367FA">
      <w:pPr>
        <w:spacing w:after="0" w:line="360" w:lineRule="auto"/>
        <w:rPr>
          <w:b/>
          <w:smallCaps/>
        </w:rPr>
      </w:pPr>
      <w:r w:rsidRPr="00F844D8">
        <w:rPr>
          <w:b/>
          <w:smallCaps/>
        </w:rPr>
        <w:t>Относим</w:t>
      </w:r>
      <w:r w:rsidRPr="00B367FA">
        <w:rPr>
          <w:b/>
          <w:smallCaps/>
        </w:rPr>
        <w:t xml:space="preserve"> </w:t>
      </w:r>
      <w:r w:rsidRPr="00F844D8">
        <w:rPr>
          <w:b/>
          <w:smallCaps/>
        </w:rPr>
        <w:t>професионален</w:t>
      </w:r>
      <w:r w:rsidRPr="00B367FA">
        <w:rPr>
          <w:b/>
          <w:smallCaps/>
        </w:rPr>
        <w:t xml:space="preserve"> </w:t>
      </w:r>
      <w:r w:rsidRPr="00F844D8">
        <w:rPr>
          <w:b/>
          <w:smallCaps/>
        </w:rPr>
        <w:t>опит</w:t>
      </w:r>
    </w:p>
    <w:p w:rsidR="00B367FA" w:rsidRDefault="00B367FA" w:rsidP="00B367FA">
      <w:pPr>
        <w:pStyle w:val="a0"/>
        <w:shd w:val="clear" w:color="auto" w:fill="auto"/>
        <w:spacing w:before="0" w:after="0" w:line="240" w:lineRule="auto"/>
        <w:ind w:left="23" w:right="23" w:firstLine="0"/>
        <w:rPr>
          <w:rFonts w:ascii="Times New Roman" w:eastAsia="Times New Roman" w:hAnsi="Times New Roman" w:cs="Times New Roman"/>
          <w:b/>
          <w:smallCaps/>
          <w:sz w:val="24"/>
          <w:szCs w:val="24"/>
          <w:lang w:eastAsia="en-US"/>
        </w:rPr>
      </w:pPr>
      <w:r w:rsidRPr="00C62FD8">
        <w:rPr>
          <w:rFonts w:ascii="Times New Roman" w:eastAsia="Times New Roman" w:hAnsi="Times New Roman" w:cs="Times New Roman"/>
          <w:b/>
          <w:sz w:val="24"/>
          <w:szCs w:val="24"/>
          <w:lang w:eastAsia="en-US"/>
        </w:rPr>
        <w:t xml:space="preserve">от </w:t>
      </w:r>
      <w:r>
        <w:rPr>
          <w:rFonts w:ascii="Times New Roman" w:eastAsia="Times New Roman" w:hAnsi="Times New Roman" w:cs="Times New Roman"/>
          <w:b/>
          <w:sz w:val="24"/>
          <w:szCs w:val="24"/>
          <w:lang w:eastAsia="en-US"/>
        </w:rPr>
        <w:t>02</w:t>
      </w:r>
      <w:r w:rsidRPr="00C62FD8">
        <w:rPr>
          <w:rFonts w:ascii="Times New Roman" w:eastAsia="Times New Roman" w:hAnsi="Times New Roman" w:cs="Times New Roman"/>
          <w:b/>
          <w:sz w:val="24"/>
          <w:szCs w:val="24"/>
          <w:lang w:eastAsia="en-US"/>
        </w:rPr>
        <w:t>.199</w:t>
      </w:r>
      <w:r>
        <w:rPr>
          <w:rFonts w:ascii="Times New Roman" w:eastAsia="Times New Roman" w:hAnsi="Times New Roman" w:cs="Times New Roman"/>
          <w:b/>
          <w:sz w:val="24"/>
          <w:szCs w:val="24"/>
          <w:lang w:eastAsia="en-US"/>
        </w:rPr>
        <w:t xml:space="preserve">6 г. </w:t>
      </w:r>
      <w:r w:rsidRPr="00C62FD8">
        <w:rPr>
          <w:rFonts w:ascii="Times New Roman" w:eastAsia="Times New Roman" w:hAnsi="Times New Roman" w:cs="Times New Roman"/>
          <w:b/>
          <w:sz w:val="24"/>
          <w:szCs w:val="24"/>
          <w:lang w:eastAsia="en-US"/>
        </w:rPr>
        <w:t xml:space="preserve"> до 0</w:t>
      </w:r>
      <w:r>
        <w:rPr>
          <w:rFonts w:ascii="Times New Roman" w:eastAsia="Times New Roman" w:hAnsi="Times New Roman" w:cs="Times New Roman"/>
          <w:b/>
          <w:sz w:val="24"/>
          <w:szCs w:val="24"/>
          <w:lang w:eastAsia="en-US"/>
        </w:rPr>
        <w:t>6.1998</w:t>
      </w:r>
      <w:r w:rsidRPr="00C62FD8">
        <w:rPr>
          <w:rFonts w:ascii="Times New Roman" w:eastAsia="Times New Roman" w:hAnsi="Times New Roman" w:cs="Times New Roman"/>
          <w:b/>
          <w:sz w:val="24"/>
          <w:szCs w:val="24"/>
          <w:lang w:eastAsia="en-US"/>
        </w:rPr>
        <w:t xml:space="preserve"> г.</w:t>
      </w:r>
      <w:r>
        <w:rPr>
          <w:rFonts w:ascii="Times New Roman" w:eastAsia="Times New Roman" w:hAnsi="Times New Roman" w:cs="Times New Roman"/>
          <w:b/>
          <w:smallCaps/>
          <w:sz w:val="24"/>
          <w:szCs w:val="24"/>
          <w:lang w:eastAsia="en-US"/>
        </w:rPr>
        <w:t xml:space="preserve"> </w:t>
      </w:r>
    </w:p>
    <w:p w:rsidR="00B367FA" w:rsidRDefault="00B367FA" w:rsidP="00B367FA">
      <w:r w:rsidRPr="00F4264A">
        <w:t>„Транскомплект Нигерия“</w:t>
      </w:r>
      <w:r w:rsidRPr="00F4264A">
        <w:rPr>
          <w:b/>
        </w:rPr>
        <w:t xml:space="preserve"> </w:t>
      </w:r>
      <w:r>
        <w:rPr>
          <w:b/>
        </w:rPr>
        <w:t xml:space="preserve"> - </w:t>
      </w:r>
      <w:r w:rsidRPr="00301C3D">
        <w:t xml:space="preserve">финансов </w:t>
      </w:r>
      <w:r>
        <w:t>мениджър</w:t>
      </w:r>
      <w:r w:rsidRPr="00301C3D">
        <w:t>, с отго</w:t>
      </w:r>
      <w:r>
        <w:t xml:space="preserve">ворности контрол на финансовата </w:t>
      </w:r>
      <w:r w:rsidRPr="00301C3D">
        <w:t>дейност на дружеството, контрол на годишните финансови отчети, контрол на разплащанията;</w:t>
      </w:r>
    </w:p>
    <w:p w:rsidR="00B367FA" w:rsidRPr="00301C3D" w:rsidRDefault="00B367FA" w:rsidP="00B367FA">
      <w:pPr>
        <w:ind w:left="2160" w:hanging="2160"/>
      </w:pPr>
      <w:r w:rsidRPr="00301C3D">
        <w:rPr>
          <w:b/>
        </w:rPr>
        <w:t xml:space="preserve">1993 г. – 1994 г. </w:t>
      </w:r>
    </w:p>
    <w:p w:rsidR="00B367FA" w:rsidRDefault="00B367FA" w:rsidP="00B367FA">
      <w:r w:rsidRPr="00301C3D">
        <w:t xml:space="preserve">„Шанс“ ООД </w:t>
      </w:r>
      <w:r>
        <w:t>– управител, с отговорности: анализ на пазарните условия, договори с клиенти;</w:t>
      </w:r>
    </w:p>
    <w:p w:rsidR="00B367FA" w:rsidRDefault="00B367FA" w:rsidP="00B367FA">
      <w:pPr>
        <w:rPr>
          <w:b/>
        </w:rPr>
      </w:pPr>
      <w:r w:rsidRPr="0064067A">
        <w:rPr>
          <w:b/>
        </w:rPr>
        <w:t xml:space="preserve">1989 г. – 1992 г. </w:t>
      </w:r>
    </w:p>
    <w:p w:rsidR="00B367FA" w:rsidRDefault="00B367FA" w:rsidP="00B367FA">
      <w:r w:rsidRPr="0064067A">
        <w:t>„Балкантурист“ АД  - финансов директор</w:t>
      </w:r>
      <w:r>
        <w:t>.</w:t>
      </w:r>
    </w:p>
    <w:p w:rsidR="00F13BA7" w:rsidRDefault="001F1752" w:rsidP="00F13BA7">
      <w:r>
        <w:t>Всички участия и длъжности в изброените дружества са актуални</w:t>
      </w:r>
      <w:r w:rsidR="00F13BA7">
        <w:t xml:space="preserve"> и към момента на изготвянето на проспекта.</w:t>
      </w:r>
    </w:p>
    <w:p w:rsidR="00F13BA7" w:rsidRDefault="00F13BA7" w:rsidP="00F13BA7">
      <w:r w:rsidRPr="0036442A">
        <w:t xml:space="preserve">Освен посочените участия </w:t>
      </w:r>
      <w:r>
        <w:t>Георги Глогов</w:t>
      </w:r>
      <w:r w:rsidRPr="0036442A">
        <w:t xml:space="preserve"> няма други участия в капитала и няма</w:t>
      </w:r>
      <w:r w:rsidRPr="00CA5AD2">
        <w:t xml:space="preserve"> прекратени участия в капитала или в административните, надзорните или управителните органи на други дружества през последните 5 години.</w:t>
      </w:r>
    </w:p>
    <w:p w:rsidR="00F13BA7" w:rsidRDefault="00F13BA7" w:rsidP="00942CE6"/>
    <w:p w:rsidR="00A740D2" w:rsidRDefault="00973C04" w:rsidP="00942CE6">
      <w:r>
        <w:t>Няма семейни връзки между Валери Мектупчиян и Георги Глогов</w:t>
      </w:r>
    </w:p>
    <w:p w:rsidR="005569C1" w:rsidRDefault="005569C1" w:rsidP="00942CE6">
      <w:pPr>
        <w:rPr>
          <w:b/>
          <w:u w:val="single"/>
        </w:rPr>
      </w:pPr>
    </w:p>
    <w:p w:rsidR="004C2C64" w:rsidRPr="004F0042" w:rsidRDefault="005569C1" w:rsidP="00942CE6">
      <w:pPr>
        <w:rPr>
          <w:b/>
          <w:u w:val="single"/>
        </w:rPr>
      </w:pPr>
      <w:r w:rsidRPr="004F0042">
        <w:rPr>
          <w:b/>
          <w:u w:val="single"/>
        </w:rPr>
        <w:t xml:space="preserve"> </w:t>
      </w:r>
      <w:r w:rsidR="00B9611D" w:rsidRPr="004F0042">
        <w:rPr>
          <w:b/>
          <w:u w:val="single"/>
        </w:rPr>
        <w:t>„Омникар – С”</w:t>
      </w:r>
      <w:r w:rsidR="00D33D7C">
        <w:rPr>
          <w:b/>
          <w:u w:val="single"/>
        </w:rPr>
        <w:t xml:space="preserve"> </w:t>
      </w:r>
      <w:r w:rsidR="00B9611D" w:rsidRPr="004F0042">
        <w:rPr>
          <w:b/>
          <w:u w:val="single"/>
        </w:rPr>
        <w:t>ЕООД</w:t>
      </w:r>
      <w:r w:rsidR="00B9611D" w:rsidRPr="004F0042">
        <w:rPr>
          <w:b/>
        </w:rPr>
        <w:t xml:space="preserve"> – член на Съвета на директорите, представляван от едноличния собственик и управител Валери Мектупчиян</w:t>
      </w:r>
    </w:p>
    <w:p w:rsidR="004C2C64" w:rsidRPr="008C4812" w:rsidRDefault="004C2C64" w:rsidP="00942CE6">
      <w:pPr>
        <w:rPr>
          <w:color w:val="FF0000"/>
        </w:rPr>
      </w:pPr>
    </w:p>
    <w:tbl>
      <w:tblPr>
        <w:tblW w:w="9781" w:type="dxa"/>
        <w:tblInd w:w="108" w:type="dxa"/>
        <w:tblLook w:val="04A0"/>
      </w:tblPr>
      <w:tblGrid>
        <w:gridCol w:w="3686"/>
        <w:gridCol w:w="6095"/>
      </w:tblGrid>
      <w:tr w:rsidR="004C2C64" w:rsidTr="00A52886">
        <w:tc>
          <w:tcPr>
            <w:tcW w:w="3686" w:type="dxa"/>
          </w:tcPr>
          <w:p w:rsidR="004C2C64" w:rsidRPr="00BA4021" w:rsidRDefault="004C2C64" w:rsidP="00597523">
            <w:pPr>
              <w:ind w:left="-108"/>
              <w:rPr>
                <w:b/>
              </w:rPr>
            </w:pPr>
            <w:r>
              <w:rPr>
                <w:b/>
              </w:rPr>
              <w:t>Наименование</w:t>
            </w:r>
          </w:p>
        </w:tc>
        <w:tc>
          <w:tcPr>
            <w:tcW w:w="6095" w:type="dxa"/>
          </w:tcPr>
          <w:p w:rsidR="004C2C64" w:rsidRDefault="00B9611D" w:rsidP="00597523">
            <w:r w:rsidRPr="00B9611D">
              <w:t>"ОМНИКАР - С" ЕООД</w:t>
            </w:r>
          </w:p>
        </w:tc>
      </w:tr>
      <w:tr w:rsidR="004C2C64" w:rsidTr="00A52886">
        <w:tc>
          <w:tcPr>
            <w:tcW w:w="3686" w:type="dxa"/>
          </w:tcPr>
          <w:p w:rsidR="004C2C64" w:rsidRDefault="004C2C64" w:rsidP="00597523">
            <w:pPr>
              <w:ind w:left="-108"/>
              <w:rPr>
                <w:b/>
              </w:rPr>
            </w:pPr>
            <w:r>
              <w:rPr>
                <w:b/>
              </w:rPr>
              <w:t>ЕИК</w:t>
            </w:r>
          </w:p>
        </w:tc>
        <w:tc>
          <w:tcPr>
            <w:tcW w:w="6095" w:type="dxa"/>
          </w:tcPr>
          <w:p w:rsidR="004C2C64" w:rsidRDefault="00B9611D" w:rsidP="00597523">
            <w:r w:rsidRPr="00B9611D">
              <w:t>115542285</w:t>
            </w:r>
          </w:p>
        </w:tc>
      </w:tr>
      <w:tr w:rsidR="00B9611D" w:rsidTr="00A52886">
        <w:tc>
          <w:tcPr>
            <w:tcW w:w="3686" w:type="dxa"/>
          </w:tcPr>
          <w:p w:rsidR="00B9611D" w:rsidRDefault="00B9611D" w:rsidP="00597523">
            <w:pPr>
              <w:ind w:left="-108"/>
              <w:rPr>
                <w:b/>
              </w:rPr>
            </w:pPr>
            <w:r w:rsidRPr="00BD1F8F">
              <w:rPr>
                <w:b/>
              </w:rPr>
              <w:t>Предмет на дейност</w:t>
            </w:r>
          </w:p>
        </w:tc>
        <w:tc>
          <w:tcPr>
            <w:tcW w:w="6095" w:type="dxa"/>
          </w:tcPr>
          <w:p w:rsidR="00B9611D" w:rsidRPr="00B9611D" w:rsidRDefault="00B9611D" w:rsidP="00B9611D">
            <w:r>
              <w:t>Отдаване на автомобили под наем, консултантски, рекламни, информационни, програмни или други услуги, търговско представителство и посредничество, таксиметрова, превозна, хорелиерска дейност и лизингова дейност, комисионни сделки, сделки с интелектиална собственост, покупка на превозни средства, стоки и други вещи с цел препродажба в пътвоначален, преработен или обработен вид, проектантска и инженерингова дейност, както и всяка друга дейност, незабранена със закон</w:t>
            </w:r>
          </w:p>
        </w:tc>
      </w:tr>
      <w:tr w:rsidR="004C2C64" w:rsidRPr="0006033A" w:rsidTr="00A52886">
        <w:trPr>
          <w:trHeight w:val="672"/>
        </w:trPr>
        <w:tc>
          <w:tcPr>
            <w:tcW w:w="3686" w:type="dxa"/>
          </w:tcPr>
          <w:p w:rsidR="004C2C64" w:rsidRDefault="004C2C64" w:rsidP="00597523">
            <w:pPr>
              <w:ind w:left="-108"/>
              <w:rPr>
                <w:b/>
              </w:rPr>
            </w:pPr>
            <w:r w:rsidRPr="00BA4021">
              <w:rPr>
                <w:b/>
              </w:rPr>
              <w:t>Седалище</w:t>
            </w:r>
            <w:r>
              <w:rPr>
                <w:b/>
              </w:rPr>
              <w:t xml:space="preserve"> и </w:t>
            </w:r>
            <w:r w:rsidRPr="00BA4021">
              <w:rPr>
                <w:b/>
              </w:rPr>
              <w:t>адрес</w:t>
            </w:r>
          </w:p>
          <w:p w:rsidR="004C2C64" w:rsidRPr="00BA4021" w:rsidRDefault="004C2C64" w:rsidP="00597523">
            <w:pPr>
              <w:ind w:left="-108"/>
              <w:rPr>
                <w:b/>
              </w:rPr>
            </w:pPr>
            <w:r w:rsidRPr="00BA4021">
              <w:rPr>
                <w:b/>
              </w:rPr>
              <w:t>на управление</w:t>
            </w:r>
          </w:p>
        </w:tc>
        <w:tc>
          <w:tcPr>
            <w:tcW w:w="6095" w:type="dxa"/>
          </w:tcPr>
          <w:p w:rsidR="004C2C64" w:rsidRPr="0006033A" w:rsidRDefault="00837E61" w:rsidP="00837E61">
            <w:r w:rsidRPr="00837E61">
              <w:t>България, област Пловдив, гр. Пловдив 4003, р-н Северен, бул. Васил Левски № 151</w:t>
            </w:r>
          </w:p>
        </w:tc>
      </w:tr>
      <w:tr w:rsidR="00837E61" w:rsidRPr="0006033A" w:rsidTr="00A52886">
        <w:trPr>
          <w:trHeight w:val="266"/>
        </w:trPr>
        <w:tc>
          <w:tcPr>
            <w:tcW w:w="3686" w:type="dxa"/>
          </w:tcPr>
          <w:p w:rsidR="00837E61" w:rsidRPr="00BA4021" w:rsidRDefault="00837E61" w:rsidP="00597523">
            <w:pPr>
              <w:ind w:left="-108"/>
              <w:rPr>
                <w:b/>
              </w:rPr>
            </w:pPr>
            <w:r>
              <w:rPr>
                <w:b/>
              </w:rPr>
              <w:t>Номер и партида на вписване</w:t>
            </w:r>
          </w:p>
        </w:tc>
        <w:tc>
          <w:tcPr>
            <w:tcW w:w="6095" w:type="dxa"/>
          </w:tcPr>
          <w:p w:rsidR="00837E61" w:rsidRPr="002B4913" w:rsidRDefault="002B4913" w:rsidP="00837E61">
            <w:r>
              <w:t xml:space="preserve">Ф.д. </w:t>
            </w:r>
            <w:r>
              <w:rPr>
                <w:lang w:val="en-US"/>
              </w:rPr>
              <w:t>N</w:t>
            </w:r>
            <w:r>
              <w:t xml:space="preserve"> 1789/</w:t>
            </w:r>
            <w:r w:rsidR="004F0042">
              <w:t>21.03.</w:t>
            </w:r>
            <w:r>
              <w:t>2000</w:t>
            </w:r>
          </w:p>
        </w:tc>
      </w:tr>
    </w:tbl>
    <w:p w:rsidR="004C2C64" w:rsidRDefault="004C2C64" w:rsidP="00942CE6"/>
    <w:p w:rsidR="00851958" w:rsidRPr="00851958" w:rsidRDefault="00851958" w:rsidP="00942CE6">
      <w:r w:rsidRPr="00851958">
        <w:t xml:space="preserve">„Омникар – С” ЕООД </w:t>
      </w:r>
      <w:r>
        <w:t xml:space="preserve">няма и не е имало </w:t>
      </w:r>
      <w:r w:rsidR="00E316CE">
        <w:t>през последните 5 години участвия в управителни и контролни органи на други дружества или акционерни участия.</w:t>
      </w:r>
    </w:p>
    <w:p w:rsidR="00851958" w:rsidRDefault="00851958" w:rsidP="00942CE6"/>
    <w:p w:rsidR="00BB740F" w:rsidRPr="00BB740F" w:rsidRDefault="00BB740F" w:rsidP="00BB740F">
      <w:pPr>
        <w:rPr>
          <w:i/>
          <w:u w:val="single"/>
        </w:rPr>
      </w:pPr>
      <w:r w:rsidRPr="00BB740F">
        <w:rPr>
          <w:i/>
          <w:u w:val="single"/>
        </w:rPr>
        <w:t>Информация за осъждания и санкции спрямо членовете на Съвета на директорите</w:t>
      </w:r>
    </w:p>
    <w:p w:rsidR="00BB740F" w:rsidRPr="00AB648B" w:rsidRDefault="00BB740F" w:rsidP="00BB740F">
      <w:r w:rsidRPr="00AB648B">
        <w:t>Никой от членовете на Съвета на директорите не е осъждан за измама за последните пет години. На членовете на Съвета на директорите не са налагани принудителни административни мерки или административни наказания през последните 5 години във връзка с дейността им.</w:t>
      </w:r>
    </w:p>
    <w:p w:rsidR="00BB740F" w:rsidRPr="00BB740F" w:rsidRDefault="00BB740F" w:rsidP="00BB740F">
      <w:pPr>
        <w:rPr>
          <w:i/>
          <w:u w:val="single"/>
        </w:rPr>
      </w:pPr>
      <w:r w:rsidRPr="00BB740F">
        <w:rPr>
          <w:i/>
          <w:u w:val="single"/>
        </w:rPr>
        <w:t>Подробности за несъстоятелност, управление от синдик или ликвидация, с които през последните пет години е било свързано лице, от състава на Съвета на директорите</w:t>
      </w:r>
    </w:p>
    <w:p w:rsidR="00BB740F" w:rsidRDefault="00BB740F" w:rsidP="00BB740F">
      <w:r w:rsidRPr="00AB648B">
        <w:t>Никой от членовете на състава на Съвета на директорите на „</w:t>
      </w:r>
      <w:r>
        <w:t>Спиди“</w:t>
      </w:r>
      <w:r w:rsidRPr="00AB648B">
        <w:t xml:space="preserve"> </w:t>
      </w:r>
      <w:r>
        <w:t>Е</w:t>
      </w:r>
      <w:r w:rsidRPr="00AB648B">
        <w:t>АД през последните пет години, преди изготвянето на настоящия регистрационен документ не е бил член на управителните или надзорни органи, неограничено отговорен съдружник или лице, заемащо ръководна функция в дружество, спрямо което е открито производство по обявяване в несъстоятелност, прекратено поради несъстоятелност дружество, дружество управлявано от синдик или прекратено с ликвидация дружество</w:t>
      </w:r>
      <w:r>
        <w:t>.</w:t>
      </w:r>
    </w:p>
    <w:p w:rsidR="00BB740F" w:rsidRPr="00BB740F" w:rsidRDefault="00BB740F" w:rsidP="00BB740F">
      <w:r w:rsidRPr="00BB740F">
        <w:t>Спрямо никой от членовете на Съвета на директорите не е открито производство по обявяване в несъстоятелност и не е обявяван в несъстоятелност.</w:t>
      </w:r>
    </w:p>
    <w:p w:rsidR="00BB740F" w:rsidRPr="00BB740F" w:rsidRDefault="00BB740F" w:rsidP="00BB740F">
      <w:pPr>
        <w:rPr>
          <w:i/>
          <w:u w:val="single"/>
        </w:rPr>
      </w:pPr>
      <w:r w:rsidRPr="00BB740F">
        <w:rPr>
          <w:i/>
          <w:u w:val="single"/>
        </w:rPr>
        <w:t>Подробности за всякакво официално публично инкриминиране и/или санкции на член на Съвета на директорите от законови или р</w:t>
      </w:r>
      <w:r w:rsidR="008A6351">
        <w:rPr>
          <w:i/>
          <w:u w:val="single"/>
        </w:rPr>
        <w:t>егулаторни органи</w:t>
      </w:r>
      <w:r w:rsidRPr="00BB740F">
        <w:rPr>
          <w:i/>
          <w:u w:val="single"/>
        </w:rPr>
        <w:t xml:space="preserve"> и дали това лице е било някога лишавано от съда от правото да бъде член на административните, управителните или надзорни органи на даден емитент или от изпълняването на длъжности в ръководството или изпълняването на дейността на някой емитент, най-малко за последните пет години.</w:t>
      </w:r>
    </w:p>
    <w:p w:rsidR="00BB740F" w:rsidRDefault="00BB740F" w:rsidP="00BB740F">
      <w:r w:rsidRPr="00AD044E">
        <w:t>Спрямо никой от членовете на Съвета на директорите не са налагани санкции от регулаторни органи, никой от членовете на Съвета на директорите не е лишаван от правото да заема управителни или ръководни функции в емитент за последните пет години, преди изготвянето на настоящия регистрационен документ.</w:t>
      </w:r>
    </w:p>
    <w:p w:rsidR="008A6351" w:rsidRPr="00BB740F" w:rsidRDefault="008A6351" w:rsidP="00BB740F"/>
    <w:p w:rsidR="004450B1" w:rsidRPr="00E62D5F" w:rsidRDefault="00890E8C" w:rsidP="00890E8C">
      <w:pPr>
        <w:pStyle w:val="Heading1"/>
        <w:numPr>
          <w:ilvl w:val="1"/>
          <w:numId w:val="11"/>
        </w:numPr>
        <w:ind w:left="567" w:hanging="567"/>
        <w:rPr>
          <w:rFonts w:ascii="Times New Roman" w:hAnsi="Times New Roman"/>
          <w:b w:val="0"/>
          <w:i/>
          <w:smallCaps/>
          <w:sz w:val="24"/>
          <w:szCs w:val="24"/>
        </w:rPr>
      </w:pPr>
      <w:bookmarkStart w:id="116" w:name="_Toc324376947"/>
      <w:bookmarkStart w:id="117" w:name="_Toc324380106"/>
      <w:r w:rsidRPr="00E62D5F">
        <w:rPr>
          <w:rFonts w:ascii="Times New Roman" w:hAnsi="Times New Roman"/>
          <w:b w:val="0"/>
          <w:i/>
          <w:smallCaps/>
          <w:sz w:val="24"/>
          <w:szCs w:val="24"/>
        </w:rPr>
        <w:t>Конфликт на интереси за членове на управителните и на контролните органи</w:t>
      </w:r>
      <w:bookmarkEnd w:id="116"/>
      <w:bookmarkEnd w:id="117"/>
    </w:p>
    <w:p w:rsidR="00543F46" w:rsidRDefault="000A60D1" w:rsidP="00942CE6">
      <w:r>
        <w:t xml:space="preserve">Валери </w:t>
      </w:r>
      <w:r w:rsidR="00F24FDA">
        <w:t>Мектупчиян</w:t>
      </w:r>
      <w:r>
        <w:t xml:space="preserve"> е едно</w:t>
      </w:r>
      <w:r w:rsidR="00A904F3">
        <w:t xml:space="preserve">временно изпълнителен директор </w:t>
      </w:r>
      <w:r>
        <w:t xml:space="preserve">и </w:t>
      </w:r>
      <w:r w:rsidR="00B36160">
        <w:t>непряко упражнява контрол</w:t>
      </w:r>
      <w:r>
        <w:t xml:space="preserve"> в</w:t>
      </w:r>
      <w:r w:rsidR="00B36160">
        <w:t>ърху</w:t>
      </w:r>
      <w:r>
        <w:t xml:space="preserve"> </w:t>
      </w:r>
      <w:r w:rsidR="00D70BF4">
        <w:t>„СПИДИ” ЕАД</w:t>
      </w:r>
      <w:r>
        <w:t xml:space="preserve"> и също така управлява и контролира дружества, които имат търговски отношения с емитента. </w:t>
      </w:r>
      <w:r w:rsidR="00F24FDA">
        <w:t xml:space="preserve">Осъществяването </w:t>
      </w:r>
      <w:r>
        <w:t xml:space="preserve">на сделките </w:t>
      </w:r>
      <w:r w:rsidR="00F24FDA">
        <w:t xml:space="preserve">е при пазарни условия и във взаимен интерес на страните. </w:t>
      </w:r>
      <w:r>
        <w:t xml:space="preserve">Подробна информация </w:t>
      </w:r>
      <w:r w:rsidR="00640A93">
        <w:t xml:space="preserve">за сделките е представена в </w:t>
      </w:r>
      <w:r w:rsidR="00640A93" w:rsidRPr="00640A93">
        <w:rPr>
          <w:i/>
        </w:rPr>
        <w:t xml:space="preserve">т. </w:t>
      </w:r>
      <w:r w:rsidR="001E7C80">
        <w:rPr>
          <w:i/>
        </w:rPr>
        <w:fldChar w:fldCharType="begin"/>
      </w:r>
      <w:r w:rsidR="00BB740F">
        <w:rPr>
          <w:i/>
        </w:rPr>
        <w:instrText xml:space="preserve"> REF _Ref324333306 \r \h </w:instrText>
      </w:r>
      <w:r w:rsidR="001E7C80">
        <w:rPr>
          <w:i/>
        </w:rPr>
      </w:r>
      <w:r w:rsidR="001E7C80">
        <w:rPr>
          <w:i/>
        </w:rPr>
        <w:fldChar w:fldCharType="separate"/>
      </w:r>
      <w:r w:rsidR="00BB740F">
        <w:rPr>
          <w:i/>
        </w:rPr>
        <w:t>8</w:t>
      </w:r>
      <w:r w:rsidR="001E7C80">
        <w:rPr>
          <w:i/>
        </w:rPr>
        <w:fldChar w:fldCharType="end"/>
      </w:r>
      <w:r w:rsidR="00640A93" w:rsidRPr="00640A93">
        <w:rPr>
          <w:i/>
        </w:rPr>
        <w:t xml:space="preserve"> „Сделки със свързани лица”</w:t>
      </w:r>
      <w:r>
        <w:t xml:space="preserve"> на настоящият документ.</w:t>
      </w:r>
    </w:p>
    <w:p w:rsidR="00543F46" w:rsidRDefault="00F24FDA" w:rsidP="00543F46">
      <w:r>
        <w:t>По отношение на останалите лица</w:t>
      </w:r>
      <w:r w:rsidR="00543F46">
        <w:t xml:space="preserve"> не съществува действителен или потенциален конфликт на интереси, произтичащ от техните лични интереси и задължения или ангажиментите им към Дружеството.</w:t>
      </w:r>
    </w:p>
    <w:p w:rsidR="00543F46" w:rsidRDefault="00543F46" w:rsidP="00543F46">
      <w:r>
        <w:t xml:space="preserve">Съгласно изискванията на закона, Директорите трябва да изпълняват фукциите си по отношение на </w:t>
      </w:r>
      <w:r w:rsidR="00D70BF4">
        <w:t>„СПИДИ” ЕАД</w:t>
      </w:r>
      <w:r w:rsidR="00F87268">
        <w:t xml:space="preserve"> </w:t>
      </w:r>
      <w:r>
        <w:t>при спазване на задължение за лоялност, да предпочитат интересите на Дружеството пред своите лични, и да полагат усилия за избягване на ситуации на конфликт на интереси. В случай, че въпреки това възникне ситуация на конфликт на интереси, заинтересованият Директор е задължен да разкрие в пълнота и в подходящ срок пред съответния орган такъв конфликт.</w:t>
      </w:r>
    </w:p>
    <w:p w:rsidR="00543F46" w:rsidRDefault="00543F46" w:rsidP="00942CE6"/>
    <w:p w:rsidR="00F24FDA" w:rsidRDefault="00F24FDA" w:rsidP="00942CE6">
      <w:r>
        <w:t xml:space="preserve">Няма наличие </w:t>
      </w:r>
      <w:r w:rsidRPr="00F24FDA">
        <w:t>на ангажименти и договорки с основните акционери, клиенти, доставчици или друг</w:t>
      </w:r>
      <w:r>
        <w:t>и, в резултат на които член на съвета на директорите</w:t>
      </w:r>
      <w:r w:rsidRPr="00F24FDA">
        <w:t xml:space="preserve"> </w:t>
      </w:r>
      <w:r>
        <w:t>да е</w:t>
      </w:r>
      <w:r w:rsidRPr="00F24FDA">
        <w:t xml:space="preserve"> избран като член на административния, управителния и на контролния органи или висш ръководен състав</w:t>
      </w:r>
      <w:r>
        <w:t>.</w:t>
      </w:r>
    </w:p>
    <w:p w:rsidR="00F24FDA" w:rsidRDefault="00F24FDA" w:rsidP="00942CE6"/>
    <w:p w:rsidR="00F24FDA" w:rsidRDefault="00F24FDA" w:rsidP="00942CE6">
      <w:r>
        <w:t xml:space="preserve">Няма </w:t>
      </w:r>
      <w:r w:rsidR="00D33D7C">
        <w:t>договорени ограничения, кои</w:t>
      </w:r>
      <w:r w:rsidRPr="00F24FDA">
        <w:t>то да ограничават продажбите на личните акции в емитента за определен период от време</w:t>
      </w:r>
    </w:p>
    <w:p w:rsidR="00FC3657" w:rsidRPr="00617A8E" w:rsidRDefault="000A60D1" w:rsidP="000A60D1">
      <w:pPr>
        <w:pStyle w:val="Heading1"/>
        <w:numPr>
          <w:ilvl w:val="1"/>
          <w:numId w:val="11"/>
        </w:numPr>
        <w:ind w:left="567" w:hanging="567"/>
        <w:rPr>
          <w:rFonts w:ascii="Times New Roman" w:hAnsi="Times New Roman"/>
          <w:b w:val="0"/>
          <w:i/>
          <w:smallCaps/>
          <w:sz w:val="24"/>
          <w:szCs w:val="24"/>
        </w:rPr>
      </w:pPr>
      <w:bookmarkStart w:id="118" w:name="_Toc324376948"/>
      <w:bookmarkStart w:id="119" w:name="_Toc324380107"/>
      <w:r w:rsidRPr="000A60D1">
        <w:rPr>
          <w:rFonts w:ascii="Times New Roman" w:hAnsi="Times New Roman"/>
          <w:b w:val="0"/>
          <w:i/>
          <w:smallCaps/>
          <w:sz w:val="24"/>
          <w:szCs w:val="24"/>
        </w:rPr>
        <w:t xml:space="preserve">Възнаграждения </w:t>
      </w:r>
      <w:r w:rsidR="00FC3657" w:rsidRPr="000A60D1">
        <w:rPr>
          <w:rFonts w:ascii="Times New Roman" w:hAnsi="Times New Roman"/>
          <w:b w:val="0"/>
          <w:i/>
          <w:smallCaps/>
          <w:sz w:val="24"/>
          <w:szCs w:val="24"/>
        </w:rPr>
        <w:t xml:space="preserve">на всеки от членовете на управителните и на контролните органи </w:t>
      </w:r>
      <w:r w:rsidR="00FC3657" w:rsidRPr="00617A8E">
        <w:rPr>
          <w:rFonts w:ascii="Times New Roman" w:hAnsi="Times New Roman"/>
          <w:b w:val="0"/>
          <w:i/>
          <w:smallCaps/>
          <w:sz w:val="24"/>
          <w:szCs w:val="24"/>
        </w:rPr>
        <w:t>за последната</w:t>
      </w:r>
      <w:r w:rsidR="00B13C10" w:rsidRPr="00617A8E">
        <w:rPr>
          <w:rFonts w:ascii="Times New Roman" w:hAnsi="Times New Roman"/>
          <w:b w:val="0"/>
          <w:i/>
          <w:smallCaps/>
          <w:sz w:val="24"/>
          <w:szCs w:val="24"/>
        </w:rPr>
        <w:t xml:space="preserve"> </w:t>
      </w:r>
      <w:r w:rsidR="00FC3657" w:rsidRPr="00617A8E">
        <w:rPr>
          <w:rFonts w:ascii="Times New Roman" w:hAnsi="Times New Roman"/>
          <w:b w:val="0"/>
          <w:i/>
          <w:smallCaps/>
          <w:sz w:val="24"/>
          <w:szCs w:val="24"/>
        </w:rPr>
        <w:t>финансова година</w:t>
      </w:r>
      <w:r w:rsidR="00D210EA">
        <w:rPr>
          <w:rFonts w:ascii="Times New Roman" w:hAnsi="Times New Roman"/>
          <w:b w:val="0"/>
          <w:i/>
          <w:smallCaps/>
          <w:sz w:val="24"/>
          <w:szCs w:val="24"/>
        </w:rPr>
        <w:t>.</w:t>
      </w:r>
      <w:bookmarkEnd w:id="118"/>
      <w:bookmarkEnd w:id="119"/>
    </w:p>
    <w:p w:rsidR="00FC3657" w:rsidRPr="00617A8E" w:rsidRDefault="00F24FDA" w:rsidP="000A60D1">
      <w:pPr>
        <w:pStyle w:val="Heading1"/>
        <w:numPr>
          <w:ilvl w:val="2"/>
          <w:numId w:val="11"/>
        </w:numPr>
        <w:ind w:left="709" w:hanging="709"/>
        <w:rPr>
          <w:rFonts w:ascii="Times New Roman" w:hAnsi="Times New Roman"/>
          <w:b w:val="0"/>
          <w:i/>
          <w:sz w:val="24"/>
          <w:szCs w:val="24"/>
        </w:rPr>
      </w:pPr>
      <w:bookmarkStart w:id="120" w:name="_Toc324376949"/>
      <w:bookmarkStart w:id="121" w:name="_Toc324377128"/>
      <w:bookmarkStart w:id="122" w:name="_Toc324380108"/>
      <w:r w:rsidRPr="00617A8E">
        <w:rPr>
          <w:rFonts w:ascii="Times New Roman" w:hAnsi="Times New Roman"/>
          <w:b w:val="0"/>
          <w:i/>
          <w:sz w:val="24"/>
          <w:szCs w:val="24"/>
        </w:rPr>
        <w:t xml:space="preserve">Получени </w:t>
      </w:r>
      <w:r w:rsidR="00AA42A2" w:rsidRPr="00617A8E">
        <w:rPr>
          <w:rFonts w:ascii="Times New Roman" w:hAnsi="Times New Roman"/>
          <w:b w:val="0"/>
          <w:i/>
          <w:sz w:val="24"/>
          <w:szCs w:val="24"/>
        </w:rPr>
        <w:t>суми и непарични възнаграждения през 2011 г.</w:t>
      </w:r>
      <w:bookmarkEnd w:id="120"/>
      <w:bookmarkEnd w:id="121"/>
      <w:bookmarkEnd w:id="122"/>
    </w:p>
    <w:p w:rsidR="00890E8C" w:rsidRPr="00617A8E" w:rsidRDefault="00F24FDA" w:rsidP="00890E8C">
      <w:r w:rsidRPr="00617A8E">
        <w:t xml:space="preserve">Валери Мектупчиян е получил възнаграждение по договор за управление </w:t>
      </w:r>
      <w:r w:rsidR="00890E8C" w:rsidRPr="00617A8E">
        <w:t>240</w:t>
      </w:r>
      <w:r w:rsidRPr="00617A8E">
        <w:t xml:space="preserve"> </w:t>
      </w:r>
      <w:r w:rsidR="00890E8C" w:rsidRPr="00617A8E">
        <w:t xml:space="preserve">000 </w:t>
      </w:r>
      <w:r w:rsidRPr="00617A8E">
        <w:t xml:space="preserve">лв. </w:t>
      </w:r>
      <w:r w:rsidR="00890E8C" w:rsidRPr="00617A8E">
        <w:t>Начислен бонус – 44</w:t>
      </w:r>
      <w:r w:rsidR="00AA42A2" w:rsidRPr="00617A8E">
        <w:t xml:space="preserve"> </w:t>
      </w:r>
      <w:r w:rsidR="00890E8C" w:rsidRPr="00617A8E">
        <w:t>500 л</w:t>
      </w:r>
      <w:r w:rsidRPr="00617A8E">
        <w:t>в.</w:t>
      </w:r>
      <w:r w:rsidR="0085495E">
        <w:t xml:space="preserve"> В качеството му на управител на „Спиди” ЕООД е получил 26 736 лв.</w:t>
      </w:r>
    </w:p>
    <w:p w:rsidR="00F24FDA" w:rsidRPr="00617A8E" w:rsidRDefault="00F24FDA" w:rsidP="00890E8C">
      <w:r w:rsidRPr="00617A8E">
        <w:t>Георги Глогов</w:t>
      </w:r>
      <w:r w:rsidR="00617A8E" w:rsidRPr="00617A8E">
        <w:t xml:space="preserve"> е получил възнаграждение по договор за управление 240 000 лв. от „Спиди” </w:t>
      </w:r>
      <w:r w:rsidR="008A4CDF">
        <w:t>Е</w:t>
      </w:r>
      <w:r w:rsidR="00617A8E" w:rsidRPr="00617A8E">
        <w:t xml:space="preserve">ООД и 41 216 лв. в качеството му на Директор „Международни отношения” в </w:t>
      </w:r>
      <w:r w:rsidR="00D70BF4">
        <w:t>„СПИДИ” ЕАД</w:t>
      </w:r>
      <w:r w:rsidR="000C0208">
        <w:t xml:space="preserve"> или общо за периода 281 216 лева.</w:t>
      </w:r>
    </w:p>
    <w:p w:rsidR="00F24FDA" w:rsidRDefault="00F24FDA" w:rsidP="00890E8C">
      <w:r w:rsidRPr="00617A8E">
        <w:t>„Омникар – С” ЕООД</w:t>
      </w:r>
      <w:r w:rsidR="00617A8E" w:rsidRPr="00617A8E">
        <w:t xml:space="preserve"> не е получавал възнаграждения</w:t>
      </w:r>
      <w:r w:rsidR="005D56E4">
        <w:t>.</w:t>
      </w:r>
    </w:p>
    <w:p w:rsidR="005D56E4" w:rsidRPr="00617A8E" w:rsidRDefault="005D56E4" w:rsidP="00890E8C">
      <w:r>
        <w:t>Няма изплатени други възнаграждения на членовете на СД от „Спиди” ЕАД или негови дъщерни дружества.</w:t>
      </w:r>
    </w:p>
    <w:p w:rsidR="00FC3657" w:rsidRPr="00617A8E" w:rsidRDefault="00AA42A2" w:rsidP="000A60D1">
      <w:pPr>
        <w:pStyle w:val="Heading1"/>
        <w:numPr>
          <w:ilvl w:val="2"/>
          <w:numId w:val="11"/>
        </w:numPr>
        <w:ind w:left="709" w:hanging="709"/>
        <w:rPr>
          <w:rFonts w:ascii="Times New Roman" w:hAnsi="Times New Roman"/>
          <w:b w:val="0"/>
          <w:i/>
          <w:sz w:val="24"/>
          <w:szCs w:val="24"/>
        </w:rPr>
      </w:pPr>
      <w:bookmarkStart w:id="123" w:name="_Toc324376950"/>
      <w:bookmarkStart w:id="124" w:name="_Toc324377129"/>
      <w:bookmarkStart w:id="125" w:name="_Toc324380109"/>
      <w:r w:rsidRPr="00617A8E">
        <w:rPr>
          <w:rFonts w:ascii="Times New Roman" w:hAnsi="Times New Roman"/>
          <w:b w:val="0"/>
          <w:i/>
          <w:sz w:val="24"/>
          <w:szCs w:val="24"/>
        </w:rPr>
        <w:t xml:space="preserve">Условни </w:t>
      </w:r>
      <w:r w:rsidR="00FC3657" w:rsidRPr="00617A8E">
        <w:rPr>
          <w:rFonts w:ascii="Times New Roman" w:hAnsi="Times New Roman"/>
          <w:b w:val="0"/>
          <w:i/>
          <w:sz w:val="24"/>
          <w:szCs w:val="24"/>
        </w:rPr>
        <w:t>или разсрочени възнаграждения</w:t>
      </w:r>
      <w:bookmarkEnd w:id="123"/>
      <w:bookmarkEnd w:id="124"/>
      <w:bookmarkEnd w:id="125"/>
    </w:p>
    <w:p w:rsidR="00AA42A2" w:rsidRPr="00617A8E" w:rsidRDefault="00AA42A2" w:rsidP="00AA42A2">
      <w:r w:rsidRPr="00617A8E">
        <w:t>Валери Мектупчиян е получил допълнително възнаграждение от 44 500 лв.</w:t>
      </w:r>
    </w:p>
    <w:p w:rsidR="00AA42A2" w:rsidRPr="00617A8E" w:rsidRDefault="00AA42A2" w:rsidP="00AA42A2">
      <w:r w:rsidRPr="00617A8E">
        <w:t>Георги Глогов</w:t>
      </w:r>
      <w:r w:rsidR="00617A8E" w:rsidRPr="00617A8E">
        <w:t xml:space="preserve"> и </w:t>
      </w:r>
      <w:r w:rsidRPr="00617A8E">
        <w:t>„Омникар – С” ЕООД</w:t>
      </w:r>
      <w:r w:rsidR="00617A8E" w:rsidRPr="00617A8E">
        <w:t xml:space="preserve"> не са получавали допънителни възнаграждения.</w:t>
      </w:r>
    </w:p>
    <w:p w:rsidR="005D56E4" w:rsidRPr="00617A8E" w:rsidRDefault="005D56E4" w:rsidP="005D56E4">
      <w:r>
        <w:t>Няма изплатени други условни или разсрочени възнаграждения на членовете на СД от „Спиди” ЕАД или негови дъщерни дружества.</w:t>
      </w:r>
    </w:p>
    <w:p w:rsidR="00FC3657" w:rsidRPr="00AA42A2" w:rsidRDefault="00AA42A2" w:rsidP="000A60D1">
      <w:pPr>
        <w:pStyle w:val="Heading1"/>
        <w:numPr>
          <w:ilvl w:val="2"/>
          <w:numId w:val="11"/>
        </w:numPr>
        <w:ind w:left="709" w:hanging="709"/>
        <w:rPr>
          <w:rFonts w:ascii="Times New Roman" w:hAnsi="Times New Roman"/>
          <w:b w:val="0"/>
          <w:i/>
          <w:sz w:val="24"/>
          <w:szCs w:val="24"/>
        </w:rPr>
      </w:pPr>
      <w:bookmarkStart w:id="126" w:name="_Toc324376951"/>
      <w:bookmarkStart w:id="127" w:name="_Toc324377130"/>
      <w:bookmarkStart w:id="128" w:name="_Toc324380110"/>
      <w:r w:rsidRPr="00AA42A2">
        <w:rPr>
          <w:rFonts w:ascii="Times New Roman" w:hAnsi="Times New Roman"/>
          <w:b w:val="0"/>
          <w:i/>
          <w:sz w:val="24"/>
          <w:szCs w:val="24"/>
        </w:rPr>
        <w:t>Сума</w:t>
      </w:r>
      <w:r w:rsidR="00FC3657" w:rsidRPr="00AA42A2">
        <w:rPr>
          <w:rFonts w:ascii="Times New Roman" w:hAnsi="Times New Roman"/>
          <w:b w:val="0"/>
          <w:i/>
          <w:sz w:val="24"/>
          <w:szCs w:val="24"/>
        </w:rPr>
        <w:t>, дължима за изплащане на пенсии, компенсации при</w:t>
      </w:r>
      <w:r w:rsidR="00B13C10" w:rsidRPr="00AA42A2">
        <w:rPr>
          <w:rFonts w:ascii="Times New Roman" w:hAnsi="Times New Roman"/>
          <w:b w:val="0"/>
          <w:i/>
          <w:sz w:val="24"/>
          <w:szCs w:val="24"/>
        </w:rPr>
        <w:t xml:space="preserve"> </w:t>
      </w:r>
      <w:r w:rsidR="00FC3657" w:rsidRPr="00AA42A2">
        <w:rPr>
          <w:rFonts w:ascii="Times New Roman" w:hAnsi="Times New Roman"/>
          <w:b w:val="0"/>
          <w:i/>
          <w:sz w:val="24"/>
          <w:szCs w:val="24"/>
        </w:rPr>
        <w:t>пенсиониран</w:t>
      </w:r>
      <w:r>
        <w:rPr>
          <w:rFonts w:ascii="Times New Roman" w:hAnsi="Times New Roman"/>
          <w:b w:val="0"/>
          <w:i/>
          <w:sz w:val="24"/>
          <w:szCs w:val="24"/>
        </w:rPr>
        <w:t>е или други подобни обезщетения.</w:t>
      </w:r>
      <w:bookmarkEnd w:id="126"/>
      <w:bookmarkEnd w:id="127"/>
      <w:bookmarkEnd w:id="128"/>
    </w:p>
    <w:p w:rsidR="00AA42A2" w:rsidRDefault="00AA42A2" w:rsidP="00AA42A2">
      <w:r>
        <w:t>Емитентът или негово дъщерно дружество не дължи компенсации при пенсиониране</w:t>
      </w:r>
      <w:r w:rsidR="00243AE0">
        <w:t>, при предсрочно прекратяване на договорните взаимоотношения</w:t>
      </w:r>
      <w:r>
        <w:t xml:space="preserve"> или </w:t>
      </w:r>
      <w:r w:rsidR="00243AE0">
        <w:t xml:space="preserve">каквито и да били </w:t>
      </w:r>
      <w:r>
        <w:t>други обезщетения.</w:t>
      </w:r>
    </w:p>
    <w:p w:rsidR="00AA42A2" w:rsidRDefault="008A6351" w:rsidP="00AA42A2">
      <w:r w:rsidRPr="008050B7">
        <w:t>След промяна статута на дружеството в публично по смисъла на чл.110 и следв. от ЗППЦК, съгласно чл. 116в., ал.1 от ЗППЦК възнагражденията и тантиемите на всички членове на Съвета на директорите на публично дружество, както и срокът, за който са дължими, задължително ще се определят от общото събрание.</w:t>
      </w:r>
    </w:p>
    <w:p w:rsidR="008A6351" w:rsidRPr="00AA42A2" w:rsidRDefault="008A6351" w:rsidP="00AA42A2"/>
    <w:p w:rsidR="00E102A3" w:rsidRPr="000A60D1" w:rsidRDefault="00AA42A2" w:rsidP="000A60D1">
      <w:pPr>
        <w:pStyle w:val="Heading1"/>
        <w:numPr>
          <w:ilvl w:val="1"/>
          <w:numId w:val="11"/>
        </w:numPr>
        <w:ind w:left="567" w:hanging="567"/>
        <w:rPr>
          <w:rFonts w:ascii="Times New Roman" w:hAnsi="Times New Roman"/>
          <w:b w:val="0"/>
          <w:i/>
          <w:smallCaps/>
          <w:sz w:val="24"/>
          <w:szCs w:val="24"/>
        </w:rPr>
      </w:pPr>
      <w:bookmarkStart w:id="129" w:name="_Toc324376952"/>
      <w:bookmarkStart w:id="130" w:name="_Toc324380111"/>
      <w:r w:rsidRPr="000A60D1">
        <w:rPr>
          <w:rFonts w:ascii="Times New Roman" w:hAnsi="Times New Roman"/>
          <w:b w:val="0"/>
          <w:i/>
          <w:smallCaps/>
          <w:sz w:val="24"/>
          <w:szCs w:val="24"/>
        </w:rPr>
        <w:t xml:space="preserve">Датата </w:t>
      </w:r>
      <w:r w:rsidR="00E102A3" w:rsidRPr="000A60D1">
        <w:rPr>
          <w:rFonts w:ascii="Times New Roman" w:hAnsi="Times New Roman"/>
          <w:b w:val="0"/>
          <w:i/>
          <w:smallCaps/>
          <w:sz w:val="24"/>
          <w:szCs w:val="24"/>
        </w:rPr>
        <w:t>на изтичане на срока на текущите договори с членовете на управителните и на контролните органи, както и периода, през който те са заемали длъжността;</w:t>
      </w:r>
      <w:bookmarkEnd w:id="129"/>
      <w:bookmarkEnd w:id="130"/>
    </w:p>
    <w:p w:rsidR="00F6218F" w:rsidRDefault="00F6218F" w:rsidP="00942CE6"/>
    <w:p w:rsidR="006D67A0" w:rsidRDefault="006D67A0" w:rsidP="006D67A0">
      <w:r>
        <w:t xml:space="preserve">Мандатът на настоящите членове на Съвета на директорите на „Спиди“ </w:t>
      </w:r>
      <w:r w:rsidR="00D33D7C">
        <w:t>Е</w:t>
      </w:r>
      <w:r>
        <w:t xml:space="preserve">АД е </w:t>
      </w:r>
      <w:r w:rsidRPr="006D67A0">
        <w:t>три години</w:t>
      </w:r>
      <w:r>
        <w:t xml:space="preserve">, съгласно Устава на дружеството. </w:t>
      </w:r>
    </w:p>
    <w:p w:rsidR="006D67A0" w:rsidRDefault="006D67A0" w:rsidP="006D67A0">
      <w:r>
        <w:t>Според вписаното в търговския регистър към Агенция по вписванията мандатът на настоящия съвет на директорите изтича на 10.02.2013 г.</w:t>
      </w:r>
      <w:r w:rsidRPr="00AA2578">
        <w:t xml:space="preserve"> </w:t>
      </w:r>
      <w:r>
        <w:t>Всички членове на Съвета на директорите са заемали настоящата длъжност от регистрацията на дружеството на 10.02.2005 г.</w:t>
      </w:r>
    </w:p>
    <w:p w:rsidR="00AA42A2" w:rsidRDefault="006D67A0" w:rsidP="006D67A0">
      <w:r>
        <w:t>Няма предвидени различни мандати за отделните членове.</w:t>
      </w:r>
    </w:p>
    <w:p w:rsidR="008229E1" w:rsidRDefault="006D67A0" w:rsidP="00942CE6">
      <w:r w:rsidRPr="007D1E86">
        <w:t>Договорите за управление с членовете на Съвета на директорите на „</w:t>
      </w:r>
      <w:r>
        <w:t>Спиди“</w:t>
      </w:r>
      <w:r w:rsidRPr="007D1E86">
        <w:t xml:space="preserve"> </w:t>
      </w:r>
      <w:r w:rsidR="00D33D7C">
        <w:t>Е</w:t>
      </w:r>
      <w:r w:rsidRPr="007D1E86">
        <w:t>АД не предвиждат при предсрочно прекратяване изплащането на обезщетения или копенсации в полза на нито една от двете страни по договора</w:t>
      </w:r>
      <w:r>
        <w:t>.</w:t>
      </w:r>
    </w:p>
    <w:p w:rsidR="006D67A0" w:rsidRPr="007D1E86" w:rsidRDefault="006D67A0" w:rsidP="006D67A0">
      <w:r w:rsidRPr="007D1E86">
        <w:t>Дружеството не е избирало одитен комитет или комитет по възнагражденията.</w:t>
      </w:r>
      <w:r w:rsidR="005B0FA8">
        <w:t xml:space="preserve"> Такъв ще бъде избран от емитента след вписването му в регистъра на публичните дружества.</w:t>
      </w:r>
    </w:p>
    <w:p w:rsidR="008229E1" w:rsidRDefault="006D67A0" w:rsidP="00942CE6">
      <w:r w:rsidRPr="007D1E86">
        <w:t>Към настоящия момент, емитентът не е въвел и не прилага правила за добро корпоративно управление. След придобиването на статут на публично дружество съобразно разпоредбите на Закона за публичното предлагане на ценни книжа, Дружеството ще предприеме действия по приемане на програма за прилагане на международно признатите стандарти за добро корпоративно управление, съответстващи на режима за корпоративно управление в страната.</w:t>
      </w:r>
    </w:p>
    <w:p w:rsidR="008229E1" w:rsidRDefault="008229E1" w:rsidP="00942CE6"/>
    <w:p w:rsidR="00FC3657" w:rsidRPr="000A60D1" w:rsidRDefault="008229E1" w:rsidP="000A60D1">
      <w:pPr>
        <w:pStyle w:val="Heading1"/>
        <w:numPr>
          <w:ilvl w:val="1"/>
          <w:numId w:val="11"/>
        </w:numPr>
        <w:ind w:left="567" w:hanging="567"/>
        <w:rPr>
          <w:rFonts w:ascii="Times New Roman" w:hAnsi="Times New Roman"/>
          <w:b w:val="0"/>
          <w:i/>
          <w:smallCaps/>
          <w:sz w:val="24"/>
          <w:szCs w:val="24"/>
        </w:rPr>
      </w:pPr>
      <w:bookmarkStart w:id="131" w:name="_Toc324376953"/>
      <w:bookmarkStart w:id="132" w:name="_Toc324380112"/>
      <w:r w:rsidRPr="000A60D1">
        <w:rPr>
          <w:rFonts w:ascii="Times New Roman" w:hAnsi="Times New Roman"/>
          <w:b w:val="0"/>
          <w:i/>
          <w:smallCaps/>
          <w:sz w:val="24"/>
          <w:szCs w:val="24"/>
        </w:rPr>
        <w:t xml:space="preserve">Информация </w:t>
      </w:r>
      <w:r w:rsidR="00FC3657" w:rsidRPr="000A60D1">
        <w:rPr>
          <w:rFonts w:ascii="Times New Roman" w:hAnsi="Times New Roman"/>
          <w:b w:val="0"/>
          <w:i/>
          <w:smallCaps/>
          <w:sz w:val="24"/>
          <w:szCs w:val="24"/>
        </w:rPr>
        <w:t>за служителите:</w:t>
      </w:r>
      <w:bookmarkEnd w:id="131"/>
      <w:bookmarkEnd w:id="132"/>
    </w:p>
    <w:p w:rsidR="00633051" w:rsidRDefault="00633051" w:rsidP="00D47BCE">
      <w:r>
        <w:t>Служителите на ко</w:t>
      </w:r>
      <w:r w:rsidR="00F6218F">
        <w:t>мпанията са функционално разделе</w:t>
      </w:r>
      <w:r w:rsidR="00F05848">
        <w:t>ни, като в</w:t>
      </w:r>
      <w:r>
        <w:t xml:space="preserve"> „СПИДИ” ЕАД са съсредоточени административния и специализиран персонал</w:t>
      </w:r>
      <w:r w:rsidR="00551C80">
        <w:t xml:space="preserve"> (13% от общия персонал)</w:t>
      </w:r>
      <w:r>
        <w:t xml:space="preserve">, докато в „Спиди” ЕООД </w:t>
      </w:r>
      <w:r w:rsidR="00551C80">
        <w:t>са наети слу</w:t>
      </w:r>
      <w:r w:rsidR="00F05848">
        <w:t>жителите, пряко ангажирани с опе</w:t>
      </w:r>
      <w:r w:rsidR="00551C80">
        <w:t>ративната дейност на компанията – куриери, сортировачи и шофьори (87% от общия персонал).</w:t>
      </w:r>
    </w:p>
    <w:p w:rsidR="00D47BCE" w:rsidRDefault="00D47BCE" w:rsidP="00D47BCE">
      <w:r>
        <w:t>Броят на заетите в „СПИДИ” ЕАД</w:t>
      </w:r>
      <w:r w:rsidR="004902B8">
        <w:t xml:space="preserve"> се изменя минимално през </w:t>
      </w:r>
      <w:r w:rsidR="005931B6">
        <w:t>периода</w:t>
      </w:r>
      <w:r w:rsidR="004902B8">
        <w:t>, въпреки увеличението на извършения обем работа. Това се дължи на проведен</w:t>
      </w:r>
      <w:r w:rsidR="00D33D7C">
        <w:t>а</w:t>
      </w:r>
      <w:r w:rsidR="004902B8">
        <w:t>та програма за оценка на длъжностите и прилаганата в момента програма за моделиране на процесите</w:t>
      </w:r>
      <w:r w:rsidR="005931B6">
        <w:t>, които позволиха да се стандартизират процесите и да се закрият дублиращите се дейности</w:t>
      </w:r>
      <w:r w:rsidR="00AA18C1">
        <w:t xml:space="preserve"> и да се намали числеността на персонала, основно в администрация</w:t>
      </w:r>
      <w:r w:rsidR="00633051">
        <w:t>та. На консолидирана база</w:t>
      </w:r>
      <w:r w:rsidR="00551C80">
        <w:t xml:space="preserve"> броят наети слабо се увеличава, поради необходимостта от допълнително служители за обработ</w:t>
      </w:r>
      <w:r w:rsidR="00D33D7C">
        <w:t>ването на нарастналия обем</w:t>
      </w:r>
      <w:r w:rsidR="00551C80">
        <w:t xml:space="preserve"> пратки.</w:t>
      </w:r>
    </w:p>
    <w:p w:rsidR="00633051" w:rsidRDefault="00633051" w:rsidP="00633051">
      <w:r>
        <w:t>Упр</w:t>
      </w:r>
      <w:r w:rsidR="00F05848">
        <w:t>авлението и мотивацията на персо</w:t>
      </w:r>
      <w:r>
        <w:t>нала е сред основните приоритети в дейността на компанията.</w:t>
      </w:r>
      <w:r w:rsidR="00551C80">
        <w:t xml:space="preserve"> Целта е да се повишава квалификацията и мотивацията на персонала</w:t>
      </w:r>
      <w:r w:rsidR="00FA2BAE">
        <w:t xml:space="preserve"> и сътответно неговата производителност чрез обучение, стимулиране на добрите </w:t>
      </w:r>
      <w:r w:rsidR="0071258F">
        <w:t>практики, възнаграждения обвърза</w:t>
      </w:r>
      <w:r w:rsidR="00FA2BAE">
        <w:t>ни с постигнатите резултати и перспективи за дългосрочно развитие в компанията. Значителен напредък има по отношение намаляването на текучеството, което към момента е сведено до под 15% годишно, в сравнение с близо 40% в предходни периоди.</w:t>
      </w:r>
    </w:p>
    <w:p w:rsidR="0081617A" w:rsidRDefault="0081617A" w:rsidP="0081617A">
      <w:r>
        <w:t>„Трансбалкан”</w:t>
      </w:r>
      <w:r>
        <w:rPr>
          <w:lang w:val="en-US"/>
        </w:rPr>
        <w:t xml:space="preserve"> </w:t>
      </w:r>
      <w:r>
        <w:t>СРЛ няма наети служители.</w:t>
      </w:r>
    </w:p>
    <w:p w:rsidR="004E4B66" w:rsidRPr="004E4B66" w:rsidRDefault="004E4B66" w:rsidP="004E4B66"/>
    <w:p w:rsidR="00932B3D" w:rsidRDefault="004E4B66" w:rsidP="004E4B66">
      <w:pPr>
        <w:pStyle w:val="ListParagraph"/>
        <w:spacing w:after="120"/>
        <w:ind w:left="360"/>
        <w:jc w:val="center"/>
      </w:pPr>
      <w:r>
        <w:rPr>
          <w:i/>
          <w:u w:val="single"/>
        </w:rPr>
        <w:t>Средногодишен брой на заетите лиц</w:t>
      </w:r>
      <w:r w:rsidR="00030ECB">
        <w:rPr>
          <w:i/>
          <w:u w:val="single"/>
        </w:rPr>
        <w:t>а по категории</w:t>
      </w:r>
    </w:p>
    <w:tbl>
      <w:tblPr>
        <w:tblStyle w:val="MediumShading2-Accent11"/>
        <w:tblW w:w="9747" w:type="dxa"/>
        <w:tblInd w:w="108" w:type="dxa"/>
        <w:tblLayout w:type="fixed"/>
        <w:tblLook w:val="04A0"/>
      </w:tblPr>
      <w:tblGrid>
        <w:gridCol w:w="3510"/>
        <w:gridCol w:w="1039"/>
        <w:gridCol w:w="1040"/>
        <w:gridCol w:w="1039"/>
        <w:gridCol w:w="1040"/>
        <w:gridCol w:w="1039"/>
        <w:gridCol w:w="1040"/>
      </w:tblGrid>
      <w:tr w:rsidR="00066E89" w:rsidRPr="00066E89" w:rsidTr="00A52886">
        <w:trPr>
          <w:cnfStyle w:val="100000000000"/>
          <w:trHeight w:val="300"/>
        </w:trPr>
        <w:tc>
          <w:tcPr>
            <w:cnfStyle w:val="001000000100"/>
            <w:tcW w:w="3510" w:type="dxa"/>
            <w:vMerge w:val="restart"/>
            <w:noWrap/>
            <w:vAlign w:val="center"/>
            <w:hideMark/>
          </w:tcPr>
          <w:p w:rsidR="00066E89" w:rsidRPr="00946ECF" w:rsidRDefault="00066E89" w:rsidP="001D2E88">
            <w:pPr>
              <w:autoSpaceDE/>
              <w:autoSpaceDN/>
              <w:adjustRightInd/>
              <w:spacing w:after="0"/>
              <w:ind w:left="-55" w:right="-70"/>
              <w:jc w:val="left"/>
              <w:rPr>
                <w:rFonts w:ascii="Calibri" w:hAnsi="Calibri" w:cs="Calibri"/>
                <w:color w:val="1F497D"/>
                <w:sz w:val="20"/>
                <w:szCs w:val="20"/>
                <w:lang w:eastAsia="bg-BG"/>
              </w:rPr>
            </w:pPr>
            <w:r w:rsidRPr="00066E89">
              <w:rPr>
                <w:rFonts w:ascii="Calibri" w:hAnsi="Calibri" w:cs="Calibri"/>
                <w:color w:val="1F497D"/>
                <w:sz w:val="20"/>
                <w:szCs w:val="20"/>
                <w:lang w:eastAsia="bg-BG"/>
              </w:rPr>
              <w:t> </w:t>
            </w:r>
          </w:p>
          <w:p w:rsidR="00066E89" w:rsidRPr="00066E89" w:rsidRDefault="00066E89" w:rsidP="001D2E88">
            <w:pPr>
              <w:ind w:left="-55" w:right="-70"/>
              <w:jc w:val="left"/>
              <w:rPr>
                <w:rFonts w:ascii="Calibri" w:hAnsi="Calibri" w:cs="Calibri"/>
                <w:color w:val="1F497D"/>
                <w:sz w:val="20"/>
                <w:szCs w:val="20"/>
                <w:lang w:eastAsia="bg-BG"/>
              </w:rPr>
            </w:pPr>
            <w:r w:rsidRPr="00066E89">
              <w:rPr>
                <w:rFonts w:ascii="Calibri" w:hAnsi="Calibri" w:cs="Calibri"/>
                <w:color w:val="1F497D"/>
                <w:sz w:val="20"/>
                <w:szCs w:val="20"/>
                <w:lang w:eastAsia="bg-BG"/>
              </w:rPr>
              <w:t> </w:t>
            </w:r>
          </w:p>
        </w:tc>
        <w:tc>
          <w:tcPr>
            <w:tcW w:w="1039" w:type="dxa"/>
            <w:noWrap/>
            <w:vAlign w:val="center"/>
            <w:hideMark/>
          </w:tcPr>
          <w:p w:rsidR="00066E89" w:rsidRPr="00066E89" w:rsidRDefault="00066E89" w:rsidP="001D2E88">
            <w:pPr>
              <w:autoSpaceDE/>
              <w:autoSpaceDN/>
              <w:adjustRightInd/>
              <w:spacing w:after="0"/>
              <w:jc w:val="center"/>
              <w:cnfStyle w:val="100000000000"/>
              <w:rPr>
                <w:rFonts w:ascii="Calibri" w:hAnsi="Calibri" w:cs="Calibri"/>
                <w:sz w:val="22"/>
                <w:szCs w:val="22"/>
                <w:lang w:eastAsia="bg-BG"/>
              </w:rPr>
            </w:pPr>
            <w:r w:rsidRPr="00066E89">
              <w:rPr>
                <w:rFonts w:ascii="Calibri" w:hAnsi="Calibri" w:cs="Calibri"/>
                <w:sz w:val="22"/>
                <w:szCs w:val="22"/>
                <w:lang w:eastAsia="bg-BG"/>
              </w:rPr>
              <w:t>2009</w:t>
            </w:r>
          </w:p>
        </w:tc>
        <w:tc>
          <w:tcPr>
            <w:tcW w:w="1040" w:type="dxa"/>
            <w:noWrap/>
            <w:vAlign w:val="center"/>
            <w:hideMark/>
          </w:tcPr>
          <w:p w:rsidR="00066E89" w:rsidRPr="00066E89" w:rsidRDefault="00066E89" w:rsidP="001D2E88">
            <w:pPr>
              <w:autoSpaceDE/>
              <w:autoSpaceDN/>
              <w:adjustRightInd/>
              <w:spacing w:after="0"/>
              <w:jc w:val="center"/>
              <w:cnfStyle w:val="100000000000"/>
              <w:rPr>
                <w:rFonts w:ascii="Calibri" w:hAnsi="Calibri" w:cs="Calibri"/>
                <w:sz w:val="22"/>
                <w:szCs w:val="22"/>
                <w:lang w:eastAsia="bg-BG"/>
              </w:rPr>
            </w:pPr>
            <w:r w:rsidRPr="00066E89">
              <w:rPr>
                <w:rFonts w:ascii="Calibri" w:hAnsi="Calibri" w:cs="Calibri"/>
                <w:sz w:val="22"/>
                <w:szCs w:val="22"/>
                <w:lang w:eastAsia="bg-BG"/>
              </w:rPr>
              <w:t>2010</w:t>
            </w:r>
          </w:p>
        </w:tc>
        <w:tc>
          <w:tcPr>
            <w:tcW w:w="2079" w:type="dxa"/>
            <w:gridSpan w:val="2"/>
            <w:noWrap/>
            <w:vAlign w:val="center"/>
            <w:hideMark/>
          </w:tcPr>
          <w:p w:rsidR="00066E89" w:rsidRPr="00066E89" w:rsidRDefault="00066E89" w:rsidP="001D2E88">
            <w:pPr>
              <w:autoSpaceDE/>
              <w:autoSpaceDN/>
              <w:adjustRightInd/>
              <w:spacing w:after="0"/>
              <w:jc w:val="center"/>
              <w:cnfStyle w:val="100000000000"/>
              <w:rPr>
                <w:rFonts w:ascii="Calibri" w:hAnsi="Calibri" w:cs="Calibri"/>
                <w:sz w:val="22"/>
                <w:szCs w:val="22"/>
                <w:lang w:eastAsia="bg-BG"/>
              </w:rPr>
            </w:pPr>
            <w:r w:rsidRPr="00066E89">
              <w:rPr>
                <w:rFonts w:ascii="Calibri" w:hAnsi="Calibri" w:cs="Calibri"/>
                <w:sz w:val="22"/>
                <w:szCs w:val="22"/>
                <w:lang w:eastAsia="bg-BG"/>
              </w:rPr>
              <w:t>2011</w:t>
            </w:r>
          </w:p>
        </w:tc>
        <w:tc>
          <w:tcPr>
            <w:tcW w:w="2079" w:type="dxa"/>
            <w:gridSpan w:val="2"/>
            <w:noWrap/>
            <w:vAlign w:val="center"/>
            <w:hideMark/>
          </w:tcPr>
          <w:p w:rsidR="00066E89" w:rsidRPr="00066E89" w:rsidRDefault="000E1572" w:rsidP="001D2E88">
            <w:pPr>
              <w:autoSpaceDE/>
              <w:autoSpaceDN/>
              <w:adjustRightInd/>
              <w:spacing w:after="0"/>
              <w:jc w:val="center"/>
              <w:cnfStyle w:val="100000000000"/>
              <w:rPr>
                <w:rFonts w:ascii="Calibri" w:hAnsi="Calibri" w:cs="Calibri"/>
                <w:sz w:val="22"/>
                <w:szCs w:val="22"/>
                <w:lang w:eastAsia="bg-BG"/>
              </w:rPr>
            </w:pPr>
            <w:r>
              <w:rPr>
                <w:rFonts w:ascii="Calibri" w:hAnsi="Calibri" w:cs="Calibri"/>
                <w:sz w:val="22"/>
                <w:szCs w:val="22"/>
                <w:lang w:eastAsia="bg-BG"/>
              </w:rPr>
              <w:t>21.05.12</w:t>
            </w:r>
          </w:p>
        </w:tc>
      </w:tr>
      <w:tr w:rsidR="00066E89" w:rsidRPr="00066E89" w:rsidTr="00A52886">
        <w:trPr>
          <w:cnfStyle w:val="000000100000"/>
          <w:trHeight w:val="300"/>
        </w:trPr>
        <w:tc>
          <w:tcPr>
            <w:cnfStyle w:val="001000000000"/>
            <w:tcW w:w="3510" w:type="dxa"/>
            <w:vMerge/>
            <w:noWrap/>
            <w:vAlign w:val="center"/>
            <w:hideMark/>
          </w:tcPr>
          <w:p w:rsidR="00066E89" w:rsidRPr="00066E89" w:rsidRDefault="00066E89" w:rsidP="001D2E88">
            <w:pPr>
              <w:autoSpaceDE/>
              <w:autoSpaceDN/>
              <w:adjustRightInd/>
              <w:spacing w:after="0"/>
              <w:ind w:left="-55" w:right="-70"/>
              <w:jc w:val="left"/>
              <w:rPr>
                <w:rFonts w:ascii="Calibri" w:hAnsi="Calibri" w:cs="Calibri"/>
                <w:color w:val="1F497D"/>
                <w:sz w:val="20"/>
                <w:szCs w:val="20"/>
                <w:lang w:eastAsia="bg-BG"/>
              </w:rPr>
            </w:pPr>
          </w:p>
        </w:tc>
        <w:tc>
          <w:tcPr>
            <w:tcW w:w="1039" w:type="dxa"/>
            <w:noWrap/>
            <w:vAlign w:val="center"/>
            <w:hideMark/>
          </w:tcPr>
          <w:p w:rsidR="00066E89" w:rsidRPr="00932B3D" w:rsidRDefault="00066E89" w:rsidP="001D2E88">
            <w:pPr>
              <w:autoSpaceDE/>
              <w:autoSpaceDN/>
              <w:adjustRightInd/>
              <w:spacing w:after="0"/>
              <w:ind w:left="-70" w:right="-47"/>
              <w:jc w:val="center"/>
              <w:cnfStyle w:val="000000100000"/>
              <w:rPr>
                <w:rFonts w:ascii="Calibri" w:hAnsi="Calibri" w:cs="Calibri"/>
                <w:sz w:val="22"/>
                <w:szCs w:val="22"/>
                <w:lang w:eastAsia="bg-BG"/>
              </w:rPr>
            </w:pPr>
            <w:r>
              <w:rPr>
                <w:rFonts w:ascii="Calibri" w:hAnsi="Calibri" w:cs="Calibri"/>
                <w:sz w:val="22"/>
                <w:szCs w:val="22"/>
                <w:lang w:eastAsia="bg-BG"/>
              </w:rPr>
              <w:t>Спиди ЕАД</w:t>
            </w:r>
          </w:p>
        </w:tc>
        <w:tc>
          <w:tcPr>
            <w:tcW w:w="1040" w:type="dxa"/>
            <w:noWrap/>
            <w:vAlign w:val="center"/>
            <w:hideMark/>
          </w:tcPr>
          <w:p w:rsidR="00066E89" w:rsidRPr="00932B3D" w:rsidRDefault="00066E89" w:rsidP="001D2E88">
            <w:pPr>
              <w:autoSpaceDE/>
              <w:autoSpaceDN/>
              <w:adjustRightInd/>
              <w:spacing w:after="0"/>
              <w:jc w:val="center"/>
              <w:cnfStyle w:val="000000100000"/>
              <w:rPr>
                <w:rFonts w:ascii="Calibri" w:hAnsi="Calibri" w:cs="Calibri"/>
                <w:sz w:val="22"/>
                <w:szCs w:val="22"/>
                <w:lang w:eastAsia="bg-BG"/>
              </w:rPr>
            </w:pPr>
            <w:r>
              <w:rPr>
                <w:rFonts w:ascii="Calibri" w:hAnsi="Calibri" w:cs="Calibri"/>
                <w:sz w:val="22"/>
                <w:szCs w:val="22"/>
                <w:lang w:eastAsia="bg-BG"/>
              </w:rPr>
              <w:t>Спиди ЕАД</w:t>
            </w:r>
          </w:p>
        </w:tc>
        <w:tc>
          <w:tcPr>
            <w:tcW w:w="1039" w:type="dxa"/>
            <w:noWrap/>
            <w:vAlign w:val="center"/>
            <w:hideMark/>
          </w:tcPr>
          <w:p w:rsidR="00066E89" w:rsidRPr="00932B3D" w:rsidRDefault="00066E89" w:rsidP="001D2E88">
            <w:pPr>
              <w:autoSpaceDE/>
              <w:autoSpaceDN/>
              <w:adjustRightInd/>
              <w:spacing w:after="0"/>
              <w:jc w:val="center"/>
              <w:cnfStyle w:val="000000100000"/>
              <w:rPr>
                <w:rFonts w:ascii="Calibri" w:hAnsi="Calibri" w:cs="Calibri"/>
                <w:sz w:val="22"/>
                <w:szCs w:val="22"/>
                <w:lang w:eastAsia="bg-BG"/>
              </w:rPr>
            </w:pPr>
            <w:r>
              <w:rPr>
                <w:rFonts w:ascii="Calibri" w:hAnsi="Calibri" w:cs="Calibri"/>
                <w:sz w:val="22"/>
                <w:szCs w:val="22"/>
                <w:lang w:eastAsia="bg-BG"/>
              </w:rPr>
              <w:t>Спиди ЕООД</w:t>
            </w:r>
          </w:p>
        </w:tc>
        <w:tc>
          <w:tcPr>
            <w:tcW w:w="1040" w:type="dxa"/>
            <w:noWrap/>
            <w:vAlign w:val="center"/>
            <w:hideMark/>
          </w:tcPr>
          <w:p w:rsidR="00066E89" w:rsidRPr="00932B3D" w:rsidRDefault="00066E89" w:rsidP="001D2E88">
            <w:pPr>
              <w:autoSpaceDE/>
              <w:autoSpaceDN/>
              <w:adjustRightInd/>
              <w:spacing w:after="0"/>
              <w:jc w:val="center"/>
              <w:cnfStyle w:val="000000100000"/>
              <w:rPr>
                <w:rFonts w:ascii="Calibri" w:hAnsi="Calibri" w:cs="Calibri"/>
                <w:sz w:val="22"/>
                <w:szCs w:val="22"/>
                <w:lang w:eastAsia="bg-BG"/>
              </w:rPr>
            </w:pPr>
            <w:r>
              <w:rPr>
                <w:rFonts w:ascii="Calibri" w:hAnsi="Calibri" w:cs="Calibri"/>
                <w:sz w:val="22"/>
                <w:szCs w:val="22"/>
                <w:lang w:eastAsia="bg-BG"/>
              </w:rPr>
              <w:t>Спиди ЕАД</w:t>
            </w:r>
          </w:p>
        </w:tc>
        <w:tc>
          <w:tcPr>
            <w:tcW w:w="1039" w:type="dxa"/>
            <w:noWrap/>
            <w:vAlign w:val="center"/>
            <w:hideMark/>
          </w:tcPr>
          <w:p w:rsidR="00066E89" w:rsidRPr="00932B3D" w:rsidRDefault="00066E89" w:rsidP="001D2E88">
            <w:pPr>
              <w:autoSpaceDE/>
              <w:autoSpaceDN/>
              <w:adjustRightInd/>
              <w:spacing w:after="0"/>
              <w:jc w:val="center"/>
              <w:cnfStyle w:val="000000100000"/>
              <w:rPr>
                <w:rFonts w:ascii="Calibri" w:hAnsi="Calibri" w:cs="Calibri"/>
                <w:sz w:val="22"/>
                <w:szCs w:val="22"/>
                <w:lang w:eastAsia="bg-BG"/>
              </w:rPr>
            </w:pPr>
            <w:r>
              <w:rPr>
                <w:rFonts w:ascii="Calibri" w:hAnsi="Calibri" w:cs="Calibri"/>
                <w:sz w:val="22"/>
                <w:szCs w:val="22"/>
                <w:lang w:eastAsia="bg-BG"/>
              </w:rPr>
              <w:t>Спиди ЕООД</w:t>
            </w:r>
          </w:p>
        </w:tc>
        <w:tc>
          <w:tcPr>
            <w:tcW w:w="1040" w:type="dxa"/>
            <w:noWrap/>
            <w:vAlign w:val="center"/>
            <w:hideMark/>
          </w:tcPr>
          <w:p w:rsidR="00066E89" w:rsidRPr="00932B3D" w:rsidRDefault="00066E89" w:rsidP="001D2E88">
            <w:pPr>
              <w:autoSpaceDE/>
              <w:autoSpaceDN/>
              <w:adjustRightInd/>
              <w:spacing w:after="0"/>
              <w:jc w:val="center"/>
              <w:cnfStyle w:val="000000100000"/>
              <w:rPr>
                <w:rFonts w:ascii="Calibri" w:hAnsi="Calibri" w:cs="Calibri"/>
                <w:sz w:val="22"/>
                <w:szCs w:val="22"/>
                <w:lang w:eastAsia="bg-BG"/>
              </w:rPr>
            </w:pPr>
            <w:r>
              <w:rPr>
                <w:rFonts w:ascii="Calibri" w:hAnsi="Calibri" w:cs="Calibri"/>
                <w:sz w:val="22"/>
                <w:szCs w:val="22"/>
                <w:lang w:eastAsia="bg-BG"/>
              </w:rPr>
              <w:t>Спиди ЕАД</w:t>
            </w:r>
          </w:p>
        </w:tc>
      </w:tr>
      <w:tr w:rsidR="00030ECB" w:rsidRPr="00066E89" w:rsidTr="00A52886">
        <w:trPr>
          <w:trHeight w:val="300"/>
        </w:trPr>
        <w:tc>
          <w:tcPr>
            <w:cnfStyle w:val="001000000000"/>
            <w:tcW w:w="3510" w:type="dxa"/>
            <w:vAlign w:val="center"/>
            <w:hideMark/>
          </w:tcPr>
          <w:p w:rsidR="00030ECB" w:rsidRPr="00066E89" w:rsidRDefault="00030ECB" w:rsidP="003D3056">
            <w:pPr>
              <w:autoSpaceDE/>
              <w:autoSpaceDN/>
              <w:adjustRightInd/>
              <w:spacing w:beforeLines="20" w:afterLines="20"/>
              <w:jc w:val="left"/>
              <w:rPr>
                <w:rFonts w:ascii="Calibri" w:hAnsi="Calibri" w:cs="Calibri"/>
                <w:sz w:val="20"/>
                <w:szCs w:val="20"/>
                <w:lang w:eastAsia="bg-BG"/>
              </w:rPr>
            </w:pPr>
            <w:r w:rsidRPr="00066E89">
              <w:rPr>
                <w:rFonts w:ascii="Calibri" w:hAnsi="Calibri" w:cs="Calibri"/>
                <w:sz w:val="20"/>
                <w:szCs w:val="20"/>
                <w:lang w:eastAsia="bg-BG"/>
              </w:rPr>
              <w:t>Ръководители</w:t>
            </w:r>
          </w:p>
        </w:tc>
        <w:tc>
          <w:tcPr>
            <w:tcW w:w="1039"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11</w:t>
            </w:r>
          </w:p>
        </w:tc>
        <w:tc>
          <w:tcPr>
            <w:tcW w:w="1040"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10</w:t>
            </w:r>
          </w:p>
        </w:tc>
        <w:tc>
          <w:tcPr>
            <w:tcW w:w="1039"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5</w:t>
            </w:r>
          </w:p>
        </w:tc>
        <w:tc>
          <w:tcPr>
            <w:tcW w:w="1040"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17</w:t>
            </w:r>
          </w:p>
        </w:tc>
        <w:tc>
          <w:tcPr>
            <w:tcW w:w="1039" w:type="dxa"/>
            <w:vAlign w:val="center"/>
            <w:hideMark/>
          </w:tcPr>
          <w:p w:rsidR="00030ECB" w:rsidRPr="00030ECB" w:rsidRDefault="00030ECB" w:rsidP="00030ECB">
            <w:pPr>
              <w:autoSpaceDE/>
              <w:autoSpaceDN/>
              <w:adjustRightInd/>
              <w:spacing w:after="0"/>
              <w:jc w:val="right"/>
              <w:cnfStyle w:val="000000000000"/>
              <w:rPr>
                <w:rFonts w:ascii="Calibri" w:hAnsi="Calibri" w:cs="Calibri"/>
                <w:color w:val="000000"/>
                <w:sz w:val="22"/>
                <w:szCs w:val="22"/>
                <w:lang w:eastAsia="bg-BG"/>
              </w:rPr>
            </w:pPr>
            <w:r w:rsidRPr="00030ECB">
              <w:rPr>
                <w:rFonts w:ascii="Calibri" w:hAnsi="Calibri" w:cs="Calibri"/>
                <w:color w:val="000000"/>
                <w:sz w:val="22"/>
                <w:szCs w:val="22"/>
                <w:lang w:eastAsia="bg-BG"/>
              </w:rPr>
              <w:t>1</w:t>
            </w:r>
          </w:p>
        </w:tc>
        <w:tc>
          <w:tcPr>
            <w:tcW w:w="1040" w:type="dxa"/>
            <w:vAlign w:val="center"/>
            <w:hideMark/>
          </w:tcPr>
          <w:p w:rsidR="00030ECB" w:rsidRPr="00030ECB" w:rsidRDefault="00030ECB" w:rsidP="00030ECB">
            <w:pPr>
              <w:autoSpaceDE/>
              <w:autoSpaceDN/>
              <w:adjustRightInd/>
              <w:spacing w:after="0"/>
              <w:jc w:val="right"/>
              <w:cnfStyle w:val="000000000000"/>
              <w:rPr>
                <w:rFonts w:ascii="Calibri" w:hAnsi="Calibri" w:cs="Calibri"/>
                <w:color w:val="000000"/>
                <w:sz w:val="22"/>
                <w:szCs w:val="22"/>
                <w:lang w:eastAsia="bg-BG"/>
              </w:rPr>
            </w:pPr>
            <w:r w:rsidRPr="00030ECB">
              <w:rPr>
                <w:rFonts w:ascii="Calibri" w:hAnsi="Calibri" w:cs="Calibri"/>
                <w:color w:val="000000"/>
                <w:sz w:val="22"/>
                <w:szCs w:val="22"/>
                <w:lang w:eastAsia="bg-BG"/>
              </w:rPr>
              <w:t>22</w:t>
            </w:r>
          </w:p>
        </w:tc>
      </w:tr>
      <w:tr w:rsidR="00030ECB" w:rsidRPr="00066E89" w:rsidTr="00A52886">
        <w:trPr>
          <w:cnfStyle w:val="000000100000"/>
          <w:trHeight w:val="300"/>
        </w:trPr>
        <w:tc>
          <w:tcPr>
            <w:cnfStyle w:val="001000000000"/>
            <w:tcW w:w="3510" w:type="dxa"/>
            <w:vAlign w:val="center"/>
            <w:hideMark/>
          </w:tcPr>
          <w:p w:rsidR="00030ECB" w:rsidRPr="00066E89" w:rsidRDefault="00030ECB" w:rsidP="003D3056">
            <w:pPr>
              <w:autoSpaceDE/>
              <w:autoSpaceDN/>
              <w:adjustRightInd/>
              <w:spacing w:beforeLines="20" w:afterLines="20"/>
              <w:jc w:val="left"/>
              <w:rPr>
                <w:rFonts w:ascii="Calibri" w:hAnsi="Calibri" w:cs="Calibri"/>
                <w:sz w:val="20"/>
                <w:szCs w:val="20"/>
                <w:lang w:eastAsia="bg-BG"/>
              </w:rPr>
            </w:pPr>
            <w:r w:rsidRPr="00066E89">
              <w:rPr>
                <w:rFonts w:ascii="Calibri" w:hAnsi="Calibri" w:cs="Calibri"/>
                <w:sz w:val="20"/>
                <w:szCs w:val="20"/>
                <w:lang w:eastAsia="bg-BG"/>
              </w:rPr>
              <w:t>Специалисти</w:t>
            </w:r>
          </w:p>
        </w:tc>
        <w:tc>
          <w:tcPr>
            <w:tcW w:w="1039"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46</w:t>
            </w:r>
          </w:p>
        </w:tc>
        <w:tc>
          <w:tcPr>
            <w:tcW w:w="1040"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44</w:t>
            </w:r>
          </w:p>
        </w:tc>
        <w:tc>
          <w:tcPr>
            <w:tcW w:w="1039"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8</w:t>
            </w:r>
          </w:p>
        </w:tc>
        <w:tc>
          <w:tcPr>
            <w:tcW w:w="1040"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37</w:t>
            </w:r>
          </w:p>
        </w:tc>
        <w:tc>
          <w:tcPr>
            <w:tcW w:w="1039" w:type="dxa"/>
            <w:vAlign w:val="center"/>
            <w:hideMark/>
          </w:tcPr>
          <w:p w:rsidR="00030ECB" w:rsidRPr="00030ECB" w:rsidRDefault="00030ECB" w:rsidP="00030ECB">
            <w:pPr>
              <w:autoSpaceDE/>
              <w:autoSpaceDN/>
              <w:adjustRightInd/>
              <w:spacing w:after="0"/>
              <w:jc w:val="right"/>
              <w:cnfStyle w:val="000000100000"/>
              <w:rPr>
                <w:rFonts w:ascii="Calibri" w:hAnsi="Calibri" w:cs="Calibri"/>
                <w:color w:val="000000"/>
                <w:sz w:val="22"/>
                <w:szCs w:val="22"/>
                <w:lang w:eastAsia="bg-BG"/>
              </w:rPr>
            </w:pPr>
            <w:r w:rsidRPr="00030ECB">
              <w:rPr>
                <w:rFonts w:ascii="Calibri" w:hAnsi="Calibri" w:cs="Calibri"/>
                <w:color w:val="000000"/>
                <w:sz w:val="22"/>
                <w:szCs w:val="22"/>
                <w:lang w:eastAsia="bg-BG"/>
              </w:rPr>
              <w:t>3</w:t>
            </w:r>
          </w:p>
        </w:tc>
        <w:tc>
          <w:tcPr>
            <w:tcW w:w="1040" w:type="dxa"/>
            <w:vAlign w:val="center"/>
            <w:hideMark/>
          </w:tcPr>
          <w:p w:rsidR="00030ECB" w:rsidRPr="00030ECB" w:rsidRDefault="00030ECB" w:rsidP="00030ECB">
            <w:pPr>
              <w:autoSpaceDE/>
              <w:autoSpaceDN/>
              <w:adjustRightInd/>
              <w:spacing w:after="0"/>
              <w:jc w:val="right"/>
              <w:cnfStyle w:val="000000100000"/>
              <w:rPr>
                <w:rFonts w:ascii="Calibri" w:hAnsi="Calibri" w:cs="Calibri"/>
                <w:color w:val="000000"/>
                <w:sz w:val="22"/>
                <w:szCs w:val="22"/>
                <w:lang w:eastAsia="bg-BG"/>
              </w:rPr>
            </w:pPr>
            <w:r w:rsidRPr="00030ECB">
              <w:rPr>
                <w:rFonts w:ascii="Calibri" w:hAnsi="Calibri" w:cs="Calibri"/>
                <w:color w:val="000000"/>
                <w:sz w:val="22"/>
                <w:szCs w:val="22"/>
                <w:lang w:eastAsia="bg-BG"/>
              </w:rPr>
              <w:t>34</w:t>
            </w:r>
          </w:p>
        </w:tc>
      </w:tr>
      <w:tr w:rsidR="00030ECB" w:rsidRPr="00066E89" w:rsidTr="00A52886">
        <w:trPr>
          <w:trHeight w:val="300"/>
        </w:trPr>
        <w:tc>
          <w:tcPr>
            <w:cnfStyle w:val="001000000000"/>
            <w:tcW w:w="3510" w:type="dxa"/>
            <w:vAlign w:val="center"/>
            <w:hideMark/>
          </w:tcPr>
          <w:p w:rsidR="00030ECB" w:rsidRPr="00066E89" w:rsidRDefault="00030ECB" w:rsidP="003D3056">
            <w:pPr>
              <w:autoSpaceDE/>
              <w:autoSpaceDN/>
              <w:adjustRightInd/>
              <w:spacing w:beforeLines="20" w:afterLines="20"/>
              <w:jc w:val="left"/>
              <w:rPr>
                <w:rFonts w:ascii="Calibri" w:hAnsi="Calibri" w:cs="Calibri"/>
                <w:sz w:val="20"/>
                <w:szCs w:val="20"/>
                <w:lang w:eastAsia="bg-BG"/>
              </w:rPr>
            </w:pPr>
            <w:r w:rsidRPr="00066E89">
              <w:rPr>
                <w:rFonts w:ascii="Calibri" w:hAnsi="Calibri" w:cs="Calibri"/>
                <w:sz w:val="20"/>
                <w:szCs w:val="20"/>
                <w:lang w:eastAsia="bg-BG"/>
              </w:rPr>
              <w:t>Техници и приложни специалисти</w:t>
            </w:r>
          </w:p>
        </w:tc>
        <w:tc>
          <w:tcPr>
            <w:tcW w:w="1039"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37</w:t>
            </w:r>
          </w:p>
        </w:tc>
        <w:tc>
          <w:tcPr>
            <w:tcW w:w="1040"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37</w:t>
            </w:r>
          </w:p>
        </w:tc>
        <w:tc>
          <w:tcPr>
            <w:tcW w:w="1039"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24</w:t>
            </w:r>
          </w:p>
        </w:tc>
        <w:tc>
          <w:tcPr>
            <w:tcW w:w="1040"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37</w:t>
            </w:r>
          </w:p>
        </w:tc>
        <w:tc>
          <w:tcPr>
            <w:tcW w:w="1039" w:type="dxa"/>
            <w:vAlign w:val="center"/>
            <w:hideMark/>
          </w:tcPr>
          <w:p w:rsidR="00030ECB" w:rsidRPr="00030ECB" w:rsidRDefault="00030ECB" w:rsidP="00030ECB">
            <w:pPr>
              <w:autoSpaceDE/>
              <w:autoSpaceDN/>
              <w:adjustRightInd/>
              <w:spacing w:after="0"/>
              <w:jc w:val="right"/>
              <w:cnfStyle w:val="000000000000"/>
              <w:rPr>
                <w:rFonts w:ascii="Calibri" w:hAnsi="Calibri" w:cs="Calibri"/>
                <w:color w:val="000000"/>
                <w:sz w:val="22"/>
                <w:szCs w:val="22"/>
                <w:lang w:eastAsia="bg-BG"/>
              </w:rPr>
            </w:pPr>
            <w:r w:rsidRPr="00030ECB">
              <w:rPr>
                <w:rFonts w:ascii="Calibri" w:hAnsi="Calibri" w:cs="Calibri"/>
                <w:color w:val="000000"/>
                <w:sz w:val="22"/>
                <w:szCs w:val="22"/>
                <w:lang w:eastAsia="bg-BG"/>
              </w:rPr>
              <w:t>7</w:t>
            </w:r>
          </w:p>
        </w:tc>
        <w:tc>
          <w:tcPr>
            <w:tcW w:w="1040" w:type="dxa"/>
            <w:vAlign w:val="center"/>
            <w:hideMark/>
          </w:tcPr>
          <w:p w:rsidR="00030ECB" w:rsidRPr="00030ECB" w:rsidRDefault="00030ECB" w:rsidP="00030ECB">
            <w:pPr>
              <w:autoSpaceDE/>
              <w:autoSpaceDN/>
              <w:adjustRightInd/>
              <w:spacing w:after="0"/>
              <w:jc w:val="right"/>
              <w:cnfStyle w:val="000000000000"/>
              <w:rPr>
                <w:rFonts w:ascii="Calibri" w:hAnsi="Calibri" w:cs="Calibri"/>
                <w:color w:val="000000"/>
                <w:sz w:val="22"/>
                <w:szCs w:val="22"/>
                <w:lang w:eastAsia="bg-BG"/>
              </w:rPr>
            </w:pPr>
            <w:r w:rsidRPr="00030ECB">
              <w:rPr>
                <w:rFonts w:ascii="Calibri" w:hAnsi="Calibri" w:cs="Calibri"/>
                <w:color w:val="000000"/>
                <w:sz w:val="22"/>
                <w:szCs w:val="22"/>
                <w:lang w:eastAsia="bg-BG"/>
              </w:rPr>
              <w:t>68</w:t>
            </w:r>
          </w:p>
        </w:tc>
      </w:tr>
      <w:tr w:rsidR="00030ECB" w:rsidRPr="00066E89" w:rsidTr="00A52886">
        <w:trPr>
          <w:cnfStyle w:val="000000100000"/>
          <w:trHeight w:val="300"/>
        </w:trPr>
        <w:tc>
          <w:tcPr>
            <w:cnfStyle w:val="001000000000"/>
            <w:tcW w:w="3510" w:type="dxa"/>
            <w:vAlign w:val="center"/>
            <w:hideMark/>
          </w:tcPr>
          <w:p w:rsidR="00030ECB" w:rsidRPr="00066E89" w:rsidRDefault="00030ECB" w:rsidP="003D3056">
            <w:pPr>
              <w:autoSpaceDE/>
              <w:autoSpaceDN/>
              <w:adjustRightInd/>
              <w:spacing w:beforeLines="20" w:afterLines="20"/>
              <w:jc w:val="left"/>
              <w:rPr>
                <w:rFonts w:ascii="Calibri" w:hAnsi="Calibri" w:cs="Calibri"/>
                <w:sz w:val="20"/>
                <w:szCs w:val="20"/>
                <w:lang w:eastAsia="bg-BG"/>
              </w:rPr>
            </w:pPr>
            <w:r w:rsidRPr="00946ECF">
              <w:rPr>
                <w:rFonts w:ascii="Calibri" w:hAnsi="Calibri" w:cs="Calibri"/>
                <w:sz w:val="20"/>
                <w:szCs w:val="20"/>
                <w:lang w:eastAsia="bg-BG"/>
              </w:rPr>
              <w:t>Помощен адм.</w:t>
            </w:r>
            <w:r w:rsidRPr="00066E89">
              <w:rPr>
                <w:rFonts w:ascii="Calibri" w:hAnsi="Calibri" w:cs="Calibri"/>
                <w:sz w:val="20"/>
                <w:szCs w:val="20"/>
                <w:lang w:eastAsia="bg-BG"/>
              </w:rPr>
              <w:t xml:space="preserve"> персонал</w:t>
            </w:r>
          </w:p>
        </w:tc>
        <w:tc>
          <w:tcPr>
            <w:tcW w:w="1039"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39</w:t>
            </w:r>
          </w:p>
        </w:tc>
        <w:tc>
          <w:tcPr>
            <w:tcW w:w="1040"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36</w:t>
            </w:r>
          </w:p>
        </w:tc>
        <w:tc>
          <w:tcPr>
            <w:tcW w:w="1039"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58</w:t>
            </w:r>
          </w:p>
        </w:tc>
        <w:tc>
          <w:tcPr>
            <w:tcW w:w="1040"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27</w:t>
            </w:r>
          </w:p>
        </w:tc>
        <w:tc>
          <w:tcPr>
            <w:tcW w:w="1039" w:type="dxa"/>
            <w:vAlign w:val="center"/>
            <w:hideMark/>
          </w:tcPr>
          <w:p w:rsidR="00030ECB" w:rsidRPr="00030ECB" w:rsidRDefault="00030ECB" w:rsidP="00030ECB">
            <w:pPr>
              <w:autoSpaceDE/>
              <w:autoSpaceDN/>
              <w:adjustRightInd/>
              <w:spacing w:after="0"/>
              <w:jc w:val="right"/>
              <w:cnfStyle w:val="000000100000"/>
              <w:rPr>
                <w:rFonts w:ascii="Calibri" w:hAnsi="Calibri" w:cs="Calibri"/>
                <w:color w:val="000000"/>
                <w:sz w:val="22"/>
                <w:szCs w:val="22"/>
                <w:lang w:eastAsia="bg-BG"/>
              </w:rPr>
            </w:pPr>
            <w:r w:rsidRPr="00030ECB">
              <w:rPr>
                <w:rFonts w:ascii="Calibri" w:hAnsi="Calibri" w:cs="Calibri"/>
                <w:color w:val="000000"/>
                <w:sz w:val="22"/>
                <w:szCs w:val="22"/>
                <w:lang w:eastAsia="bg-BG"/>
              </w:rPr>
              <w:t>49</w:t>
            </w:r>
          </w:p>
        </w:tc>
        <w:tc>
          <w:tcPr>
            <w:tcW w:w="1040" w:type="dxa"/>
            <w:vAlign w:val="center"/>
            <w:hideMark/>
          </w:tcPr>
          <w:p w:rsidR="00030ECB" w:rsidRPr="00030ECB" w:rsidRDefault="00030ECB" w:rsidP="00030ECB">
            <w:pPr>
              <w:autoSpaceDE/>
              <w:autoSpaceDN/>
              <w:adjustRightInd/>
              <w:spacing w:after="0"/>
              <w:jc w:val="right"/>
              <w:cnfStyle w:val="000000100000"/>
              <w:rPr>
                <w:rFonts w:ascii="Calibri" w:hAnsi="Calibri" w:cs="Calibri"/>
                <w:color w:val="000000"/>
                <w:sz w:val="22"/>
                <w:szCs w:val="22"/>
                <w:lang w:eastAsia="bg-BG"/>
              </w:rPr>
            </w:pPr>
            <w:r w:rsidRPr="00030ECB">
              <w:rPr>
                <w:rFonts w:ascii="Calibri" w:hAnsi="Calibri" w:cs="Calibri"/>
                <w:color w:val="000000"/>
                <w:sz w:val="22"/>
                <w:szCs w:val="22"/>
                <w:lang w:eastAsia="bg-BG"/>
              </w:rPr>
              <w:t>36</w:t>
            </w:r>
          </w:p>
        </w:tc>
      </w:tr>
      <w:tr w:rsidR="00030ECB" w:rsidRPr="00066E89" w:rsidTr="00A52886">
        <w:trPr>
          <w:trHeight w:val="300"/>
        </w:trPr>
        <w:tc>
          <w:tcPr>
            <w:cnfStyle w:val="001000000000"/>
            <w:tcW w:w="3510" w:type="dxa"/>
            <w:vAlign w:val="center"/>
            <w:hideMark/>
          </w:tcPr>
          <w:p w:rsidR="00030ECB" w:rsidRPr="00066E89" w:rsidRDefault="00030ECB" w:rsidP="003D3056">
            <w:pPr>
              <w:autoSpaceDE/>
              <w:autoSpaceDN/>
              <w:adjustRightInd/>
              <w:spacing w:beforeLines="20" w:afterLines="20"/>
              <w:jc w:val="left"/>
              <w:rPr>
                <w:rFonts w:ascii="Calibri" w:hAnsi="Calibri" w:cs="Calibri"/>
                <w:sz w:val="20"/>
                <w:szCs w:val="20"/>
                <w:lang w:eastAsia="bg-BG"/>
              </w:rPr>
            </w:pPr>
            <w:r w:rsidRPr="00066E89">
              <w:rPr>
                <w:rFonts w:ascii="Calibri" w:hAnsi="Calibri" w:cs="Calibri"/>
                <w:sz w:val="20"/>
                <w:szCs w:val="20"/>
                <w:lang w:eastAsia="bg-BG"/>
              </w:rPr>
              <w:t>Машинни оператори и монтажници</w:t>
            </w:r>
          </w:p>
        </w:tc>
        <w:tc>
          <w:tcPr>
            <w:tcW w:w="1039" w:type="dxa"/>
            <w:noWrap/>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 </w:t>
            </w:r>
          </w:p>
        </w:tc>
        <w:tc>
          <w:tcPr>
            <w:tcW w:w="1040" w:type="dxa"/>
            <w:noWrap/>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 </w:t>
            </w:r>
          </w:p>
        </w:tc>
        <w:tc>
          <w:tcPr>
            <w:tcW w:w="1039"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399</w:t>
            </w:r>
          </w:p>
        </w:tc>
        <w:tc>
          <w:tcPr>
            <w:tcW w:w="1040" w:type="dxa"/>
            <w:noWrap/>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 </w:t>
            </w:r>
          </w:p>
        </w:tc>
        <w:tc>
          <w:tcPr>
            <w:tcW w:w="1039" w:type="dxa"/>
            <w:vAlign w:val="center"/>
            <w:hideMark/>
          </w:tcPr>
          <w:p w:rsidR="00030ECB" w:rsidRPr="00030ECB" w:rsidRDefault="00030ECB" w:rsidP="00030ECB">
            <w:pPr>
              <w:autoSpaceDE/>
              <w:autoSpaceDN/>
              <w:adjustRightInd/>
              <w:spacing w:after="0"/>
              <w:jc w:val="right"/>
              <w:cnfStyle w:val="000000000000"/>
              <w:rPr>
                <w:rFonts w:ascii="Calibri" w:hAnsi="Calibri" w:cs="Calibri"/>
                <w:color w:val="000000"/>
                <w:sz w:val="22"/>
                <w:szCs w:val="22"/>
                <w:lang w:eastAsia="bg-BG"/>
              </w:rPr>
            </w:pPr>
            <w:r w:rsidRPr="00030ECB">
              <w:rPr>
                <w:rFonts w:ascii="Calibri" w:hAnsi="Calibri" w:cs="Calibri"/>
                <w:color w:val="000000"/>
                <w:sz w:val="22"/>
                <w:szCs w:val="22"/>
                <w:lang w:eastAsia="bg-BG"/>
              </w:rPr>
              <w:t>410</w:t>
            </w:r>
          </w:p>
        </w:tc>
        <w:tc>
          <w:tcPr>
            <w:tcW w:w="1040" w:type="dxa"/>
            <w:noWrap/>
            <w:vAlign w:val="center"/>
            <w:hideMark/>
          </w:tcPr>
          <w:p w:rsidR="00030ECB" w:rsidRPr="00030ECB" w:rsidRDefault="00030ECB" w:rsidP="00030ECB">
            <w:pPr>
              <w:autoSpaceDE/>
              <w:autoSpaceDN/>
              <w:adjustRightInd/>
              <w:spacing w:after="0"/>
              <w:jc w:val="right"/>
              <w:cnfStyle w:val="000000000000"/>
              <w:rPr>
                <w:rFonts w:ascii="Calibri" w:hAnsi="Calibri" w:cs="Calibri"/>
                <w:color w:val="000000"/>
                <w:sz w:val="22"/>
                <w:szCs w:val="22"/>
                <w:lang w:eastAsia="bg-BG"/>
              </w:rPr>
            </w:pPr>
          </w:p>
        </w:tc>
      </w:tr>
      <w:tr w:rsidR="00030ECB" w:rsidRPr="00066E89" w:rsidTr="00A52886">
        <w:trPr>
          <w:cnfStyle w:val="000000100000"/>
          <w:trHeight w:val="300"/>
        </w:trPr>
        <w:tc>
          <w:tcPr>
            <w:cnfStyle w:val="001000000000"/>
            <w:tcW w:w="3510" w:type="dxa"/>
            <w:vAlign w:val="center"/>
            <w:hideMark/>
          </w:tcPr>
          <w:p w:rsidR="00030ECB" w:rsidRPr="00066E89" w:rsidRDefault="00030ECB" w:rsidP="003D3056">
            <w:pPr>
              <w:autoSpaceDE/>
              <w:autoSpaceDN/>
              <w:adjustRightInd/>
              <w:spacing w:beforeLines="20" w:afterLines="20"/>
              <w:jc w:val="left"/>
              <w:rPr>
                <w:rFonts w:ascii="Calibri" w:hAnsi="Calibri" w:cs="Calibri"/>
                <w:sz w:val="20"/>
                <w:szCs w:val="20"/>
                <w:lang w:eastAsia="bg-BG"/>
              </w:rPr>
            </w:pPr>
            <w:r w:rsidRPr="00066E89">
              <w:rPr>
                <w:rFonts w:ascii="Calibri" w:hAnsi="Calibri" w:cs="Calibri"/>
                <w:sz w:val="20"/>
                <w:szCs w:val="20"/>
                <w:lang w:eastAsia="bg-BG"/>
              </w:rPr>
              <w:t>Без професионална квалификация</w:t>
            </w:r>
          </w:p>
        </w:tc>
        <w:tc>
          <w:tcPr>
            <w:tcW w:w="1039"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 </w:t>
            </w:r>
          </w:p>
        </w:tc>
        <w:tc>
          <w:tcPr>
            <w:tcW w:w="1040"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 </w:t>
            </w:r>
          </w:p>
        </w:tc>
        <w:tc>
          <w:tcPr>
            <w:tcW w:w="1039"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347</w:t>
            </w:r>
          </w:p>
        </w:tc>
        <w:tc>
          <w:tcPr>
            <w:tcW w:w="1040" w:type="dxa"/>
            <w:vAlign w:val="center"/>
            <w:hideMark/>
          </w:tcPr>
          <w:p w:rsidR="00030ECB" w:rsidRPr="00066E89" w:rsidRDefault="00030ECB" w:rsidP="001D2E88">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 </w:t>
            </w:r>
          </w:p>
        </w:tc>
        <w:tc>
          <w:tcPr>
            <w:tcW w:w="1039" w:type="dxa"/>
            <w:vAlign w:val="center"/>
            <w:hideMark/>
          </w:tcPr>
          <w:p w:rsidR="00030ECB" w:rsidRPr="00030ECB" w:rsidRDefault="00030ECB" w:rsidP="00030ECB">
            <w:pPr>
              <w:autoSpaceDE/>
              <w:autoSpaceDN/>
              <w:adjustRightInd/>
              <w:spacing w:after="0"/>
              <w:jc w:val="right"/>
              <w:cnfStyle w:val="000000100000"/>
              <w:rPr>
                <w:rFonts w:ascii="Calibri" w:hAnsi="Calibri" w:cs="Calibri"/>
                <w:color w:val="000000"/>
                <w:sz w:val="22"/>
                <w:szCs w:val="22"/>
                <w:lang w:eastAsia="bg-BG"/>
              </w:rPr>
            </w:pPr>
            <w:r w:rsidRPr="00030ECB">
              <w:rPr>
                <w:rFonts w:ascii="Calibri" w:hAnsi="Calibri" w:cs="Calibri"/>
                <w:color w:val="000000"/>
                <w:sz w:val="22"/>
                <w:szCs w:val="22"/>
                <w:lang w:eastAsia="bg-BG"/>
              </w:rPr>
              <w:t>389</w:t>
            </w:r>
          </w:p>
        </w:tc>
        <w:tc>
          <w:tcPr>
            <w:tcW w:w="1040" w:type="dxa"/>
            <w:vAlign w:val="center"/>
            <w:hideMark/>
          </w:tcPr>
          <w:p w:rsidR="00030ECB" w:rsidRPr="00030ECB" w:rsidRDefault="00030ECB" w:rsidP="00030ECB">
            <w:pPr>
              <w:autoSpaceDE/>
              <w:autoSpaceDN/>
              <w:adjustRightInd/>
              <w:spacing w:after="0"/>
              <w:jc w:val="right"/>
              <w:cnfStyle w:val="000000100000"/>
              <w:rPr>
                <w:rFonts w:ascii="Calibri" w:hAnsi="Calibri" w:cs="Calibri"/>
                <w:color w:val="000000"/>
                <w:sz w:val="22"/>
                <w:szCs w:val="22"/>
                <w:lang w:eastAsia="bg-BG"/>
              </w:rPr>
            </w:pPr>
            <w:r w:rsidRPr="00030ECB">
              <w:rPr>
                <w:rFonts w:ascii="Calibri" w:hAnsi="Calibri" w:cs="Calibri"/>
                <w:color w:val="000000"/>
                <w:sz w:val="22"/>
                <w:szCs w:val="22"/>
                <w:lang w:eastAsia="bg-BG"/>
              </w:rPr>
              <w:t> </w:t>
            </w:r>
          </w:p>
        </w:tc>
      </w:tr>
      <w:tr w:rsidR="00030ECB" w:rsidRPr="00066E89" w:rsidTr="00A52886">
        <w:trPr>
          <w:trHeight w:val="300"/>
        </w:trPr>
        <w:tc>
          <w:tcPr>
            <w:cnfStyle w:val="001000000000"/>
            <w:tcW w:w="3510" w:type="dxa"/>
            <w:vAlign w:val="center"/>
            <w:hideMark/>
          </w:tcPr>
          <w:p w:rsidR="00030ECB" w:rsidRPr="00066E89" w:rsidRDefault="00030ECB" w:rsidP="003D3056">
            <w:pPr>
              <w:autoSpaceDE/>
              <w:autoSpaceDN/>
              <w:adjustRightInd/>
              <w:spacing w:beforeLines="20" w:afterLines="20"/>
              <w:jc w:val="left"/>
              <w:rPr>
                <w:rFonts w:ascii="Calibri" w:hAnsi="Calibri" w:cs="Calibri"/>
                <w:sz w:val="20"/>
                <w:szCs w:val="20"/>
                <w:lang w:eastAsia="bg-BG"/>
              </w:rPr>
            </w:pPr>
            <w:r w:rsidRPr="00066E89">
              <w:rPr>
                <w:rFonts w:ascii="Calibri" w:hAnsi="Calibri" w:cs="Calibri"/>
                <w:sz w:val="20"/>
                <w:szCs w:val="20"/>
                <w:lang w:eastAsia="bg-BG"/>
              </w:rPr>
              <w:t>Други</w:t>
            </w:r>
          </w:p>
        </w:tc>
        <w:tc>
          <w:tcPr>
            <w:tcW w:w="1039"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2</w:t>
            </w:r>
          </w:p>
        </w:tc>
        <w:tc>
          <w:tcPr>
            <w:tcW w:w="1040"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3</w:t>
            </w:r>
          </w:p>
        </w:tc>
        <w:tc>
          <w:tcPr>
            <w:tcW w:w="1039"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1</w:t>
            </w:r>
          </w:p>
        </w:tc>
        <w:tc>
          <w:tcPr>
            <w:tcW w:w="1040" w:type="dxa"/>
            <w:vAlign w:val="center"/>
            <w:hideMark/>
          </w:tcPr>
          <w:p w:rsidR="00030ECB" w:rsidRPr="00066E89" w:rsidRDefault="00030ECB"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4</w:t>
            </w:r>
          </w:p>
        </w:tc>
        <w:tc>
          <w:tcPr>
            <w:tcW w:w="1039" w:type="dxa"/>
            <w:vAlign w:val="center"/>
            <w:hideMark/>
          </w:tcPr>
          <w:p w:rsidR="00030ECB" w:rsidRPr="00030ECB" w:rsidRDefault="00030ECB" w:rsidP="00030ECB">
            <w:pPr>
              <w:autoSpaceDE/>
              <w:autoSpaceDN/>
              <w:adjustRightInd/>
              <w:spacing w:after="0"/>
              <w:jc w:val="right"/>
              <w:cnfStyle w:val="000000000000"/>
              <w:rPr>
                <w:rFonts w:ascii="Calibri" w:hAnsi="Calibri" w:cs="Calibri"/>
                <w:color w:val="000000"/>
                <w:sz w:val="22"/>
                <w:szCs w:val="22"/>
                <w:lang w:eastAsia="bg-BG"/>
              </w:rPr>
            </w:pPr>
          </w:p>
        </w:tc>
        <w:tc>
          <w:tcPr>
            <w:tcW w:w="1040" w:type="dxa"/>
            <w:vAlign w:val="center"/>
            <w:hideMark/>
          </w:tcPr>
          <w:p w:rsidR="00030ECB" w:rsidRPr="00030ECB" w:rsidRDefault="00030ECB" w:rsidP="00030ECB">
            <w:pPr>
              <w:autoSpaceDE/>
              <w:autoSpaceDN/>
              <w:adjustRightInd/>
              <w:spacing w:after="0"/>
              <w:jc w:val="right"/>
              <w:cnfStyle w:val="000000000000"/>
              <w:rPr>
                <w:rFonts w:ascii="Calibri" w:hAnsi="Calibri" w:cs="Calibri"/>
                <w:color w:val="000000"/>
                <w:sz w:val="22"/>
                <w:szCs w:val="22"/>
                <w:lang w:eastAsia="bg-BG"/>
              </w:rPr>
            </w:pPr>
            <w:r w:rsidRPr="00030ECB">
              <w:rPr>
                <w:rFonts w:ascii="Calibri" w:hAnsi="Calibri" w:cs="Calibri"/>
                <w:color w:val="000000"/>
                <w:sz w:val="22"/>
                <w:szCs w:val="22"/>
                <w:lang w:eastAsia="bg-BG"/>
              </w:rPr>
              <w:t>27</w:t>
            </w:r>
          </w:p>
        </w:tc>
      </w:tr>
      <w:tr w:rsidR="00030ECB" w:rsidRPr="001E52FA" w:rsidTr="00A52886">
        <w:trPr>
          <w:cnfStyle w:val="000000100000"/>
          <w:trHeight w:val="300"/>
        </w:trPr>
        <w:tc>
          <w:tcPr>
            <w:cnfStyle w:val="001000000000"/>
            <w:tcW w:w="3510" w:type="dxa"/>
            <w:vAlign w:val="center"/>
            <w:hideMark/>
          </w:tcPr>
          <w:p w:rsidR="00030ECB" w:rsidRPr="001E52FA" w:rsidRDefault="00030ECB" w:rsidP="003D3056">
            <w:pPr>
              <w:autoSpaceDE/>
              <w:autoSpaceDN/>
              <w:adjustRightInd/>
              <w:spacing w:beforeLines="20" w:afterLines="20"/>
              <w:jc w:val="left"/>
              <w:rPr>
                <w:rFonts w:ascii="Calibri" w:hAnsi="Calibri" w:cs="Calibri"/>
                <w:sz w:val="20"/>
                <w:szCs w:val="20"/>
                <w:lang w:eastAsia="bg-BG"/>
              </w:rPr>
            </w:pPr>
            <w:r w:rsidRPr="001E52FA">
              <w:rPr>
                <w:rFonts w:ascii="Calibri" w:hAnsi="Calibri" w:cs="Calibri"/>
                <w:sz w:val="20"/>
                <w:szCs w:val="20"/>
                <w:lang w:eastAsia="bg-BG"/>
              </w:rPr>
              <w:t>ОБЩО ПЕРСОНАЛ</w:t>
            </w:r>
          </w:p>
        </w:tc>
        <w:tc>
          <w:tcPr>
            <w:tcW w:w="1039" w:type="dxa"/>
            <w:noWrap/>
            <w:vAlign w:val="center"/>
            <w:hideMark/>
          </w:tcPr>
          <w:p w:rsidR="00030ECB" w:rsidRPr="001E52FA" w:rsidRDefault="00030ECB" w:rsidP="001D2E88">
            <w:pPr>
              <w:autoSpaceDE/>
              <w:autoSpaceDN/>
              <w:adjustRightInd/>
              <w:spacing w:after="0"/>
              <w:jc w:val="right"/>
              <w:cnfStyle w:val="000000100000"/>
              <w:rPr>
                <w:rFonts w:ascii="Calibri" w:hAnsi="Calibri" w:cs="Calibri"/>
                <w:b/>
                <w:sz w:val="22"/>
                <w:szCs w:val="22"/>
                <w:lang w:eastAsia="bg-BG"/>
              </w:rPr>
            </w:pPr>
            <w:r w:rsidRPr="001E52FA">
              <w:rPr>
                <w:rFonts w:ascii="Calibri" w:hAnsi="Calibri" w:cs="Calibri"/>
                <w:b/>
                <w:sz w:val="22"/>
                <w:szCs w:val="22"/>
                <w:lang w:eastAsia="bg-BG"/>
              </w:rPr>
              <w:t>135</w:t>
            </w:r>
          </w:p>
        </w:tc>
        <w:tc>
          <w:tcPr>
            <w:tcW w:w="1040" w:type="dxa"/>
            <w:noWrap/>
            <w:vAlign w:val="center"/>
            <w:hideMark/>
          </w:tcPr>
          <w:p w:rsidR="00030ECB" w:rsidRPr="001E52FA" w:rsidRDefault="00030ECB" w:rsidP="001D2E88">
            <w:pPr>
              <w:autoSpaceDE/>
              <w:autoSpaceDN/>
              <w:adjustRightInd/>
              <w:spacing w:after="0"/>
              <w:jc w:val="right"/>
              <w:cnfStyle w:val="000000100000"/>
              <w:rPr>
                <w:rFonts w:ascii="Calibri" w:hAnsi="Calibri" w:cs="Calibri"/>
                <w:b/>
                <w:sz w:val="22"/>
                <w:szCs w:val="22"/>
                <w:lang w:eastAsia="bg-BG"/>
              </w:rPr>
            </w:pPr>
            <w:r w:rsidRPr="001E52FA">
              <w:rPr>
                <w:rFonts w:ascii="Calibri" w:hAnsi="Calibri" w:cs="Calibri"/>
                <w:b/>
                <w:sz w:val="22"/>
                <w:szCs w:val="22"/>
                <w:lang w:eastAsia="bg-BG"/>
              </w:rPr>
              <w:t>130</w:t>
            </w:r>
          </w:p>
        </w:tc>
        <w:tc>
          <w:tcPr>
            <w:tcW w:w="1039" w:type="dxa"/>
            <w:noWrap/>
            <w:vAlign w:val="center"/>
            <w:hideMark/>
          </w:tcPr>
          <w:p w:rsidR="00030ECB" w:rsidRPr="001E52FA" w:rsidRDefault="00030ECB" w:rsidP="001D2E88">
            <w:pPr>
              <w:autoSpaceDE/>
              <w:autoSpaceDN/>
              <w:adjustRightInd/>
              <w:spacing w:after="0"/>
              <w:jc w:val="right"/>
              <w:cnfStyle w:val="000000100000"/>
              <w:rPr>
                <w:rFonts w:ascii="Calibri" w:hAnsi="Calibri" w:cs="Calibri"/>
                <w:b/>
                <w:sz w:val="22"/>
                <w:szCs w:val="22"/>
                <w:lang w:eastAsia="bg-BG"/>
              </w:rPr>
            </w:pPr>
            <w:r w:rsidRPr="001E52FA">
              <w:rPr>
                <w:rFonts w:ascii="Calibri" w:hAnsi="Calibri" w:cs="Calibri"/>
                <w:b/>
                <w:sz w:val="22"/>
                <w:szCs w:val="22"/>
                <w:lang w:eastAsia="bg-BG"/>
              </w:rPr>
              <w:t>842</w:t>
            </w:r>
          </w:p>
        </w:tc>
        <w:tc>
          <w:tcPr>
            <w:tcW w:w="1040" w:type="dxa"/>
            <w:noWrap/>
            <w:vAlign w:val="center"/>
            <w:hideMark/>
          </w:tcPr>
          <w:p w:rsidR="00030ECB" w:rsidRPr="001E52FA" w:rsidRDefault="00030ECB" w:rsidP="001D2E88">
            <w:pPr>
              <w:autoSpaceDE/>
              <w:autoSpaceDN/>
              <w:adjustRightInd/>
              <w:spacing w:after="0"/>
              <w:jc w:val="right"/>
              <w:cnfStyle w:val="000000100000"/>
              <w:rPr>
                <w:rFonts w:ascii="Calibri" w:hAnsi="Calibri" w:cs="Calibri"/>
                <w:b/>
                <w:sz w:val="22"/>
                <w:szCs w:val="22"/>
                <w:lang w:eastAsia="bg-BG"/>
              </w:rPr>
            </w:pPr>
            <w:r w:rsidRPr="001E52FA">
              <w:rPr>
                <w:rFonts w:ascii="Calibri" w:hAnsi="Calibri" w:cs="Calibri"/>
                <w:b/>
                <w:sz w:val="22"/>
                <w:szCs w:val="22"/>
                <w:lang w:eastAsia="bg-BG"/>
              </w:rPr>
              <w:t>122</w:t>
            </w:r>
          </w:p>
        </w:tc>
        <w:tc>
          <w:tcPr>
            <w:tcW w:w="1039" w:type="dxa"/>
            <w:noWrap/>
            <w:vAlign w:val="center"/>
            <w:hideMark/>
          </w:tcPr>
          <w:p w:rsidR="00030ECB" w:rsidRPr="00030ECB" w:rsidRDefault="00030ECB" w:rsidP="00030ECB">
            <w:pPr>
              <w:autoSpaceDE/>
              <w:autoSpaceDN/>
              <w:adjustRightInd/>
              <w:spacing w:after="0"/>
              <w:jc w:val="right"/>
              <w:cnfStyle w:val="000000100000"/>
              <w:rPr>
                <w:rFonts w:ascii="Calibri" w:hAnsi="Calibri" w:cs="Calibri"/>
                <w:b/>
                <w:color w:val="000000"/>
                <w:sz w:val="22"/>
                <w:szCs w:val="22"/>
                <w:lang w:eastAsia="bg-BG"/>
              </w:rPr>
            </w:pPr>
            <w:r w:rsidRPr="00030ECB">
              <w:rPr>
                <w:rFonts w:ascii="Calibri" w:hAnsi="Calibri" w:cs="Calibri"/>
                <w:b/>
                <w:color w:val="000000"/>
                <w:sz w:val="22"/>
                <w:szCs w:val="22"/>
                <w:lang w:eastAsia="bg-BG"/>
              </w:rPr>
              <w:t>859</w:t>
            </w:r>
          </w:p>
        </w:tc>
        <w:tc>
          <w:tcPr>
            <w:tcW w:w="1040" w:type="dxa"/>
            <w:noWrap/>
            <w:vAlign w:val="center"/>
            <w:hideMark/>
          </w:tcPr>
          <w:p w:rsidR="00030ECB" w:rsidRPr="00030ECB" w:rsidRDefault="00030ECB" w:rsidP="00030ECB">
            <w:pPr>
              <w:autoSpaceDE/>
              <w:autoSpaceDN/>
              <w:adjustRightInd/>
              <w:spacing w:after="0"/>
              <w:jc w:val="right"/>
              <w:cnfStyle w:val="000000100000"/>
              <w:rPr>
                <w:rFonts w:ascii="Calibri" w:hAnsi="Calibri" w:cs="Calibri"/>
                <w:b/>
                <w:color w:val="000000"/>
                <w:sz w:val="22"/>
                <w:szCs w:val="22"/>
                <w:lang w:eastAsia="bg-BG"/>
              </w:rPr>
            </w:pPr>
            <w:r w:rsidRPr="00030ECB">
              <w:rPr>
                <w:rFonts w:ascii="Calibri" w:hAnsi="Calibri" w:cs="Calibri"/>
                <w:b/>
                <w:color w:val="000000"/>
                <w:sz w:val="22"/>
                <w:szCs w:val="22"/>
                <w:lang w:eastAsia="bg-BG"/>
              </w:rPr>
              <w:t>187</w:t>
            </w:r>
          </w:p>
        </w:tc>
      </w:tr>
      <w:tr w:rsidR="00966FDF" w:rsidRPr="00066E89" w:rsidTr="00A52886">
        <w:trPr>
          <w:trHeight w:val="300"/>
        </w:trPr>
        <w:tc>
          <w:tcPr>
            <w:cnfStyle w:val="001000000000"/>
            <w:tcW w:w="3510" w:type="dxa"/>
            <w:vAlign w:val="center"/>
            <w:hideMark/>
          </w:tcPr>
          <w:p w:rsidR="00966FDF" w:rsidRPr="00946ECF" w:rsidRDefault="00946ECF" w:rsidP="003D3056">
            <w:pPr>
              <w:autoSpaceDE/>
              <w:autoSpaceDN/>
              <w:adjustRightInd/>
              <w:spacing w:beforeLines="20" w:afterLines="20"/>
              <w:jc w:val="left"/>
              <w:rPr>
                <w:rFonts w:ascii="Calibri" w:hAnsi="Calibri" w:cs="Calibri"/>
                <w:sz w:val="20"/>
                <w:szCs w:val="20"/>
                <w:lang w:eastAsia="bg-BG"/>
              </w:rPr>
            </w:pPr>
            <w:r w:rsidRPr="00946ECF">
              <w:rPr>
                <w:rFonts w:ascii="Calibri" w:hAnsi="Calibri" w:cs="Calibri"/>
                <w:sz w:val="20"/>
                <w:szCs w:val="20"/>
                <w:lang w:eastAsia="bg-BG"/>
              </w:rPr>
              <w:t>Изменение</w:t>
            </w:r>
            <w:r>
              <w:rPr>
                <w:rFonts w:ascii="Calibri" w:hAnsi="Calibri" w:cs="Calibri"/>
                <w:sz w:val="20"/>
                <w:szCs w:val="20"/>
                <w:lang w:eastAsia="bg-BG"/>
              </w:rPr>
              <w:t>, %</w:t>
            </w:r>
          </w:p>
        </w:tc>
        <w:tc>
          <w:tcPr>
            <w:tcW w:w="1039" w:type="dxa"/>
            <w:noWrap/>
            <w:vAlign w:val="center"/>
            <w:hideMark/>
          </w:tcPr>
          <w:p w:rsidR="00966FDF" w:rsidRPr="00066E89" w:rsidRDefault="00966FDF" w:rsidP="001D2E88">
            <w:pPr>
              <w:autoSpaceDE/>
              <w:autoSpaceDN/>
              <w:adjustRightInd/>
              <w:spacing w:after="0"/>
              <w:jc w:val="right"/>
              <w:cnfStyle w:val="000000000000"/>
              <w:rPr>
                <w:rFonts w:ascii="Calibri" w:hAnsi="Calibri" w:cs="Calibri"/>
                <w:color w:val="000000"/>
                <w:sz w:val="22"/>
                <w:szCs w:val="22"/>
                <w:lang w:eastAsia="bg-BG"/>
              </w:rPr>
            </w:pPr>
          </w:p>
        </w:tc>
        <w:tc>
          <w:tcPr>
            <w:tcW w:w="1040" w:type="dxa"/>
            <w:noWrap/>
            <w:vAlign w:val="center"/>
            <w:hideMark/>
          </w:tcPr>
          <w:p w:rsidR="00966FDF" w:rsidRPr="00066E89" w:rsidRDefault="00966FDF"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-3,7%</w:t>
            </w:r>
          </w:p>
        </w:tc>
        <w:tc>
          <w:tcPr>
            <w:tcW w:w="1039" w:type="dxa"/>
            <w:noWrap/>
            <w:vAlign w:val="center"/>
            <w:hideMark/>
          </w:tcPr>
          <w:p w:rsidR="00966FDF" w:rsidRPr="00066E89" w:rsidRDefault="00966FDF" w:rsidP="001D2E88">
            <w:pPr>
              <w:autoSpaceDE/>
              <w:autoSpaceDN/>
              <w:adjustRightInd/>
              <w:spacing w:after="0"/>
              <w:jc w:val="right"/>
              <w:cnfStyle w:val="000000000000"/>
              <w:rPr>
                <w:rFonts w:ascii="Calibri" w:hAnsi="Calibri" w:cs="Calibri"/>
                <w:color w:val="000000"/>
                <w:sz w:val="22"/>
                <w:szCs w:val="22"/>
                <w:lang w:eastAsia="bg-BG"/>
              </w:rPr>
            </w:pPr>
          </w:p>
        </w:tc>
        <w:tc>
          <w:tcPr>
            <w:tcW w:w="1040" w:type="dxa"/>
            <w:noWrap/>
            <w:vAlign w:val="center"/>
            <w:hideMark/>
          </w:tcPr>
          <w:p w:rsidR="00966FDF" w:rsidRPr="00066E89" w:rsidRDefault="00966FDF"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-6,2%</w:t>
            </w:r>
          </w:p>
        </w:tc>
        <w:tc>
          <w:tcPr>
            <w:tcW w:w="1039" w:type="dxa"/>
            <w:noWrap/>
            <w:vAlign w:val="center"/>
            <w:hideMark/>
          </w:tcPr>
          <w:p w:rsidR="00966FDF" w:rsidRPr="00066E89" w:rsidRDefault="00966FDF"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2,3%</w:t>
            </w:r>
          </w:p>
        </w:tc>
        <w:tc>
          <w:tcPr>
            <w:tcW w:w="1040" w:type="dxa"/>
            <w:noWrap/>
            <w:vAlign w:val="center"/>
            <w:hideMark/>
          </w:tcPr>
          <w:p w:rsidR="00966FDF" w:rsidRPr="00066E89" w:rsidRDefault="00966FDF" w:rsidP="001D2E88">
            <w:pPr>
              <w:autoSpaceDE/>
              <w:autoSpaceDN/>
              <w:adjustRightInd/>
              <w:spacing w:after="0"/>
              <w:jc w:val="right"/>
              <w:cnfStyle w:val="000000000000"/>
              <w:rPr>
                <w:rFonts w:ascii="Calibri" w:hAnsi="Calibri" w:cs="Calibri"/>
                <w:color w:val="000000"/>
                <w:sz w:val="22"/>
                <w:szCs w:val="22"/>
                <w:lang w:eastAsia="bg-BG"/>
              </w:rPr>
            </w:pPr>
            <w:r w:rsidRPr="00066E89">
              <w:rPr>
                <w:rFonts w:ascii="Calibri" w:hAnsi="Calibri" w:cs="Calibri"/>
                <w:color w:val="000000"/>
                <w:sz w:val="22"/>
                <w:szCs w:val="22"/>
                <w:lang w:eastAsia="bg-BG"/>
              </w:rPr>
              <w:t>8,2%</w:t>
            </w:r>
          </w:p>
        </w:tc>
      </w:tr>
    </w:tbl>
    <w:p w:rsidR="00932B3D" w:rsidRPr="00FF4ACD" w:rsidRDefault="00FF4ACD" w:rsidP="003D3056">
      <w:pPr>
        <w:spacing w:beforeLines="20" w:afterLines="20"/>
        <w:jc w:val="right"/>
        <w:rPr>
          <w:i/>
        </w:rPr>
      </w:pPr>
      <w:r w:rsidRPr="00FF4ACD">
        <w:rPr>
          <w:i/>
        </w:rPr>
        <w:t>Бележка: Не се включват лицата в отпуск по майчинство</w:t>
      </w:r>
    </w:p>
    <w:p w:rsidR="00030ECB" w:rsidRDefault="00030ECB" w:rsidP="00932B3D"/>
    <w:p w:rsidR="00030ECB" w:rsidRDefault="00030ECB" w:rsidP="00030ECB">
      <w:pPr>
        <w:pStyle w:val="ListParagraph"/>
        <w:spacing w:after="120"/>
        <w:ind w:left="360"/>
        <w:jc w:val="center"/>
      </w:pPr>
      <w:r>
        <w:rPr>
          <w:i/>
          <w:u w:val="single"/>
        </w:rPr>
        <w:t>Средногодишен брой на заетите лица по региони</w:t>
      </w:r>
    </w:p>
    <w:tbl>
      <w:tblPr>
        <w:tblStyle w:val="MediumShading2-Accent11"/>
        <w:tblW w:w="9747" w:type="dxa"/>
        <w:tblInd w:w="108" w:type="dxa"/>
        <w:tblLayout w:type="fixed"/>
        <w:tblLook w:val="04A0"/>
      </w:tblPr>
      <w:tblGrid>
        <w:gridCol w:w="3510"/>
        <w:gridCol w:w="1039"/>
        <w:gridCol w:w="1040"/>
        <w:gridCol w:w="1039"/>
        <w:gridCol w:w="1040"/>
        <w:gridCol w:w="1039"/>
        <w:gridCol w:w="1040"/>
      </w:tblGrid>
      <w:tr w:rsidR="00030ECB" w:rsidRPr="00066E89" w:rsidTr="0080674A">
        <w:trPr>
          <w:cnfStyle w:val="100000000000"/>
          <w:trHeight w:val="300"/>
        </w:trPr>
        <w:tc>
          <w:tcPr>
            <w:cnfStyle w:val="001000000100"/>
            <w:tcW w:w="3510" w:type="dxa"/>
            <w:vMerge w:val="restart"/>
            <w:noWrap/>
            <w:vAlign w:val="center"/>
            <w:hideMark/>
          </w:tcPr>
          <w:p w:rsidR="00030ECB" w:rsidRPr="00946ECF" w:rsidRDefault="00030ECB" w:rsidP="0080674A">
            <w:pPr>
              <w:autoSpaceDE/>
              <w:autoSpaceDN/>
              <w:adjustRightInd/>
              <w:spacing w:after="0"/>
              <w:ind w:left="-55" w:right="-70"/>
              <w:jc w:val="left"/>
              <w:rPr>
                <w:rFonts w:ascii="Calibri" w:hAnsi="Calibri" w:cs="Calibri"/>
                <w:color w:val="1F497D"/>
                <w:sz w:val="20"/>
                <w:szCs w:val="20"/>
                <w:lang w:eastAsia="bg-BG"/>
              </w:rPr>
            </w:pPr>
            <w:r w:rsidRPr="00066E89">
              <w:rPr>
                <w:rFonts w:ascii="Calibri" w:hAnsi="Calibri" w:cs="Calibri"/>
                <w:color w:val="1F497D"/>
                <w:sz w:val="20"/>
                <w:szCs w:val="20"/>
                <w:lang w:eastAsia="bg-BG"/>
              </w:rPr>
              <w:t> </w:t>
            </w:r>
          </w:p>
          <w:p w:rsidR="00030ECB" w:rsidRPr="00066E89" w:rsidRDefault="00030ECB" w:rsidP="0080674A">
            <w:pPr>
              <w:ind w:left="-55" w:right="-70"/>
              <w:jc w:val="left"/>
              <w:rPr>
                <w:rFonts w:ascii="Calibri" w:hAnsi="Calibri" w:cs="Calibri"/>
                <w:color w:val="1F497D"/>
                <w:sz w:val="20"/>
                <w:szCs w:val="20"/>
                <w:lang w:eastAsia="bg-BG"/>
              </w:rPr>
            </w:pPr>
            <w:r w:rsidRPr="00066E89">
              <w:rPr>
                <w:rFonts w:ascii="Calibri" w:hAnsi="Calibri" w:cs="Calibri"/>
                <w:color w:val="1F497D"/>
                <w:sz w:val="20"/>
                <w:szCs w:val="20"/>
                <w:lang w:eastAsia="bg-BG"/>
              </w:rPr>
              <w:t> </w:t>
            </w:r>
          </w:p>
        </w:tc>
        <w:tc>
          <w:tcPr>
            <w:tcW w:w="1039" w:type="dxa"/>
            <w:noWrap/>
            <w:vAlign w:val="center"/>
            <w:hideMark/>
          </w:tcPr>
          <w:p w:rsidR="00030ECB" w:rsidRPr="00066E89" w:rsidRDefault="00030ECB" w:rsidP="0080674A">
            <w:pPr>
              <w:autoSpaceDE/>
              <w:autoSpaceDN/>
              <w:adjustRightInd/>
              <w:spacing w:after="0"/>
              <w:jc w:val="center"/>
              <w:cnfStyle w:val="100000000000"/>
              <w:rPr>
                <w:rFonts w:ascii="Calibri" w:hAnsi="Calibri" w:cs="Calibri"/>
                <w:sz w:val="22"/>
                <w:szCs w:val="22"/>
                <w:lang w:eastAsia="bg-BG"/>
              </w:rPr>
            </w:pPr>
            <w:r w:rsidRPr="00066E89">
              <w:rPr>
                <w:rFonts w:ascii="Calibri" w:hAnsi="Calibri" w:cs="Calibri"/>
                <w:sz w:val="22"/>
                <w:szCs w:val="22"/>
                <w:lang w:eastAsia="bg-BG"/>
              </w:rPr>
              <w:t>2009</w:t>
            </w:r>
          </w:p>
        </w:tc>
        <w:tc>
          <w:tcPr>
            <w:tcW w:w="1040" w:type="dxa"/>
            <w:noWrap/>
            <w:vAlign w:val="center"/>
            <w:hideMark/>
          </w:tcPr>
          <w:p w:rsidR="00030ECB" w:rsidRPr="00066E89" w:rsidRDefault="00030ECB" w:rsidP="0080674A">
            <w:pPr>
              <w:autoSpaceDE/>
              <w:autoSpaceDN/>
              <w:adjustRightInd/>
              <w:spacing w:after="0"/>
              <w:jc w:val="center"/>
              <w:cnfStyle w:val="100000000000"/>
              <w:rPr>
                <w:rFonts w:ascii="Calibri" w:hAnsi="Calibri" w:cs="Calibri"/>
                <w:sz w:val="22"/>
                <w:szCs w:val="22"/>
                <w:lang w:eastAsia="bg-BG"/>
              </w:rPr>
            </w:pPr>
            <w:r w:rsidRPr="00066E89">
              <w:rPr>
                <w:rFonts w:ascii="Calibri" w:hAnsi="Calibri" w:cs="Calibri"/>
                <w:sz w:val="22"/>
                <w:szCs w:val="22"/>
                <w:lang w:eastAsia="bg-BG"/>
              </w:rPr>
              <w:t>2010</w:t>
            </w:r>
          </w:p>
        </w:tc>
        <w:tc>
          <w:tcPr>
            <w:tcW w:w="2079" w:type="dxa"/>
            <w:gridSpan w:val="2"/>
            <w:noWrap/>
            <w:vAlign w:val="center"/>
            <w:hideMark/>
          </w:tcPr>
          <w:p w:rsidR="00030ECB" w:rsidRPr="00066E89" w:rsidRDefault="00030ECB" w:rsidP="0080674A">
            <w:pPr>
              <w:autoSpaceDE/>
              <w:autoSpaceDN/>
              <w:adjustRightInd/>
              <w:spacing w:after="0"/>
              <w:jc w:val="center"/>
              <w:cnfStyle w:val="100000000000"/>
              <w:rPr>
                <w:rFonts w:ascii="Calibri" w:hAnsi="Calibri" w:cs="Calibri"/>
                <w:sz w:val="22"/>
                <w:szCs w:val="22"/>
                <w:lang w:eastAsia="bg-BG"/>
              </w:rPr>
            </w:pPr>
            <w:r w:rsidRPr="00066E89">
              <w:rPr>
                <w:rFonts w:ascii="Calibri" w:hAnsi="Calibri" w:cs="Calibri"/>
                <w:sz w:val="22"/>
                <w:szCs w:val="22"/>
                <w:lang w:eastAsia="bg-BG"/>
              </w:rPr>
              <w:t>2011</w:t>
            </w:r>
          </w:p>
        </w:tc>
        <w:tc>
          <w:tcPr>
            <w:tcW w:w="2079" w:type="dxa"/>
            <w:gridSpan w:val="2"/>
            <w:noWrap/>
            <w:vAlign w:val="center"/>
            <w:hideMark/>
          </w:tcPr>
          <w:p w:rsidR="00030ECB" w:rsidRPr="00066E89" w:rsidRDefault="000E1572" w:rsidP="0080674A">
            <w:pPr>
              <w:autoSpaceDE/>
              <w:autoSpaceDN/>
              <w:adjustRightInd/>
              <w:spacing w:after="0"/>
              <w:jc w:val="center"/>
              <w:cnfStyle w:val="100000000000"/>
              <w:rPr>
                <w:rFonts w:ascii="Calibri" w:hAnsi="Calibri" w:cs="Calibri"/>
                <w:sz w:val="22"/>
                <w:szCs w:val="22"/>
                <w:lang w:eastAsia="bg-BG"/>
              </w:rPr>
            </w:pPr>
            <w:r>
              <w:rPr>
                <w:rFonts w:ascii="Calibri" w:hAnsi="Calibri" w:cs="Calibri"/>
                <w:sz w:val="22"/>
                <w:szCs w:val="22"/>
                <w:lang w:eastAsia="bg-BG"/>
              </w:rPr>
              <w:t>21.05.12</w:t>
            </w:r>
          </w:p>
        </w:tc>
      </w:tr>
      <w:tr w:rsidR="00030ECB" w:rsidRPr="00066E89" w:rsidTr="0080674A">
        <w:trPr>
          <w:cnfStyle w:val="000000100000"/>
          <w:trHeight w:val="300"/>
        </w:trPr>
        <w:tc>
          <w:tcPr>
            <w:cnfStyle w:val="001000000000"/>
            <w:tcW w:w="3510" w:type="dxa"/>
            <w:vMerge/>
            <w:noWrap/>
            <w:vAlign w:val="center"/>
            <w:hideMark/>
          </w:tcPr>
          <w:p w:rsidR="00030ECB" w:rsidRPr="00066E89" w:rsidRDefault="00030ECB" w:rsidP="0080674A">
            <w:pPr>
              <w:autoSpaceDE/>
              <w:autoSpaceDN/>
              <w:adjustRightInd/>
              <w:spacing w:after="0"/>
              <w:ind w:left="-55" w:right="-70"/>
              <w:jc w:val="left"/>
              <w:rPr>
                <w:rFonts w:ascii="Calibri" w:hAnsi="Calibri" w:cs="Calibri"/>
                <w:color w:val="1F497D"/>
                <w:sz w:val="20"/>
                <w:szCs w:val="20"/>
                <w:lang w:eastAsia="bg-BG"/>
              </w:rPr>
            </w:pPr>
          </w:p>
        </w:tc>
        <w:tc>
          <w:tcPr>
            <w:tcW w:w="1039" w:type="dxa"/>
            <w:noWrap/>
            <w:vAlign w:val="center"/>
            <w:hideMark/>
          </w:tcPr>
          <w:p w:rsidR="00030ECB" w:rsidRPr="00932B3D" w:rsidRDefault="00030ECB" w:rsidP="0080674A">
            <w:pPr>
              <w:autoSpaceDE/>
              <w:autoSpaceDN/>
              <w:adjustRightInd/>
              <w:spacing w:after="0"/>
              <w:ind w:left="-70" w:right="-47"/>
              <w:jc w:val="center"/>
              <w:cnfStyle w:val="000000100000"/>
              <w:rPr>
                <w:rFonts w:ascii="Calibri" w:hAnsi="Calibri" w:cs="Calibri"/>
                <w:sz w:val="22"/>
                <w:szCs w:val="22"/>
                <w:lang w:eastAsia="bg-BG"/>
              </w:rPr>
            </w:pPr>
            <w:r>
              <w:rPr>
                <w:rFonts w:ascii="Calibri" w:hAnsi="Calibri" w:cs="Calibri"/>
                <w:sz w:val="22"/>
                <w:szCs w:val="22"/>
                <w:lang w:eastAsia="bg-BG"/>
              </w:rPr>
              <w:t>Спиди ЕАД</w:t>
            </w:r>
          </w:p>
        </w:tc>
        <w:tc>
          <w:tcPr>
            <w:tcW w:w="1040" w:type="dxa"/>
            <w:noWrap/>
            <w:vAlign w:val="center"/>
            <w:hideMark/>
          </w:tcPr>
          <w:p w:rsidR="00030ECB" w:rsidRPr="00932B3D" w:rsidRDefault="00030ECB" w:rsidP="0080674A">
            <w:pPr>
              <w:autoSpaceDE/>
              <w:autoSpaceDN/>
              <w:adjustRightInd/>
              <w:spacing w:after="0"/>
              <w:jc w:val="center"/>
              <w:cnfStyle w:val="000000100000"/>
              <w:rPr>
                <w:rFonts w:ascii="Calibri" w:hAnsi="Calibri" w:cs="Calibri"/>
                <w:sz w:val="22"/>
                <w:szCs w:val="22"/>
                <w:lang w:eastAsia="bg-BG"/>
              </w:rPr>
            </w:pPr>
            <w:r>
              <w:rPr>
                <w:rFonts w:ascii="Calibri" w:hAnsi="Calibri" w:cs="Calibri"/>
                <w:sz w:val="22"/>
                <w:szCs w:val="22"/>
                <w:lang w:eastAsia="bg-BG"/>
              </w:rPr>
              <w:t>Спиди ЕАД</w:t>
            </w:r>
          </w:p>
        </w:tc>
        <w:tc>
          <w:tcPr>
            <w:tcW w:w="1039" w:type="dxa"/>
            <w:noWrap/>
            <w:vAlign w:val="center"/>
            <w:hideMark/>
          </w:tcPr>
          <w:p w:rsidR="00030ECB" w:rsidRPr="00932B3D" w:rsidRDefault="00030ECB" w:rsidP="0080674A">
            <w:pPr>
              <w:autoSpaceDE/>
              <w:autoSpaceDN/>
              <w:adjustRightInd/>
              <w:spacing w:after="0"/>
              <w:jc w:val="center"/>
              <w:cnfStyle w:val="000000100000"/>
              <w:rPr>
                <w:rFonts w:ascii="Calibri" w:hAnsi="Calibri" w:cs="Calibri"/>
                <w:sz w:val="22"/>
                <w:szCs w:val="22"/>
                <w:lang w:eastAsia="bg-BG"/>
              </w:rPr>
            </w:pPr>
            <w:r>
              <w:rPr>
                <w:rFonts w:ascii="Calibri" w:hAnsi="Calibri" w:cs="Calibri"/>
                <w:sz w:val="22"/>
                <w:szCs w:val="22"/>
                <w:lang w:eastAsia="bg-BG"/>
              </w:rPr>
              <w:t>Спиди ЕООД</w:t>
            </w:r>
          </w:p>
        </w:tc>
        <w:tc>
          <w:tcPr>
            <w:tcW w:w="1040" w:type="dxa"/>
            <w:noWrap/>
            <w:vAlign w:val="center"/>
            <w:hideMark/>
          </w:tcPr>
          <w:p w:rsidR="00030ECB" w:rsidRPr="00932B3D" w:rsidRDefault="00030ECB" w:rsidP="0080674A">
            <w:pPr>
              <w:autoSpaceDE/>
              <w:autoSpaceDN/>
              <w:adjustRightInd/>
              <w:spacing w:after="0"/>
              <w:jc w:val="center"/>
              <w:cnfStyle w:val="000000100000"/>
              <w:rPr>
                <w:rFonts w:ascii="Calibri" w:hAnsi="Calibri" w:cs="Calibri"/>
                <w:sz w:val="22"/>
                <w:szCs w:val="22"/>
                <w:lang w:eastAsia="bg-BG"/>
              </w:rPr>
            </w:pPr>
            <w:r>
              <w:rPr>
                <w:rFonts w:ascii="Calibri" w:hAnsi="Calibri" w:cs="Calibri"/>
                <w:sz w:val="22"/>
                <w:szCs w:val="22"/>
                <w:lang w:eastAsia="bg-BG"/>
              </w:rPr>
              <w:t>Спиди ЕАД</w:t>
            </w:r>
          </w:p>
        </w:tc>
        <w:tc>
          <w:tcPr>
            <w:tcW w:w="1039" w:type="dxa"/>
            <w:noWrap/>
            <w:vAlign w:val="center"/>
            <w:hideMark/>
          </w:tcPr>
          <w:p w:rsidR="00030ECB" w:rsidRPr="00932B3D" w:rsidRDefault="00030ECB" w:rsidP="0080674A">
            <w:pPr>
              <w:autoSpaceDE/>
              <w:autoSpaceDN/>
              <w:adjustRightInd/>
              <w:spacing w:after="0"/>
              <w:jc w:val="center"/>
              <w:cnfStyle w:val="000000100000"/>
              <w:rPr>
                <w:rFonts w:ascii="Calibri" w:hAnsi="Calibri" w:cs="Calibri"/>
                <w:sz w:val="22"/>
                <w:szCs w:val="22"/>
                <w:lang w:eastAsia="bg-BG"/>
              </w:rPr>
            </w:pPr>
            <w:r>
              <w:rPr>
                <w:rFonts w:ascii="Calibri" w:hAnsi="Calibri" w:cs="Calibri"/>
                <w:sz w:val="22"/>
                <w:szCs w:val="22"/>
                <w:lang w:eastAsia="bg-BG"/>
              </w:rPr>
              <w:t>Спиди ЕООД</w:t>
            </w:r>
          </w:p>
        </w:tc>
        <w:tc>
          <w:tcPr>
            <w:tcW w:w="1040" w:type="dxa"/>
            <w:noWrap/>
            <w:vAlign w:val="center"/>
            <w:hideMark/>
          </w:tcPr>
          <w:p w:rsidR="00030ECB" w:rsidRPr="00932B3D" w:rsidRDefault="00030ECB" w:rsidP="0080674A">
            <w:pPr>
              <w:autoSpaceDE/>
              <w:autoSpaceDN/>
              <w:adjustRightInd/>
              <w:spacing w:after="0"/>
              <w:jc w:val="center"/>
              <w:cnfStyle w:val="000000100000"/>
              <w:rPr>
                <w:rFonts w:ascii="Calibri" w:hAnsi="Calibri" w:cs="Calibri"/>
                <w:sz w:val="22"/>
                <w:szCs w:val="22"/>
                <w:lang w:eastAsia="bg-BG"/>
              </w:rPr>
            </w:pPr>
            <w:r>
              <w:rPr>
                <w:rFonts w:ascii="Calibri" w:hAnsi="Calibri" w:cs="Calibri"/>
                <w:sz w:val="22"/>
                <w:szCs w:val="22"/>
                <w:lang w:eastAsia="bg-BG"/>
              </w:rPr>
              <w:t>Спиди ЕАД</w:t>
            </w:r>
          </w:p>
        </w:tc>
      </w:tr>
      <w:tr w:rsidR="005E74AA" w:rsidRPr="00066E89" w:rsidTr="0080674A">
        <w:trPr>
          <w:trHeight w:val="300"/>
        </w:trPr>
        <w:tc>
          <w:tcPr>
            <w:cnfStyle w:val="001000000000"/>
            <w:tcW w:w="3510" w:type="dxa"/>
            <w:vAlign w:val="center"/>
            <w:hideMark/>
          </w:tcPr>
          <w:p w:rsidR="005E74AA" w:rsidRDefault="005E74AA">
            <w:pPr>
              <w:rPr>
                <w:rFonts w:ascii="Calibri" w:hAnsi="Calibri" w:cs="Calibri"/>
                <w:color w:val="FFFFFF"/>
                <w:sz w:val="20"/>
                <w:szCs w:val="20"/>
              </w:rPr>
            </w:pPr>
            <w:r>
              <w:rPr>
                <w:rFonts w:ascii="Calibri" w:hAnsi="Calibri" w:cs="Calibri"/>
                <w:b w:val="0"/>
                <w:bCs w:val="0"/>
                <w:color w:val="FFFFFF"/>
                <w:sz w:val="20"/>
                <w:szCs w:val="20"/>
              </w:rPr>
              <w:t>Черноморски</w:t>
            </w:r>
          </w:p>
        </w:tc>
        <w:tc>
          <w:tcPr>
            <w:tcW w:w="1039" w:type="dxa"/>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18</w:t>
            </w:r>
          </w:p>
        </w:tc>
        <w:tc>
          <w:tcPr>
            <w:tcW w:w="1040" w:type="dxa"/>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18</w:t>
            </w:r>
          </w:p>
        </w:tc>
        <w:tc>
          <w:tcPr>
            <w:tcW w:w="1039" w:type="dxa"/>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135</w:t>
            </w:r>
          </w:p>
        </w:tc>
        <w:tc>
          <w:tcPr>
            <w:tcW w:w="1040" w:type="dxa"/>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16</w:t>
            </w:r>
          </w:p>
        </w:tc>
        <w:tc>
          <w:tcPr>
            <w:tcW w:w="1039" w:type="dxa"/>
            <w:vAlign w:val="center"/>
            <w:hideMark/>
          </w:tcPr>
          <w:p w:rsidR="005E74AA" w:rsidRP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sidRPr="005E74AA">
              <w:rPr>
                <w:rFonts w:ascii="Calibri" w:hAnsi="Calibri" w:cs="Calibri"/>
                <w:color w:val="000000"/>
                <w:sz w:val="22"/>
                <w:szCs w:val="22"/>
                <w:lang w:eastAsia="bg-BG"/>
              </w:rPr>
              <w:t>153</w:t>
            </w:r>
          </w:p>
        </w:tc>
        <w:tc>
          <w:tcPr>
            <w:tcW w:w="1040" w:type="dxa"/>
            <w:vAlign w:val="center"/>
            <w:hideMark/>
          </w:tcPr>
          <w:p w:rsidR="005E74AA" w:rsidRP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sidRPr="005E74AA">
              <w:rPr>
                <w:rFonts w:ascii="Calibri" w:hAnsi="Calibri" w:cs="Calibri"/>
                <w:color w:val="000000"/>
                <w:sz w:val="22"/>
                <w:szCs w:val="22"/>
                <w:lang w:eastAsia="bg-BG"/>
              </w:rPr>
              <w:t>26</w:t>
            </w:r>
          </w:p>
        </w:tc>
      </w:tr>
      <w:tr w:rsidR="005E74AA" w:rsidRPr="00066E89" w:rsidTr="0080674A">
        <w:trPr>
          <w:cnfStyle w:val="000000100000"/>
          <w:trHeight w:val="300"/>
        </w:trPr>
        <w:tc>
          <w:tcPr>
            <w:cnfStyle w:val="001000000000"/>
            <w:tcW w:w="3510" w:type="dxa"/>
            <w:vAlign w:val="center"/>
            <w:hideMark/>
          </w:tcPr>
          <w:p w:rsidR="005E74AA" w:rsidRDefault="005E74AA">
            <w:pPr>
              <w:rPr>
                <w:rFonts w:ascii="Calibri" w:hAnsi="Calibri" w:cs="Calibri"/>
                <w:color w:val="FFFFFF"/>
                <w:sz w:val="20"/>
                <w:szCs w:val="20"/>
              </w:rPr>
            </w:pPr>
            <w:r>
              <w:rPr>
                <w:rFonts w:ascii="Calibri" w:hAnsi="Calibri" w:cs="Calibri"/>
                <w:b w:val="0"/>
                <w:bCs w:val="0"/>
                <w:color w:val="FFFFFF"/>
                <w:sz w:val="20"/>
                <w:szCs w:val="20"/>
              </w:rPr>
              <w:t>Северен Централен</w:t>
            </w:r>
          </w:p>
        </w:tc>
        <w:tc>
          <w:tcPr>
            <w:tcW w:w="1039"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14</w:t>
            </w:r>
          </w:p>
        </w:tc>
        <w:tc>
          <w:tcPr>
            <w:tcW w:w="1040"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10</w:t>
            </w:r>
          </w:p>
        </w:tc>
        <w:tc>
          <w:tcPr>
            <w:tcW w:w="1039"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115</w:t>
            </w:r>
          </w:p>
        </w:tc>
        <w:tc>
          <w:tcPr>
            <w:tcW w:w="1040"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9</w:t>
            </w:r>
          </w:p>
        </w:tc>
        <w:tc>
          <w:tcPr>
            <w:tcW w:w="1039" w:type="dxa"/>
            <w:vAlign w:val="center"/>
            <w:hideMark/>
          </w:tcPr>
          <w:p w:rsidR="005E74AA" w:rsidRP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sidRPr="005E74AA">
              <w:rPr>
                <w:rFonts w:ascii="Calibri" w:hAnsi="Calibri" w:cs="Calibri"/>
                <w:color w:val="000000"/>
                <w:sz w:val="22"/>
                <w:szCs w:val="22"/>
                <w:lang w:eastAsia="bg-BG"/>
              </w:rPr>
              <w:t>125</w:t>
            </w:r>
          </w:p>
        </w:tc>
        <w:tc>
          <w:tcPr>
            <w:tcW w:w="1040" w:type="dxa"/>
            <w:vAlign w:val="center"/>
            <w:hideMark/>
          </w:tcPr>
          <w:p w:rsidR="005E74AA" w:rsidRP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sidRPr="005E74AA">
              <w:rPr>
                <w:rFonts w:ascii="Calibri" w:hAnsi="Calibri" w:cs="Calibri"/>
                <w:color w:val="000000"/>
                <w:sz w:val="22"/>
                <w:szCs w:val="22"/>
                <w:lang w:eastAsia="bg-BG"/>
              </w:rPr>
              <w:t>16</w:t>
            </w:r>
          </w:p>
        </w:tc>
      </w:tr>
      <w:tr w:rsidR="005E74AA" w:rsidRPr="00066E89" w:rsidTr="0080674A">
        <w:trPr>
          <w:trHeight w:val="300"/>
        </w:trPr>
        <w:tc>
          <w:tcPr>
            <w:cnfStyle w:val="001000000000"/>
            <w:tcW w:w="3510" w:type="dxa"/>
            <w:vAlign w:val="center"/>
            <w:hideMark/>
          </w:tcPr>
          <w:p w:rsidR="005E74AA" w:rsidRDefault="005E74AA">
            <w:pPr>
              <w:rPr>
                <w:rFonts w:ascii="Calibri" w:hAnsi="Calibri" w:cs="Calibri"/>
                <w:color w:val="FFFFFF"/>
                <w:sz w:val="20"/>
                <w:szCs w:val="20"/>
              </w:rPr>
            </w:pPr>
            <w:r>
              <w:rPr>
                <w:rFonts w:ascii="Calibri" w:hAnsi="Calibri" w:cs="Calibri"/>
                <w:b w:val="0"/>
                <w:bCs w:val="0"/>
                <w:color w:val="FFFFFF"/>
                <w:sz w:val="20"/>
                <w:szCs w:val="20"/>
              </w:rPr>
              <w:t>Северозападен</w:t>
            </w:r>
          </w:p>
        </w:tc>
        <w:tc>
          <w:tcPr>
            <w:tcW w:w="1039" w:type="dxa"/>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 </w:t>
            </w:r>
          </w:p>
        </w:tc>
        <w:tc>
          <w:tcPr>
            <w:tcW w:w="1040" w:type="dxa"/>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 </w:t>
            </w:r>
          </w:p>
        </w:tc>
        <w:tc>
          <w:tcPr>
            <w:tcW w:w="1039" w:type="dxa"/>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 </w:t>
            </w:r>
          </w:p>
        </w:tc>
        <w:tc>
          <w:tcPr>
            <w:tcW w:w="1040" w:type="dxa"/>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 </w:t>
            </w:r>
          </w:p>
        </w:tc>
        <w:tc>
          <w:tcPr>
            <w:tcW w:w="1039" w:type="dxa"/>
            <w:vAlign w:val="center"/>
            <w:hideMark/>
          </w:tcPr>
          <w:p w:rsidR="005E74AA" w:rsidRP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sidRPr="005E74AA">
              <w:rPr>
                <w:rFonts w:ascii="Calibri" w:hAnsi="Calibri" w:cs="Calibri"/>
                <w:color w:val="000000"/>
                <w:sz w:val="22"/>
                <w:szCs w:val="22"/>
                <w:lang w:eastAsia="bg-BG"/>
              </w:rPr>
              <w:t> </w:t>
            </w:r>
          </w:p>
        </w:tc>
        <w:tc>
          <w:tcPr>
            <w:tcW w:w="1040" w:type="dxa"/>
            <w:vAlign w:val="center"/>
            <w:hideMark/>
          </w:tcPr>
          <w:p w:rsidR="005E74AA" w:rsidRP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sidRPr="005E74AA">
              <w:rPr>
                <w:rFonts w:ascii="Calibri" w:hAnsi="Calibri" w:cs="Calibri"/>
                <w:color w:val="000000"/>
                <w:sz w:val="22"/>
                <w:szCs w:val="22"/>
                <w:lang w:eastAsia="bg-BG"/>
              </w:rPr>
              <w:t> </w:t>
            </w:r>
          </w:p>
        </w:tc>
      </w:tr>
      <w:tr w:rsidR="005E74AA" w:rsidRPr="00066E89" w:rsidTr="0080674A">
        <w:trPr>
          <w:cnfStyle w:val="000000100000"/>
          <w:trHeight w:val="300"/>
        </w:trPr>
        <w:tc>
          <w:tcPr>
            <w:cnfStyle w:val="001000000000"/>
            <w:tcW w:w="3510" w:type="dxa"/>
            <w:vAlign w:val="center"/>
            <w:hideMark/>
          </w:tcPr>
          <w:p w:rsidR="005E74AA" w:rsidRDefault="005E74AA">
            <w:pPr>
              <w:rPr>
                <w:rFonts w:ascii="Calibri" w:hAnsi="Calibri" w:cs="Calibri"/>
                <w:color w:val="FFFFFF"/>
                <w:sz w:val="20"/>
                <w:szCs w:val="20"/>
              </w:rPr>
            </w:pPr>
            <w:r>
              <w:rPr>
                <w:rFonts w:ascii="Calibri" w:hAnsi="Calibri" w:cs="Calibri"/>
                <w:b w:val="0"/>
                <w:bCs w:val="0"/>
                <w:color w:val="FFFFFF"/>
                <w:sz w:val="20"/>
                <w:szCs w:val="20"/>
              </w:rPr>
              <w:t>Южен централен</w:t>
            </w:r>
          </w:p>
        </w:tc>
        <w:tc>
          <w:tcPr>
            <w:tcW w:w="1039"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27</w:t>
            </w:r>
          </w:p>
        </w:tc>
        <w:tc>
          <w:tcPr>
            <w:tcW w:w="1040"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24</w:t>
            </w:r>
          </w:p>
        </w:tc>
        <w:tc>
          <w:tcPr>
            <w:tcW w:w="1039"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106</w:t>
            </w:r>
          </w:p>
        </w:tc>
        <w:tc>
          <w:tcPr>
            <w:tcW w:w="1040"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21</w:t>
            </w:r>
          </w:p>
        </w:tc>
        <w:tc>
          <w:tcPr>
            <w:tcW w:w="1039" w:type="dxa"/>
            <w:vAlign w:val="center"/>
            <w:hideMark/>
          </w:tcPr>
          <w:p w:rsidR="005E74AA" w:rsidRP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sidRPr="005E74AA">
              <w:rPr>
                <w:rFonts w:ascii="Calibri" w:hAnsi="Calibri" w:cs="Calibri"/>
                <w:color w:val="000000"/>
                <w:sz w:val="22"/>
                <w:szCs w:val="22"/>
                <w:lang w:eastAsia="bg-BG"/>
              </w:rPr>
              <w:t>98</w:t>
            </w:r>
          </w:p>
        </w:tc>
        <w:tc>
          <w:tcPr>
            <w:tcW w:w="1040" w:type="dxa"/>
            <w:vAlign w:val="center"/>
            <w:hideMark/>
          </w:tcPr>
          <w:p w:rsidR="005E74AA" w:rsidRP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sidRPr="005E74AA">
              <w:rPr>
                <w:rFonts w:ascii="Calibri" w:hAnsi="Calibri" w:cs="Calibri"/>
                <w:color w:val="000000"/>
                <w:sz w:val="22"/>
                <w:szCs w:val="22"/>
                <w:lang w:eastAsia="bg-BG"/>
              </w:rPr>
              <w:t>30</w:t>
            </w:r>
          </w:p>
        </w:tc>
      </w:tr>
      <w:tr w:rsidR="005E74AA" w:rsidRPr="00066E89" w:rsidTr="0080674A">
        <w:trPr>
          <w:trHeight w:val="300"/>
        </w:trPr>
        <w:tc>
          <w:tcPr>
            <w:cnfStyle w:val="001000000000"/>
            <w:tcW w:w="3510" w:type="dxa"/>
            <w:vAlign w:val="center"/>
            <w:hideMark/>
          </w:tcPr>
          <w:p w:rsidR="005E74AA" w:rsidRDefault="005E74AA">
            <w:pPr>
              <w:rPr>
                <w:rFonts w:ascii="Calibri" w:hAnsi="Calibri" w:cs="Calibri"/>
                <w:color w:val="FFFFFF"/>
                <w:sz w:val="20"/>
                <w:szCs w:val="20"/>
              </w:rPr>
            </w:pPr>
            <w:r>
              <w:rPr>
                <w:rFonts w:ascii="Calibri" w:hAnsi="Calibri" w:cs="Calibri"/>
                <w:b w:val="0"/>
                <w:bCs w:val="0"/>
                <w:color w:val="FFFFFF"/>
                <w:sz w:val="20"/>
                <w:szCs w:val="20"/>
              </w:rPr>
              <w:t>Югоизточен</w:t>
            </w:r>
          </w:p>
        </w:tc>
        <w:tc>
          <w:tcPr>
            <w:tcW w:w="1039" w:type="dxa"/>
            <w:noWrap/>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9</w:t>
            </w:r>
          </w:p>
        </w:tc>
        <w:tc>
          <w:tcPr>
            <w:tcW w:w="1040" w:type="dxa"/>
            <w:noWrap/>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9</w:t>
            </w:r>
          </w:p>
        </w:tc>
        <w:tc>
          <w:tcPr>
            <w:tcW w:w="1039" w:type="dxa"/>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78</w:t>
            </w:r>
          </w:p>
        </w:tc>
        <w:tc>
          <w:tcPr>
            <w:tcW w:w="1040" w:type="dxa"/>
            <w:noWrap/>
            <w:vAlign w:val="center"/>
            <w:hideMark/>
          </w:tcPr>
          <w:p w:rsid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Pr>
                <w:rFonts w:ascii="Calibri" w:hAnsi="Calibri" w:cs="Calibri"/>
                <w:color w:val="000000"/>
                <w:sz w:val="22"/>
                <w:szCs w:val="22"/>
                <w:lang w:eastAsia="bg-BG"/>
              </w:rPr>
              <w:t>8</w:t>
            </w:r>
          </w:p>
        </w:tc>
        <w:tc>
          <w:tcPr>
            <w:tcW w:w="1039" w:type="dxa"/>
            <w:vAlign w:val="center"/>
            <w:hideMark/>
          </w:tcPr>
          <w:p w:rsidR="005E74AA" w:rsidRP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sidRPr="005E74AA">
              <w:rPr>
                <w:rFonts w:ascii="Calibri" w:hAnsi="Calibri" w:cs="Calibri"/>
                <w:color w:val="000000"/>
                <w:sz w:val="22"/>
                <w:szCs w:val="22"/>
                <w:lang w:eastAsia="bg-BG"/>
              </w:rPr>
              <w:t>74</w:t>
            </w:r>
          </w:p>
        </w:tc>
        <w:tc>
          <w:tcPr>
            <w:tcW w:w="1040" w:type="dxa"/>
            <w:noWrap/>
            <w:vAlign w:val="center"/>
            <w:hideMark/>
          </w:tcPr>
          <w:p w:rsidR="005E74AA" w:rsidRPr="005E74AA" w:rsidRDefault="005E74AA" w:rsidP="005E74AA">
            <w:pPr>
              <w:autoSpaceDE/>
              <w:autoSpaceDN/>
              <w:adjustRightInd/>
              <w:spacing w:after="0"/>
              <w:jc w:val="right"/>
              <w:cnfStyle w:val="000000000000"/>
              <w:rPr>
                <w:rFonts w:ascii="Calibri" w:hAnsi="Calibri" w:cs="Calibri"/>
                <w:color w:val="000000"/>
                <w:sz w:val="22"/>
                <w:szCs w:val="22"/>
                <w:lang w:eastAsia="bg-BG"/>
              </w:rPr>
            </w:pPr>
            <w:r w:rsidRPr="005E74AA">
              <w:rPr>
                <w:rFonts w:ascii="Calibri" w:hAnsi="Calibri" w:cs="Calibri"/>
                <w:color w:val="000000"/>
                <w:sz w:val="22"/>
                <w:szCs w:val="22"/>
                <w:lang w:eastAsia="bg-BG"/>
              </w:rPr>
              <w:t>15</w:t>
            </w:r>
          </w:p>
        </w:tc>
      </w:tr>
      <w:tr w:rsidR="005E74AA" w:rsidRPr="00066E89" w:rsidTr="0080674A">
        <w:trPr>
          <w:cnfStyle w:val="000000100000"/>
          <w:trHeight w:val="300"/>
        </w:trPr>
        <w:tc>
          <w:tcPr>
            <w:cnfStyle w:val="001000000000"/>
            <w:tcW w:w="3510" w:type="dxa"/>
            <w:vAlign w:val="center"/>
            <w:hideMark/>
          </w:tcPr>
          <w:p w:rsidR="005E74AA" w:rsidRDefault="005E74AA">
            <w:pPr>
              <w:rPr>
                <w:rFonts w:ascii="Calibri" w:hAnsi="Calibri" w:cs="Calibri"/>
                <w:color w:val="FFFFFF"/>
                <w:sz w:val="20"/>
                <w:szCs w:val="20"/>
              </w:rPr>
            </w:pPr>
            <w:r>
              <w:rPr>
                <w:rFonts w:ascii="Calibri" w:hAnsi="Calibri" w:cs="Calibri"/>
                <w:b w:val="0"/>
                <w:bCs w:val="0"/>
                <w:color w:val="FFFFFF"/>
                <w:sz w:val="20"/>
                <w:szCs w:val="20"/>
              </w:rPr>
              <w:t>София + Югозападен</w:t>
            </w:r>
          </w:p>
        </w:tc>
        <w:tc>
          <w:tcPr>
            <w:tcW w:w="1039"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73</w:t>
            </w:r>
          </w:p>
        </w:tc>
        <w:tc>
          <w:tcPr>
            <w:tcW w:w="1040"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69</w:t>
            </w:r>
          </w:p>
        </w:tc>
        <w:tc>
          <w:tcPr>
            <w:tcW w:w="1039"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408</w:t>
            </w:r>
          </w:p>
        </w:tc>
        <w:tc>
          <w:tcPr>
            <w:tcW w:w="1040" w:type="dxa"/>
            <w:vAlign w:val="center"/>
            <w:hideMark/>
          </w:tcPr>
          <w:p w:rsid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Pr>
                <w:rFonts w:ascii="Calibri" w:hAnsi="Calibri" w:cs="Calibri"/>
                <w:color w:val="000000"/>
                <w:sz w:val="22"/>
                <w:szCs w:val="22"/>
                <w:lang w:eastAsia="bg-BG"/>
              </w:rPr>
              <w:t>68</w:t>
            </w:r>
          </w:p>
        </w:tc>
        <w:tc>
          <w:tcPr>
            <w:tcW w:w="1039" w:type="dxa"/>
            <w:vAlign w:val="center"/>
            <w:hideMark/>
          </w:tcPr>
          <w:p w:rsidR="005E74AA" w:rsidRP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sidRPr="005E74AA">
              <w:rPr>
                <w:rFonts w:ascii="Calibri" w:hAnsi="Calibri" w:cs="Calibri"/>
                <w:color w:val="000000"/>
                <w:sz w:val="22"/>
                <w:szCs w:val="22"/>
                <w:lang w:eastAsia="bg-BG"/>
              </w:rPr>
              <w:t>409</w:t>
            </w:r>
          </w:p>
        </w:tc>
        <w:tc>
          <w:tcPr>
            <w:tcW w:w="1040" w:type="dxa"/>
            <w:vAlign w:val="center"/>
            <w:hideMark/>
          </w:tcPr>
          <w:p w:rsidR="005E74AA" w:rsidRPr="005E74AA" w:rsidRDefault="005E74AA" w:rsidP="005E74AA">
            <w:pPr>
              <w:autoSpaceDE/>
              <w:autoSpaceDN/>
              <w:adjustRightInd/>
              <w:spacing w:after="0"/>
              <w:jc w:val="right"/>
              <w:cnfStyle w:val="000000100000"/>
              <w:rPr>
                <w:rFonts w:ascii="Calibri" w:hAnsi="Calibri" w:cs="Calibri"/>
                <w:color w:val="000000"/>
                <w:sz w:val="22"/>
                <w:szCs w:val="22"/>
                <w:lang w:eastAsia="bg-BG"/>
              </w:rPr>
            </w:pPr>
            <w:r w:rsidRPr="005E74AA">
              <w:rPr>
                <w:rFonts w:ascii="Calibri" w:hAnsi="Calibri" w:cs="Calibri"/>
                <w:color w:val="000000"/>
                <w:sz w:val="22"/>
                <w:szCs w:val="22"/>
                <w:lang w:eastAsia="bg-BG"/>
              </w:rPr>
              <w:t>100</w:t>
            </w:r>
          </w:p>
        </w:tc>
      </w:tr>
      <w:tr w:rsidR="00030ECB" w:rsidRPr="001E52FA" w:rsidTr="0080674A">
        <w:trPr>
          <w:trHeight w:val="300"/>
        </w:trPr>
        <w:tc>
          <w:tcPr>
            <w:cnfStyle w:val="001000000000"/>
            <w:tcW w:w="3510" w:type="dxa"/>
            <w:vAlign w:val="center"/>
            <w:hideMark/>
          </w:tcPr>
          <w:p w:rsidR="00030ECB" w:rsidRPr="001E52FA" w:rsidRDefault="00030ECB" w:rsidP="003D3056">
            <w:pPr>
              <w:autoSpaceDE/>
              <w:autoSpaceDN/>
              <w:adjustRightInd/>
              <w:spacing w:beforeLines="20" w:afterLines="20"/>
              <w:jc w:val="left"/>
              <w:rPr>
                <w:rFonts w:ascii="Calibri" w:hAnsi="Calibri" w:cs="Calibri"/>
                <w:sz w:val="20"/>
                <w:szCs w:val="20"/>
                <w:lang w:eastAsia="bg-BG"/>
              </w:rPr>
            </w:pPr>
            <w:r w:rsidRPr="001E52FA">
              <w:rPr>
                <w:rFonts w:ascii="Calibri" w:hAnsi="Calibri" w:cs="Calibri"/>
                <w:sz w:val="20"/>
                <w:szCs w:val="20"/>
                <w:lang w:eastAsia="bg-BG"/>
              </w:rPr>
              <w:t>ОБЩО ПЕРСОНАЛ</w:t>
            </w:r>
          </w:p>
        </w:tc>
        <w:tc>
          <w:tcPr>
            <w:tcW w:w="1039" w:type="dxa"/>
            <w:noWrap/>
            <w:vAlign w:val="center"/>
            <w:hideMark/>
          </w:tcPr>
          <w:p w:rsidR="00030ECB" w:rsidRPr="001E52FA" w:rsidRDefault="00030ECB" w:rsidP="0080674A">
            <w:pPr>
              <w:autoSpaceDE/>
              <w:autoSpaceDN/>
              <w:adjustRightInd/>
              <w:spacing w:after="0"/>
              <w:jc w:val="right"/>
              <w:cnfStyle w:val="000000000000"/>
              <w:rPr>
                <w:rFonts w:ascii="Calibri" w:hAnsi="Calibri" w:cs="Calibri"/>
                <w:b/>
                <w:sz w:val="22"/>
                <w:szCs w:val="22"/>
                <w:lang w:eastAsia="bg-BG"/>
              </w:rPr>
            </w:pPr>
            <w:r w:rsidRPr="001E52FA">
              <w:rPr>
                <w:rFonts w:ascii="Calibri" w:hAnsi="Calibri" w:cs="Calibri"/>
                <w:b/>
                <w:sz w:val="22"/>
                <w:szCs w:val="22"/>
                <w:lang w:eastAsia="bg-BG"/>
              </w:rPr>
              <w:t>135</w:t>
            </w:r>
          </w:p>
        </w:tc>
        <w:tc>
          <w:tcPr>
            <w:tcW w:w="1040" w:type="dxa"/>
            <w:noWrap/>
            <w:vAlign w:val="center"/>
            <w:hideMark/>
          </w:tcPr>
          <w:p w:rsidR="00030ECB" w:rsidRPr="001E52FA" w:rsidRDefault="00030ECB" w:rsidP="0080674A">
            <w:pPr>
              <w:autoSpaceDE/>
              <w:autoSpaceDN/>
              <w:adjustRightInd/>
              <w:spacing w:after="0"/>
              <w:jc w:val="right"/>
              <w:cnfStyle w:val="000000000000"/>
              <w:rPr>
                <w:rFonts w:ascii="Calibri" w:hAnsi="Calibri" w:cs="Calibri"/>
                <w:b/>
                <w:sz w:val="22"/>
                <w:szCs w:val="22"/>
                <w:lang w:eastAsia="bg-BG"/>
              </w:rPr>
            </w:pPr>
            <w:r w:rsidRPr="001E52FA">
              <w:rPr>
                <w:rFonts w:ascii="Calibri" w:hAnsi="Calibri" w:cs="Calibri"/>
                <w:b/>
                <w:sz w:val="22"/>
                <w:szCs w:val="22"/>
                <w:lang w:eastAsia="bg-BG"/>
              </w:rPr>
              <w:t>130</w:t>
            </w:r>
          </w:p>
        </w:tc>
        <w:tc>
          <w:tcPr>
            <w:tcW w:w="1039" w:type="dxa"/>
            <w:noWrap/>
            <w:vAlign w:val="center"/>
            <w:hideMark/>
          </w:tcPr>
          <w:p w:rsidR="00030ECB" w:rsidRPr="001E52FA" w:rsidRDefault="00030ECB" w:rsidP="0080674A">
            <w:pPr>
              <w:autoSpaceDE/>
              <w:autoSpaceDN/>
              <w:adjustRightInd/>
              <w:spacing w:after="0"/>
              <w:jc w:val="right"/>
              <w:cnfStyle w:val="000000000000"/>
              <w:rPr>
                <w:rFonts w:ascii="Calibri" w:hAnsi="Calibri" w:cs="Calibri"/>
                <w:b/>
                <w:sz w:val="22"/>
                <w:szCs w:val="22"/>
                <w:lang w:eastAsia="bg-BG"/>
              </w:rPr>
            </w:pPr>
            <w:r w:rsidRPr="001E52FA">
              <w:rPr>
                <w:rFonts w:ascii="Calibri" w:hAnsi="Calibri" w:cs="Calibri"/>
                <w:b/>
                <w:sz w:val="22"/>
                <w:szCs w:val="22"/>
                <w:lang w:eastAsia="bg-BG"/>
              </w:rPr>
              <w:t>842</w:t>
            </w:r>
          </w:p>
        </w:tc>
        <w:tc>
          <w:tcPr>
            <w:tcW w:w="1040" w:type="dxa"/>
            <w:noWrap/>
            <w:vAlign w:val="center"/>
            <w:hideMark/>
          </w:tcPr>
          <w:p w:rsidR="00030ECB" w:rsidRPr="001E52FA" w:rsidRDefault="00030ECB" w:rsidP="0080674A">
            <w:pPr>
              <w:autoSpaceDE/>
              <w:autoSpaceDN/>
              <w:adjustRightInd/>
              <w:spacing w:after="0"/>
              <w:jc w:val="right"/>
              <w:cnfStyle w:val="000000000000"/>
              <w:rPr>
                <w:rFonts w:ascii="Calibri" w:hAnsi="Calibri" w:cs="Calibri"/>
                <w:b/>
                <w:sz w:val="22"/>
                <w:szCs w:val="22"/>
                <w:lang w:eastAsia="bg-BG"/>
              </w:rPr>
            </w:pPr>
            <w:r w:rsidRPr="001E52FA">
              <w:rPr>
                <w:rFonts w:ascii="Calibri" w:hAnsi="Calibri" w:cs="Calibri"/>
                <w:b/>
                <w:sz w:val="22"/>
                <w:szCs w:val="22"/>
                <w:lang w:eastAsia="bg-BG"/>
              </w:rPr>
              <w:t>122</w:t>
            </w:r>
          </w:p>
        </w:tc>
        <w:tc>
          <w:tcPr>
            <w:tcW w:w="1039" w:type="dxa"/>
            <w:noWrap/>
            <w:vAlign w:val="center"/>
            <w:hideMark/>
          </w:tcPr>
          <w:p w:rsidR="00030ECB" w:rsidRPr="00030ECB" w:rsidRDefault="00030ECB" w:rsidP="0080674A">
            <w:pPr>
              <w:autoSpaceDE/>
              <w:autoSpaceDN/>
              <w:adjustRightInd/>
              <w:spacing w:after="0"/>
              <w:jc w:val="right"/>
              <w:cnfStyle w:val="000000000000"/>
              <w:rPr>
                <w:rFonts w:ascii="Calibri" w:hAnsi="Calibri" w:cs="Calibri"/>
                <w:b/>
                <w:color w:val="000000"/>
                <w:sz w:val="22"/>
                <w:szCs w:val="22"/>
                <w:lang w:eastAsia="bg-BG"/>
              </w:rPr>
            </w:pPr>
            <w:r w:rsidRPr="00030ECB">
              <w:rPr>
                <w:rFonts w:ascii="Calibri" w:hAnsi="Calibri" w:cs="Calibri"/>
                <w:b/>
                <w:color w:val="000000"/>
                <w:sz w:val="22"/>
                <w:szCs w:val="22"/>
                <w:lang w:eastAsia="bg-BG"/>
              </w:rPr>
              <w:t>859</w:t>
            </w:r>
          </w:p>
        </w:tc>
        <w:tc>
          <w:tcPr>
            <w:tcW w:w="1040" w:type="dxa"/>
            <w:noWrap/>
            <w:vAlign w:val="center"/>
            <w:hideMark/>
          </w:tcPr>
          <w:p w:rsidR="00030ECB" w:rsidRPr="00030ECB" w:rsidRDefault="00030ECB" w:rsidP="0080674A">
            <w:pPr>
              <w:autoSpaceDE/>
              <w:autoSpaceDN/>
              <w:adjustRightInd/>
              <w:spacing w:after="0"/>
              <w:jc w:val="right"/>
              <w:cnfStyle w:val="000000000000"/>
              <w:rPr>
                <w:rFonts w:ascii="Calibri" w:hAnsi="Calibri" w:cs="Calibri"/>
                <w:b/>
                <w:color w:val="000000"/>
                <w:sz w:val="22"/>
                <w:szCs w:val="22"/>
                <w:lang w:eastAsia="bg-BG"/>
              </w:rPr>
            </w:pPr>
            <w:r w:rsidRPr="00030ECB">
              <w:rPr>
                <w:rFonts w:ascii="Calibri" w:hAnsi="Calibri" w:cs="Calibri"/>
                <w:b/>
                <w:color w:val="000000"/>
                <w:sz w:val="22"/>
                <w:szCs w:val="22"/>
                <w:lang w:eastAsia="bg-BG"/>
              </w:rPr>
              <w:t>187</w:t>
            </w:r>
          </w:p>
        </w:tc>
      </w:tr>
      <w:tr w:rsidR="00030ECB" w:rsidRPr="00066E89" w:rsidTr="0080674A">
        <w:trPr>
          <w:cnfStyle w:val="000000100000"/>
          <w:trHeight w:val="300"/>
        </w:trPr>
        <w:tc>
          <w:tcPr>
            <w:cnfStyle w:val="001000000000"/>
            <w:tcW w:w="3510" w:type="dxa"/>
            <w:vAlign w:val="center"/>
            <w:hideMark/>
          </w:tcPr>
          <w:p w:rsidR="00030ECB" w:rsidRPr="00946ECF" w:rsidRDefault="00030ECB" w:rsidP="003D3056">
            <w:pPr>
              <w:autoSpaceDE/>
              <w:autoSpaceDN/>
              <w:adjustRightInd/>
              <w:spacing w:beforeLines="20" w:afterLines="20"/>
              <w:jc w:val="left"/>
              <w:rPr>
                <w:rFonts w:ascii="Calibri" w:hAnsi="Calibri" w:cs="Calibri"/>
                <w:sz w:val="20"/>
                <w:szCs w:val="20"/>
                <w:lang w:eastAsia="bg-BG"/>
              </w:rPr>
            </w:pPr>
            <w:r w:rsidRPr="00946ECF">
              <w:rPr>
                <w:rFonts w:ascii="Calibri" w:hAnsi="Calibri" w:cs="Calibri"/>
                <w:sz w:val="20"/>
                <w:szCs w:val="20"/>
                <w:lang w:eastAsia="bg-BG"/>
              </w:rPr>
              <w:t>Изменение</w:t>
            </w:r>
            <w:r>
              <w:rPr>
                <w:rFonts w:ascii="Calibri" w:hAnsi="Calibri" w:cs="Calibri"/>
                <w:sz w:val="20"/>
                <w:szCs w:val="20"/>
                <w:lang w:eastAsia="bg-BG"/>
              </w:rPr>
              <w:t>, %</w:t>
            </w:r>
          </w:p>
        </w:tc>
        <w:tc>
          <w:tcPr>
            <w:tcW w:w="1039" w:type="dxa"/>
            <w:noWrap/>
            <w:vAlign w:val="center"/>
            <w:hideMark/>
          </w:tcPr>
          <w:p w:rsidR="00030ECB" w:rsidRPr="00066E89" w:rsidRDefault="00030ECB" w:rsidP="0080674A">
            <w:pPr>
              <w:autoSpaceDE/>
              <w:autoSpaceDN/>
              <w:adjustRightInd/>
              <w:spacing w:after="0"/>
              <w:jc w:val="right"/>
              <w:cnfStyle w:val="000000100000"/>
              <w:rPr>
                <w:rFonts w:ascii="Calibri" w:hAnsi="Calibri" w:cs="Calibri"/>
                <w:color w:val="000000"/>
                <w:sz w:val="22"/>
                <w:szCs w:val="22"/>
                <w:lang w:eastAsia="bg-BG"/>
              </w:rPr>
            </w:pPr>
          </w:p>
        </w:tc>
        <w:tc>
          <w:tcPr>
            <w:tcW w:w="1040" w:type="dxa"/>
            <w:noWrap/>
            <w:vAlign w:val="center"/>
            <w:hideMark/>
          </w:tcPr>
          <w:p w:rsidR="00030ECB" w:rsidRPr="00066E89" w:rsidRDefault="00030ECB" w:rsidP="0080674A">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-3,7%</w:t>
            </w:r>
          </w:p>
        </w:tc>
        <w:tc>
          <w:tcPr>
            <w:tcW w:w="1039" w:type="dxa"/>
            <w:noWrap/>
            <w:vAlign w:val="center"/>
            <w:hideMark/>
          </w:tcPr>
          <w:p w:rsidR="00030ECB" w:rsidRPr="00066E89" w:rsidRDefault="00030ECB" w:rsidP="0080674A">
            <w:pPr>
              <w:autoSpaceDE/>
              <w:autoSpaceDN/>
              <w:adjustRightInd/>
              <w:spacing w:after="0"/>
              <w:jc w:val="right"/>
              <w:cnfStyle w:val="000000100000"/>
              <w:rPr>
                <w:rFonts w:ascii="Calibri" w:hAnsi="Calibri" w:cs="Calibri"/>
                <w:color w:val="000000"/>
                <w:sz w:val="22"/>
                <w:szCs w:val="22"/>
                <w:lang w:eastAsia="bg-BG"/>
              </w:rPr>
            </w:pPr>
          </w:p>
        </w:tc>
        <w:tc>
          <w:tcPr>
            <w:tcW w:w="1040" w:type="dxa"/>
            <w:noWrap/>
            <w:vAlign w:val="center"/>
            <w:hideMark/>
          </w:tcPr>
          <w:p w:rsidR="00030ECB" w:rsidRPr="00066E89" w:rsidRDefault="00030ECB" w:rsidP="0080674A">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-6,2%</w:t>
            </w:r>
          </w:p>
        </w:tc>
        <w:tc>
          <w:tcPr>
            <w:tcW w:w="1039" w:type="dxa"/>
            <w:noWrap/>
            <w:vAlign w:val="center"/>
            <w:hideMark/>
          </w:tcPr>
          <w:p w:rsidR="00030ECB" w:rsidRPr="00066E89" w:rsidRDefault="00030ECB" w:rsidP="0080674A">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2,3%</w:t>
            </w:r>
          </w:p>
        </w:tc>
        <w:tc>
          <w:tcPr>
            <w:tcW w:w="1040" w:type="dxa"/>
            <w:noWrap/>
            <w:vAlign w:val="center"/>
            <w:hideMark/>
          </w:tcPr>
          <w:p w:rsidR="00030ECB" w:rsidRPr="00066E89" w:rsidRDefault="00030ECB" w:rsidP="0080674A">
            <w:pPr>
              <w:autoSpaceDE/>
              <w:autoSpaceDN/>
              <w:adjustRightInd/>
              <w:spacing w:after="0"/>
              <w:jc w:val="right"/>
              <w:cnfStyle w:val="000000100000"/>
              <w:rPr>
                <w:rFonts w:ascii="Calibri" w:hAnsi="Calibri" w:cs="Calibri"/>
                <w:color w:val="000000"/>
                <w:sz w:val="22"/>
                <w:szCs w:val="22"/>
                <w:lang w:eastAsia="bg-BG"/>
              </w:rPr>
            </w:pPr>
            <w:r w:rsidRPr="00066E89">
              <w:rPr>
                <w:rFonts w:ascii="Calibri" w:hAnsi="Calibri" w:cs="Calibri"/>
                <w:color w:val="000000"/>
                <w:sz w:val="22"/>
                <w:szCs w:val="22"/>
                <w:lang w:eastAsia="bg-BG"/>
              </w:rPr>
              <w:t>8,2%</w:t>
            </w:r>
          </w:p>
        </w:tc>
      </w:tr>
    </w:tbl>
    <w:p w:rsidR="00030ECB" w:rsidRPr="00947CFD" w:rsidRDefault="00030ECB" w:rsidP="00932B3D"/>
    <w:p w:rsidR="00633051" w:rsidRDefault="00633051" w:rsidP="00633051">
      <w:pPr>
        <w:autoSpaceDE/>
        <w:autoSpaceDN/>
        <w:adjustRightInd/>
        <w:spacing w:after="0"/>
      </w:pPr>
      <w:r>
        <w:t>Дейността на компанията няма</w:t>
      </w:r>
      <w:r w:rsidR="00F82CCC">
        <w:t xml:space="preserve"> </w:t>
      </w:r>
      <w:r>
        <w:t>изразен сезонен характер, поради което и не се наемат служители на временни договори.</w:t>
      </w:r>
    </w:p>
    <w:p w:rsidR="00FC3657" w:rsidRPr="00A56C26" w:rsidRDefault="00D567F6" w:rsidP="008F4880">
      <w:pPr>
        <w:pStyle w:val="Heading1"/>
        <w:rPr>
          <w:rFonts w:ascii="Times New Roman" w:hAnsi="Times New Roman"/>
          <w:b w:val="0"/>
          <w:i/>
          <w:sz w:val="24"/>
          <w:szCs w:val="24"/>
        </w:rPr>
      </w:pPr>
      <w:bookmarkStart w:id="133" w:name="_Toc324206026"/>
      <w:bookmarkStart w:id="134" w:name="_Toc324376954"/>
      <w:bookmarkStart w:id="135" w:name="_Toc324377133"/>
      <w:bookmarkStart w:id="136" w:name="_Toc324380113"/>
      <w:r w:rsidRPr="00A56C26">
        <w:rPr>
          <w:rFonts w:ascii="Times New Roman" w:hAnsi="Times New Roman"/>
          <w:b w:val="0"/>
          <w:i/>
          <w:sz w:val="24"/>
          <w:szCs w:val="24"/>
        </w:rPr>
        <w:t xml:space="preserve">Информация </w:t>
      </w:r>
      <w:r w:rsidR="00FC3657" w:rsidRPr="00A56C26">
        <w:rPr>
          <w:rFonts w:ascii="Times New Roman" w:hAnsi="Times New Roman"/>
          <w:b w:val="0"/>
          <w:i/>
          <w:sz w:val="24"/>
          <w:szCs w:val="24"/>
        </w:rPr>
        <w:t>з</w:t>
      </w:r>
      <w:r w:rsidR="00F6218F">
        <w:rPr>
          <w:rFonts w:ascii="Times New Roman" w:hAnsi="Times New Roman"/>
          <w:b w:val="0"/>
          <w:i/>
          <w:sz w:val="24"/>
          <w:szCs w:val="24"/>
        </w:rPr>
        <w:t>а притежавани акции на емитента.</w:t>
      </w:r>
      <w:bookmarkEnd w:id="133"/>
      <w:bookmarkEnd w:id="134"/>
      <w:bookmarkEnd w:id="135"/>
      <w:bookmarkEnd w:id="136"/>
    </w:p>
    <w:p w:rsidR="00FD7C04" w:rsidRDefault="00A56C26" w:rsidP="00FD7C04">
      <w:r>
        <w:t xml:space="preserve">Членовете на Съвета на директорите на </w:t>
      </w:r>
      <w:r w:rsidR="00D70BF4">
        <w:t>„СПИДИ” ЕАД</w:t>
      </w:r>
      <w:r w:rsidR="00D567F6">
        <w:t xml:space="preserve"> не притежават пряко акции или опции върху акциите на емитента </w:t>
      </w:r>
      <w:r w:rsidR="00FD7C04">
        <w:t xml:space="preserve">към </w:t>
      </w:r>
      <w:r w:rsidR="00D567F6">
        <w:t>момента на изготвянето на настоящия Регистрационен документи</w:t>
      </w:r>
      <w:r w:rsidR="00FD7C04">
        <w:t>.</w:t>
      </w:r>
    </w:p>
    <w:p w:rsidR="00E23FCF" w:rsidRDefault="00D567F6" w:rsidP="0081617A">
      <w:pPr>
        <w:rPr>
          <w:b/>
          <w:bCs/>
          <w:smallCaps/>
          <w:kern w:val="32"/>
          <w:sz w:val="28"/>
          <w:szCs w:val="28"/>
        </w:rPr>
      </w:pPr>
      <w:r>
        <w:t xml:space="preserve">Няма постигнати договорености </w:t>
      </w:r>
      <w:r w:rsidRPr="00EA1CC6">
        <w:t>за участие на служителите в капитала на емитента, включително чрез издаване на акции, опции или други ценни книжа на емитента</w:t>
      </w:r>
      <w:r w:rsidR="0081617A">
        <w:rPr>
          <w:smallCaps/>
          <w:sz w:val="28"/>
          <w:szCs w:val="28"/>
        </w:rPr>
        <w:t>.</w:t>
      </w:r>
      <w:r w:rsidR="00E23FCF">
        <w:rPr>
          <w:smallCaps/>
          <w:sz w:val="28"/>
          <w:szCs w:val="28"/>
        </w:rPr>
        <w:br w:type="page"/>
      </w:r>
    </w:p>
    <w:p w:rsidR="00FC3657" w:rsidRPr="000A60D1" w:rsidRDefault="00FC3657" w:rsidP="000A60D1">
      <w:pPr>
        <w:pStyle w:val="Heading1"/>
        <w:numPr>
          <w:ilvl w:val="0"/>
          <w:numId w:val="11"/>
        </w:numPr>
        <w:rPr>
          <w:rFonts w:ascii="Times New Roman" w:hAnsi="Times New Roman"/>
          <w:smallCaps/>
          <w:sz w:val="28"/>
          <w:szCs w:val="28"/>
        </w:rPr>
      </w:pPr>
      <w:bookmarkStart w:id="137" w:name="_Toc324376955"/>
      <w:bookmarkStart w:id="138" w:name="_Toc324380114"/>
      <w:r w:rsidRPr="000A60D1">
        <w:rPr>
          <w:rFonts w:ascii="Times New Roman" w:hAnsi="Times New Roman"/>
          <w:smallCaps/>
          <w:sz w:val="28"/>
          <w:szCs w:val="28"/>
        </w:rPr>
        <w:t>Акционери със значително у</w:t>
      </w:r>
      <w:r w:rsidR="00E12E48">
        <w:rPr>
          <w:rFonts w:ascii="Times New Roman" w:hAnsi="Times New Roman"/>
          <w:smallCaps/>
          <w:sz w:val="28"/>
          <w:szCs w:val="28"/>
        </w:rPr>
        <w:t>частие.</w:t>
      </w:r>
      <w:bookmarkEnd w:id="137"/>
      <w:bookmarkEnd w:id="138"/>
    </w:p>
    <w:p w:rsidR="00FC3657" w:rsidRPr="00704768" w:rsidRDefault="00FC3657" w:rsidP="00704768">
      <w:pPr>
        <w:pStyle w:val="Heading1"/>
        <w:numPr>
          <w:ilvl w:val="1"/>
          <w:numId w:val="11"/>
        </w:numPr>
        <w:ind w:left="567" w:hanging="567"/>
        <w:rPr>
          <w:rFonts w:ascii="Times New Roman" w:hAnsi="Times New Roman"/>
          <w:b w:val="0"/>
          <w:i/>
          <w:smallCaps/>
          <w:sz w:val="24"/>
          <w:szCs w:val="24"/>
        </w:rPr>
      </w:pPr>
      <w:bookmarkStart w:id="139" w:name="_Ref324335925"/>
      <w:bookmarkStart w:id="140" w:name="_Toc324376956"/>
      <w:bookmarkStart w:id="141" w:name="_Toc324380115"/>
      <w:r w:rsidRPr="00704768">
        <w:rPr>
          <w:rFonts w:ascii="Times New Roman" w:hAnsi="Times New Roman"/>
          <w:b w:val="0"/>
          <w:i/>
          <w:smallCaps/>
          <w:sz w:val="24"/>
          <w:szCs w:val="24"/>
        </w:rPr>
        <w:t>Данни за акционерите, притежаващи над 5 на</w:t>
      </w:r>
      <w:r w:rsidR="00704768">
        <w:rPr>
          <w:rFonts w:ascii="Times New Roman" w:hAnsi="Times New Roman"/>
          <w:b w:val="0"/>
          <w:i/>
          <w:smallCaps/>
          <w:sz w:val="24"/>
          <w:szCs w:val="24"/>
        </w:rPr>
        <w:t xml:space="preserve"> сто от акциите с право на глас.</w:t>
      </w:r>
      <w:bookmarkEnd w:id="139"/>
      <w:bookmarkEnd w:id="140"/>
      <w:bookmarkEnd w:id="141"/>
    </w:p>
    <w:p w:rsidR="00F57078" w:rsidRDefault="00F57078" w:rsidP="00942CE6"/>
    <w:p w:rsidR="00F57078" w:rsidRDefault="00F57078" w:rsidP="00942CE6">
      <w:r>
        <w:t>„СПИДИ” ЕАД е еднолична собственост на „Спиди груп” АД.</w:t>
      </w:r>
    </w:p>
    <w:p w:rsidR="00F57078" w:rsidRDefault="00F57078" w:rsidP="00942CE6"/>
    <w:tbl>
      <w:tblPr>
        <w:tblW w:w="9781" w:type="dxa"/>
        <w:tblInd w:w="108" w:type="dxa"/>
        <w:tblLook w:val="04A0"/>
      </w:tblPr>
      <w:tblGrid>
        <w:gridCol w:w="3260"/>
        <w:gridCol w:w="6521"/>
      </w:tblGrid>
      <w:tr w:rsidR="00F57078" w:rsidTr="00A52886">
        <w:tc>
          <w:tcPr>
            <w:tcW w:w="3260" w:type="dxa"/>
          </w:tcPr>
          <w:p w:rsidR="00F57078" w:rsidRPr="00BA4021" w:rsidRDefault="00F57078" w:rsidP="00597523">
            <w:pPr>
              <w:ind w:left="-108"/>
              <w:rPr>
                <w:b/>
              </w:rPr>
            </w:pPr>
            <w:r>
              <w:rPr>
                <w:b/>
              </w:rPr>
              <w:t>Наименование</w:t>
            </w:r>
          </w:p>
        </w:tc>
        <w:tc>
          <w:tcPr>
            <w:tcW w:w="6521" w:type="dxa"/>
          </w:tcPr>
          <w:p w:rsidR="00F57078" w:rsidRDefault="00F57078" w:rsidP="00F57078">
            <w:r>
              <w:t>"Спиди груп" А</w:t>
            </w:r>
            <w:r w:rsidRPr="00B9611D">
              <w:t>Д</w:t>
            </w:r>
          </w:p>
        </w:tc>
      </w:tr>
      <w:tr w:rsidR="00F57078" w:rsidTr="00A52886">
        <w:tc>
          <w:tcPr>
            <w:tcW w:w="3260" w:type="dxa"/>
          </w:tcPr>
          <w:p w:rsidR="00F57078" w:rsidRDefault="00F57078" w:rsidP="00597523">
            <w:pPr>
              <w:ind w:left="-108"/>
              <w:rPr>
                <w:b/>
              </w:rPr>
            </w:pPr>
            <w:r>
              <w:rPr>
                <w:b/>
              </w:rPr>
              <w:t>ЕИК</w:t>
            </w:r>
          </w:p>
        </w:tc>
        <w:tc>
          <w:tcPr>
            <w:tcW w:w="6521" w:type="dxa"/>
          </w:tcPr>
          <w:p w:rsidR="00F57078" w:rsidRDefault="00F57078" w:rsidP="00597523">
            <w:r w:rsidRPr="00F57078">
              <w:t>201657129</w:t>
            </w:r>
          </w:p>
        </w:tc>
      </w:tr>
      <w:tr w:rsidR="00F57078" w:rsidRPr="0006033A" w:rsidTr="00A52886">
        <w:trPr>
          <w:trHeight w:val="672"/>
        </w:trPr>
        <w:tc>
          <w:tcPr>
            <w:tcW w:w="3260" w:type="dxa"/>
          </w:tcPr>
          <w:p w:rsidR="00F57078" w:rsidRDefault="00F57078" w:rsidP="00597523">
            <w:pPr>
              <w:ind w:left="-108"/>
              <w:rPr>
                <w:b/>
              </w:rPr>
            </w:pPr>
            <w:r w:rsidRPr="00BA4021">
              <w:rPr>
                <w:b/>
              </w:rPr>
              <w:t>Седалище</w:t>
            </w:r>
            <w:r>
              <w:rPr>
                <w:b/>
              </w:rPr>
              <w:t xml:space="preserve"> и </w:t>
            </w:r>
            <w:r w:rsidRPr="00BA4021">
              <w:rPr>
                <w:b/>
              </w:rPr>
              <w:t>адрес</w:t>
            </w:r>
          </w:p>
          <w:p w:rsidR="00F57078" w:rsidRPr="00BA4021" w:rsidRDefault="00F57078" w:rsidP="00597523">
            <w:pPr>
              <w:ind w:left="-108"/>
              <w:rPr>
                <w:b/>
              </w:rPr>
            </w:pPr>
            <w:r w:rsidRPr="00BA4021">
              <w:rPr>
                <w:b/>
              </w:rPr>
              <w:t>на управление</w:t>
            </w:r>
          </w:p>
        </w:tc>
        <w:tc>
          <w:tcPr>
            <w:tcW w:w="6521" w:type="dxa"/>
          </w:tcPr>
          <w:p w:rsidR="00F57078" w:rsidRPr="0006033A" w:rsidRDefault="00F57078" w:rsidP="00597523">
            <w:r w:rsidRPr="00837E61">
              <w:t>България, област Пловдив, гр. Пловдив 4003, р-н Северен, бул. Васил Левски № 151</w:t>
            </w:r>
          </w:p>
        </w:tc>
      </w:tr>
      <w:tr w:rsidR="00F57078" w:rsidTr="00A52886">
        <w:tc>
          <w:tcPr>
            <w:tcW w:w="3260" w:type="dxa"/>
          </w:tcPr>
          <w:p w:rsidR="00F57078" w:rsidRDefault="00F57078" w:rsidP="00597523">
            <w:pPr>
              <w:ind w:left="-108"/>
              <w:rPr>
                <w:b/>
              </w:rPr>
            </w:pPr>
            <w:r>
              <w:rPr>
                <w:b/>
              </w:rPr>
              <w:t>Брой акции с право на глас</w:t>
            </w:r>
          </w:p>
        </w:tc>
        <w:tc>
          <w:tcPr>
            <w:tcW w:w="6521" w:type="dxa"/>
          </w:tcPr>
          <w:p w:rsidR="00F57078" w:rsidRPr="00B9611D" w:rsidRDefault="00F57078" w:rsidP="00597523">
            <w:r>
              <w:t>1 482 200</w:t>
            </w:r>
          </w:p>
        </w:tc>
      </w:tr>
      <w:tr w:rsidR="00F57078" w:rsidRPr="0006033A" w:rsidTr="00326A38">
        <w:trPr>
          <w:trHeight w:val="88"/>
        </w:trPr>
        <w:tc>
          <w:tcPr>
            <w:tcW w:w="3260" w:type="dxa"/>
          </w:tcPr>
          <w:p w:rsidR="00F57078" w:rsidRPr="00BA4021" w:rsidRDefault="00F57078" w:rsidP="00597523">
            <w:pPr>
              <w:ind w:left="-108"/>
              <w:rPr>
                <w:b/>
              </w:rPr>
            </w:pPr>
            <w:r>
              <w:rPr>
                <w:b/>
              </w:rPr>
              <w:t>Дял в ОСА на емитента</w:t>
            </w:r>
          </w:p>
        </w:tc>
        <w:tc>
          <w:tcPr>
            <w:tcW w:w="6521" w:type="dxa"/>
          </w:tcPr>
          <w:p w:rsidR="00F57078" w:rsidRPr="002B4913" w:rsidRDefault="00F57078" w:rsidP="00597523">
            <w:r>
              <w:t>100%</w:t>
            </w:r>
          </w:p>
        </w:tc>
      </w:tr>
    </w:tbl>
    <w:p w:rsidR="00217674" w:rsidRDefault="00217674" w:rsidP="00942CE6"/>
    <w:p w:rsidR="00326A38" w:rsidRDefault="00326A38" w:rsidP="00942CE6">
      <w:r>
        <w:t>Непряко дружеството участие в „Спиди” ЕАД притежава</w:t>
      </w:r>
    </w:p>
    <w:tbl>
      <w:tblPr>
        <w:tblW w:w="9781" w:type="dxa"/>
        <w:tblInd w:w="108" w:type="dxa"/>
        <w:tblLook w:val="04A0"/>
      </w:tblPr>
      <w:tblGrid>
        <w:gridCol w:w="3260"/>
        <w:gridCol w:w="6521"/>
      </w:tblGrid>
      <w:tr w:rsidR="00326A38" w:rsidTr="00EE70FC">
        <w:tc>
          <w:tcPr>
            <w:tcW w:w="3260" w:type="dxa"/>
          </w:tcPr>
          <w:p w:rsidR="00326A38" w:rsidRPr="00BA4021" w:rsidRDefault="00326A38" w:rsidP="00EE70FC">
            <w:pPr>
              <w:ind w:left="-108"/>
              <w:rPr>
                <w:b/>
              </w:rPr>
            </w:pPr>
            <w:r>
              <w:rPr>
                <w:b/>
              </w:rPr>
              <w:t>Наименование</w:t>
            </w:r>
          </w:p>
        </w:tc>
        <w:tc>
          <w:tcPr>
            <w:tcW w:w="6521" w:type="dxa"/>
          </w:tcPr>
          <w:p w:rsidR="00326A38" w:rsidRDefault="00326A38" w:rsidP="00EE70FC">
            <w:r>
              <w:t>Валери Мектупчиян</w:t>
            </w:r>
          </w:p>
        </w:tc>
      </w:tr>
      <w:tr w:rsidR="00326A38" w:rsidRPr="0006033A" w:rsidTr="00326A38">
        <w:trPr>
          <w:trHeight w:val="202"/>
        </w:trPr>
        <w:tc>
          <w:tcPr>
            <w:tcW w:w="3260" w:type="dxa"/>
          </w:tcPr>
          <w:p w:rsidR="00326A38" w:rsidRPr="00BA4021" w:rsidRDefault="00326A38" w:rsidP="00326A38">
            <w:pPr>
              <w:ind w:left="-108"/>
              <w:rPr>
                <w:b/>
              </w:rPr>
            </w:pPr>
            <w:r w:rsidRPr="00BA4021">
              <w:rPr>
                <w:b/>
              </w:rPr>
              <w:t>Адрес</w:t>
            </w:r>
          </w:p>
        </w:tc>
        <w:tc>
          <w:tcPr>
            <w:tcW w:w="6521" w:type="dxa"/>
          </w:tcPr>
          <w:p w:rsidR="00326A38" w:rsidRPr="0006033A" w:rsidRDefault="00326A38" w:rsidP="00EE70FC">
            <w:r>
              <w:t>гр. София, район Младост, ул. „Самоковско шосе“  № 1</w:t>
            </w:r>
          </w:p>
        </w:tc>
      </w:tr>
      <w:tr w:rsidR="00326A38" w:rsidTr="00EE70FC">
        <w:tc>
          <w:tcPr>
            <w:tcW w:w="3260" w:type="dxa"/>
          </w:tcPr>
          <w:p w:rsidR="00326A38" w:rsidRDefault="00326A38" w:rsidP="00EE70FC">
            <w:pPr>
              <w:ind w:left="-108"/>
              <w:rPr>
                <w:b/>
              </w:rPr>
            </w:pPr>
            <w:r>
              <w:rPr>
                <w:b/>
              </w:rPr>
              <w:t>Брой акции с право на глас</w:t>
            </w:r>
          </w:p>
        </w:tc>
        <w:tc>
          <w:tcPr>
            <w:tcW w:w="6521" w:type="dxa"/>
          </w:tcPr>
          <w:p w:rsidR="00326A38" w:rsidRPr="00B9611D" w:rsidRDefault="00326A38" w:rsidP="00EE70FC">
            <w:r>
              <w:t>1 482 200</w:t>
            </w:r>
          </w:p>
        </w:tc>
      </w:tr>
      <w:tr w:rsidR="00326A38" w:rsidRPr="0006033A" w:rsidTr="00EE70FC">
        <w:trPr>
          <w:trHeight w:val="88"/>
        </w:trPr>
        <w:tc>
          <w:tcPr>
            <w:tcW w:w="3260" w:type="dxa"/>
          </w:tcPr>
          <w:p w:rsidR="00326A38" w:rsidRPr="00BA4021" w:rsidRDefault="00326A38" w:rsidP="00EE70FC">
            <w:pPr>
              <w:ind w:left="-108"/>
              <w:rPr>
                <w:b/>
              </w:rPr>
            </w:pPr>
            <w:r>
              <w:rPr>
                <w:b/>
              </w:rPr>
              <w:t>Дял в ОСА на емитента</w:t>
            </w:r>
          </w:p>
        </w:tc>
        <w:tc>
          <w:tcPr>
            <w:tcW w:w="6521" w:type="dxa"/>
          </w:tcPr>
          <w:p w:rsidR="00326A38" w:rsidRPr="002B4913" w:rsidRDefault="00326A38" w:rsidP="00EE70FC">
            <w:r>
              <w:t>100%, чрез „Спиди груп” АД</w:t>
            </w:r>
          </w:p>
        </w:tc>
      </w:tr>
    </w:tbl>
    <w:p w:rsidR="00326A38" w:rsidRDefault="00326A38" w:rsidP="00942CE6"/>
    <w:p w:rsidR="00702DDD" w:rsidRDefault="00A34047" w:rsidP="00942CE6">
      <w:r>
        <w:t xml:space="preserve">На  </w:t>
      </w:r>
      <w:r w:rsidR="00F57078">
        <w:t xml:space="preserve">04.08.2011 г. „Спиди груп” АД придобива </w:t>
      </w:r>
      <w:r w:rsidR="00433909">
        <w:t>995 040 бр. акции с право на глас от капитала на „СПИДИ” ЕАД, чрез апортна вноска на акции на емитента, пр</w:t>
      </w:r>
      <w:r w:rsidR="00702DDD">
        <w:t>итежавани от Валери Мектупчиан.</w:t>
      </w:r>
    </w:p>
    <w:p w:rsidR="00F57078" w:rsidRDefault="00433909" w:rsidP="00942CE6">
      <w:r>
        <w:t>През Май 2012, същото придобива останалите 487 169 бр. акции от капитала на „СПИДИ”</w:t>
      </w:r>
      <w:r w:rsidR="00A34047">
        <w:t xml:space="preserve"> Е</w:t>
      </w:r>
      <w:r>
        <w:t>АД чрез апортна вноска на акциите на емитента, пр</w:t>
      </w:r>
      <w:r w:rsidR="00594E2B">
        <w:t>и</w:t>
      </w:r>
      <w:r>
        <w:t>т</w:t>
      </w:r>
      <w:r w:rsidR="00594E2B">
        <w:t>е</w:t>
      </w:r>
      <w:r>
        <w:t xml:space="preserve">жавани от Славчо </w:t>
      </w:r>
      <w:r w:rsidR="00D33D7C">
        <w:t>Панта</w:t>
      </w:r>
      <w:r w:rsidR="00E3259D">
        <w:t>ле</w:t>
      </w:r>
      <w:r w:rsidR="00504EC0">
        <w:t>ев</w:t>
      </w:r>
      <w:r w:rsidR="00E3259D">
        <w:t xml:space="preserve"> и „Алекс – Г” ЕООД и контролира</w:t>
      </w:r>
      <w:r w:rsidR="00217674">
        <w:t xml:space="preserve"> 100% от капитала на емитента</w:t>
      </w:r>
      <w:r w:rsidR="0080674A">
        <w:t>.</w:t>
      </w:r>
    </w:p>
    <w:p w:rsidR="0080674A" w:rsidRDefault="0080674A" w:rsidP="00942CE6"/>
    <w:p w:rsidR="0080674A" w:rsidRDefault="0080674A" w:rsidP="00942CE6">
      <w:r>
        <w:t>Няма лица, притежаващи непряко акции в емитента, по смисъла на чл. 146 от ЗППЦК.</w:t>
      </w:r>
    </w:p>
    <w:p w:rsidR="00F57078" w:rsidRDefault="00F57078" w:rsidP="00942CE6"/>
    <w:p w:rsidR="00702DDD" w:rsidRPr="00702DDD" w:rsidRDefault="00702DDD" w:rsidP="00702DDD">
      <w:pPr>
        <w:pStyle w:val="Heading1"/>
        <w:numPr>
          <w:ilvl w:val="1"/>
          <w:numId w:val="11"/>
        </w:numPr>
        <w:ind w:left="567" w:hanging="567"/>
        <w:rPr>
          <w:rFonts w:ascii="Times New Roman" w:hAnsi="Times New Roman"/>
          <w:b w:val="0"/>
          <w:i/>
          <w:smallCaps/>
          <w:sz w:val="24"/>
          <w:szCs w:val="24"/>
        </w:rPr>
      </w:pPr>
      <w:bookmarkStart w:id="142" w:name="_Toc324376957"/>
      <w:bookmarkStart w:id="143" w:name="_Toc324380116"/>
      <w:r w:rsidRPr="00702DDD">
        <w:rPr>
          <w:rFonts w:ascii="Times New Roman" w:hAnsi="Times New Roman"/>
          <w:b w:val="0"/>
          <w:i/>
          <w:smallCaps/>
          <w:sz w:val="24"/>
          <w:szCs w:val="24"/>
        </w:rPr>
        <w:t>Посочване дали са налице различия в правата на глас на главните акционери в емитента</w:t>
      </w:r>
      <w:bookmarkEnd w:id="142"/>
      <w:bookmarkEnd w:id="143"/>
    </w:p>
    <w:p w:rsidR="00702DDD" w:rsidRPr="001E1DCD" w:rsidRDefault="00702DDD" w:rsidP="00702DDD">
      <w:r w:rsidRPr="001E1DCD">
        <w:t>Всяка от притежаваните акции от капитала на „</w:t>
      </w:r>
      <w:r>
        <w:t>Спиди“ Е</w:t>
      </w:r>
      <w:r w:rsidRPr="001E1DCD">
        <w:t>АД дава право на 1 глас в Общото събрание на емитента.</w:t>
      </w:r>
    </w:p>
    <w:p w:rsidR="00702DDD" w:rsidRDefault="00702DDD" w:rsidP="00702DDD">
      <w:r w:rsidRPr="001E1DCD">
        <w:t xml:space="preserve">Акциите от капитала на </w:t>
      </w:r>
      <w:r>
        <w:t>„Спиди“ Е</w:t>
      </w:r>
      <w:r w:rsidRPr="001E1DCD">
        <w:t xml:space="preserve">АД </w:t>
      </w:r>
      <w:r>
        <w:t xml:space="preserve">се притежават от </w:t>
      </w:r>
      <w:r w:rsidR="00BA6817">
        <w:t>Спиди Груп АД</w:t>
      </w:r>
      <w:r>
        <w:t>, ко</w:t>
      </w:r>
      <w:r w:rsidR="00BA6817">
        <w:t>е</w:t>
      </w:r>
      <w:r>
        <w:t>то притежава 1 482 200 (един милион четиристотин осемдесет и две хиляди и двеста) броя акции.</w:t>
      </w:r>
    </w:p>
    <w:p w:rsidR="00702DDD" w:rsidRDefault="00702DDD" w:rsidP="00702DDD">
      <w:r w:rsidRPr="001E1DCD">
        <w:t xml:space="preserve">Дружеството, съгласно устава си може да издава обикновени, поименни, безналични, свободно прехвърлими акции с право на глас, даващи равни права на притежателите си. </w:t>
      </w:r>
    </w:p>
    <w:p w:rsidR="00702DDD" w:rsidRPr="001E1DCD" w:rsidRDefault="00702DDD" w:rsidP="00702DDD">
      <w:r w:rsidRPr="001E1DCD">
        <w:t>Уставът не допуска издаването на привилегировани акции, които дават на притежателите им право на повече от един глас в Общото събрание на дружеството или на допълнителен ликвидационен дял.</w:t>
      </w:r>
    </w:p>
    <w:p w:rsidR="00702DDD" w:rsidRDefault="00702DDD" w:rsidP="00702DDD">
      <w:r w:rsidRPr="001E1DCD">
        <w:t xml:space="preserve">Съгласно Устава на дружеството всяка акция дава право на един глас в ОСА, право на дивидент и на ликвидационен дял, съразмерни с номиналната стойност на акцията. </w:t>
      </w:r>
    </w:p>
    <w:p w:rsidR="00704768" w:rsidRDefault="00702DDD" w:rsidP="00702DDD">
      <w:r w:rsidRPr="001E1DCD">
        <w:t>Допълнителни права по акциите са: право на всеки акционер при увеличение на капитала да придобие акции, които съответстват на неговия дял в капитала преди увеличението; право на участие в управлението, чрез решаване на въпросите от компетентността на ОСА; право на информация, в това число и правото на предварително запознаване с писмените материали по обявения дневен ред на ОСА и свободното им получаване при поискване.</w:t>
      </w:r>
    </w:p>
    <w:p w:rsidR="00704768" w:rsidRDefault="00704768" w:rsidP="00942CE6"/>
    <w:p w:rsidR="00704768" w:rsidRPr="00EA1CC6" w:rsidRDefault="00704768" w:rsidP="00942CE6"/>
    <w:p w:rsidR="00FC3657" w:rsidRDefault="00FC3657" w:rsidP="00303210">
      <w:pPr>
        <w:pStyle w:val="Heading1"/>
        <w:numPr>
          <w:ilvl w:val="1"/>
          <w:numId w:val="11"/>
        </w:numPr>
        <w:ind w:left="567" w:hanging="567"/>
        <w:rPr>
          <w:rFonts w:ascii="Times New Roman" w:hAnsi="Times New Roman"/>
          <w:b w:val="0"/>
          <w:i/>
          <w:smallCaps/>
          <w:sz w:val="24"/>
          <w:szCs w:val="24"/>
        </w:rPr>
      </w:pPr>
      <w:r w:rsidRPr="00303210">
        <w:rPr>
          <w:rFonts w:ascii="Times New Roman" w:hAnsi="Times New Roman"/>
          <w:b w:val="0"/>
          <w:i/>
          <w:smallCaps/>
          <w:sz w:val="24"/>
          <w:szCs w:val="24"/>
        </w:rPr>
        <w:t xml:space="preserve"> </w:t>
      </w:r>
      <w:bookmarkStart w:id="144" w:name="_Toc324376958"/>
      <w:bookmarkStart w:id="145" w:name="_Toc324380117"/>
      <w:r w:rsidRPr="00303210">
        <w:rPr>
          <w:rFonts w:ascii="Times New Roman" w:hAnsi="Times New Roman"/>
          <w:b w:val="0"/>
          <w:i/>
          <w:smallCaps/>
          <w:sz w:val="24"/>
          <w:szCs w:val="24"/>
        </w:rPr>
        <w:t>Данни за лицето/лицата, които упражняват контрол върху емите</w:t>
      </w:r>
      <w:r w:rsidR="007965C5">
        <w:rPr>
          <w:rFonts w:ascii="Times New Roman" w:hAnsi="Times New Roman"/>
          <w:b w:val="0"/>
          <w:i/>
          <w:smallCaps/>
          <w:sz w:val="24"/>
          <w:szCs w:val="24"/>
        </w:rPr>
        <w:t>нта</w:t>
      </w:r>
      <w:bookmarkEnd w:id="144"/>
      <w:bookmarkEnd w:id="145"/>
    </w:p>
    <w:p w:rsidR="007965C5" w:rsidRPr="001E1DCD" w:rsidRDefault="007965C5" w:rsidP="007965C5">
      <w:r w:rsidRPr="001E1DCD">
        <w:t>По смисъла на § 1, т. 13 от ДР на Закона за публичното предлагане на ценни книжа, контрол е налице, когато едно лице:</w:t>
      </w:r>
    </w:p>
    <w:p w:rsidR="007965C5" w:rsidRPr="001E1DCD" w:rsidRDefault="007965C5" w:rsidP="007965C5">
      <w:r>
        <w:t xml:space="preserve">а) </w:t>
      </w:r>
      <w:r w:rsidRPr="001E1DCD">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7965C5" w:rsidRPr="001E1DCD" w:rsidRDefault="007965C5" w:rsidP="007965C5">
      <w:r w:rsidRPr="001E1DCD">
        <w:t>б)</w:t>
      </w:r>
      <w:r>
        <w:t xml:space="preserve"> </w:t>
      </w:r>
      <w:r w:rsidRPr="001E1DCD">
        <w:t>може да определя пряко или непряко повече от половината от членовете на управителния или контролния орган на едно юридическо лице; или</w:t>
      </w:r>
    </w:p>
    <w:p w:rsidR="007965C5" w:rsidRDefault="007965C5" w:rsidP="007965C5">
      <w:r w:rsidRPr="001E1DCD">
        <w:t>в)</w:t>
      </w:r>
      <w:r>
        <w:t xml:space="preserve"> </w:t>
      </w:r>
      <w:r w:rsidRPr="001E1DCD">
        <w:t>може по друг начин да упражнява решаващо влияние върху вземането на решения във връзка с дейността на юридическо лице.</w:t>
      </w:r>
    </w:p>
    <w:p w:rsidR="007965C5" w:rsidRDefault="007965C5" w:rsidP="007965C5"/>
    <w:p w:rsidR="007965C5" w:rsidRPr="007965C5" w:rsidRDefault="007965C5" w:rsidP="007965C5">
      <w:pPr>
        <w:rPr>
          <w:i/>
          <w:u w:val="single"/>
        </w:rPr>
      </w:pPr>
      <w:bookmarkStart w:id="146" w:name="bookmark41"/>
      <w:r w:rsidRPr="007965C5">
        <w:rPr>
          <w:i/>
          <w:u w:val="single"/>
        </w:rPr>
        <w:t>Физически лица, упражняващи контрол над „Спиди“ ЕАД:</w:t>
      </w:r>
      <w:bookmarkEnd w:id="146"/>
    </w:p>
    <w:p w:rsidR="007965C5" w:rsidRPr="001E1DCD" w:rsidRDefault="007965C5" w:rsidP="007965C5">
      <w:r w:rsidRPr="001E1DCD">
        <w:t xml:space="preserve">Към момента единствен акционер, </w:t>
      </w:r>
      <w:r w:rsidR="004771EF">
        <w:t>упражняващ контрол, като притежаващ 67,13</w:t>
      </w:r>
      <w:r>
        <w:t>%</w:t>
      </w:r>
      <w:r w:rsidRPr="001E1DCD">
        <w:t xml:space="preserve"> от капитала на „</w:t>
      </w:r>
      <w:r>
        <w:t>Спиди</w:t>
      </w:r>
      <w:r w:rsidR="0080674A">
        <w:t xml:space="preserve"> Груп</w:t>
      </w:r>
      <w:r>
        <w:t>“</w:t>
      </w:r>
      <w:r w:rsidRPr="001E1DCD">
        <w:t xml:space="preserve"> </w:t>
      </w:r>
      <w:r>
        <w:t xml:space="preserve">ЕАД </w:t>
      </w:r>
      <w:r w:rsidRPr="001E1DCD">
        <w:t>е</w:t>
      </w:r>
      <w:r w:rsidRPr="007965C5">
        <w:rPr>
          <w:b/>
          <w:bCs/>
        </w:rPr>
        <w:t xml:space="preserve"> </w:t>
      </w:r>
      <w:r w:rsidRPr="007965C5">
        <w:t>Валери Харутюн Мектупчиян</w:t>
      </w:r>
      <w:r w:rsidRPr="007965C5">
        <w:rPr>
          <w:b/>
          <w:bCs/>
        </w:rPr>
        <w:t>,</w:t>
      </w:r>
      <w:r w:rsidRPr="001E1DCD">
        <w:t xml:space="preserve"> притежаващ </w:t>
      </w:r>
      <w:r w:rsidR="004771EF">
        <w:t>995</w:t>
      </w:r>
      <w:r>
        <w:t xml:space="preserve"> </w:t>
      </w:r>
      <w:r w:rsidR="004771EF">
        <w:t>0</w:t>
      </w:r>
      <w:r>
        <w:t>00 броя акции</w:t>
      </w:r>
      <w:r w:rsidR="0080674A">
        <w:t xml:space="preserve"> от същото</w:t>
      </w:r>
      <w:r>
        <w:t>.</w:t>
      </w:r>
    </w:p>
    <w:p w:rsidR="007965C5" w:rsidRPr="001E1DCD" w:rsidRDefault="007965C5" w:rsidP="007965C5">
      <w:r w:rsidRPr="001E1DCD">
        <w:t>Предвид това</w:t>
      </w:r>
      <w:r w:rsidRPr="007965C5">
        <w:rPr>
          <w:b/>
          <w:bCs/>
        </w:rPr>
        <w:t xml:space="preserve"> същият</w:t>
      </w:r>
      <w:r w:rsidRPr="001E1DCD">
        <w:t xml:space="preserve"> е физическо лице, което упражнява контрол върху емитента по смисъла на § 1, т. 13, б. „а" от Закона за публично предлагане на ценни книжа.</w:t>
      </w:r>
    </w:p>
    <w:p w:rsidR="007965C5" w:rsidRPr="001E1DCD" w:rsidRDefault="007965C5" w:rsidP="007965C5"/>
    <w:p w:rsidR="007965C5" w:rsidRPr="007965C5" w:rsidRDefault="007965C5" w:rsidP="007965C5">
      <w:pPr>
        <w:rPr>
          <w:i/>
          <w:u w:val="single"/>
        </w:rPr>
      </w:pPr>
      <w:bookmarkStart w:id="147" w:name="bookmark42"/>
      <w:r w:rsidRPr="007965C5">
        <w:rPr>
          <w:i/>
          <w:u w:val="single"/>
        </w:rPr>
        <w:t>Юридическите лица, упражняващи контрол над „Спиди“  ЕАД:</w:t>
      </w:r>
      <w:bookmarkEnd w:id="147"/>
    </w:p>
    <w:p w:rsidR="007965C5" w:rsidRDefault="007965C5" w:rsidP="007965C5">
      <w:r w:rsidRPr="001E1DCD">
        <w:t xml:space="preserve">Към датата на изготвяне на настоящия регистрационен документ юридически лица, които упражняват контрол върху </w:t>
      </w:r>
      <w:r>
        <w:t xml:space="preserve">„СПИДИ“ ЕАД е „Спиди Груп” АД (данни за последното в т. </w:t>
      </w:r>
      <w:r w:rsidR="001E7C80">
        <w:fldChar w:fldCharType="begin"/>
      </w:r>
      <w:r>
        <w:instrText xml:space="preserve"> REF _Ref324335925 \r \h </w:instrText>
      </w:r>
      <w:r w:rsidR="001E7C80">
        <w:fldChar w:fldCharType="separate"/>
      </w:r>
      <w:r>
        <w:t>7.1</w:t>
      </w:r>
      <w:r w:rsidR="001E7C80">
        <w:fldChar w:fldCharType="end"/>
      </w:r>
      <w:r>
        <w:t>), който пряко притежава 100% от капитала на емитента</w:t>
      </w:r>
      <w:r w:rsidRPr="001E1DCD">
        <w:t>.</w:t>
      </w:r>
    </w:p>
    <w:p w:rsidR="007965C5" w:rsidRPr="007965C5" w:rsidRDefault="007965C5" w:rsidP="007965C5"/>
    <w:p w:rsidR="00FC3657" w:rsidRPr="007965C5" w:rsidRDefault="007965C5" w:rsidP="00942CE6">
      <w:r w:rsidRPr="001E1DCD">
        <w:t>На „</w:t>
      </w:r>
      <w:r>
        <w:t>Спиди“</w:t>
      </w:r>
      <w:r w:rsidRPr="001E1DCD">
        <w:t xml:space="preserve"> </w:t>
      </w:r>
      <w:r>
        <w:t>Е</w:t>
      </w:r>
      <w:r w:rsidRPr="001E1DCD">
        <w:t>АД не му е известно наличието на договорености относно последваща промяна в контрола на Дружеството.</w:t>
      </w:r>
    </w:p>
    <w:p w:rsidR="007965C5" w:rsidRDefault="007965C5" w:rsidP="007965C5">
      <w:r w:rsidRPr="001E1DCD">
        <w:t>Към датата на изготвяне на настоящия проспект не са взети мерки против злоупотреба с упражнявания от</w:t>
      </w:r>
      <w:r w:rsidRPr="007965C5">
        <w:rPr>
          <w:b/>
          <w:bCs/>
        </w:rPr>
        <w:t xml:space="preserve"> </w:t>
      </w:r>
      <w:r>
        <w:t>посочените лица</w:t>
      </w:r>
      <w:r w:rsidRPr="001E1DCD">
        <w:t xml:space="preserve"> контрол. </w:t>
      </w:r>
    </w:p>
    <w:p w:rsidR="006A7C7E" w:rsidRDefault="007965C5" w:rsidP="00AB3B54">
      <w:pPr>
        <w:rPr>
          <w:b/>
          <w:bCs/>
          <w:smallCaps/>
          <w:kern w:val="32"/>
          <w:sz w:val="28"/>
          <w:szCs w:val="28"/>
        </w:rPr>
      </w:pPr>
      <w:r w:rsidRPr="001E1DCD">
        <w:t>След придобиването на публичен статут, при необходимост, дружеството ще предприеме действия по приемането на вътрешни правила против злоупотреба при неправомерно упражняване на дейност от упражняващите „контрол" върху дружеството по смисъла на § 1, т. 13 от ДР на Закона за публичното предлагане на ценни книжа.</w:t>
      </w:r>
      <w:r w:rsidR="006A7C7E">
        <w:rPr>
          <w:smallCaps/>
          <w:sz w:val="28"/>
          <w:szCs w:val="28"/>
        </w:rPr>
        <w:br w:type="page"/>
      </w:r>
    </w:p>
    <w:p w:rsidR="00FC3657" w:rsidRPr="00E12E48" w:rsidRDefault="00E12E48" w:rsidP="00E12E48">
      <w:pPr>
        <w:pStyle w:val="Heading1"/>
        <w:numPr>
          <w:ilvl w:val="0"/>
          <w:numId w:val="11"/>
        </w:numPr>
        <w:rPr>
          <w:rFonts w:ascii="Times New Roman" w:hAnsi="Times New Roman"/>
          <w:smallCaps/>
          <w:sz w:val="28"/>
          <w:szCs w:val="28"/>
        </w:rPr>
      </w:pPr>
      <w:bookmarkStart w:id="148" w:name="_Ref324333306"/>
      <w:bookmarkStart w:id="149" w:name="_Ref324350781"/>
      <w:bookmarkStart w:id="150" w:name="_Ref324350806"/>
      <w:bookmarkStart w:id="151" w:name="_Toc324376959"/>
      <w:bookmarkStart w:id="152" w:name="_Toc324380118"/>
      <w:r>
        <w:rPr>
          <w:rFonts w:ascii="Times New Roman" w:hAnsi="Times New Roman"/>
          <w:smallCaps/>
          <w:sz w:val="28"/>
          <w:szCs w:val="28"/>
        </w:rPr>
        <w:t>Сделки със свързани лица</w:t>
      </w:r>
      <w:bookmarkEnd w:id="148"/>
      <w:bookmarkEnd w:id="149"/>
      <w:bookmarkEnd w:id="150"/>
      <w:bookmarkEnd w:id="151"/>
      <w:bookmarkEnd w:id="152"/>
    </w:p>
    <w:p w:rsidR="00594E2B" w:rsidRDefault="00594E2B" w:rsidP="00942CE6"/>
    <w:p w:rsidR="005B28EC" w:rsidRDefault="00D6273F" w:rsidP="00942CE6">
      <w:r>
        <w:t>Емитентът е свързано лице с лицата, описани в т. 4.5.1, като с част от тях поддърж</w:t>
      </w:r>
      <w:r w:rsidR="00B46F32">
        <w:t>а регулярни търговски отношения свързани с обичайната търговска дейност на дружеството</w:t>
      </w:r>
      <w:r w:rsidR="009E6002">
        <w:t>. Сделките със свързани</w:t>
      </w:r>
      <w:r w:rsidR="006A7C7E">
        <w:t>т</w:t>
      </w:r>
      <w:r w:rsidR="009E6002">
        <w:t xml:space="preserve">е лица се извършват при обичайни условия, както между независими и равнопоставени страни и спазване на добрите </w:t>
      </w:r>
      <w:r w:rsidR="006A7C7E">
        <w:t xml:space="preserve">търговски </w:t>
      </w:r>
      <w:r w:rsidR="009E6002">
        <w:t>практики.</w:t>
      </w:r>
    </w:p>
    <w:p w:rsidR="009E6002" w:rsidRDefault="009E6002" w:rsidP="00942CE6"/>
    <w:p w:rsidR="005150CE" w:rsidRPr="005150CE" w:rsidRDefault="005150CE" w:rsidP="005150CE">
      <w:pPr>
        <w:jc w:val="center"/>
        <w:rPr>
          <w:i/>
          <w:u w:val="single"/>
        </w:rPr>
      </w:pPr>
      <w:r w:rsidRPr="005150CE">
        <w:rPr>
          <w:i/>
          <w:u w:val="single"/>
        </w:rPr>
        <w:t>Покупки от свързани лица</w:t>
      </w:r>
    </w:p>
    <w:tbl>
      <w:tblPr>
        <w:tblStyle w:val="MediumShading2-Accent11"/>
        <w:tblW w:w="9781" w:type="dxa"/>
        <w:tblInd w:w="108" w:type="dxa"/>
        <w:tblLayout w:type="fixed"/>
        <w:tblLook w:val="04A0"/>
      </w:tblPr>
      <w:tblGrid>
        <w:gridCol w:w="2518"/>
        <w:gridCol w:w="954"/>
        <w:gridCol w:w="954"/>
        <w:gridCol w:w="954"/>
        <w:gridCol w:w="954"/>
        <w:gridCol w:w="955"/>
        <w:gridCol w:w="2492"/>
      </w:tblGrid>
      <w:tr w:rsidR="009E6002" w:rsidRPr="0060652A" w:rsidTr="00A52886">
        <w:trPr>
          <w:cnfStyle w:val="100000000000"/>
          <w:trHeight w:val="300"/>
        </w:trPr>
        <w:tc>
          <w:tcPr>
            <w:cnfStyle w:val="001000000100"/>
            <w:tcW w:w="2518" w:type="dxa"/>
            <w:noWrap/>
            <w:vAlign w:val="center"/>
            <w:hideMark/>
          </w:tcPr>
          <w:p w:rsidR="009E6002" w:rsidRPr="0060652A" w:rsidRDefault="0045485D" w:rsidP="00F243FA">
            <w:pPr>
              <w:autoSpaceDE/>
              <w:autoSpaceDN/>
              <w:adjustRightInd/>
              <w:spacing w:after="0"/>
              <w:jc w:val="center"/>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Наименование</w:t>
            </w:r>
            <w:r w:rsidR="00F243FA">
              <w:rPr>
                <w:rFonts w:asciiTheme="minorHAnsi" w:hAnsiTheme="minorHAnsi" w:cstheme="minorHAnsi"/>
                <w:bCs w:val="0"/>
                <w:sz w:val="22"/>
                <w:szCs w:val="22"/>
                <w:lang w:eastAsia="bg-BG"/>
              </w:rPr>
              <w:t xml:space="preserve">, </w:t>
            </w:r>
            <w:r w:rsidR="00F243FA">
              <w:rPr>
                <w:rFonts w:asciiTheme="minorHAnsi" w:hAnsiTheme="minorHAnsi" w:cstheme="minorHAnsi"/>
                <w:sz w:val="22"/>
                <w:szCs w:val="22"/>
                <w:lang w:eastAsia="bg-BG"/>
              </w:rPr>
              <w:t>хил. лв.</w:t>
            </w:r>
          </w:p>
        </w:tc>
        <w:tc>
          <w:tcPr>
            <w:tcW w:w="954" w:type="dxa"/>
            <w:noWrap/>
            <w:vAlign w:val="center"/>
            <w:hideMark/>
          </w:tcPr>
          <w:p w:rsidR="009E6002" w:rsidRPr="0060652A" w:rsidRDefault="009E6002" w:rsidP="0045485D">
            <w:pPr>
              <w:autoSpaceDE/>
              <w:autoSpaceDN/>
              <w:adjustRightInd/>
              <w:spacing w:after="0"/>
              <w:jc w:val="center"/>
              <w:cnfStyle w:val="100000000000"/>
              <w:rPr>
                <w:rFonts w:asciiTheme="minorHAnsi" w:hAnsiTheme="minorHAnsi" w:cstheme="minorHAnsi"/>
                <w:bCs w:val="0"/>
                <w:color w:val="000000"/>
                <w:sz w:val="22"/>
                <w:szCs w:val="22"/>
                <w:lang w:eastAsia="bg-BG"/>
              </w:rPr>
            </w:pPr>
            <w:r w:rsidRPr="0060652A">
              <w:rPr>
                <w:rFonts w:asciiTheme="minorHAnsi" w:hAnsiTheme="minorHAnsi" w:cstheme="minorHAnsi"/>
                <w:bCs w:val="0"/>
                <w:color w:val="000000"/>
                <w:sz w:val="22"/>
                <w:szCs w:val="22"/>
                <w:lang w:eastAsia="bg-BG"/>
              </w:rPr>
              <w:t>2009</w:t>
            </w:r>
          </w:p>
        </w:tc>
        <w:tc>
          <w:tcPr>
            <w:tcW w:w="954" w:type="dxa"/>
            <w:noWrap/>
            <w:vAlign w:val="center"/>
            <w:hideMark/>
          </w:tcPr>
          <w:p w:rsidR="009E6002" w:rsidRPr="0060652A" w:rsidRDefault="009E6002" w:rsidP="0045485D">
            <w:pPr>
              <w:autoSpaceDE/>
              <w:autoSpaceDN/>
              <w:adjustRightInd/>
              <w:spacing w:after="0"/>
              <w:jc w:val="center"/>
              <w:cnfStyle w:val="100000000000"/>
              <w:rPr>
                <w:rFonts w:asciiTheme="minorHAnsi" w:hAnsiTheme="minorHAnsi" w:cstheme="minorHAnsi"/>
                <w:bCs w:val="0"/>
                <w:color w:val="000000"/>
                <w:sz w:val="22"/>
                <w:szCs w:val="22"/>
                <w:lang w:eastAsia="bg-BG"/>
              </w:rPr>
            </w:pPr>
            <w:r w:rsidRPr="0060652A">
              <w:rPr>
                <w:rFonts w:asciiTheme="minorHAnsi" w:hAnsiTheme="minorHAnsi" w:cstheme="minorHAnsi"/>
                <w:bCs w:val="0"/>
                <w:color w:val="000000"/>
                <w:sz w:val="22"/>
                <w:szCs w:val="22"/>
                <w:lang w:eastAsia="bg-BG"/>
              </w:rPr>
              <w:t>2010</w:t>
            </w:r>
          </w:p>
        </w:tc>
        <w:tc>
          <w:tcPr>
            <w:tcW w:w="954" w:type="dxa"/>
            <w:noWrap/>
            <w:vAlign w:val="center"/>
            <w:hideMark/>
          </w:tcPr>
          <w:p w:rsidR="009E6002" w:rsidRPr="0060652A" w:rsidRDefault="009E6002" w:rsidP="0045485D">
            <w:pPr>
              <w:autoSpaceDE/>
              <w:autoSpaceDN/>
              <w:adjustRightInd/>
              <w:spacing w:after="0"/>
              <w:jc w:val="center"/>
              <w:cnfStyle w:val="100000000000"/>
              <w:rPr>
                <w:rFonts w:asciiTheme="minorHAnsi" w:hAnsiTheme="minorHAnsi" w:cstheme="minorHAnsi"/>
                <w:bCs w:val="0"/>
                <w:color w:val="000000"/>
                <w:sz w:val="22"/>
                <w:szCs w:val="22"/>
                <w:lang w:eastAsia="bg-BG"/>
              </w:rPr>
            </w:pPr>
            <w:r w:rsidRPr="0060652A">
              <w:rPr>
                <w:rFonts w:asciiTheme="minorHAnsi" w:hAnsiTheme="minorHAnsi" w:cstheme="minorHAnsi"/>
                <w:bCs w:val="0"/>
                <w:color w:val="000000"/>
                <w:sz w:val="22"/>
                <w:szCs w:val="22"/>
                <w:lang w:eastAsia="bg-BG"/>
              </w:rPr>
              <w:t>2011</w:t>
            </w:r>
          </w:p>
        </w:tc>
        <w:tc>
          <w:tcPr>
            <w:tcW w:w="954" w:type="dxa"/>
            <w:noWrap/>
            <w:vAlign w:val="center"/>
            <w:hideMark/>
          </w:tcPr>
          <w:p w:rsidR="009E6002" w:rsidRPr="0060652A" w:rsidRDefault="007631C5" w:rsidP="007631C5">
            <w:pPr>
              <w:autoSpaceDE/>
              <w:autoSpaceDN/>
              <w:adjustRightInd/>
              <w:spacing w:after="0"/>
              <w:ind w:left="-70" w:right="-70"/>
              <w:cnfStyle w:val="100000000000"/>
              <w:rPr>
                <w:rFonts w:asciiTheme="minorHAnsi" w:hAnsiTheme="minorHAnsi" w:cstheme="minorHAnsi"/>
                <w:bCs w:val="0"/>
                <w:color w:val="000000"/>
                <w:sz w:val="22"/>
                <w:szCs w:val="22"/>
                <w:lang w:eastAsia="bg-BG"/>
              </w:rPr>
            </w:pPr>
            <w:r>
              <w:rPr>
                <w:rFonts w:asciiTheme="minorHAnsi" w:hAnsiTheme="minorHAnsi" w:cstheme="minorHAnsi"/>
                <w:bCs w:val="0"/>
                <w:color w:val="000000"/>
                <w:sz w:val="22"/>
                <w:szCs w:val="22"/>
                <w:lang w:eastAsia="bg-BG"/>
              </w:rPr>
              <w:t>21.05.</w:t>
            </w:r>
            <w:r w:rsidR="009E6002" w:rsidRPr="0060652A">
              <w:rPr>
                <w:rFonts w:asciiTheme="minorHAnsi" w:hAnsiTheme="minorHAnsi" w:cstheme="minorHAnsi"/>
                <w:bCs w:val="0"/>
                <w:color w:val="000000"/>
                <w:sz w:val="22"/>
                <w:szCs w:val="22"/>
                <w:lang w:eastAsia="bg-BG"/>
              </w:rPr>
              <w:t>11</w:t>
            </w:r>
          </w:p>
        </w:tc>
        <w:tc>
          <w:tcPr>
            <w:tcW w:w="955" w:type="dxa"/>
            <w:noWrap/>
            <w:vAlign w:val="center"/>
            <w:hideMark/>
          </w:tcPr>
          <w:p w:rsidR="009E6002" w:rsidRPr="0060652A" w:rsidRDefault="007631C5" w:rsidP="0045485D">
            <w:pPr>
              <w:autoSpaceDE/>
              <w:autoSpaceDN/>
              <w:adjustRightInd/>
              <w:spacing w:after="0"/>
              <w:ind w:left="-12" w:right="-70"/>
              <w:jc w:val="center"/>
              <w:cnfStyle w:val="100000000000"/>
              <w:rPr>
                <w:rFonts w:asciiTheme="minorHAnsi" w:hAnsiTheme="minorHAnsi" w:cstheme="minorHAnsi"/>
                <w:bCs w:val="0"/>
                <w:color w:val="000000"/>
                <w:sz w:val="22"/>
                <w:szCs w:val="22"/>
                <w:lang w:eastAsia="bg-BG"/>
              </w:rPr>
            </w:pPr>
            <w:r>
              <w:rPr>
                <w:rFonts w:asciiTheme="minorHAnsi" w:hAnsiTheme="minorHAnsi" w:cstheme="minorHAnsi"/>
                <w:bCs w:val="0"/>
                <w:color w:val="000000"/>
                <w:sz w:val="22"/>
                <w:szCs w:val="22"/>
                <w:lang w:eastAsia="bg-BG"/>
              </w:rPr>
              <w:t>21.05.</w:t>
            </w:r>
            <w:r w:rsidR="009E6002" w:rsidRPr="0060652A">
              <w:rPr>
                <w:rFonts w:asciiTheme="minorHAnsi" w:hAnsiTheme="minorHAnsi" w:cstheme="minorHAnsi"/>
                <w:bCs w:val="0"/>
                <w:color w:val="000000"/>
                <w:sz w:val="22"/>
                <w:szCs w:val="22"/>
                <w:lang w:eastAsia="bg-BG"/>
              </w:rPr>
              <w:t>12</w:t>
            </w:r>
          </w:p>
        </w:tc>
        <w:tc>
          <w:tcPr>
            <w:tcW w:w="2492" w:type="dxa"/>
            <w:noWrap/>
            <w:vAlign w:val="center"/>
            <w:hideMark/>
          </w:tcPr>
          <w:p w:rsidR="009E6002" w:rsidRPr="0060652A" w:rsidRDefault="005150CE" w:rsidP="0045485D">
            <w:pPr>
              <w:autoSpaceDE/>
              <w:autoSpaceDN/>
              <w:adjustRightInd/>
              <w:spacing w:after="0"/>
              <w:jc w:val="center"/>
              <w:cnfStyle w:val="100000000000"/>
              <w:rPr>
                <w:rFonts w:asciiTheme="minorHAnsi" w:hAnsiTheme="minorHAnsi" w:cstheme="minorHAnsi"/>
                <w:bCs w:val="0"/>
                <w:color w:val="000000"/>
                <w:sz w:val="22"/>
                <w:szCs w:val="22"/>
                <w:lang w:eastAsia="bg-BG"/>
              </w:rPr>
            </w:pPr>
            <w:r w:rsidRPr="0060652A">
              <w:rPr>
                <w:rFonts w:asciiTheme="minorHAnsi" w:hAnsiTheme="minorHAnsi" w:cstheme="minorHAnsi"/>
                <w:bCs w:val="0"/>
                <w:color w:val="000000"/>
                <w:sz w:val="22"/>
                <w:szCs w:val="22"/>
                <w:lang w:eastAsia="bg-BG"/>
              </w:rPr>
              <w:t>Описание</w:t>
            </w:r>
          </w:p>
        </w:tc>
      </w:tr>
      <w:tr w:rsidR="00EE0B9E" w:rsidRPr="0060652A" w:rsidTr="00F738B9">
        <w:trPr>
          <w:cnfStyle w:val="000000100000"/>
          <w:trHeight w:val="300"/>
        </w:trPr>
        <w:tc>
          <w:tcPr>
            <w:cnfStyle w:val="001000000000"/>
            <w:tcW w:w="2518" w:type="dxa"/>
            <w:noWrap/>
            <w:vAlign w:val="center"/>
            <w:hideMark/>
          </w:tcPr>
          <w:p w:rsidR="00EE0B9E" w:rsidRPr="0060652A" w:rsidRDefault="00EE0B9E" w:rsidP="0045485D">
            <w:pPr>
              <w:autoSpaceDE/>
              <w:autoSpaceDN/>
              <w:adjustRightInd/>
              <w:spacing w:after="0"/>
              <w:jc w:val="left"/>
              <w:rPr>
                <w:rFonts w:asciiTheme="minorHAnsi" w:hAnsiTheme="minorHAnsi" w:cstheme="minorHAnsi"/>
                <w:sz w:val="22"/>
                <w:szCs w:val="22"/>
                <w:lang w:eastAsia="bg-BG"/>
              </w:rPr>
            </w:pPr>
            <w:r w:rsidRPr="0060652A">
              <w:rPr>
                <w:rFonts w:asciiTheme="minorHAnsi" w:hAnsiTheme="minorHAnsi" w:cstheme="minorHAnsi"/>
                <w:sz w:val="22"/>
                <w:szCs w:val="22"/>
                <w:lang w:eastAsia="bg-BG"/>
              </w:rPr>
              <w:t>Спиди ЕООД</w:t>
            </w:r>
          </w:p>
        </w:tc>
        <w:tc>
          <w:tcPr>
            <w:tcW w:w="954" w:type="dxa"/>
            <w:noWrap/>
            <w:vAlign w:val="center"/>
            <w:hideMark/>
          </w:tcPr>
          <w:p w:rsidR="00EE0B9E" w:rsidRPr="0060652A" w:rsidRDefault="00EE0B9E" w:rsidP="00F738B9">
            <w:pPr>
              <w:autoSpaceDE/>
              <w:autoSpaceDN/>
              <w:adjustRightInd/>
              <w:spacing w:after="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14 447 </w:t>
            </w:r>
          </w:p>
        </w:tc>
        <w:tc>
          <w:tcPr>
            <w:tcW w:w="954" w:type="dxa"/>
            <w:noWrap/>
            <w:vAlign w:val="center"/>
            <w:hideMark/>
          </w:tcPr>
          <w:p w:rsidR="00EE0B9E" w:rsidRPr="0060652A" w:rsidRDefault="00EE0B9E" w:rsidP="00F738B9">
            <w:pPr>
              <w:autoSpaceDE/>
              <w:autoSpaceDN/>
              <w:adjustRightInd/>
              <w:spacing w:after="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15 093 </w:t>
            </w:r>
          </w:p>
        </w:tc>
        <w:tc>
          <w:tcPr>
            <w:tcW w:w="954" w:type="dxa"/>
            <w:noWrap/>
            <w:vAlign w:val="center"/>
            <w:hideMark/>
          </w:tcPr>
          <w:p w:rsidR="00EE0B9E" w:rsidRPr="0060652A" w:rsidRDefault="00EE0B9E" w:rsidP="00F738B9">
            <w:pPr>
              <w:autoSpaceDE/>
              <w:autoSpaceDN/>
              <w:adjustRightInd/>
              <w:spacing w:after="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18 118 </w:t>
            </w:r>
          </w:p>
        </w:tc>
        <w:tc>
          <w:tcPr>
            <w:tcW w:w="954" w:type="dxa"/>
            <w:noWrap/>
            <w:vAlign w:val="center"/>
            <w:hideMark/>
          </w:tcPr>
          <w:p w:rsidR="00EE0B9E" w:rsidRPr="00EE0B9E" w:rsidRDefault="00EE0B9E" w:rsidP="00F738B9">
            <w:pPr>
              <w:autoSpaceDE/>
              <w:autoSpaceDN/>
              <w:adjustRightInd/>
              <w:spacing w:after="0"/>
              <w:jc w:val="right"/>
              <w:cnfStyle w:val="000000100000"/>
              <w:rPr>
                <w:rFonts w:asciiTheme="minorHAnsi" w:hAnsiTheme="minorHAnsi" w:cstheme="minorHAnsi"/>
                <w:color w:val="000000"/>
                <w:sz w:val="22"/>
                <w:szCs w:val="22"/>
                <w:lang w:eastAsia="bg-BG"/>
              </w:rPr>
            </w:pPr>
            <w:r w:rsidRPr="00EE0B9E">
              <w:rPr>
                <w:rFonts w:asciiTheme="minorHAnsi" w:hAnsiTheme="minorHAnsi" w:cstheme="minorHAnsi"/>
                <w:color w:val="000000"/>
                <w:sz w:val="22"/>
                <w:szCs w:val="22"/>
                <w:lang w:eastAsia="bg-BG"/>
              </w:rPr>
              <w:t>7052</w:t>
            </w:r>
          </w:p>
        </w:tc>
        <w:tc>
          <w:tcPr>
            <w:tcW w:w="955" w:type="dxa"/>
            <w:noWrap/>
            <w:vAlign w:val="center"/>
            <w:hideMark/>
          </w:tcPr>
          <w:p w:rsidR="00EE0B9E" w:rsidRPr="00EE0B9E" w:rsidRDefault="00EE0B9E" w:rsidP="00F738B9">
            <w:pPr>
              <w:autoSpaceDE/>
              <w:autoSpaceDN/>
              <w:adjustRightInd/>
              <w:spacing w:after="0"/>
              <w:jc w:val="right"/>
              <w:cnfStyle w:val="000000100000"/>
              <w:rPr>
                <w:rFonts w:asciiTheme="minorHAnsi" w:hAnsiTheme="minorHAnsi" w:cstheme="minorHAnsi"/>
                <w:color w:val="000000"/>
                <w:sz w:val="22"/>
                <w:szCs w:val="22"/>
                <w:lang w:eastAsia="bg-BG"/>
              </w:rPr>
            </w:pPr>
            <w:r w:rsidRPr="00EE0B9E">
              <w:rPr>
                <w:rFonts w:asciiTheme="minorHAnsi" w:hAnsiTheme="minorHAnsi" w:cstheme="minorHAnsi"/>
                <w:color w:val="000000"/>
                <w:sz w:val="22"/>
                <w:szCs w:val="22"/>
                <w:lang w:eastAsia="bg-BG"/>
              </w:rPr>
              <w:t>4600</w:t>
            </w:r>
          </w:p>
        </w:tc>
        <w:tc>
          <w:tcPr>
            <w:tcW w:w="2492" w:type="dxa"/>
            <w:noWrap/>
            <w:hideMark/>
          </w:tcPr>
          <w:p w:rsidR="00EE0B9E" w:rsidRPr="0060652A" w:rsidRDefault="00EE0B9E" w:rsidP="009E6002">
            <w:pPr>
              <w:autoSpaceDE/>
              <w:autoSpaceDN/>
              <w:adjustRightInd/>
              <w:spacing w:after="0"/>
              <w:jc w:val="lef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Куриерски услуги</w:t>
            </w:r>
          </w:p>
        </w:tc>
      </w:tr>
      <w:tr w:rsidR="00EE0B9E" w:rsidRPr="0060652A" w:rsidTr="00F738B9">
        <w:trPr>
          <w:trHeight w:val="300"/>
        </w:trPr>
        <w:tc>
          <w:tcPr>
            <w:cnfStyle w:val="001000000000"/>
            <w:tcW w:w="2518" w:type="dxa"/>
            <w:noWrap/>
            <w:vAlign w:val="center"/>
            <w:hideMark/>
          </w:tcPr>
          <w:p w:rsidR="00EE0B9E" w:rsidRPr="0060652A" w:rsidRDefault="00EE0B9E" w:rsidP="0045485D">
            <w:pPr>
              <w:autoSpaceDE/>
              <w:autoSpaceDN/>
              <w:adjustRightInd/>
              <w:spacing w:after="0"/>
              <w:jc w:val="left"/>
              <w:rPr>
                <w:rFonts w:asciiTheme="minorHAnsi" w:hAnsiTheme="minorHAnsi" w:cstheme="minorHAnsi"/>
                <w:sz w:val="22"/>
                <w:szCs w:val="22"/>
                <w:lang w:eastAsia="bg-BG"/>
              </w:rPr>
            </w:pPr>
            <w:r w:rsidRPr="0060652A">
              <w:rPr>
                <w:rFonts w:asciiTheme="minorHAnsi" w:hAnsiTheme="minorHAnsi" w:cstheme="minorHAnsi"/>
                <w:sz w:val="22"/>
                <w:szCs w:val="22"/>
                <w:lang w:eastAsia="bg-BG"/>
              </w:rPr>
              <w:t>Трансбалкан Груп ООД</w:t>
            </w:r>
          </w:p>
        </w:tc>
        <w:tc>
          <w:tcPr>
            <w:tcW w:w="954" w:type="dxa"/>
            <w:noWrap/>
            <w:vAlign w:val="center"/>
            <w:hideMark/>
          </w:tcPr>
          <w:p w:rsidR="00EE0B9E" w:rsidRPr="0060652A"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1 487 </w:t>
            </w:r>
          </w:p>
        </w:tc>
        <w:tc>
          <w:tcPr>
            <w:tcW w:w="954" w:type="dxa"/>
            <w:noWrap/>
            <w:vAlign w:val="center"/>
            <w:hideMark/>
          </w:tcPr>
          <w:p w:rsidR="00EE0B9E" w:rsidRPr="0060652A"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1 890 </w:t>
            </w:r>
          </w:p>
        </w:tc>
        <w:tc>
          <w:tcPr>
            <w:tcW w:w="954" w:type="dxa"/>
            <w:noWrap/>
            <w:vAlign w:val="center"/>
            <w:hideMark/>
          </w:tcPr>
          <w:p w:rsidR="00EE0B9E" w:rsidRPr="0060652A"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2 208 </w:t>
            </w:r>
          </w:p>
        </w:tc>
        <w:tc>
          <w:tcPr>
            <w:tcW w:w="954" w:type="dxa"/>
            <w:noWrap/>
            <w:vAlign w:val="center"/>
            <w:hideMark/>
          </w:tcPr>
          <w:p w:rsidR="00EE0B9E" w:rsidRPr="00EE0B9E"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EE0B9E">
              <w:rPr>
                <w:rFonts w:asciiTheme="minorHAnsi" w:hAnsiTheme="minorHAnsi" w:cstheme="minorHAnsi"/>
                <w:color w:val="000000"/>
                <w:sz w:val="22"/>
                <w:szCs w:val="22"/>
                <w:lang w:eastAsia="bg-BG"/>
              </w:rPr>
              <w:t>1294</w:t>
            </w:r>
          </w:p>
        </w:tc>
        <w:tc>
          <w:tcPr>
            <w:tcW w:w="955" w:type="dxa"/>
            <w:noWrap/>
            <w:vAlign w:val="center"/>
            <w:hideMark/>
          </w:tcPr>
          <w:p w:rsidR="00EE0B9E" w:rsidRPr="00EE0B9E"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EE0B9E">
              <w:rPr>
                <w:rFonts w:asciiTheme="minorHAnsi" w:hAnsiTheme="minorHAnsi" w:cstheme="minorHAnsi"/>
                <w:color w:val="000000"/>
                <w:sz w:val="22"/>
                <w:szCs w:val="22"/>
                <w:lang w:eastAsia="bg-BG"/>
              </w:rPr>
              <w:t>96</w:t>
            </w:r>
          </w:p>
        </w:tc>
        <w:tc>
          <w:tcPr>
            <w:tcW w:w="2492" w:type="dxa"/>
            <w:noWrap/>
            <w:hideMark/>
          </w:tcPr>
          <w:p w:rsidR="00EE0B9E" w:rsidRPr="0060652A" w:rsidRDefault="00EE0B9E" w:rsidP="009E6002">
            <w:pPr>
              <w:autoSpaceDE/>
              <w:autoSpaceDN/>
              <w:adjustRightInd/>
              <w:spacing w:after="0"/>
              <w:jc w:val="lef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Транспортни услуги</w:t>
            </w:r>
          </w:p>
        </w:tc>
      </w:tr>
      <w:tr w:rsidR="00EE0B9E" w:rsidRPr="0060652A" w:rsidTr="00F738B9">
        <w:trPr>
          <w:cnfStyle w:val="000000100000"/>
          <w:trHeight w:val="300"/>
        </w:trPr>
        <w:tc>
          <w:tcPr>
            <w:cnfStyle w:val="001000000000"/>
            <w:tcW w:w="2518" w:type="dxa"/>
            <w:noWrap/>
            <w:vAlign w:val="center"/>
            <w:hideMark/>
          </w:tcPr>
          <w:p w:rsidR="00EE0B9E" w:rsidRPr="0060652A" w:rsidRDefault="00EE0B9E" w:rsidP="0045485D">
            <w:pPr>
              <w:autoSpaceDE/>
              <w:autoSpaceDN/>
              <w:adjustRightInd/>
              <w:spacing w:after="0"/>
              <w:jc w:val="left"/>
              <w:rPr>
                <w:rFonts w:asciiTheme="minorHAnsi" w:hAnsiTheme="minorHAnsi" w:cstheme="minorHAnsi"/>
                <w:sz w:val="22"/>
                <w:szCs w:val="22"/>
                <w:lang w:eastAsia="bg-BG"/>
              </w:rPr>
            </w:pPr>
            <w:r w:rsidRPr="0060652A">
              <w:rPr>
                <w:rFonts w:asciiTheme="minorHAnsi" w:hAnsiTheme="minorHAnsi" w:cstheme="minorHAnsi"/>
                <w:sz w:val="22"/>
                <w:szCs w:val="22"/>
                <w:lang w:eastAsia="bg-BG"/>
              </w:rPr>
              <w:t>Булром Газ 2006 ЕООД</w:t>
            </w:r>
          </w:p>
        </w:tc>
        <w:tc>
          <w:tcPr>
            <w:tcW w:w="954" w:type="dxa"/>
            <w:noWrap/>
            <w:vAlign w:val="center"/>
            <w:hideMark/>
          </w:tcPr>
          <w:p w:rsidR="00EE0B9E" w:rsidRPr="0060652A" w:rsidRDefault="00EE0B9E" w:rsidP="00F738B9">
            <w:pPr>
              <w:autoSpaceDE/>
              <w:autoSpaceDN/>
              <w:adjustRightInd/>
              <w:spacing w:after="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61 </w:t>
            </w:r>
          </w:p>
        </w:tc>
        <w:tc>
          <w:tcPr>
            <w:tcW w:w="954" w:type="dxa"/>
            <w:noWrap/>
            <w:vAlign w:val="center"/>
            <w:hideMark/>
          </w:tcPr>
          <w:p w:rsidR="00EE0B9E" w:rsidRPr="0060652A" w:rsidRDefault="00EE0B9E" w:rsidP="00F738B9">
            <w:pPr>
              <w:autoSpaceDE/>
              <w:autoSpaceDN/>
              <w:adjustRightInd/>
              <w:spacing w:after="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286 </w:t>
            </w:r>
          </w:p>
        </w:tc>
        <w:tc>
          <w:tcPr>
            <w:tcW w:w="954" w:type="dxa"/>
            <w:noWrap/>
            <w:vAlign w:val="center"/>
            <w:hideMark/>
          </w:tcPr>
          <w:p w:rsidR="00EE0B9E" w:rsidRPr="0060652A" w:rsidRDefault="00EE0B9E" w:rsidP="00F738B9">
            <w:pPr>
              <w:autoSpaceDE/>
              <w:autoSpaceDN/>
              <w:adjustRightInd/>
              <w:spacing w:after="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542 </w:t>
            </w:r>
          </w:p>
        </w:tc>
        <w:tc>
          <w:tcPr>
            <w:tcW w:w="954" w:type="dxa"/>
            <w:noWrap/>
            <w:vAlign w:val="center"/>
            <w:hideMark/>
          </w:tcPr>
          <w:p w:rsidR="00EE0B9E" w:rsidRPr="00EE0B9E" w:rsidRDefault="00EE0B9E" w:rsidP="00F738B9">
            <w:pPr>
              <w:autoSpaceDE/>
              <w:autoSpaceDN/>
              <w:adjustRightInd/>
              <w:spacing w:after="0"/>
              <w:jc w:val="right"/>
              <w:cnfStyle w:val="000000100000"/>
              <w:rPr>
                <w:rFonts w:asciiTheme="minorHAnsi" w:hAnsiTheme="minorHAnsi" w:cstheme="minorHAnsi"/>
                <w:color w:val="000000"/>
                <w:sz w:val="22"/>
                <w:szCs w:val="22"/>
                <w:lang w:eastAsia="bg-BG"/>
              </w:rPr>
            </w:pPr>
            <w:r w:rsidRPr="00EE0B9E">
              <w:rPr>
                <w:rFonts w:asciiTheme="minorHAnsi" w:hAnsiTheme="minorHAnsi" w:cstheme="minorHAnsi"/>
                <w:color w:val="000000"/>
                <w:sz w:val="22"/>
                <w:szCs w:val="22"/>
                <w:lang w:eastAsia="bg-BG"/>
              </w:rPr>
              <w:t>202</w:t>
            </w:r>
          </w:p>
        </w:tc>
        <w:tc>
          <w:tcPr>
            <w:tcW w:w="955" w:type="dxa"/>
            <w:noWrap/>
            <w:vAlign w:val="center"/>
            <w:hideMark/>
          </w:tcPr>
          <w:p w:rsidR="00EE0B9E" w:rsidRPr="00EE0B9E" w:rsidRDefault="00EE0B9E" w:rsidP="00F738B9">
            <w:pPr>
              <w:autoSpaceDE/>
              <w:autoSpaceDN/>
              <w:adjustRightInd/>
              <w:spacing w:after="0"/>
              <w:jc w:val="right"/>
              <w:cnfStyle w:val="000000100000"/>
              <w:rPr>
                <w:rFonts w:asciiTheme="minorHAnsi" w:hAnsiTheme="minorHAnsi" w:cstheme="minorHAnsi"/>
                <w:color w:val="000000"/>
                <w:sz w:val="22"/>
                <w:szCs w:val="22"/>
                <w:lang w:eastAsia="bg-BG"/>
              </w:rPr>
            </w:pPr>
            <w:r w:rsidRPr="00EE0B9E">
              <w:rPr>
                <w:rFonts w:asciiTheme="minorHAnsi" w:hAnsiTheme="minorHAnsi" w:cstheme="minorHAnsi"/>
                <w:color w:val="000000"/>
                <w:sz w:val="22"/>
                <w:szCs w:val="22"/>
                <w:lang w:eastAsia="bg-BG"/>
              </w:rPr>
              <w:t>191</w:t>
            </w:r>
          </w:p>
        </w:tc>
        <w:tc>
          <w:tcPr>
            <w:tcW w:w="2492" w:type="dxa"/>
            <w:noWrap/>
            <w:hideMark/>
          </w:tcPr>
          <w:p w:rsidR="00EE0B9E" w:rsidRPr="0060652A" w:rsidRDefault="00EE0B9E" w:rsidP="009E6002">
            <w:pPr>
              <w:autoSpaceDE/>
              <w:autoSpaceDN/>
              <w:adjustRightInd/>
              <w:spacing w:after="0"/>
              <w:jc w:val="lef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Гориво, винетки и др.</w:t>
            </w:r>
          </w:p>
        </w:tc>
      </w:tr>
      <w:tr w:rsidR="00EE0B9E" w:rsidRPr="0060652A" w:rsidTr="00F738B9">
        <w:trPr>
          <w:trHeight w:val="300"/>
        </w:trPr>
        <w:tc>
          <w:tcPr>
            <w:cnfStyle w:val="001000000000"/>
            <w:tcW w:w="2518" w:type="dxa"/>
            <w:noWrap/>
            <w:vAlign w:val="center"/>
            <w:hideMark/>
          </w:tcPr>
          <w:p w:rsidR="00EE0B9E" w:rsidRPr="0060652A" w:rsidRDefault="00EE0B9E" w:rsidP="0045485D">
            <w:pPr>
              <w:autoSpaceDE/>
              <w:autoSpaceDN/>
              <w:adjustRightInd/>
              <w:spacing w:after="0"/>
              <w:jc w:val="left"/>
              <w:rPr>
                <w:rFonts w:asciiTheme="minorHAnsi" w:hAnsiTheme="minorHAnsi" w:cstheme="minorHAnsi"/>
                <w:sz w:val="22"/>
                <w:szCs w:val="22"/>
                <w:lang w:eastAsia="bg-BG"/>
              </w:rPr>
            </w:pPr>
            <w:r w:rsidRPr="0060652A">
              <w:rPr>
                <w:rFonts w:asciiTheme="minorHAnsi" w:hAnsiTheme="minorHAnsi" w:cstheme="minorHAnsi"/>
                <w:sz w:val="22"/>
                <w:szCs w:val="22"/>
                <w:lang w:eastAsia="bg-BG"/>
              </w:rPr>
              <w:t>Други</w:t>
            </w:r>
            <w:r w:rsidR="00B67E1A">
              <w:rPr>
                <w:rFonts w:asciiTheme="minorHAnsi" w:hAnsiTheme="minorHAnsi" w:cstheme="minorHAnsi"/>
                <w:sz w:val="22"/>
                <w:szCs w:val="22"/>
                <w:lang w:eastAsia="bg-BG"/>
              </w:rPr>
              <w:t xml:space="preserve"> свързани лица</w:t>
            </w:r>
          </w:p>
        </w:tc>
        <w:tc>
          <w:tcPr>
            <w:tcW w:w="954" w:type="dxa"/>
            <w:noWrap/>
            <w:vAlign w:val="center"/>
            <w:hideMark/>
          </w:tcPr>
          <w:p w:rsidR="00EE0B9E" w:rsidRPr="0060652A"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142 </w:t>
            </w:r>
          </w:p>
        </w:tc>
        <w:tc>
          <w:tcPr>
            <w:tcW w:w="954" w:type="dxa"/>
            <w:noWrap/>
            <w:vAlign w:val="center"/>
            <w:hideMark/>
          </w:tcPr>
          <w:p w:rsidR="00EE0B9E" w:rsidRPr="0060652A"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368 </w:t>
            </w:r>
          </w:p>
        </w:tc>
        <w:tc>
          <w:tcPr>
            <w:tcW w:w="954" w:type="dxa"/>
            <w:noWrap/>
            <w:vAlign w:val="center"/>
            <w:hideMark/>
          </w:tcPr>
          <w:p w:rsidR="00EE0B9E" w:rsidRPr="0060652A"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732 </w:t>
            </w:r>
          </w:p>
        </w:tc>
        <w:tc>
          <w:tcPr>
            <w:tcW w:w="954" w:type="dxa"/>
            <w:noWrap/>
            <w:vAlign w:val="center"/>
            <w:hideMark/>
          </w:tcPr>
          <w:p w:rsidR="00EE0B9E" w:rsidRPr="00EE0B9E"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EE0B9E">
              <w:rPr>
                <w:rFonts w:asciiTheme="minorHAnsi" w:hAnsiTheme="minorHAnsi" w:cstheme="minorHAnsi"/>
                <w:color w:val="000000"/>
                <w:sz w:val="22"/>
                <w:szCs w:val="22"/>
                <w:lang w:eastAsia="bg-BG"/>
              </w:rPr>
              <w:t>163</w:t>
            </w:r>
          </w:p>
        </w:tc>
        <w:tc>
          <w:tcPr>
            <w:tcW w:w="955" w:type="dxa"/>
            <w:noWrap/>
            <w:vAlign w:val="center"/>
            <w:hideMark/>
          </w:tcPr>
          <w:p w:rsidR="00EE0B9E" w:rsidRPr="00EE0B9E"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EE0B9E">
              <w:rPr>
                <w:rFonts w:asciiTheme="minorHAnsi" w:hAnsiTheme="minorHAnsi" w:cstheme="minorHAnsi"/>
                <w:color w:val="000000"/>
                <w:sz w:val="22"/>
                <w:szCs w:val="22"/>
                <w:lang w:eastAsia="bg-BG"/>
              </w:rPr>
              <w:t>229</w:t>
            </w:r>
          </w:p>
        </w:tc>
        <w:tc>
          <w:tcPr>
            <w:tcW w:w="2492" w:type="dxa"/>
            <w:noWrap/>
            <w:hideMark/>
          </w:tcPr>
          <w:p w:rsidR="00EE0B9E" w:rsidRPr="0060652A" w:rsidRDefault="00EE0B9E" w:rsidP="006D4407">
            <w:pPr>
              <w:autoSpaceDE/>
              <w:autoSpaceDN/>
              <w:adjustRightInd/>
              <w:spacing w:after="0"/>
              <w:ind w:right="-70"/>
              <w:jc w:val="lef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Поддръжка на автомобили</w:t>
            </w:r>
          </w:p>
        </w:tc>
      </w:tr>
      <w:tr w:rsidR="00EE0B9E" w:rsidRPr="0060652A" w:rsidTr="00F738B9">
        <w:trPr>
          <w:cnfStyle w:val="000000100000"/>
          <w:trHeight w:val="300"/>
        </w:trPr>
        <w:tc>
          <w:tcPr>
            <w:cnfStyle w:val="001000000000"/>
            <w:tcW w:w="2518" w:type="dxa"/>
            <w:noWrap/>
            <w:vAlign w:val="center"/>
            <w:hideMark/>
          </w:tcPr>
          <w:p w:rsidR="00EE0B9E" w:rsidRPr="0060652A" w:rsidRDefault="00EE0B9E" w:rsidP="0045485D">
            <w:pPr>
              <w:autoSpaceDE/>
              <w:autoSpaceDN/>
              <w:adjustRightInd/>
              <w:spacing w:after="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ОБЩО ПОКУПКИ</w:t>
            </w:r>
          </w:p>
        </w:tc>
        <w:tc>
          <w:tcPr>
            <w:tcW w:w="954" w:type="dxa"/>
            <w:noWrap/>
            <w:vAlign w:val="center"/>
            <w:hideMark/>
          </w:tcPr>
          <w:p w:rsidR="00EE0B9E" w:rsidRPr="0060652A" w:rsidRDefault="00EE0B9E" w:rsidP="00F738B9">
            <w:pPr>
              <w:autoSpaceDE/>
              <w:autoSpaceDN/>
              <w:adjustRightInd/>
              <w:spacing w:after="0"/>
              <w:jc w:val="right"/>
              <w:cnfStyle w:val="000000100000"/>
              <w:rPr>
                <w:rFonts w:asciiTheme="minorHAnsi" w:hAnsiTheme="minorHAnsi" w:cstheme="minorHAnsi"/>
                <w:b/>
                <w:color w:val="000000"/>
                <w:sz w:val="22"/>
                <w:szCs w:val="22"/>
                <w:lang w:eastAsia="bg-BG"/>
              </w:rPr>
            </w:pPr>
            <w:r w:rsidRPr="0060652A">
              <w:rPr>
                <w:rFonts w:asciiTheme="minorHAnsi" w:hAnsiTheme="minorHAnsi" w:cstheme="minorHAnsi"/>
                <w:b/>
                <w:color w:val="000000"/>
                <w:sz w:val="22"/>
                <w:szCs w:val="22"/>
                <w:lang w:eastAsia="bg-BG"/>
              </w:rPr>
              <w:t xml:space="preserve">16 138 </w:t>
            </w:r>
          </w:p>
        </w:tc>
        <w:tc>
          <w:tcPr>
            <w:tcW w:w="954" w:type="dxa"/>
            <w:noWrap/>
            <w:vAlign w:val="center"/>
            <w:hideMark/>
          </w:tcPr>
          <w:p w:rsidR="00EE0B9E" w:rsidRPr="0060652A" w:rsidRDefault="00EE0B9E" w:rsidP="00F738B9">
            <w:pPr>
              <w:autoSpaceDE/>
              <w:autoSpaceDN/>
              <w:adjustRightInd/>
              <w:spacing w:after="0"/>
              <w:jc w:val="right"/>
              <w:cnfStyle w:val="000000100000"/>
              <w:rPr>
                <w:rFonts w:asciiTheme="minorHAnsi" w:hAnsiTheme="minorHAnsi" w:cstheme="minorHAnsi"/>
                <w:b/>
                <w:color w:val="000000"/>
                <w:sz w:val="22"/>
                <w:szCs w:val="22"/>
                <w:lang w:eastAsia="bg-BG"/>
              </w:rPr>
            </w:pPr>
            <w:r w:rsidRPr="0060652A">
              <w:rPr>
                <w:rFonts w:asciiTheme="minorHAnsi" w:hAnsiTheme="minorHAnsi" w:cstheme="minorHAnsi"/>
                <w:b/>
                <w:color w:val="000000"/>
                <w:sz w:val="22"/>
                <w:szCs w:val="22"/>
                <w:lang w:eastAsia="bg-BG"/>
              </w:rPr>
              <w:t xml:space="preserve">17 638 </w:t>
            </w:r>
          </w:p>
        </w:tc>
        <w:tc>
          <w:tcPr>
            <w:tcW w:w="954" w:type="dxa"/>
            <w:noWrap/>
            <w:vAlign w:val="center"/>
            <w:hideMark/>
          </w:tcPr>
          <w:p w:rsidR="00EE0B9E" w:rsidRPr="0060652A" w:rsidRDefault="00EE0B9E" w:rsidP="00F738B9">
            <w:pPr>
              <w:autoSpaceDE/>
              <w:autoSpaceDN/>
              <w:adjustRightInd/>
              <w:spacing w:after="0"/>
              <w:jc w:val="right"/>
              <w:cnfStyle w:val="000000100000"/>
              <w:rPr>
                <w:rFonts w:asciiTheme="minorHAnsi" w:hAnsiTheme="minorHAnsi" w:cstheme="minorHAnsi"/>
                <w:b/>
                <w:color w:val="000000"/>
                <w:sz w:val="22"/>
                <w:szCs w:val="22"/>
                <w:lang w:eastAsia="bg-BG"/>
              </w:rPr>
            </w:pPr>
            <w:r w:rsidRPr="0060652A">
              <w:rPr>
                <w:rFonts w:asciiTheme="minorHAnsi" w:hAnsiTheme="minorHAnsi" w:cstheme="minorHAnsi"/>
                <w:b/>
                <w:color w:val="000000"/>
                <w:sz w:val="22"/>
                <w:szCs w:val="22"/>
                <w:lang w:eastAsia="bg-BG"/>
              </w:rPr>
              <w:t xml:space="preserve">21 600 </w:t>
            </w:r>
          </w:p>
        </w:tc>
        <w:tc>
          <w:tcPr>
            <w:tcW w:w="954" w:type="dxa"/>
            <w:noWrap/>
            <w:vAlign w:val="center"/>
            <w:hideMark/>
          </w:tcPr>
          <w:p w:rsidR="00EE0B9E" w:rsidRPr="00EE0B9E" w:rsidRDefault="00EE0B9E" w:rsidP="00F738B9">
            <w:pPr>
              <w:autoSpaceDE/>
              <w:autoSpaceDN/>
              <w:adjustRightInd/>
              <w:spacing w:after="0"/>
              <w:jc w:val="right"/>
              <w:cnfStyle w:val="000000100000"/>
              <w:rPr>
                <w:rFonts w:asciiTheme="minorHAnsi" w:hAnsiTheme="minorHAnsi" w:cstheme="minorHAnsi"/>
                <w:b/>
                <w:color w:val="000000"/>
                <w:sz w:val="22"/>
                <w:szCs w:val="22"/>
                <w:lang w:eastAsia="bg-BG"/>
              </w:rPr>
            </w:pPr>
            <w:r w:rsidRPr="00EE0B9E">
              <w:rPr>
                <w:rFonts w:asciiTheme="minorHAnsi" w:hAnsiTheme="minorHAnsi" w:cstheme="minorHAnsi"/>
                <w:b/>
                <w:color w:val="000000"/>
                <w:sz w:val="22"/>
                <w:szCs w:val="22"/>
                <w:lang w:eastAsia="bg-BG"/>
              </w:rPr>
              <w:t>8711</w:t>
            </w:r>
          </w:p>
        </w:tc>
        <w:tc>
          <w:tcPr>
            <w:tcW w:w="955" w:type="dxa"/>
            <w:noWrap/>
            <w:vAlign w:val="center"/>
            <w:hideMark/>
          </w:tcPr>
          <w:p w:rsidR="00EE0B9E" w:rsidRPr="00EE0B9E" w:rsidRDefault="00EE0B9E" w:rsidP="00F738B9">
            <w:pPr>
              <w:autoSpaceDE/>
              <w:autoSpaceDN/>
              <w:adjustRightInd/>
              <w:spacing w:after="0"/>
              <w:jc w:val="right"/>
              <w:cnfStyle w:val="000000100000"/>
              <w:rPr>
                <w:rFonts w:asciiTheme="minorHAnsi" w:hAnsiTheme="minorHAnsi" w:cstheme="minorHAnsi"/>
                <w:b/>
                <w:color w:val="000000"/>
                <w:sz w:val="22"/>
                <w:szCs w:val="22"/>
                <w:lang w:eastAsia="bg-BG"/>
              </w:rPr>
            </w:pPr>
            <w:r w:rsidRPr="00EE0B9E">
              <w:rPr>
                <w:rFonts w:asciiTheme="minorHAnsi" w:hAnsiTheme="minorHAnsi" w:cstheme="minorHAnsi"/>
                <w:b/>
                <w:color w:val="000000"/>
                <w:sz w:val="22"/>
                <w:szCs w:val="22"/>
                <w:lang w:eastAsia="bg-BG"/>
              </w:rPr>
              <w:t>5116</w:t>
            </w:r>
          </w:p>
        </w:tc>
        <w:tc>
          <w:tcPr>
            <w:tcW w:w="2492" w:type="dxa"/>
            <w:noWrap/>
            <w:hideMark/>
          </w:tcPr>
          <w:p w:rsidR="00EE0B9E" w:rsidRPr="0060652A" w:rsidRDefault="00EE0B9E" w:rsidP="009E6002">
            <w:pPr>
              <w:autoSpaceDE/>
              <w:autoSpaceDN/>
              <w:adjustRightInd/>
              <w:spacing w:after="0"/>
              <w:jc w:val="left"/>
              <w:cnfStyle w:val="000000100000"/>
              <w:rPr>
                <w:rFonts w:asciiTheme="minorHAnsi" w:hAnsiTheme="minorHAnsi" w:cstheme="minorHAnsi"/>
                <w:b/>
                <w:bCs/>
                <w:color w:val="000000"/>
                <w:sz w:val="22"/>
                <w:szCs w:val="22"/>
                <w:lang w:eastAsia="bg-BG"/>
              </w:rPr>
            </w:pPr>
            <w:r w:rsidRPr="0060652A">
              <w:rPr>
                <w:rFonts w:asciiTheme="minorHAnsi" w:hAnsiTheme="minorHAnsi" w:cstheme="minorHAnsi"/>
                <w:b/>
                <w:bCs/>
                <w:color w:val="000000"/>
                <w:sz w:val="22"/>
                <w:szCs w:val="22"/>
                <w:lang w:eastAsia="bg-BG"/>
              </w:rPr>
              <w:t> </w:t>
            </w:r>
          </w:p>
        </w:tc>
      </w:tr>
      <w:tr w:rsidR="00EE0B9E" w:rsidRPr="0060652A" w:rsidTr="00F738B9">
        <w:trPr>
          <w:trHeight w:val="300"/>
        </w:trPr>
        <w:tc>
          <w:tcPr>
            <w:cnfStyle w:val="001000000000"/>
            <w:tcW w:w="2518" w:type="dxa"/>
            <w:noWrap/>
            <w:vAlign w:val="center"/>
            <w:hideMark/>
          </w:tcPr>
          <w:p w:rsidR="00EE0B9E" w:rsidRPr="0060652A" w:rsidRDefault="00EE0B9E" w:rsidP="0045485D">
            <w:pPr>
              <w:autoSpaceDE/>
              <w:autoSpaceDN/>
              <w:adjustRightInd/>
              <w:spacing w:after="0"/>
              <w:jc w:val="righ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без "Спиди" ЕООД</w:t>
            </w:r>
          </w:p>
        </w:tc>
        <w:tc>
          <w:tcPr>
            <w:tcW w:w="954" w:type="dxa"/>
            <w:noWrap/>
            <w:vAlign w:val="center"/>
            <w:hideMark/>
          </w:tcPr>
          <w:p w:rsidR="00EE0B9E" w:rsidRPr="0060652A"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1 690 </w:t>
            </w:r>
          </w:p>
        </w:tc>
        <w:tc>
          <w:tcPr>
            <w:tcW w:w="954" w:type="dxa"/>
            <w:noWrap/>
            <w:vAlign w:val="center"/>
            <w:hideMark/>
          </w:tcPr>
          <w:p w:rsidR="00EE0B9E" w:rsidRPr="0060652A"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2 544 </w:t>
            </w:r>
          </w:p>
        </w:tc>
        <w:tc>
          <w:tcPr>
            <w:tcW w:w="954" w:type="dxa"/>
            <w:noWrap/>
            <w:vAlign w:val="center"/>
            <w:hideMark/>
          </w:tcPr>
          <w:p w:rsidR="00EE0B9E" w:rsidRPr="0060652A"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3 482 </w:t>
            </w:r>
          </w:p>
        </w:tc>
        <w:tc>
          <w:tcPr>
            <w:tcW w:w="954" w:type="dxa"/>
            <w:noWrap/>
            <w:vAlign w:val="center"/>
            <w:hideMark/>
          </w:tcPr>
          <w:p w:rsidR="00EE0B9E" w:rsidRPr="00EE0B9E"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EE0B9E">
              <w:rPr>
                <w:rFonts w:asciiTheme="minorHAnsi" w:hAnsiTheme="minorHAnsi" w:cstheme="minorHAnsi"/>
                <w:color w:val="000000"/>
                <w:sz w:val="22"/>
                <w:szCs w:val="22"/>
                <w:lang w:eastAsia="bg-BG"/>
              </w:rPr>
              <w:t>1659</w:t>
            </w:r>
          </w:p>
        </w:tc>
        <w:tc>
          <w:tcPr>
            <w:tcW w:w="955" w:type="dxa"/>
            <w:noWrap/>
            <w:vAlign w:val="center"/>
            <w:hideMark/>
          </w:tcPr>
          <w:p w:rsidR="00EE0B9E" w:rsidRPr="00EE0B9E" w:rsidRDefault="00EE0B9E" w:rsidP="00F738B9">
            <w:pPr>
              <w:autoSpaceDE/>
              <w:autoSpaceDN/>
              <w:adjustRightInd/>
              <w:spacing w:after="0"/>
              <w:jc w:val="right"/>
              <w:cnfStyle w:val="000000000000"/>
              <w:rPr>
                <w:rFonts w:asciiTheme="minorHAnsi" w:hAnsiTheme="minorHAnsi" w:cstheme="minorHAnsi"/>
                <w:color w:val="000000"/>
                <w:sz w:val="22"/>
                <w:szCs w:val="22"/>
                <w:lang w:eastAsia="bg-BG"/>
              </w:rPr>
            </w:pPr>
            <w:r w:rsidRPr="00EE0B9E">
              <w:rPr>
                <w:rFonts w:asciiTheme="minorHAnsi" w:hAnsiTheme="minorHAnsi" w:cstheme="minorHAnsi"/>
                <w:color w:val="000000"/>
                <w:sz w:val="22"/>
                <w:szCs w:val="22"/>
                <w:lang w:eastAsia="bg-BG"/>
              </w:rPr>
              <w:t>516</w:t>
            </w:r>
          </w:p>
        </w:tc>
        <w:tc>
          <w:tcPr>
            <w:tcW w:w="2492" w:type="dxa"/>
            <w:noWrap/>
            <w:hideMark/>
          </w:tcPr>
          <w:p w:rsidR="00EE0B9E" w:rsidRPr="0060652A" w:rsidRDefault="00EE0B9E" w:rsidP="009E6002">
            <w:pPr>
              <w:autoSpaceDE/>
              <w:autoSpaceDN/>
              <w:adjustRightInd/>
              <w:spacing w:after="0"/>
              <w:jc w:val="left"/>
              <w:cnfStyle w:val="000000000000"/>
              <w:rPr>
                <w:rFonts w:asciiTheme="minorHAnsi" w:hAnsiTheme="minorHAnsi" w:cstheme="minorHAnsi"/>
                <w:bCs/>
                <w:color w:val="000000"/>
                <w:sz w:val="22"/>
                <w:szCs w:val="22"/>
                <w:lang w:eastAsia="bg-BG"/>
              </w:rPr>
            </w:pPr>
            <w:r w:rsidRPr="0060652A">
              <w:rPr>
                <w:rFonts w:asciiTheme="minorHAnsi" w:hAnsiTheme="minorHAnsi" w:cstheme="minorHAnsi"/>
                <w:bCs/>
                <w:color w:val="000000"/>
                <w:sz w:val="22"/>
                <w:szCs w:val="22"/>
                <w:lang w:eastAsia="bg-BG"/>
              </w:rPr>
              <w:t> </w:t>
            </w:r>
          </w:p>
        </w:tc>
      </w:tr>
    </w:tbl>
    <w:p w:rsidR="009E6002" w:rsidRDefault="009E6002" w:rsidP="00942CE6"/>
    <w:p w:rsidR="00594E2B" w:rsidRDefault="000B1B17" w:rsidP="00942CE6">
      <w:r>
        <w:t>Разходите към свързани лица са основно към дъщерната компания „Спиди” ЕООД</w:t>
      </w:r>
      <w:r w:rsidR="00D62189">
        <w:t>, която извършва оперативната дейност по приемане, транспорт и доставяне на пратките и „Трансбалкан груп” ООД, извършва транспортни услуги.</w:t>
      </w:r>
      <w:r w:rsidR="006D4407">
        <w:t xml:space="preserve"> </w:t>
      </w:r>
      <w:r w:rsidR="00AF4596">
        <w:t xml:space="preserve">Разходите за текущо обслужване и покупката на авточасти на транспортните средства са към </w:t>
      </w:r>
      <w:r w:rsidR="00AF4596" w:rsidRPr="00AF4596">
        <w:t>Омникар - БГ ЕООД</w:t>
      </w:r>
      <w:r w:rsidR="00AF4596">
        <w:t xml:space="preserve">, </w:t>
      </w:r>
      <w:r w:rsidR="00AF4596" w:rsidRPr="00AF4596">
        <w:t>Омникар ЕООД</w:t>
      </w:r>
      <w:r w:rsidR="00AF4596">
        <w:t xml:space="preserve">, </w:t>
      </w:r>
      <w:r w:rsidR="00AF4596" w:rsidRPr="00AF4596">
        <w:t>Омникар Ауто ООД</w:t>
      </w:r>
      <w:r w:rsidR="00AF4596">
        <w:t xml:space="preserve">, </w:t>
      </w:r>
      <w:r w:rsidR="00AF4596" w:rsidRPr="00AF4596">
        <w:t>Омникар Плюс ООД</w:t>
      </w:r>
      <w:r w:rsidR="00AF4596">
        <w:t xml:space="preserve">, </w:t>
      </w:r>
      <w:r w:rsidR="00AF4596" w:rsidRPr="00AF4596">
        <w:t>Омникар Варна ООД</w:t>
      </w:r>
      <w:r w:rsidR="00AF4596">
        <w:t>.</w:t>
      </w:r>
    </w:p>
    <w:p w:rsidR="00D62189" w:rsidRDefault="00D62189" w:rsidP="00942CE6"/>
    <w:p w:rsidR="00D62189" w:rsidRDefault="00D62189" w:rsidP="00D62189">
      <w:pPr>
        <w:jc w:val="center"/>
      </w:pPr>
      <w:r>
        <w:rPr>
          <w:i/>
          <w:u w:val="single"/>
        </w:rPr>
        <w:t>Продажби</w:t>
      </w:r>
      <w:r w:rsidRPr="005150CE">
        <w:rPr>
          <w:i/>
          <w:u w:val="single"/>
        </w:rPr>
        <w:t xml:space="preserve"> </w:t>
      </w:r>
      <w:r w:rsidR="0045485D">
        <w:rPr>
          <w:i/>
          <w:u w:val="single"/>
        </w:rPr>
        <w:t>на</w:t>
      </w:r>
      <w:r w:rsidRPr="005150CE">
        <w:rPr>
          <w:i/>
          <w:u w:val="single"/>
        </w:rPr>
        <w:t xml:space="preserve"> свързани лица</w:t>
      </w:r>
    </w:p>
    <w:tbl>
      <w:tblPr>
        <w:tblStyle w:val="MediumShading2-Accent11"/>
        <w:tblW w:w="9747" w:type="dxa"/>
        <w:tblInd w:w="108" w:type="dxa"/>
        <w:tblLayout w:type="fixed"/>
        <w:tblLook w:val="04E0"/>
      </w:tblPr>
      <w:tblGrid>
        <w:gridCol w:w="2424"/>
        <w:gridCol w:w="926"/>
        <w:gridCol w:w="926"/>
        <w:gridCol w:w="926"/>
        <w:gridCol w:w="926"/>
        <w:gridCol w:w="926"/>
        <w:gridCol w:w="2693"/>
      </w:tblGrid>
      <w:tr w:rsidR="007631C5" w:rsidRPr="0060652A" w:rsidTr="002C59C1">
        <w:trPr>
          <w:cnfStyle w:val="100000000000"/>
          <w:trHeight w:val="300"/>
        </w:trPr>
        <w:tc>
          <w:tcPr>
            <w:cnfStyle w:val="001000000100"/>
            <w:tcW w:w="2424" w:type="dxa"/>
            <w:noWrap/>
            <w:hideMark/>
          </w:tcPr>
          <w:p w:rsidR="007631C5" w:rsidRPr="0060652A" w:rsidRDefault="007631C5" w:rsidP="003D3056">
            <w:pPr>
              <w:autoSpaceDE/>
              <w:autoSpaceDN/>
              <w:adjustRightInd/>
              <w:spacing w:before="20" w:afterLines="20"/>
              <w:ind w:left="-108" w:right="-94"/>
              <w:jc w:val="center"/>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 Наименование</w:t>
            </w:r>
            <w:r>
              <w:rPr>
                <w:rFonts w:asciiTheme="minorHAnsi" w:hAnsiTheme="minorHAnsi" w:cstheme="minorHAnsi"/>
                <w:bCs w:val="0"/>
                <w:sz w:val="22"/>
                <w:szCs w:val="22"/>
                <w:lang w:eastAsia="bg-BG"/>
              </w:rPr>
              <w:t xml:space="preserve">, </w:t>
            </w:r>
            <w:r>
              <w:rPr>
                <w:rFonts w:asciiTheme="minorHAnsi" w:hAnsiTheme="minorHAnsi" w:cstheme="minorHAnsi"/>
                <w:sz w:val="22"/>
                <w:szCs w:val="22"/>
                <w:lang w:eastAsia="bg-BG"/>
              </w:rPr>
              <w:t>хил. лв.</w:t>
            </w:r>
          </w:p>
        </w:tc>
        <w:tc>
          <w:tcPr>
            <w:tcW w:w="926" w:type="dxa"/>
            <w:noWrap/>
            <w:hideMark/>
          </w:tcPr>
          <w:p w:rsidR="007631C5" w:rsidRPr="0060652A" w:rsidRDefault="007631C5" w:rsidP="003D3056">
            <w:pPr>
              <w:autoSpaceDE/>
              <w:autoSpaceDN/>
              <w:adjustRightInd/>
              <w:spacing w:before="20" w:afterLines="20"/>
              <w:jc w:val="center"/>
              <w:cnfStyle w:val="100000000000"/>
              <w:rPr>
                <w:rFonts w:asciiTheme="minorHAnsi" w:hAnsiTheme="minorHAnsi" w:cstheme="minorHAnsi"/>
                <w:bCs w:val="0"/>
                <w:color w:val="000000"/>
                <w:sz w:val="22"/>
                <w:szCs w:val="22"/>
                <w:lang w:eastAsia="bg-BG"/>
              </w:rPr>
            </w:pPr>
            <w:r w:rsidRPr="0060652A">
              <w:rPr>
                <w:rFonts w:asciiTheme="minorHAnsi" w:hAnsiTheme="minorHAnsi" w:cstheme="minorHAnsi"/>
                <w:bCs w:val="0"/>
                <w:color w:val="000000"/>
                <w:sz w:val="22"/>
                <w:szCs w:val="22"/>
                <w:lang w:eastAsia="bg-BG"/>
              </w:rPr>
              <w:t>2009</w:t>
            </w:r>
          </w:p>
        </w:tc>
        <w:tc>
          <w:tcPr>
            <w:tcW w:w="926" w:type="dxa"/>
            <w:noWrap/>
            <w:hideMark/>
          </w:tcPr>
          <w:p w:rsidR="007631C5" w:rsidRPr="0060652A" w:rsidRDefault="007631C5" w:rsidP="003D3056">
            <w:pPr>
              <w:autoSpaceDE/>
              <w:autoSpaceDN/>
              <w:adjustRightInd/>
              <w:spacing w:before="20" w:afterLines="20"/>
              <w:jc w:val="center"/>
              <w:cnfStyle w:val="100000000000"/>
              <w:rPr>
                <w:rFonts w:asciiTheme="minorHAnsi" w:hAnsiTheme="minorHAnsi" w:cstheme="minorHAnsi"/>
                <w:bCs w:val="0"/>
                <w:color w:val="000000"/>
                <w:sz w:val="22"/>
                <w:szCs w:val="22"/>
                <w:lang w:eastAsia="bg-BG"/>
              </w:rPr>
            </w:pPr>
            <w:r w:rsidRPr="0060652A">
              <w:rPr>
                <w:rFonts w:asciiTheme="minorHAnsi" w:hAnsiTheme="minorHAnsi" w:cstheme="minorHAnsi"/>
                <w:bCs w:val="0"/>
                <w:color w:val="000000"/>
                <w:sz w:val="22"/>
                <w:szCs w:val="22"/>
                <w:lang w:eastAsia="bg-BG"/>
              </w:rPr>
              <w:t>2010</w:t>
            </w:r>
          </w:p>
        </w:tc>
        <w:tc>
          <w:tcPr>
            <w:tcW w:w="926" w:type="dxa"/>
            <w:noWrap/>
            <w:hideMark/>
          </w:tcPr>
          <w:p w:rsidR="007631C5" w:rsidRPr="0060652A" w:rsidRDefault="007631C5" w:rsidP="003D3056">
            <w:pPr>
              <w:autoSpaceDE/>
              <w:autoSpaceDN/>
              <w:adjustRightInd/>
              <w:spacing w:before="20" w:afterLines="20"/>
              <w:jc w:val="center"/>
              <w:cnfStyle w:val="100000000000"/>
              <w:rPr>
                <w:rFonts w:asciiTheme="minorHAnsi" w:hAnsiTheme="minorHAnsi" w:cstheme="minorHAnsi"/>
                <w:bCs w:val="0"/>
                <w:color w:val="000000"/>
                <w:sz w:val="22"/>
                <w:szCs w:val="22"/>
                <w:lang w:eastAsia="bg-BG"/>
              </w:rPr>
            </w:pPr>
            <w:r w:rsidRPr="0060652A">
              <w:rPr>
                <w:rFonts w:asciiTheme="minorHAnsi" w:hAnsiTheme="minorHAnsi" w:cstheme="minorHAnsi"/>
                <w:bCs w:val="0"/>
                <w:color w:val="000000"/>
                <w:sz w:val="22"/>
                <w:szCs w:val="22"/>
                <w:lang w:eastAsia="bg-BG"/>
              </w:rPr>
              <w:t>2011</w:t>
            </w:r>
          </w:p>
        </w:tc>
        <w:tc>
          <w:tcPr>
            <w:tcW w:w="926" w:type="dxa"/>
            <w:noWrap/>
            <w:vAlign w:val="center"/>
            <w:hideMark/>
          </w:tcPr>
          <w:p w:rsidR="007631C5" w:rsidRPr="0060652A" w:rsidRDefault="007631C5" w:rsidP="002C59C1">
            <w:pPr>
              <w:autoSpaceDE/>
              <w:autoSpaceDN/>
              <w:adjustRightInd/>
              <w:spacing w:after="0"/>
              <w:ind w:left="-70" w:right="-70"/>
              <w:cnfStyle w:val="100000000000"/>
              <w:rPr>
                <w:rFonts w:asciiTheme="minorHAnsi" w:hAnsiTheme="minorHAnsi" w:cstheme="minorHAnsi"/>
                <w:bCs w:val="0"/>
                <w:color w:val="000000"/>
                <w:sz w:val="22"/>
                <w:szCs w:val="22"/>
                <w:lang w:eastAsia="bg-BG"/>
              </w:rPr>
            </w:pPr>
            <w:r>
              <w:rPr>
                <w:rFonts w:asciiTheme="minorHAnsi" w:hAnsiTheme="minorHAnsi" w:cstheme="minorHAnsi"/>
                <w:bCs w:val="0"/>
                <w:color w:val="000000"/>
                <w:sz w:val="22"/>
                <w:szCs w:val="22"/>
                <w:lang w:eastAsia="bg-BG"/>
              </w:rPr>
              <w:t>21.05.</w:t>
            </w:r>
            <w:r w:rsidRPr="0060652A">
              <w:rPr>
                <w:rFonts w:asciiTheme="minorHAnsi" w:hAnsiTheme="minorHAnsi" w:cstheme="minorHAnsi"/>
                <w:bCs w:val="0"/>
                <w:color w:val="000000"/>
                <w:sz w:val="22"/>
                <w:szCs w:val="22"/>
                <w:lang w:eastAsia="bg-BG"/>
              </w:rPr>
              <w:t>11</w:t>
            </w:r>
          </w:p>
        </w:tc>
        <w:tc>
          <w:tcPr>
            <w:tcW w:w="926" w:type="dxa"/>
            <w:noWrap/>
            <w:vAlign w:val="center"/>
            <w:hideMark/>
          </w:tcPr>
          <w:p w:rsidR="007631C5" w:rsidRPr="0060652A" w:rsidRDefault="007631C5" w:rsidP="002C59C1">
            <w:pPr>
              <w:autoSpaceDE/>
              <w:autoSpaceDN/>
              <w:adjustRightInd/>
              <w:spacing w:after="0"/>
              <w:ind w:left="-12" w:right="-70"/>
              <w:jc w:val="center"/>
              <w:cnfStyle w:val="100000000000"/>
              <w:rPr>
                <w:rFonts w:asciiTheme="minorHAnsi" w:hAnsiTheme="minorHAnsi" w:cstheme="minorHAnsi"/>
                <w:bCs w:val="0"/>
                <w:color w:val="000000"/>
                <w:sz w:val="22"/>
                <w:szCs w:val="22"/>
                <w:lang w:eastAsia="bg-BG"/>
              </w:rPr>
            </w:pPr>
            <w:r>
              <w:rPr>
                <w:rFonts w:asciiTheme="minorHAnsi" w:hAnsiTheme="minorHAnsi" w:cstheme="minorHAnsi"/>
                <w:bCs w:val="0"/>
                <w:color w:val="000000"/>
                <w:sz w:val="22"/>
                <w:szCs w:val="22"/>
                <w:lang w:eastAsia="bg-BG"/>
              </w:rPr>
              <w:t>21.05.</w:t>
            </w:r>
            <w:r w:rsidRPr="0060652A">
              <w:rPr>
                <w:rFonts w:asciiTheme="minorHAnsi" w:hAnsiTheme="minorHAnsi" w:cstheme="minorHAnsi"/>
                <w:bCs w:val="0"/>
                <w:color w:val="000000"/>
                <w:sz w:val="22"/>
                <w:szCs w:val="22"/>
                <w:lang w:eastAsia="bg-BG"/>
              </w:rPr>
              <w:t>12</w:t>
            </w:r>
          </w:p>
        </w:tc>
        <w:tc>
          <w:tcPr>
            <w:tcW w:w="2693" w:type="dxa"/>
            <w:noWrap/>
            <w:hideMark/>
          </w:tcPr>
          <w:p w:rsidR="007631C5" w:rsidRPr="0060652A" w:rsidRDefault="007631C5" w:rsidP="003D3056">
            <w:pPr>
              <w:autoSpaceDE/>
              <w:autoSpaceDN/>
              <w:adjustRightInd/>
              <w:spacing w:before="20" w:afterLines="20"/>
              <w:jc w:val="center"/>
              <w:cnfStyle w:val="100000000000"/>
              <w:rPr>
                <w:rFonts w:asciiTheme="minorHAnsi" w:hAnsiTheme="minorHAnsi" w:cstheme="minorHAnsi"/>
                <w:bCs w:val="0"/>
                <w:color w:val="000000"/>
                <w:sz w:val="22"/>
                <w:szCs w:val="22"/>
                <w:lang w:eastAsia="bg-BG"/>
              </w:rPr>
            </w:pPr>
            <w:r w:rsidRPr="0060652A">
              <w:rPr>
                <w:rFonts w:asciiTheme="minorHAnsi" w:hAnsiTheme="minorHAnsi" w:cstheme="minorHAnsi"/>
                <w:bCs w:val="0"/>
                <w:color w:val="000000"/>
                <w:sz w:val="22"/>
                <w:szCs w:val="22"/>
                <w:lang w:eastAsia="bg-BG"/>
              </w:rPr>
              <w:t>Описание</w:t>
            </w:r>
          </w:p>
        </w:tc>
      </w:tr>
      <w:tr w:rsidR="00B0601B" w:rsidRPr="0060652A" w:rsidTr="00B67E1A">
        <w:trPr>
          <w:cnfStyle w:val="000000100000"/>
          <w:trHeight w:val="300"/>
        </w:trPr>
        <w:tc>
          <w:tcPr>
            <w:cnfStyle w:val="001000000000"/>
            <w:tcW w:w="2424" w:type="dxa"/>
            <w:noWrap/>
            <w:vAlign w:val="center"/>
            <w:hideMark/>
          </w:tcPr>
          <w:p w:rsidR="00B0601B" w:rsidRPr="0060652A" w:rsidRDefault="00B0601B"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Булром Газ 2006 ЕООД</w:t>
            </w:r>
          </w:p>
        </w:tc>
        <w:tc>
          <w:tcPr>
            <w:tcW w:w="926" w:type="dxa"/>
            <w:noWrap/>
            <w:vAlign w:val="center"/>
            <w:hideMark/>
          </w:tcPr>
          <w:p w:rsidR="00B0601B" w:rsidRPr="0060652A" w:rsidRDefault="00B0601B"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177 </w:t>
            </w:r>
          </w:p>
        </w:tc>
        <w:tc>
          <w:tcPr>
            <w:tcW w:w="926" w:type="dxa"/>
            <w:noWrap/>
            <w:vAlign w:val="center"/>
            <w:hideMark/>
          </w:tcPr>
          <w:p w:rsidR="00B0601B" w:rsidRPr="0060652A" w:rsidRDefault="00B0601B"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209 </w:t>
            </w:r>
          </w:p>
        </w:tc>
        <w:tc>
          <w:tcPr>
            <w:tcW w:w="926" w:type="dxa"/>
            <w:noWrap/>
            <w:vAlign w:val="center"/>
            <w:hideMark/>
          </w:tcPr>
          <w:p w:rsidR="00B0601B" w:rsidRPr="0060652A" w:rsidRDefault="00B0601B"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217 </w:t>
            </w:r>
          </w:p>
        </w:tc>
        <w:tc>
          <w:tcPr>
            <w:tcW w:w="926" w:type="dxa"/>
            <w:noWrap/>
            <w:vAlign w:val="center"/>
            <w:hideMark/>
          </w:tcPr>
          <w:p w:rsidR="00B0601B" w:rsidRPr="00B0601B" w:rsidRDefault="00B0601B" w:rsidP="003D3056">
            <w:pPr>
              <w:spacing w:before="20" w:afterLines="20"/>
              <w:jc w:val="right"/>
              <w:cnfStyle w:val="000000100000"/>
              <w:rPr>
                <w:rFonts w:asciiTheme="minorHAnsi" w:hAnsiTheme="minorHAnsi" w:cstheme="minorHAnsi"/>
                <w:color w:val="000000"/>
                <w:sz w:val="22"/>
                <w:szCs w:val="22"/>
                <w:lang w:eastAsia="bg-BG"/>
              </w:rPr>
            </w:pPr>
            <w:r w:rsidRPr="00B0601B">
              <w:rPr>
                <w:rFonts w:asciiTheme="minorHAnsi" w:hAnsiTheme="minorHAnsi" w:cstheme="minorHAnsi"/>
                <w:color w:val="000000"/>
                <w:sz w:val="22"/>
                <w:szCs w:val="22"/>
                <w:lang w:eastAsia="bg-BG"/>
              </w:rPr>
              <w:t>70</w:t>
            </w:r>
          </w:p>
        </w:tc>
        <w:tc>
          <w:tcPr>
            <w:tcW w:w="926" w:type="dxa"/>
            <w:noWrap/>
            <w:vAlign w:val="center"/>
            <w:hideMark/>
          </w:tcPr>
          <w:p w:rsidR="00B0601B" w:rsidRPr="00B0601B" w:rsidRDefault="00B0601B" w:rsidP="003D3056">
            <w:pPr>
              <w:spacing w:before="20" w:afterLines="20"/>
              <w:jc w:val="right"/>
              <w:cnfStyle w:val="000000100000"/>
              <w:rPr>
                <w:rFonts w:asciiTheme="minorHAnsi" w:hAnsiTheme="minorHAnsi" w:cstheme="minorHAnsi"/>
                <w:color w:val="000000"/>
                <w:sz w:val="22"/>
                <w:szCs w:val="22"/>
                <w:lang w:eastAsia="bg-BG"/>
              </w:rPr>
            </w:pPr>
            <w:r w:rsidRPr="00B0601B">
              <w:rPr>
                <w:rFonts w:asciiTheme="minorHAnsi" w:hAnsiTheme="minorHAnsi" w:cstheme="minorHAnsi"/>
                <w:color w:val="000000"/>
                <w:sz w:val="22"/>
                <w:szCs w:val="22"/>
                <w:lang w:eastAsia="bg-BG"/>
              </w:rPr>
              <w:t>90</w:t>
            </w:r>
          </w:p>
        </w:tc>
        <w:tc>
          <w:tcPr>
            <w:tcW w:w="2693" w:type="dxa"/>
            <w:noWrap/>
            <w:vAlign w:val="center"/>
            <w:hideMark/>
          </w:tcPr>
          <w:p w:rsidR="00B0601B" w:rsidRPr="0060652A" w:rsidRDefault="00B0601B" w:rsidP="003D3056">
            <w:pPr>
              <w:spacing w:before="20" w:afterLines="20"/>
              <w:jc w:val="lef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Куриерски услуги,лихви</w:t>
            </w:r>
          </w:p>
        </w:tc>
      </w:tr>
      <w:tr w:rsidR="00B0601B" w:rsidRPr="0060652A" w:rsidTr="00B67E1A">
        <w:trPr>
          <w:trHeight w:val="300"/>
        </w:trPr>
        <w:tc>
          <w:tcPr>
            <w:cnfStyle w:val="001000000000"/>
            <w:tcW w:w="2424" w:type="dxa"/>
            <w:noWrap/>
            <w:vAlign w:val="center"/>
            <w:hideMark/>
          </w:tcPr>
          <w:p w:rsidR="00B0601B" w:rsidRPr="0060652A" w:rsidRDefault="00B0601B"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Трансбалкан Груп ООД</w:t>
            </w:r>
          </w:p>
        </w:tc>
        <w:tc>
          <w:tcPr>
            <w:tcW w:w="926" w:type="dxa"/>
            <w:noWrap/>
            <w:vAlign w:val="center"/>
            <w:hideMark/>
          </w:tcPr>
          <w:p w:rsidR="00B0601B" w:rsidRPr="0060652A" w:rsidRDefault="00B0601B"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602 </w:t>
            </w:r>
          </w:p>
        </w:tc>
        <w:tc>
          <w:tcPr>
            <w:tcW w:w="926" w:type="dxa"/>
            <w:noWrap/>
            <w:vAlign w:val="center"/>
            <w:hideMark/>
          </w:tcPr>
          <w:p w:rsidR="00B0601B" w:rsidRPr="0060652A" w:rsidRDefault="00B0601B"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1 414 </w:t>
            </w:r>
          </w:p>
        </w:tc>
        <w:tc>
          <w:tcPr>
            <w:tcW w:w="926" w:type="dxa"/>
            <w:noWrap/>
            <w:vAlign w:val="center"/>
            <w:hideMark/>
          </w:tcPr>
          <w:p w:rsidR="00B0601B" w:rsidRPr="0060652A" w:rsidRDefault="00B0601B"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1 630 </w:t>
            </w:r>
          </w:p>
        </w:tc>
        <w:tc>
          <w:tcPr>
            <w:tcW w:w="926" w:type="dxa"/>
            <w:noWrap/>
            <w:vAlign w:val="center"/>
            <w:hideMark/>
          </w:tcPr>
          <w:p w:rsidR="00B0601B" w:rsidRPr="00B0601B" w:rsidRDefault="00B0601B" w:rsidP="003D3056">
            <w:pPr>
              <w:spacing w:before="20" w:afterLines="20"/>
              <w:jc w:val="right"/>
              <w:cnfStyle w:val="000000000000"/>
              <w:rPr>
                <w:rFonts w:asciiTheme="minorHAnsi" w:hAnsiTheme="minorHAnsi" w:cstheme="minorHAnsi"/>
                <w:color w:val="000000"/>
                <w:sz w:val="22"/>
                <w:szCs w:val="22"/>
                <w:lang w:eastAsia="bg-BG"/>
              </w:rPr>
            </w:pPr>
            <w:r w:rsidRPr="00B0601B">
              <w:rPr>
                <w:rFonts w:asciiTheme="minorHAnsi" w:hAnsiTheme="minorHAnsi" w:cstheme="minorHAnsi"/>
                <w:color w:val="000000"/>
                <w:sz w:val="22"/>
                <w:szCs w:val="22"/>
                <w:lang w:eastAsia="bg-BG"/>
              </w:rPr>
              <w:t>663</w:t>
            </w:r>
          </w:p>
        </w:tc>
        <w:tc>
          <w:tcPr>
            <w:tcW w:w="926" w:type="dxa"/>
            <w:noWrap/>
            <w:vAlign w:val="center"/>
            <w:hideMark/>
          </w:tcPr>
          <w:p w:rsidR="00B0601B" w:rsidRPr="00B0601B" w:rsidRDefault="00B0601B" w:rsidP="003D3056">
            <w:pPr>
              <w:spacing w:before="20" w:afterLines="20"/>
              <w:jc w:val="right"/>
              <w:cnfStyle w:val="000000000000"/>
              <w:rPr>
                <w:rFonts w:asciiTheme="minorHAnsi" w:hAnsiTheme="minorHAnsi" w:cstheme="minorHAnsi"/>
                <w:color w:val="000000"/>
                <w:sz w:val="22"/>
                <w:szCs w:val="22"/>
                <w:lang w:eastAsia="bg-BG"/>
              </w:rPr>
            </w:pPr>
            <w:r w:rsidRPr="00B0601B">
              <w:rPr>
                <w:rFonts w:asciiTheme="minorHAnsi" w:hAnsiTheme="minorHAnsi" w:cstheme="minorHAnsi"/>
                <w:color w:val="000000"/>
                <w:sz w:val="22"/>
                <w:szCs w:val="22"/>
                <w:lang w:eastAsia="bg-BG"/>
              </w:rPr>
              <w:t>203</w:t>
            </w:r>
          </w:p>
        </w:tc>
        <w:tc>
          <w:tcPr>
            <w:tcW w:w="2693" w:type="dxa"/>
            <w:noWrap/>
            <w:vAlign w:val="center"/>
            <w:hideMark/>
          </w:tcPr>
          <w:p w:rsidR="00B0601B" w:rsidRPr="0060652A" w:rsidRDefault="00B0601B" w:rsidP="003D3056">
            <w:pPr>
              <w:spacing w:before="20" w:afterLines="20"/>
              <w:jc w:val="lef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Куриерски услуги,лихви</w:t>
            </w:r>
          </w:p>
        </w:tc>
      </w:tr>
      <w:tr w:rsidR="00B0601B" w:rsidRPr="0060652A" w:rsidTr="00B67E1A">
        <w:trPr>
          <w:cnfStyle w:val="000000100000"/>
          <w:trHeight w:val="300"/>
        </w:trPr>
        <w:tc>
          <w:tcPr>
            <w:cnfStyle w:val="001000000000"/>
            <w:tcW w:w="2424" w:type="dxa"/>
            <w:noWrap/>
            <w:vAlign w:val="center"/>
            <w:hideMark/>
          </w:tcPr>
          <w:p w:rsidR="00B0601B" w:rsidRPr="0060652A" w:rsidRDefault="00B0601B"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Омникар - БГ ЕООД</w:t>
            </w:r>
          </w:p>
        </w:tc>
        <w:tc>
          <w:tcPr>
            <w:tcW w:w="926" w:type="dxa"/>
            <w:noWrap/>
            <w:vAlign w:val="center"/>
            <w:hideMark/>
          </w:tcPr>
          <w:p w:rsidR="00B0601B" w:rsidRPr="0060652A" w:rsidRDefault="00B0601B"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227 </w:t>
            </w:r>
          </w:p>
        </w:tc>
        <w:tc>
          <w:tcPr>
            <w:tcW w:w="926" w:type="dxa"/>
            <w:noWrap/>
            <w:vAlign w:val="center"/>
            <w:hideMark/>
          </w:tcPr>
          <w:p w:rsidR="00B0601B" w:rsidRPr="0060652A" w:rsidRDefault="00B0601B"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283 </w:t>
            </w:r>
          </w:p>
        </w:tc>
        <w:tc>
          <w:tcPr>
            <w:tcW w:w="926" w:type="dxa"/>
            <w:noWrap/>
            <w:vAlign w:val="center"/>
            <w:hideMark/>
          </w:tcPr>
          <w:p w:rsidR="00B0601B" w:rsidRPr="0060652A" w:rsidRDefault="00B0601B"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278 </w:t>
            </w:r>
          </w:p>
        </w:tc>
        <w:tc>
          <w:tcPr>
            <w:tcW w:w="926" w:type="dxa"/>
            <w:noWrap/>
            <w:vAlign w:val="center"/>
            <w:hideMark/>
          </w:tcPr>
          <w:p w:rsidR="00B0601B" w:rsidRPr="00B0601B" w:rsidRDefault="00B0601B" w:rsidP="003D3056">
            <w:pPr>
              <w:spacing w:before="20" w:afterLines="20"/>
              <w:jc w:val="right"/>
              <w:cnfStyle w:val="000000100000"/>
              <w:rPr>
                <w:rFonts w:asciiTheme="minorHAnsi" w:hAnsiTheme="minorHAnsi" w:cstheme="minorHAnsi"/>
                <w:color w:val="000000"/>
                <w:sz w:val="22"/>
                <w:szCs w:val="22"/>
                <w:lang w:eastAsia="bg-BG"/>
              </w:rPr>
            </w:pPr>
            <w:r w:rsidRPr="00B0601B">
              <w:rPr>
                <w:rFonts w:asciiTheme="minorHAnsi" w:hAnsiTheme="minorHAnsi" w:cstheme="minorHAnsi"/>
                <w:color w:val="000000"/>
                <w:sz w:val="22"/>
                <w:szCs w:val="22"/>
                <w:lang w:eastAsia="bg-BG"/>
              </w:rPr>
              <w:t>108</w:t>
            </w:r>
          </w:p>
        </w:tc>
        <w:tc>
          <w:tcPr>
            <w:tcW w:w="926" w:type="dxa"/>
            <w:noWrap/>
            <w:vAlign w:val="center"/>
            <w:hideMark/>
          </w:tcPr>
          <w:p w:rsidR="00B0601B" w:rsidRPr="00B0601B" w:rsidRDefault="00B0601B" w:rsidP="003D3056">
            <w:pPr>
              <w:spacing w:before="20" w:afterLines="20"/>
              <w:jc w:val="right"/>
              <w:cnfStyle w:val="000000100000"/>
              <w:rPr>
                <w:rFonts w:asciiTheme="minorHAnsi" w:hAnsiTheme="minorHAnsi" w:cstheme="minorHAnsi"/>
                <w:color w:val="000000"/>
                <w:sz w:val="22"/>
                <w:szCs w:val="22"/>
                <w:lang w:eastAsia="bg-BG"/>
              </w:rPr>
            </w:pPr>
            <w:r w:rsidRPr="00B0601B">
              <w:rPr>
                <w:rFonts w:asciiTheme="minorHAnsi" w:hAnsiTheme="minorHAnsi" w:cstheme="minorHAnsi"/>
                <w:color w:val="000000"/>
                <w:sz w:val="22"/>
                <w:szCs w:val="22"/>
                <w:lang w:eastAsia="bg-BG"/>
              </w:rPr>
              <w:t>103</w:t>
            </w:r>
          </w:p>
        </w:tc>
        <w:tc>
          <w:tcPr>
            <w:tcW w:w="2693" w:type="dxa"/>
            <w:noWrap/>
            <w:vAlign w:val="center"/>
            <w:hideMark/>
          </w:tcPr>
          <w:p w:rsidR="00B0601B" w:rsidRPr="0060652A" w:rsidRDefault="00B0601B" w:rsidP="003D3056">
            <w:pPr>
              <w:spacing w:before="20" w:afterLines="20"/>
              <w:jc w:val="lef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Куриерски услуги, гориво, лихви и др.</w:t>
            </w:r>
          </w:p>
        </w:tc>
      </w:tr>
      <w:tr w:rsidR="00B0601B" w:rsidRPr="0060652A" w:rsidTr="00B67E1A">
        <w:trPr>
          <w:trHeight w:val="300"/>
        </w:trPr>
        <w:tc>
          <w:tcPr>
            <w:cnfStyle w:val="001000000000"/>
            <w:tcW w:w="2424" w:type="dxa"/>
            <w:noWrap/>
            <w:vAlign w:val="center"/>
            <w:hideMark/>
          </w:tcPr>
          <w:p w:rsidR="00B0601B" w:rsidRPr="0060652A" w:rsidRDefault="00B67E1A"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sz w:val="22"/>
                <w:szCs w:val="22"/>
                <w:lang w:eastAsia="bg-BG"/>
              </w:rPr>
              <w:t>Други</w:t>
            </w:r>
            <w:r>
              <w:rPr>
                <w:rFonts w:asciiTheme="minorHAnsi" w:hAnsiTheme="minorHAnsi" w:cstheme="minorHAnsi"/>
                <w:sz w:val="22"/>
                <w:szCs w:val="22"/>
                <w:lang w:eastAsia="bg-BG"/>
              </w:rPr>
              <w:t xml:space="preserve"> свързани лица</w:t>
            </w:r>
          </w:p>
        </w:tc>
        <w:tc>
          <w:tcPr>
            <w:tcW w:w="926" w:type="dxa"/>
            <w:noWrap/>
            <w:vAlign w:val="center"/>
            <w:hideMark/>
          </w:tcPr>
          <w:p w:rsidR="00B0601B" w:rsidRPr="0060652A" w:rsidRDefault="00B0601B"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39 </w:t>
            </w:r>
          </w:p>
        </w:tc>
        <w:tc>
          <w:tcPr>
            <w:tcW w:w="926" w:type="dxa"/>
            <w:noWrap/>
            <w:vAlign w:val="center"/>
            <w:hideMark/>
          </w:tcPr>
          <w:p w:rsidR="00B0601B" w:rsidRPr="0060652A" w:rsidRDefault="00B0601B"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118 </w:t>
            </w:r>
          </w:p>
        </w:tc>
        <w:tc>
          <w:tcPr>
            <w:tcW w:w="926" w:type="dxa"/>
            <w:noWrap/>
            <w:vAlign w:val="center"/>
            <w:hideMark/>
          </w:tcPr>
          <w:p w:rsidR="00B0601B" w:rsidRPr="0060652A" w:rsidRDefault="00B0601B"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200 </w:t>
            </w:r>
          </w:p>
        </w:tc>
        <w:tc>
          <w:tcPr>
            <w:tcW w:w="926" w:type="dxa"/>
            <w:noWrap/>
            <w:vAlign w:val="center"/>
            <w:hideMark/>
          </w:tcPr>
          <w:p w:rsidR="00B0601B" w:rsidRPr="00B0601B" w:rsidRDefault="00B0601B" w:rsidP="003D3056">
            <w:pPr>
              <w:spacing w:before="20" w:afterLines="20"/>
              <w:jc w:val="right"/>
              <w:cnfStyle w:val="000000000000"/>
              <w:rPr>
                <w:rFonts w:asciiTheme="minorHAnsi" w:hAnsiTheme="minorHAnsi" w:cstheme="minorHAnsi"/>
                <w:color w:val="000000"/>
                <w:sz w:val="22"/>
                <w:szCs w:val="22"/>
                <w:lang w:eastAsia="bg-BG"/>
              </w:rPr>
            </w:pPr>
            <w:r w:rsidRPr="00B0601B">
              <w:rPr>
                <w:rFonts w:asciiTheme="minorHAnsi" w:hAnsiTheme="minorHAnsi" w:cstheme="minorHAnsi"/>
                <w:color w:val="000000"/>
                <w:sz w:val="22"/>
                <w:szCs w:val="22"/>
                <w:lang w:eastAsia="bg-BG"/>
              </w:rPr>
              <w:t>8</w:t>
            </w:r>
          </w:p>
        </w:tc>
        <w:tc>
          <w:tcPr>
            <w:tcW w:w="926" w:type="dxa"/>
            <w:noWrap/>
            <w:vAlign w:val="center"/>
            <w:hideMark/>
          </w:tcPr>
          <w:p w:rsidR="00B0601B" w:rsidRPr="00B0601B" w:rsidRDefault="00B0601B" w:rsidP="003D3056">
            <w:pPr>
              <w:spacing w:before="20" w:afterLines="20"/>
              <w:jc w:val="right"/>
              <w:cnfStyle w:val="000000000000"/>
              <w:rPr>
                <w:rFonts w:asciiTheme="minorHAnsi" w:hAnsiTheme="minorHAnsi" w:cstheme="minorHAnsi"/>
                <w:color w:val="000000"/>
                <w:sz w:val="22"/>
                <w:szCs w:val="22"/>
                <w:lang w:eastAsia="bg-BG"/>
              </w:rPr>
            </w:pPr>
            <w:r w:rsidRPr="00B0601B">
              <w:rPr>
                <w:rFonts w:asciiTheme="minorHAnsi" w:hAnsiTheme="minorHAnsi" w:cstheme="minorHAnsi"/>
                <w:color w:val="000000"/>
                <w:sz w:val="22"/>
                <w:szCs w:val="22"/>
                <w:lang w:eastAsia="bg-BG"/>
              </w:rPr>
              <w:t>6</w:t>
            </w:r>
          </w:p>
        </w:tc>
        <w:tc>
          <w:tcPr>
            <w:tcW w:w="2693" w:type="dxa"/>
            <w:noWrap/>
            <w:vAlign w:val="center"/>
            <w:hideMark/>
          </w:tcPr>
          <w:p w:rsidR="00B0601B" w:rsidRPr="0060652A" w:rsidRDefault="00B0601B" w:rsidP="003D3056">
            <w:pPr>
              <w:spacing w:before="20" w:afterLines="20"/>
              <w:jc w:val="lef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Куриерски услуги и лихви</w:t>
            </w:r>
          </w:p>
        </w:tc>
      </w:tr>
      <w:tr w:rsidR="00B0601B" w:rsidRPr="0060652A" w:rsidTr="00B67E1A">
        <w:trPr>
          <w:cnfStyle w:val="010000000000"/>
          <w:trHeight w:val="300"/>
        </w:trPr>
        <w:tc>
          <w:tcPr>
            <w:cnfStyle w:val="001000000000"/>
            <w:tcW w:w="2424" w:type="dxa"/>
            <w:noWrap/>
            <w:vAlign w:val="center"/>
            <w:hideMark/>
          </w:tcPr>
          <w:p w:rsidR="00B0601B" w:rsidRPr="0060652A" w:rsidRDefault="00B0601B"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ОБЩО ПРОДАЖБИ</w:t>
            </w:r>
          </w:p>
        </w:tc>
        <w:tc>
          <w:tcPr>
            <w:tcW w:w="926" w:type="dxa"/>
            <w:noWrap/>
            <w:vAlign w:val="center"/>
            <w:hideMark/>
          </w:tcPr>
          <w:p w:rsidR="00B0601B" w:rsidRPr="0060652A" w:rsidRDefault="00B0601B" w:rsidP="003D3056">
            <w:pPr>
              <w:spacing w:before="20" w:afterLines="20"/>
              <w:jc w:val="right"/>
              <w:cnfStyle w:val="010000000000"/>
              <w:rPr>
                <w:rFonts w:asciiTheme="minorHAnsi" w:hAnsiTheme="minorHAnsi" w:cstheme="minorHAnsi"/>
                <w:b/>
                <w:color w:val="000000"/>
                <w:sz w:val="22"/>
                <w:szCs w:val="22"/>
                <w:lang w:eastAsia="bg-BG"/>
              </w:rPr>
            </w:pPr>
            <w:r w:rsidRPr="0060652A">
              <w:rPr>
                <w:rFonts w:asciiTheme="minorHAnsi" w:hAnsiTheme="minorHAnsi" w:cstheme="minorHAnsi"/>
                <w:b/>
                <w:color w:val="000000"/>
                <w:sz w:val="22"/>
                <w:szCs w:val="22"/>
                <w:lang w:eastAsia="bg-BG"/>
              </w:rPr>
              <w:t xml:space="preserve">1 044 </w:t>
            </w:r>
          </w:p>
        </w:tc>
        <w:tc>
          <w:tcPr>
            <w:tcW w:w="926" w:type="dxa"/>
            <w:noWrap/>
            <w:vAlign w:val="center"/>
            <w:hideMark/>
          </w:tcPr>
          <w:p w:rsidR="00B0601B" w:rsidRPr="00B67E1A" w:rsidRDefault="00B0601B" w:rsidP="003D3056">
            <w:pPr>
              <w:spacing w:before="20" w:afterLines="20"/>
              <w:jc w:val="right"/>
              <w:cnfStyle w:val="010000000000"/>
              <w:rPr>
                <w:rFonts w:asciiTheme="minorHAnsi" w:hAnsiTheme="minorHAnsi" w:cstheme="minorHAnsi"/>
                <w:b/>
                <w:color w:val="000000"/>
                <w:sz w:val="22"/>
                <w:szCs w:val="22"/>
                <w:lang w:eastAsia="bg-BG"/>
              </w:rPr>
            </w:pPr>
            <w:r w:rsidRPr="00B67E1A">
              <w:rPr>
                <w:rFonts w:asciiTheme="minorHAnsi" w:hAnsiTheme="minorHAnsi" w:cstheme="minorHAnsi"/>
                <w:b/>
                <w:color w:val="000000"/>
                <w:sz w:val="22"/>
                <w:szCs w:val="22"/>
                <w:lang w:eastAsia="bg-BG"/>
              </w:rPr>
              <w:t xml:space="preserve">2 024 </w:t>
            </w:r>
          </w:p>
        </w:tc>
        <w:tc>
          <w:tcPr>
            <w:tcW w:w="926" w:type="dxa"/>
            <w:noWrap/>
            <w:vAlign w:val="center"/>
            <w:hideMark/>
          </w:tcPr>
          <w:p w:rsidR="00B0601B" w:rsidRPr="00B67E1A" w:rsidRDefault="00B0601B" w:rsidP="003D3056">
            <w:pPr>
              <w:spacing w:before="20" w:afterLines="20"/>
              <w:jc w:val="right"/>
              <w:cnfStyle w:val="010000000000"/>
              <w:rPr>
                <w:rFonts w:asciiTheme="minorHAnsi" w:hAnsiTheme="minorHAnsi" w:cstheme="minorHAnsi"/>
                <w:b/>
                <w:color w:val="000000"/>
                <w:sz w:val="22"/>
                <w:szCs w:val="22"/>
                <w:lang w:eastAsia="bg-BG"/>
              </w:rPr>
            </w:pPr>
            <w:r w:rsidRPr="00B67E1A">
              <w:rPr>
                <w:rFonts w:asciiTheme="minorHAnsi" w:hAnsiTheme="minorHAnsi" w:cstheme="minorHAnsi"/>
                <w:b/>
                <w:color w:val="000000"/>
                <w:sz w:val="22"/>
                <w:szCs w:val="22"/>
                <w:lang w:eastAsia="bg-BG"/>
              </w:rPr>
              <w:t xml:space="preserve">2 325 </w:t>
            </w:r>
          </w:p>
        </w:tc>
        <w:tc>
          <w:tcPr>
            <w:tcW w:w="926" w:type="dxa"/>
            <w:noWrap/>
            <w:vAlign w:val="center"/>
            <w:hideMark/>
          </w:tcPr>
          <w:p w:rsidR="00B0601B" w:rsidRPr="00B67E1A" w:rsidRDefault="00B0601B" w:rsidP="003D3056">
            <w:pPr>
              <w:spacing w:before="20" w:afterLines="20"/>
              <w:jc w:val="right"/>
              <w:cnfStyle w:val="010000000000"/>
              <w:rPr>
                <w:rFonts w:asciiTheme="minorHAnsi" w:hAnsiTheme="minorHAnsi" w:cstheme="minorHAnsi"/>
                <w:b/>
                <w:color w:val="000000"/>
                <w:sz w:val="22"/>
                <w:szCs w:val="22"/>
                <w:lang w:eastAsia="bg-BG"/>
              </w:rPr>
            </w:pPr>
            <w:r w:rsidRPr="00B67E1A">
              <w:rPr>
                <w:rFonts w:asciiTheme="minorHAnsi" w:hAnsiTheme="minorHAnsi" w:cstheme="minorHAnsi"/>
                <w:b/>
                <w:color w:val="000000"/>
                <w:sz w:val="22"/>
                <w:szCs w:val="22"/>
                <w:lang w:eastAsia="bg-BG"/>
              </w:rPr>
              <w:t>849</w:t>
            </w:r>
          </w:p>
        </w:tc>
        <w:tc>
          <w:tcPr>
            <w:tcW w:w="926" w:type="dxa"/>
            <w:noWrap/>
            <w:vAlign w:val="center"/>
            <w:hideMark/>
          </w:tcPr>
          <w:p w:rsidR="00B0601B" w:rsidRPr="00B67E1A" w:rsidRDefault="00B0601B" w:rsidP="003D3056">
            <w:pPr>
              <w:spacing w:before="20" w:afterLines="20"/>
              <w:jc w:val="right"/>
              <w:cnfStyle w:val="010000000000"/>
              <w:rPr>
                <w:rFonts w:asciiTheme="minorHAnsi" w:hAnsiTheme="minorHAnsi" w:cstheme="minorHAnsi"/>
                <w:b/>
                <w:color w:val="000000"/>
                <w:sz w:val="22"/>
                <w:szCs w:val="22"/>
                <w:lang w:eastAsia="bg-BG"/>
              </w:rPr>
            </w:pPr>
            <w:r w:rsidRPr="00B67E1A">
              <w:rPr>
                <w:rFonts w:asciiTheme="minorHAnsi" w:hAnsiTheme="minorHAnsi" w:cstheme="minorHAnsi"/>
                <w:b/>
                <w:color w:val="000000"/>
                <w:sz w:val="22"/>
                <w:szCs w:val="22"/>
                <w:lang w:eastAsia="bg-BG"/>
              </w:rPr>
              <w:t>402</w:t>
            </w:r>
          </w:p>
        </w:tc>
        <w:tc>
          <w:tcPr>
            <w:tcW w:w="2693" w:type="dxa"/>
            <w:noWrap/>
            <w:hideMark/>
          </w:tcPr>
          <w:p w:rsidR="00B0601B" w:rsidRPr="0060652A" w:rsidRDefault="00B0601B" w:rsidP="003D3056">
            <w:pPr>
              <w:spacing w:before="20" w:afterLines="20"/>
              <w:cnfStyle w:val="010000000000"/>
              <w:rPr>
                <w:rFonts w:asciiTheme="minorHAnsi" w:hAnsiTheme="minorHAnsi" w:cstheme="minorHAnsi"/>
                <w:b/>
                <w:bCs/>
                <w:color w:val="000000"/>
                <w:sz w:val="22"/>
                <w:szCs w:val="22"/>
                <w:lang w:eastAsia="bg-BG"/>
              </w:rPr>
            </w:pPr>
            <w:r w:rsidRPr="0060652A">
              <w:rPr>
                <w:rFonts w:asciiTheme="minorHAnsi" w:hAnsiTheme="minorHAnsi" w:cstheme="minorHAnsi"/>
                <w:b/>
                <w:bCs/>
                <w:color w:val="000000"/>
                <w:sz w:val="22"/>
                <w:szCs w:val="22"/>
                <w:lang w:eastAsia="bg-BG"/>
              </w:rPr>
              <w:t> </w:t>
            </w:r>
          </w:p>
        </w:tc>
      </w:tr>
    </w:tbl>
    <w:p w:rsidR="00D62189" w:rsidRDefault="00D62189" w:rsidP="003D3056">
      <w:pPr>
        <w:spacing w:before="20" w:afterLines="20"/>
      </w:pPr>
    </w:p>
    <w:p w:rsidR="006D4407" w:rsidRDefault="006D4407" w:rsidP="00942CE6">
      <w:r>
        <w:t>Приходите от свързани лица са от извършвани куриерски услуги, сключени застраховки и от начисляваните лихви по отпусканите търговски заеми</w:t>
      </w:r>
      <w:r w:rsidR="00B0219C">
        <w:t>, които се извършват</w:t>
      </w:r>
      <w:r w:rsidR="00E0297D">
        <w:t xml:space="preserve"> на стандартните цени за клиенти</w:t>
      </w:r>
      <w:r>
        <w:t>.</w:t>
      </w:r>
      <w:r w:rsidR="00E0297D">
        <w:t xml:space="preserve"> С оглед договаряне на по-изгодни условия, дружеството има сключени договори да доставка на горива, комуникационни услуги и наем на складови и офис помещения, които се ползват съвместно с</w:t>
      </w:r>
      <w:r w:rsidR="002226FD">
        <w:t>ъс</w:t>
      </w:r>
      <w:r w:rsidR="00E0297D">
        <w:t xml:space="preserve"> свързани лица. Тези разходи „СПИДИ” ЕАД префактурира на свързаните лица </w:t>
      </w:r>
      <w:r w:rsidR="002226FD">
        <w:t>по себестойност</w:t>
      </w:r>
      <w:r w:rsidR="00E0297D">
        <w:t>.</w:t>
      </w:r>
    </w:p>
    <w:p w:rsidR="0036453B" w:rsidRDefault="0036453B" w:rsidP="00942CE6"/>
    <w:p w:rsidR="0036453B" w:rsidRDefault="0036453B">
      <w:pPr>
        <w:autoSpaceDE/>
        <w:autoSpaceDN/>
        <w:adjustRightInd/>
        <w:spacing w:after="0"/>
        <w:jc w:val="left"/>
        <w:rPr>
          <w:i/>
          <w:u w:val="single"/>
        </w:rPr>
      </w:pPr>
      <w:r>
        <w:rPr>
          <w:i/>
          <w:u w:val="single"/>
        </w:rPr>
        <w:br w:type="page"/>
      </w:r>
    </w:p>
    <w:p w:rsidR="0036453B" w:rsidRDefault="0036453B" w:rsidP="0036453B">
      <w:pPr>
        <w:jc w:val="center"/>
      </w:pPr>
      <w:r>
        <w:rPr>
          <w:i/>
          <w:u w:val="single"/>
        </w:rPr>
        <w:t xml:space="preserve">Вземания и задължения към </w:t>
      </w:r>
      <w:r w:rsidRPr="005150CE">
        <w:rPr>
          <w:i/>
          <w:u w:val="single"/>
        </w:rPr>
        <w:t>свързани лица</w:t>
      </w:r>
    </w:p>
    <w:tbl>
      <w:tblPr>
        <w:tblStyle w:val="MediumShading2-Accent11"/>
        <w:tblW w:w="9653" w:type="dxa"/>
        <w:tblInd w:w="108" w:type="dxa"/>
        <w:tblLayout w:type="fixed"/>
        <w:tblLook w:val="04E0"/>
      </w:tblPr>
      <w:tblGrid>
        <w:gridCol w:w="3357"/>
        <w:gridCol w:w="1574"/>
        <w:gridCol w:w="1574"/>
        <w:gridCol w:w="1574"/>
        <w:gridCol w:w="1574"/>
      </w:tblGrid>
      <w:tr w:rsidR="007631C5" w:rsidRPr="0060652A" w:rsidTr="002C59C1">
        <w:trPr>
          <w:cnfStyle w:val="100000000000"/>
          <w:trHeight w:val="300"/>
        </w:trPr>
        <w:tc>
          <w:tcPr>
            <w:cnfStyle w:val="001000000100"/>
            <w:tcW w:w="3357" w:type="dxa"/>
            <w:noWrap/>
            <w:hideMark/>
          </w:tcPr>
          <w:p w:rsidR="007631C5" w:rsidRPr="0060652A" w:rsidRDefault="007631C5" w:rsidP="003D3056">
            <w:pPr>
              <w:autoSpaceDE/>
              <w:autoSpaceDN/>
              <w:adjustRightInd/>
              <w:spacing w:before="20" w:afterLines="20"/>
              <w:jc w:val="center"/>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Наименование</w:t>
            </w:r>
            <w:r>
              <w:rPr>
                <w:rFonts w:asciiTheme="minorHAnsi" w:hAnsiTheme="minorHAnsi" w:cstheme="minorHAnsi"/>
                <w:bCs w:val="0"/>
                <w:sz w:val="22"/>
                <w:szCs w:val="22"/>
                <w:lang w:eastAsia="bg-BG"/>
              </w:rPr>
              <w:t xml:space="preserve">, </w:t>
            </w:r>
            <w:r>
              <w:rPr>
                <w:rFonts w:asciiTheme="minorHAnsi" w:hAnsiTheme="minorHAnsi" w:cstheme="minorHAnsi"/>
                <w:sz w:val="22"/>
                <w:szCs w:val="22"/>
                <w:lang w:eastAsia="bg-BG"/>
              </w:rPr>
              <w:t>в хил. лв.</w:t>
            </w:r>
          </w:p>
        </w:tc>
        <w:tc>
          <w:tcPr>
            <w:tcW w:w="1574" w:type="dxa"/>
            <w:noWrap/>
            <w:hideMark/>
          </w:tcPr>
          <w:p w:rsidR="007631C5" w:rsidRPr="0060652A" w:rsidRDefault="007631C5" w:rsidP="003D3056">
            <w:pPr>
              <w:autoSpaceDE/>
              <w:autoSpaceDN/>
              <w:adjustRightInd/>
              <w:spacing w:before="20" w:afterLines="20"/>
              <w:jc w:val="center"/>
              <w:cnfStyle w:val="100000000000"/>
              <w:rPr>
                <w:rFonts w:asciiTheme="minorHAnsi" w:hAnsiTheme="minorHAnsi" w:cstheme="minorHAnsi"/>
                <w:bCs w:val="0"/>
                <w:color w:val="auto"/>
                <w:sz w:val="22"/>
                <w:szCs w:val="22"/>
                <w:lang w:eastAsia="bg-BG"/>
              </w:rPr>
            </w:pPr>
            <w:r w:rsidRPr="0060652A">
              <w:rPr>
                <w:rFonts w:asciiTheme="minorHAnsi" w:hAnsiTheme="minorHAnsi" w:cstheme="minorHAnsi"/>
                <w:bCs w:val="0"/>
                <w:color w:val="auto"/>
                <w:sz w:val="22"/>
                <w:szCs w:val="22"/>
                <w:lang w:eastAsia="bg-BG"/>
              </w:rPr>
              <w:t>31.12.2009</w:t>
            </w:r>
          </w:p>
        </w:tc>
        <w:tc>
          <w:tcPr>
            <w:tcW w:w="1574" w:type="dxa"/>
            <w:noWrap/>
            <w:hideMark/>
          </w:tcPr>
          <w:p w:rsidR="007631C5" w:rsidRPr="0060652A" w:rsidRDefault="007631C5" w:rsidP="003D3056">
            <w:pPr>
              <w:autoSpaceDE/>
              <w:autoSpaceDN/>
              <w:adjustRightInd/>
              <w:spacing w:before="20" w:afterLines="20"/>
              <w:jc w:val="center"/>
              <w:cnfStyle w:val="100000000000"/>
              <w:rPr>
                <w:rFonts w:asciiTheme="minorHAnsi" w:hAnsiTheme="minorHAnsi" w:cstheme="minorHAnsi"/>
                <w:bCs w:val="0"/>
                <w:color w:val="auto"/>
                <w:sz w:val="22"/>
                <w:szCs w:val="22"/>
                <w:lang w:eastAsia="bg-BG"/>
              </w:rPr>
            </w:pPr>
            <w:r w:rsidRPr="0060652A">
              <w:rPr>
                <w:rFonts w:asciiTheme="minorHAnsi" w:hAnsiTheme="minorHAnsi" w:cstheme="minorHAnsi"/>
                <w:bCs w:val="0"/>
                <w:color w:val="auto"/>
                <w:sz w:val="22"/>
                <w:szCs w:val="22"/>
                <w:lang w:eastAsia="bg-BG"/>
              </w:rPr>
              <w:t>31.12.2010</w:t>
            </w:r>
          </w:p>
        </w:tc>
        <w:tc>
          <w:tcPr>
            <w:tcW w:w="1574" w:type="dxa"/>
            <w:noWrap/>
            <w:hideMark/>
          </w:tcPr>
          <w:p w:rsidR="007631C5" w:rsidRPr="0060652A" w:rsidRDefault="007631C5" w:rsidP="003D3056">
            <w:pPr>
              <w:autoSpaceDE/>
              <w:autoSpaceDN/>
              <w:adjustRightInd/>
              <w:spacing w:before="20" w:afterLines="20"/>
              <w:jc w:val="center"/>
              <w:cnfStyle w:val="100000000000"/>
              <w:rPr>
                <w:rFonts w:asciiTheme="minorHAnsi" w:hAnsiTheme="minorHAnsi" w:cstheme="minorHAnsi"/>
                <w:bCs w:val="0"/>
                <w:color w:val="auto"/>
                <w:sz w:val="22"/>
                <w:szCs w:val="22"/>
                <w:lang w:eastAsia="bg-BG"/>
              </w:rPr>
            </w:pPr>
            <w:r w:rsidRPr="0060652A">
              <w:rPr>
                <w:rFonts w:asciiTheme="minorHAnsi" w:hAnsiTheme="minorHAnsi" w:cstheme="minorHAnsi"/>
                <w:bCs w:val="0"/>
                <w:color w:val="auto"/>
                <w:sz w:val="22"/>
                <w:szCs w:val="22"/>
                <w:lang w:eastAsia="bg-BG"/>
              </w:rPr>
              <w:t>31.12.2011</w:t>
            </w:r>
          </w:p>
        </w:tc>
        <w:tc>
          <w:tcPr>
            <w:tcW w:w="1574" w:type="dxa"/>
            <w:noWrap/>
            <w:vAlign w:val="center"/>
            <w:hideMark/>
          </w:tcPr>
          <w:p w:rsidR="007631C5" w:rsidRPr="0060652A" w:rsidRDefault="007631C5" w:rsidP="002C59C1">
            <w:pPr>
              <w:autoSpaceDE/>
              <w:autoSpaceDN/>
              <w:adjustRightInd/>
              <w:spacing w:after="0"/>
              <w:ind w:left="-12" w:right="-70"/>
              <w:jc w:val="center"/>
              <w:cnfStyle w:val="100000000000"/>
              <w:rPr>
                <w:rFonts w:asciiTheme="minorHAnsi" w:hAnsiTheme="minorHAnsi" w:cstheme="minorHAnsi"/>
                <w:bCs w:val="0"/>
                <w:color w:val="000000"/>
                <w:sz w:val="22"/>
                <w:szCs w:val="22"/>
                <w:lang w:eastAsia="bg-BG"/>
              </w:rPr>
            </w:pPr>
            <w:r>
              <w:rPr>
                <w:rFonts w:asciiTheme="minorHAnsi" w:hAnsiTheme="minorHAnsi" w:cstheme="minorHAnsi"/>
                <w:bCs w:val="0"/>
                <w:color w:val="000000"/>
                <w:sz w:val="22"/>
                <w:szCs w:val="22"/>
                <w:lang w:eastAsia="bg-BG"/>
              </w:rPr>
              <w:t>21.05.</w:t>
            </w:r>
            <w:r w:rsidRPr="0060652A">
              <w:rPr>
                <w:rFonts w:asciiTheme="minorHAnsi" w:hAnsiTheme="minorHAnsi" w:cstheme="minorHAnsi"/>
                <w:bCs w:val="0"/>
                <w:color w:val="000000"/>
                <w:sz w:val="22"/>
                <w:szCs w:val="22"/>
                <w:lang w:eastAsia="bg-BG"/>
              </w:rPr>
              <w:t>12</w:t>
            </w:r>
          </w:p>
        </w:tc>
      </w:tr>
      <w:tr w:rsidR="003C5B61" w:rsidRPr="0060652A" w:rsidTr="00A52886">
        <w:trPr>
          <w:cnfStyle w:val="000000100000"/>
          <w:trHeight w:val="300"/>
        </w:trPr>
        <w:tc>
          <w:tcPr>
            <w:cnfStyle w:val="001000000000"/>
            <w:tcW w:w="3357" w:type="dxa"/>
            <w:noWrap/>
            <w:hideMark/>
          </w:tcPr>
          <w:p w:rsidR="003C5B61" w:rsidRPr="0060652A" w:rsidRDefault="003C5B61"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Трансбалкан Груп ООД</w:t>
            </w:r>
          </w:p>
        </w:tc>
        <w:tc>
          <w:tcPr>
            <w:tcW w:w="1574" w:type="dxa"/>
            <w:noWrap/>
            <w:hideMark/>
          </w:tcPr>
          <w:p w:rsidR="003C5B61" w:rsidRPr="0060652A" w:rsidRDefault="003C5B61"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0 </w:t>
            </w:r>
          </w:p>
        </w:tc>
        <w:tc>
          <w:tcPr>
            <w:tcW w:w="1574" w:type="dxa"/>
            <w:noWrap/>
            <w:hideMark/>
          </w:tcPr>
          <w:p w:rsidR="003C5B61" w:rsidRPr="0060652A" w:rsidRDefault="003C5B61"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899 </w:t>
            </w:r>
          </w:p>
        </w:tc>
        <w:tc>
          <w:tcPr>
            <w:tcW w:w="1574" w:type="dxa"/>
            <w:noWrap/>
            <w:hideMark/>
          </w:tcPr>
          <w:p w:rsidR="003C5B61" w:rsidRPr="0060652A" w:rsidRDefault="003C5B61"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1 130 </w:t>
            </w:r>
          </w:p>
        </w:tc>
        <w:tc>
          <w:tcPr>
            <w:tcW w:w="1574" w:type="dxa"/>
            <w:noWrap/>
            <w:hideMark/>
          </w:tcPr>
          <w:p w:rsidR="003C5B61" w:rsidRPr="0060652A" w:rsidRDefault="00777E7F" w:rsidP="003D3056">
            <w:pPr>
              <w:spacing w:before="20" w:afterLines="20"/>
              <w:jc w:val="right"/>
              <w:cnfStyle w:val="000000100000"/>
              <w:rPr>
                <w:rFonts w:asciiTheme="minorHAnsi" w:hAnsiTheme="minorHAnsi" w:cstheme="minorHAnsi"/>
                <w:color w:val="000000"/>
                <w:sz w:val="22"/>
                <w:szCs w:val="22"/>
                <w:lang w:eastAsia="bg-BG"/>
              </w:rPr>
            </w:pPr>
            <w:r>
              <w:rPr>
                <w:rFonts w:asciiTheme="minorHAnsi" w:hAnsiTheme="minorHAnsi" w:cstheme="minorHAnsi"/>
                <w:color w:val="000000"/>
                <w:sz w:val="22"/>
                <w:szCs w:val="22"/>
                <w:lang w:eastAsia="bg-BG"/>
              </w:rPr>
              <w:t>1 309</w:t>
            </w:r>
            <w:r w:rsidR="003C5B61" w:rsidRPr="0060652A">
              <w:rPr>
                <w:rFonts w:asciiTheme="minorHAnsi" w:hAnsiTheme="minorHAnsi" w:cstheme="minorHAnsi"/>
                <w:color w:val="000000"/>
                <w:sz w:val="22"/>
                <w:szCs w:val="22"/>
                <w:lang w:eastAsia="bg-BG"/>
              </w:rPr>
              <w:t xml:space="preserve"> </w:t>
            </w:r>
          </w:p>
        </w:tc>
      </w:tr>
      <w:tr w:rsidR="003C5B61" w:rsidRPr="0060652A" w:rsidTr="00A52886">
        <w:trPr>
          <w:trHeight w:val="300"/>
        </w:trPr>
        <w:tc>
          <w:tcPr>
            <w:cnfStyle w:val="001000000000"/>
            <w:tcW w:w="3357" w:type="dxa"/>
            <w:noWrap/>
            <w:hideMark/>
          </w:tcPr>
          <w:p w:rsidR="003C5B61" w:rsidRPr="0060652A" w:rsidRDefault="003C5B61"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Други</w:t>
            </w:r>
          </w:p>
        </w:tc>
        <w:tc>
          <w:tcPr>
            <w:tcW w:w="1574" w:type="dxa"/>
            <w:noWrap/>
            <w:hideMark/>
          </w:tcPr>
          <w:p w:rsidR="003C5B61" w:rsidRPr="0060652A" w:rsidRDefault="003C5B61"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57 </w:t>
            </w:r>
          </w:p>
        </w:tc>
        <w:tc>
          <w:tcPr>
            <w:tcW w:w="1574" w:type="dxa"/>
            <w:noWrap/>
            <w:hideMark/>
          </w:tcPr>
          <w:p w:rsidR="003C5B61" w:rsidRPr="0060652A" w:rsidRDefault="003C5B61"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123 </w:t>
            </w:r>
          </w:p>
        </w:tc>
        <w:tc>
          <w:tcPr>
            <w:tcW w:w="1574" w:type="dxa"/>
            <w:noWrap/>
            <w:hideMark/>
          </w:tcPr>
          <w:p w:rsidR="003C5B61" w:rsidRPr="0060652A" w:rsidRDefault="003C5B61"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112 </w:t>
            </w:r>
          </w:p>
        </w:tc>
        <w:tc>
          <w:tcPr>
            <w:tcW w:w="1574" w:type="dxa"/>
            <w:noWrap/>
            <w:hideMark/>
          </w:tcPr>
          <w:p w:rsidR="003C5B61" w:rsidRPr="0060652A" w:rsidRDefault="00777E7F" w:rsidP="003D3056">
            <w:pPr>
              <w:spacing w:before="20" w:afterLines="20"/>
              <w:jc w:val="right"/>
              <w:cnfStyle w:val="000000000000"/>
              <w:rPr>
                <w:rFonts w:asciiTheme="minorHAnsi" w:hAnsiTheme="minorHAnsi" w:cstheme="minorHAnsi"/>
                <w:color w:val="000000"/>
                <w:sz w:val="22"/>
                <w:szCs w:val="22"/>
                <w:lang w:eastAsia="bg-BG"/>
              </w:rPr>
            </w:pPr>
            <w:r>
              <w:rPr>
                <w:rFonts w:asciiTheme="minorHAnsi" w:hAnsiTheme="minorHAnsi" w:cstheme="minorHAnsi"/>
                <w:color w:val="000000"/>
                <w:sz w:val="22"/>
                <w:szCs w:val="22"/>
                <w:lang w:eastAsia="bg-BG"/>
              </w:rPr>
              <w:t>157</w:t>
            </w:r>
            <w:r w:rsidR="003C5B61" w:rsidRPr="0060652A">
              <w:rPr>
                <w:rFonts w:asciiTheme="minorHAnsi" w:hAnsiTheme="minorHAnsi" w:cstheme="minorHAnsi"/>
                <w:color w:val="000000"/>
                <w:sz w:val="22"/>
                <w:szCs w:val="22"/>
                <w:lang w:eastAsia="bg-BG"/>
              </w:rPr>
              <w:t xml:space="preserve"> </w:t>
            </w:r>
          </w:p>
        </w:tc>
      </w:tr>
      <w:tr w:rsidR="003C5B61" w:rsidRPr="0060652A" w:rsidTr="00A52886">
        <w:trPr>
          <w:cnfStyle w:val="000000100000"/>
          <w:trHeight w:val="300"/>
        </w:trPr>
        <w:tc>
          <w:tcPr>
            <w:cnfStyle w:val="001000000000"/>
            <w:tcW w:w="3357" w:type="dxa"/>
            <w:noWrap/>
            <w:hideMark/>
          </w:tcPr>
          <w:p w:rsidR="003C5B61" w:rsidRPr="0060652A" w:rsidRDefault="003C5B61"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ОБЩО ВЗЕМАНИЯ</w:t>
            </w:r>
          </w:p>
        </w:tc>
        <w:tc>
          <w:tcPr>
            <w:tcW w:w="1574" w:type="dxa"/>
            <w:noWrap/>
            <w:hideMark/>
          </w:tcPr>
          <w:p w:rsidR="003C5B61" w:rsidRPr="00777E7F" w:rsidRDefault="003C5B61" w:rsidP="003D3056">
            <w:pPr>
              <w:spacing w:before="20" w:afterLines="20"/>
              <w:jc w:val="right"/>
              <w:cnfStyle w:val="000000100000"/>
              <w:rPr>
                <w:rFonts w:asciiTheme="minorHAnsi" w:hAnsiTheme="minorHAnsi" w:cstheme="minorHAnsi"/>
                <w:b/>
                <w:color w:val="000000"/>
                <w:sz w:val="22"/>
                <w:szCs w:val="22"/>
                <w:lang w:eastAsia="bg-BG"/>
              </w:rPr>
            </w:pPr>
            <w:r w:rsidRPr="00777E7F">
              <w:rPr>
                <w:rFonts w:asciiTheme="minorHAnsi" w:hAnsiTheme="minorHAnsi" w:cstheme="minorHAnsi"/>
                <w:b/>
                <w:color w:val="000000"/>
                <w:sz w:val="22"/>
                <w:szCs w:val="22"/>
                <w:lang w:eastAsia="bg-BG"/>
              </w:rPr>
              <w:t xml:space="preserve">57 </w:t>
            </w:r>
          </w:p>
        </w:tc>
        <w:tc>
          <w:tcPr>
            <w:tcW w:w="1574" w:type="dxa"/>
            <w:noWrap/>
            <w:hideMark/>
          </w:tcPr>
          <w:p w:rsidR="003C5B61" w:rsidRPr="00777E7F" w:rsidRDefault="003C5B61" w:rsidP="003D3056">
            <w:pPr>
              <w:spacing w:before="20" w:afterLines="20"/>
              <w:jc w:val="right"/>
              <w:cnfStyle w:val="000000100000"/>
              <w:rPr>
                <w:rFonts w:asciiTheme="minorHAnsi" w:hAnsiTheme="minorHAnsi" w:cstheme="minorHAnsi"/>
                <w:b/>
                <w:color w:val="000000"/>
                <w:sz w:val="22"/>
                <w:szCs w:val="22"/>
                <w:lang w:eastAsia="bg-BG"/>
              </w:rPr>
            </w:pPr>
            <w:r w:rsidRPr="00777E7F">
              <w:rPr>
                <w:rFonts w:asciiTheme="minorHAnsi" w:hAnsiTheme="minorHAnsi" w:cstheme="minorHAnsi"/>
                <w:b/>
                <w:color w:val="000000"/>
                <w:sz w:val="22"/>
                <w:szCs w:val="22"/>
                <w:lang w:eastAsia="bg-BG"/>
              </w:rPr>
              <w:t xml:space="preserve">1 022 </w:t>
            </w:r>
          </w:p>
        </w:tc>
        <w:tc>
          <w:tcPr>
            <w:tcW w:w="1574" w:type="dxa"/>
            <w:noWrap/>
            <w:hideMark/>
          </w:tcPr>
          <w:p w:rsidR="003C5B61" w:rsidRPr="00777E7F" w:rsidRDefault="003C5B61" w:rsidP="003D3056">
            <w:pPr>
              <w:spacing w:before="20" w:afterLines="20"/>
              <w:jc w:val="right"/>
              <w:cnfStyle w:val="000000100000"/>
              <w:rPr>
                <w:rFonts w:asciiTheme="minorHAnsi" w:hAnsiTheme="minorHAnsi" w:cstheme="minorHAnsi"/>
                <w:b/>
                <w:color w:val="000000"/>
                <w:sz w:val="22"/>
                <w:szCs w:val="22"/>
                <w:lang w:eastAsia="bg-BG"/>
              </w:rPr>
            </w:pPr>
            <w:r w:rsidRPr="00777E7F">
              <w:rPr>
                <w:rFonts w:asciiTheme="minorHAnsi" w:hAnsiTheme="minorHAnsi" w:cstheme="minorHAnsi"/>
                <w:b/>
                <w:color w:val="000000"/>
                <w:sz w:val="22"/>
                <w:szCs w:val="22"/>
                <w:lang w:eastAsia="bg-BG"/>
              </w:rPr>
              <w:t xml:space="preserve">1 242 </w:t>
            </w:r>
          </w:p>
        </w:tc>
        <w:tc>
          <w:tcPr>
            <w:tcW w:w="1574" w:type="dxa"/>
            <w:noWrap/>
            <w:hideMark/>
          </w:tcPr>
          <w:p w:rsidR="003C5B61" w:rsidRPr="00777E7F" w:rsidRDefault="003C5B61" w:rsidP="003D3056">
            <w:pPr>
              <w:spacing w:before="20" w:afterLines="20"/>
              <w:jc w:val="right"/>
              <w:cnfStyle w:val="000000100000"/>
              <w:rPr>
                <w:rFonts w:asciiTheme="minorHAnsi" w:hAnsiTheme="minorHAnsi" w:cstheme="minorHAnsi"/>
                <w:b/>
                <w:color w:val="000000"/>
                <w:sz w:val="22"/>
                <w:szCs w:val="22"/>
                <w:lang w:eastAsia="bg-BG"/>
              </w:rPr>
            </w:pPr>
            <w:r w:rsidRPr="00777E7F">
              <w:rPr>
                <w:rFonts w:asciiTheme="minorHAnsi" w:hAnsiTheme="minorHAnsi" w:cstheme="minorHAnsi"/>
                <w:b/>
                <w:color w:val="000000"/>
                <w:sz w:val="22"/>
                <w:szCs w:val="22"/>
                <w:lang w:eastAsia="bg-BG"/>
              </w:rPr>
              <w:t xml:space="preserve">1 </w:t>
            </w:r>
            <w:r w:rsidR="00777E7F" w:rsidRPr="00777E7F">
              <w:rPr>
                <w:rFonts w:asciiTheme="minorHAnsi" w:hAnsiTheme="minorHAnsi" w:cstheme="minorHAnsi"/>
                <w:b/>
                <w:color w:val="000000"/>
                <w:sz w:val="22"/>
                <w:szCs w:val="22"/>
                <w:lang w:eastAsia="bg-BG"/>
              </w:rPr>
              <w:t>466</w:t>
            </w:r>
            <w:r w:rsidRPr="00777E7F">
              <w:rPr>
                <w:rFonts w:asciiTheme="minorHAnsi" w:hAnsiTheme="minorHAnsi" w:cstheme="minorHAnsi"/>
                <w:b/>
                <w:color w:val="000000"/>
                <w:sz w:val="22"/>
                <w:szCs w:val="22"/>
                <w:lang w:eastAsia="bg-BG"/>
              </w:rPr>
              <w:t xml:space="preserve"> </w:t>
            </w:r>
          </w:p>
        </w:tc>
      </w:tr>
      <w:tr w:rsidR="003C5B61" w:rsidRPr="0060652A" w:rsidTr="00A52886">
        <w:trPr>
          <w:trHeight w:val="300"/>
        </w:trPr>
        <w:tc>
          <w:tcPr>
            <w:cnfStyle w:val="001000000000"/>
            <w:tcW w:w="3357" w:type="dxa"/>
            <w:noWrap/>
            <w:hideMark/>
          </w:tcPr>
          <w:p w:rsidR="003C5B61" w:rsidRPr="0060652A" w:rsidRDefault="003C5B61"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 </w:t>
            </w:r>
          </w:p>
        </w:tc>
        <w:tc>
          <w:tcPr>
            <w:tcW w:w="1574" w:type="dxa"/>
            <w:noWrap/>
            <w:hideMark/>
          </w:tcPr>
          <w:p w:rsidR="003C5B61" w:rsidRPr="0060652A" w:rsidRDefault="003C5B61"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w:t>
            </w:r>
          </w:p>
        </w:tc>
        <w:tc>
          <w:tcPr>
            <w:tcW w:w="1574" w:type="dxa"/>
            <w:noWrap/>
            <w:hideMark/>
          </w:tcPr>
          <w:p w:rsidR="003C5B61" w:rsidRPr="0060652A" w:rsidRDefault="003C5B61"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w:t>
            </w:r>
          </w:p>
        </w:tc>
        <w:tc>
          <w:tcPr>
            <w:tcW w:w="1574" w:type="dxa"/>
            <w:noWrap/>
            <w:hideMark/>
          </w:tcPr>
          <w:p w:rsidR="003C5B61" w:rsidRPr="0060652A" w:rsidRDefault="003C5B61"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w:t>
            </w:r>
          </w:p>
        </w:tc>
        <w:tc>
          <w:tcPr>
            <w:tcW w:w="1574" w:type="dxa"/>
            <w:noWrap/>
            <w:hideMark/>
          </w:tcPr>
          <w:p w:rsidR="003C5B61" w:rsidRPr="0060652A" w:rsidRDefault="003C5B61"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w:t>
            </w:r>
          </w:p>
        </w:tc>
      </w:tr>
      <w:tr w:rsidR="003C5B61" w:rsidRPr="0060652A" w:rsidTr="00A52886">
        <w:trPr>
          <w:cnfStyle w:val="000000100000"/>
          <w:trHeight w:val="300"/>
        </w:trPr>
        <w:tc>
          <w:tcPr>
            <w:cnfStyle w:val="001000000000"/>
            <w:tcW w:w="3357" w:type="dxa"/>
            <w:noWrap/>
            <w:hideMark/>
          </w:tcPr>
          <w:p w:rsidR="003C5B61" w:rsidRPr="0060652A" w:rsidRDefault="003C5B61"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Спиди ЕООД</w:t>
            </w:r>
          </w:p>
        </w:tc>
        <w:tc>
          <w:tcPr>
            <w:tcW w:w="1574" w:type="dxa"/>
            <w:noWrap/>
            <w:hideMark/>
          </w:tcPr>
          <w:p w:rsidR="003C5B61" w:rsidRPr="0060652A" w:rsidRDefault="003C5B61"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1 104 </w:t>
            </w:r>
          </w:p>
        </w:tc>
        <w:tc>
          <w:tcPr>
            <w:tcW w:w="1574" w:type="dxa"/>
            <w:noWrap/>
            <w:hideMark/>
          </w:tcPr>
          <w:p w:rsidR="003C5B61" w:rsidRPr="0060652A" w:rsidRDefault="003C5B61"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4 </w:t>
            </w:r>
          </w:p>
        </w:tc>
        <w:tc>
          <w:tcPr>
            <w:tcW w:w="1574" w:type="dxa"/>
            <w:noWrap/>
            <w:hideMark/>
          </w:tcPr>
          <w:p w:rsidR="003C5B61" w:rsidRPr="0060652A" w:rsidRDefault="003C5B61"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1 487 </w:t>
            </w:r>
          </w:p>
        </w:tc>
        <w:tc>
          <w:tcPr>
            <w:tcW w:w="1574" w:type="dxa"/>
            <w:noWrap/>
            <w:hideMark/>
          </w:tcPr>
          <w:p w:rsidR="003C5B61" w:rsidRPr="0060652A" w:rsidRDefault="003C5B61"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1</w:t>
            </w:r>
            <w:r w:rsidR="00777E7F">
              <w:rPr>
                <w:rFonts w:asciiTheme="minorHAnsi" w:hAnsiTheme="minorHAnsi" w:cstheme="minorHAnsi"/>
                <w:color w:val="000000"/>
                <w:sz w:val="22"/>
                <w:szCs w:val="22"/>
                <w:lang w:eastAsia="bg-BG"/>
              </w:rPr>
              <w:t xml:space="preserve"> 577</w:t>
            </w:r>
            <w:r w:rsidRPr="0060652A">
              <w:rPr>
                <w:rFonts w:asciiTheme="minorHAnsi" w:hAnsiTheme="minorHAnsi" w:cstheme="minorHAnsi"/>
                <w:color w:val="000000"/>
                <w:sz w:val="22"/>
                <w:szCs w:val="22"/>
                <w:lang w:eastAsia="bg-BG"/>
              </w:rPr>
              <w:t xml:space="preserve"> </w:t>
            </w:r>
          </w:p>
        </w:tc>
      </w:tr>
      <w:tr w:rsidR="003C5B61" w:rsidRPr="0060652A" w:rsidTr="00A52886">
        <w:trPr>
          <w:trHeight w:val="300"/>
        </w:trPr>
        <w:tc>
          <w:tcPr>
            <w:cnfStyle w:val="001000000000"/>
            <w:tcW w:w="3357" w:type="dxa"/>
            <w:noWrap/>
            <w:hideMark/>
          </w:tcPr>
          <w:p w:rsidR="003C5B61" w:rsidRPr="0060652A" w:rsidRDefault="003C5B61"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Трансбалкан Груп ООД</w:t>
            </w:r>
          </w:p>
        </w:tc>
        <w:tc>
          <w:tcPr>
            <w:tcW w:w="1574" w:type="dxa"/>
            <w:noWrap/>
            <w:hideMark/>
          </w:tcPr>
          <w:p w:rsidR="003C5B61" w:rsidRPr="0060652A" w:rsidRDefault="003C5B61"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554 </w:t>
            </w:r>
          </w:p>
        </w:tc>
        <w:tc>
          <w:tcPr>
            <w:tcW w:w="1574" w:type="dxa"/>
            <w:noWrap/>
            <w:hideMark/>
          </w:tcPr>
          <w:p w:rsidR="003C5B61" w:rsidRPr="0060652A" w:rsidRDefault="003C5B61"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997 </w:t>
            </w:r>
          </w:p>
        </w:tc>
        <w:tc>
          <w:tcPr>
            <w:tcW w:w="1574" w:type="dxa"/>
            <w:noWrap/>
            <w:hideMark/>
          </w:tcPr>
          <w:p w:rsidR="003C5B61" w:rsidRPr="0060652A" w:rsidRDefault="003C5B61" w:rsidP="003D3056">
            <w:pPr>
              <w:spacing w:before="20" w:afterLines="20"/>
              <w:jc w:val="right"/>
              <w:cnfStyle w:val="0000000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141 </w:t>
            </w:r>
          </w:p>
        </w:tc>
        <w:tc>
          <w:tcPr>
            <w:tcW w:w="1574" w:type="dxa"/>
            <w:noWrap/>
            <w:hideMark/>
          </w:tcPr>
          <w:p w:rsidR="003C5B61" w:rsidRPr="0060652A" w:rsidRDefault="00777E7F" w:rsidP="003D3056">
            <w:pPr>
              <w:spacing w:before="20" w:afterLines="20"/>
              <w:jc w:val="right"/>
              <w:cnfStyle w:val="000000000000"/>
              <w:rPr>
                <w:rFonts w:asciiTheme="minorHAnsi" w:hAnsiTheme="minorHAnsi" w:cstheme="minorHAnsi"/>
                <w:color w:val="000000"/>
                <w:sz w:val="22"/>
                <w:szCs w:val="22"/>
                <w:lang w:eastAsia="bg-BG"/>
              </w:rPr>
            </w:pPr>
            <w:r>
              <w:rPr>
                <w:rFonts w:asciiTheme="minorHAnsi" w:hAnsiTheme="minorHAnsi" w:cstheme="minorHAnsi"/>
                <w:color w:val="000000"/>
                <w:sz w:val="22"/>
                <w:szCs w:val="22"/>
                <w:lang w:eastAsia="bg-BG"/>
              </w:rPr>
              <w:t>32</w:t>
            </w:r>
            <w:r w:rsidR="003C5B61" w:rsidRPr="0060652A">
              <w:rPr>
                <w:rFonts w:asciiTheme="minorHAnsi" w:hAnsiTheme="minorHAnsi" w:cstheme="minorHAnsi"/>
                <w:color w:val="000000"/>
                <w:sz w:val="22"/>
                <w:szCs w:val="22"/>
                <w:lang w:eastAsia="bg-BG"/>
              </w:rPr>
              <w:t xml:space="preserve"> </w:t>
            </w:r>
          </w:p>
        </w:tc>
      </w:tr>
      <w:tr w:rsidR="003C5B61" w:rsidRPr="0060652A" w:rsidTr="00A52886">
        <w:trPr>
          <w:cnfStyle w:val="000000100000"/>
          <w:trHeight w:val="300"/>
        </w:trPr>
        <w:tc>
          <w:tcPr>
            <w:cnfStyle w:val="001000000000"/>
            <w:tcW w:w="3357" w:type="dxa"/>
            <w:noWrap/>
            <w:hideMark/>
          </w:tcPr>
          <w:p w:rsidR="003C5B61" w:rsidRPr="0060652A" w:rsidRDefault="00B67E1A"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sz w:val="22"/>
                <w:szCs w:val="22"/>
                <w:lang w:eastAsia="bg-BG"/>
              </w:rPr>
              <w:t>Други</w:t>
            </w:r>
            <w:r>
              <w:rPr>
                <w:rFonts w:asciiTheme="minorHAnsi" w:hAnsiTheme="minorHAnsi" w:cstheme="minorHAnsi"/>
                <w:sz w:val="22"/>
                <w:szCs w:val="22"/>
                <w:lang w:eastAsia="bg-BG"/>
              </w:rPr>
              <w:t xml:space="preserve"> свързани лица</w:t>
            </w:r>
          </w:p>
        </w:tc>
        <w:tc>
          <w:tcPr>
            <w:tcW w:w="1574" w:type="dxa"/>
            <w:noWrap/>
            <w:hideMark/>
          </w:tcPr>
          <w:p w:rsidR="003C5B61" w:rsidRPr="0060652A" w:rsidRDefault="003C5B61"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18 </w:t>
            </w:r>
          </w:p>
        </w:tc>
        <w:tc>
          <w:tcPr>
            <w:tcW w:w="1574" w:type="dxa"/>
            <w:noWrap/>
            <w:hideMark/>
          </w:tcPr>
          <w:p w:rsidR="003C5B61" w:rsidRPr="0060652A" w:rsidRDefault="003C5B61"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171 </w:t>
            </w:r>
          </w:p>
        </w:tc>
        <w:tc>
          <w:tcPr>
            <w:tcW w:w="1574" w:type="dxa"/>
            <w:noWrap/>
            <w:hideMark/>
          </w:tcPr>
          <w:p w:rsidR="003C5B61" w:rsidRPr="0060652A" w:rsidRDefault="003C5B61" w:rsidP="003D3056">
            <w:pPr>
              <w:spacing w:before="20" w:afterLines="20"/>
              <w:jc w:val="right"/>
              <w:cnfStyle w:val="000000100000"/>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 xml:space="preserve">253 </w:t>
            </w:r>
          </w:p>
        </w:tc>
        <w:tc>
          <w:tcPr>
            <w:tcW w:w="1574" w:type="dxa"/>
            <w:noWrap/>
            <w:hideMark/>
          </w:tcPr>
          <w:p w:rsidR="003C5B61" w:rsidRPr="0060652A" w:rsidRDefault="00777E7F" w:rsidP="003D3056">
            <w:pPr>
              <w:spacing w:before="20" w:afterLines="20"/>
              <w:jc w:val="right"/>
              <w:cnfStyle w:val="000000100000"/>
              <w:rPr>
                <w:rFonts w:asciiTheme="minorHAnsi" w:hAnsiTheme="minorHAnsi" w:cstheme="minorHAnsi"/>
                <w:color w:val="000000"/>
                <w:sz w:val="22"/>
                <w:szCs w:val="22"/>
                <w:lang w:eastAsia="bg-BG"/>
              </w:rPr>
            </w:pPr>
            <w:r>
              <w:rPr>
                <w:rFonts w:asciiTheme="minorHAnsi" w:hAnsiTheme="minorHAnsi" w:cstheme="minorHAnsi"/>
                <w:color w:val="000000"/>
                <w:sz w:val="22"/>
                <w:szCs w:val="22"/>
                <w:lang w:eastAsia="bg-BG"/>
              </w:rPr>
              <w:t>29</w:t>
            </w:r>
            <w:r w:rsidR="003C5B61" w:rsidRPr="0060652A">
              <w:rPr>
                <w:rFonts w:asciiTheme="minorHAnsi" w:hAnsiTheme="minorHAnsi" w:cstheme="minorHAnsi"/>
                <w:color w:val="000000"/>
                <w:sz w:val="22"/>
                <w:szCs w:val="22"/>
                <w:lang w:eastAsia="bg-BG"/>
              </w:rPr>
              <w:t xml:space="preserve"> </w:t>
            </w:r>
          </w:p>
        </w:tc>
      </w:tr>
      <w:tr w:rsidR="003C5B61" w:rsidRPr="0060652A" w:rsidTr="00A52886">
        <w:trPr>
          <w:cnfStyle w:val="010000000000"/>
          <w:trHeight w:val="300"/>
        </w:trPr>
        <w:tc>
          <w:tcPr>
            <w:cnfStyle w:val="001000000000"/>
            <w:tcW w:w="3357" w:type="dxa"/>
            <w:noWrap/>
            <w:vAlign w:val="center"/>
            <w:hideMark/>
          </w:tcPr>
          <w:p w:rsidR="003C5B61" w:rsidRPr="0060652A" w:rsidRDefault="003C5B61" w:rsidP="00E44077">
            <w:pPr>
              <w:autoSpaceDE/>
              <w:autoSpaceDN/>
              <w:adjustRightInd/>
              <w:spacing w:after="0"/>
              <w:jc w:val="left"/>
              <w:rPr>
                <w:rFonts w:asciiTheme="minorHAnsi" w:hAnsiTheme="minorHAnsi" w:cstheme="minorHAnsi"/>
                <w:color w:val="000000"/>
                <w:sz w:val="22"/>
                <w:szCs w:val="22"/>
                <w:lang w:eastAsia="bg-BG"/>
              </w:rPr>
            </w:pPr>
            <w:r w:rsidRPr="0060652A">
              <w:rPr>
                <w:rFonts w:asciiTheme="minorHAnsi" w:hAnsiTheme="minorHAnsi" w:cstheme="minorHAnsi"/>
                <w:color w:val="000000"/>
                <w:sz w:val="22"/>
                <w:szCs w:val="22"/>
                <w:lang w:eastAsia="bg-BG"/>
              </w:rPr>
              <w:t>ОБЩО ЗАДЪЛЖЕНИЯ</w:t>
            </w:r>
          </w:p>
        </w:tc>
        <w:tc>
          <w:tcPr>
            <w:tcW w:w="1574" w:type="dxa"/>
            <w:noWrap/>
            <w:hideMark/>
          </w:tcPr>
          <w:p w:rsidR="003C5B61" w:rsidRPr="0060652A" w:rsidRDefault="003C5B61" w:rsidP="003D3056">
            <w:pPr>
              <w:spacing w:before="20" w:afterLines="20"/>
              <w:jc w:val="right"/>
              <w:cnfStyle w:val="010000000000"/>
              <w:rPr>
                <w:rFonts w:asciiTheme="minorHAnsi" w:hAnsiTheme="minorHAnsi" w:cstheme="minorHAnsi"/>
                <w:b/>
                <w:color w:val="000000"/>
                <w:sz w:val="22"/>
                <w:szCs w:val="22"/>
                <w:lang w:eastAsia="bg-BG"/>
              </w:rPr>
            </w:pPr>
            <w:r w:rsidRPr="0060652A">
              <w:rPr>
                <w:rFonts w:asciiTheme="minorHAnsi" w:hAnsiTheme="minorHAnsi" w:cstheme="minorHAnsi"/>
                <w:b/>
                <w:color w:val="000000"/>
                <w:sz w:val="22"/>
                <w:szCs w:val="22"/>
                <w:lang w:eastAsia="bg-BG"/>
              </w:rPr>
              <w:t xml:space="preserve">1 676 </w:t>
            </w:r>
          </w:p>
        </w:tc>
        <w:tc>
          <w:tcPr>
            <w:tcW w:w="1574" w:type="dxa"/>
            <w:noWrap/>
            <w:hideMark/>
          </w:tcPr>
          <w:p w:rsidR="003C5B61" w:rsidRPr="0060652A" w:rsidRDefault="003C5B61" w:rsidP="003D3056">
            <w:pPr>
              <w:spacing w:before="20" w:afterLines="20"/>
              <w:jc w:val="right"/>
              <w:cnfStyle w:val="010000000000"/>
              <w:rPr>
                <w:rFonts w:asciiTheme="minorHAnsi" w:hAnsiTheme="minorHAnsi" w:cstheme="minorHAnsi"/>
                <w:b/>
                <w:color w:val="000000"/>
                <w:sz w:val="22"/>
                <w:szCs w:val="22"/>
                <w:lang w:eastAsia="bg-BG"/>
              </w:rPr>
            </w:pPr>
            <w:r w:rsidRPr="0060652A">
              <w:rPr>
                <w:rFonts w:asciiTheme="minorHAnsi" w:hAnsiTheme="minorHAnsi" w:cstheme="minorHAnsi"/>
                <w:b/>
                <w:color w:val="000000"/>
                <w:sz w:val="22"/>
                <w:szCs w:val="22"/>
                <w:lang w:eastAsia="bg-BG"/>
              </w:rPr>
              <w:t xml:space="preserve">1 172 </w:t>
            </w:r>
          </w:p>
        </w:tc>
        <w:tc>
          <w:tcPr>
            <w:tcW w:w="1574" w:type="dxa"/>
            <w:noWrap/>
            <w:hideMark/>
          </w:tcPr>
          <w:p w:rsidR="003C5B61" w:rsidRPr="0060652A" w:rsidRDefault="003C5B61" w:rsidP="003D3056">
            <w:pPr>
              <w:spacing w:before="20" w:afterLines="20"/>
              <w:jc w:val="right"/>
              <w:cnfStyle w:val="010000000000"/>
              <w:rPr>
                <w:rFonts w:asciiTheme="minorHAnsi" w:hAnsiTheme="minorHAnsi" w:cstheme="minorHAnsi"/>
                <w:b/>
                <w:color w:val="000000"/>
                <w:sz w:val="22"/>
                <w:szCs w:val="22"/>
                <w:lang w:eastAsia="bg-BG"/>
              </w:rPr>
            </w:pPr>
            <w:r w:rsidRPr="0060652A">
              <w:rPr>
                <w:rFonts w:asciiTheme="minorHAnsi" w:hAnsiTheme="minorHAnsi" w:cstheme="minorHAnsi"/>
                <w:b/>
                <w:color w:val="000000"/>
                <w:sz w:val="22"/>
                <w:szCs w:val="22"/>
                <w:lang w:eastAsia="bg-BG"/>
              </w:rPr>
              <w:t xml:space="preserve">1 881 </w:t>
            </w:r>
          </w:p>
        </w:tc>
        <w:tc>
          <w:tcPr>
            <w:tcW w:w="1574" w:type="dxa"/>
            <w:noWrap/>
            <w:hideMark/>
          </w:tcPr>
          <w:p w:rsidR="003C5B61" w:rsidRPr="0060652A" w:rsidRDefault="00777E7F" w:rsidP="003D3056">
            <w:pPr>
              <w:spacing w:before="20" w:afterLines="20"/>
              <w:jc w:val="right"/>
              <w:cnfStyle w:val="010000000000"/>
              <w:rPr>
                <w:rFonts w:asciiTheme="minorHAnsi" w:hAnsiTheme="minorHAnsi" w:cstheme="minorHAnsi"/>
                <w:b/>
                <w:color w:val="000000"/>
                <w:sz w:val="22"/>
                <w:szCs w:val="22"/>
                <w:lang w:eastAsia="bg-BG"/>
              </w:rPr>
            </w:pPr>
            <w:r>
              <w:rPr>
                <w:rFonts w:asciiTheme="minorHAnsi" w:hAnsiTheme="minorHAnsi" w:cstheme="minorHAnsi"/>
                <w:b/>
                <w:color w:val="000000"/>
                <w:sz w:val="22"/>
                <w:szCs w:val="22"/>
                <w:lang w:eastAsia="bg-BG"/>
              </w:rPr>
              <w:t>1 638</w:t>
            </w:r>
            <w:r w:rsidR="003C5B61" w:rsidRPr="0060652A">
              <w:rPr>
                <w:rFonts w:asciiTheme="minorHAnsi" w:hAnsiTheme="minorHAnsi" w:cstheme="minorHAnsi"/>
                <w:b/>
                <w:color w:val="000000"/>
                <w:sz w:val="22"/>
                <w:szCs w:val="22"/>
                <w:lang w:eastAsia="bg-BG"/>
              </w:rPr>
              <w:t xml:space="preserve"> </w:t>
            </w:r>
          </w:p>
        </w:tc>
      </w:tr>
    </w:tbl>
    <w:p w:rsidR="002A211D" w:rsidRDefault="002A211D" w:rsidP="00942CE6"/>
    <w:p w:rsidR="0060652A" w:rsidRDefault="0060652A" w:rsidP="0060652A">
      <w:pPr>
        <w:jc w:val="center"/>
      </w:pPr>
      <w:r>
        <w:rPr>
          <w:i/>
          <w:u w:val="single"/>
        </w:rPr>
        <w:t xml:space="preserve">Предоставени заеми и поети гаранции към </w:t>
      </w:r>
      <w:r w:rsidRPr="005150CE">
        <w:rPr>
          <w:i/>
          <w:u w:val="single"/>
        </w:rPr>
        <w:t>свързани лица</w:t>
      </w:r>
    </w:p>
    <w:tbl>
      <w:tblPr>
        <w:tblStyle w:val="MediumShading2-Accent11"/>
        <w:tblW w:w="9654" w:type="dxa"/>
        <w:tblInd w:w="108" w:type="dxa"/>
        <w:tblLayout w:type="fixed"/>
        <w:tblLook w:val="04E0"/>
      </w:tblPr>
      <w:tblGrid>
        <w:gridCol w:w="2992"/>
        <w:gridCol w:w="1332"/>
        <w:gridCol w:w="1332"/>
        <w:gridCol w:w="1333"/>
        <w:gridCol w:w="1332"/>
        <w:gridCol w:w="1333"/>
      </w:tblGrid>
      <w:tr w:rsidR="007631C5" w:rsidRPr="007631C5" w:rsidTr="007631C5">
        <w:trPr>
          <w:cnfStyle w:val="100000000000"/>
          <w:trHeight w:val="300"/>
        </w:trPr>
        <w:tc>
          <w:tcPr>
            <w:cnfStyle w:val="001000000100"/>
            <w:tcW w:w="2992" w:type="dxa"/>
            <w:noWrap/>
            <w:vAlign w:val="center"/>
            <w:hideMark/>
          </w:tcPr>
          <w:p w:rsidR="007631C5" w:rsidRPr="007631C5" w:rsidRDefault="007631C5" w:rsidP="003D3056">
            <w:pPr>
              <w:autoSpaceDE/>
              <w:autoSpaceDN/>
              <w:adjustRightInd/>
              <w:spacing w:before="20" w:afterLines="20"/>
              <w:jc w:val="center"/>
              <w:rPr>
                <w:rFonts w:asciiTheme="minorHAnsi" w:hAnsiTheme="minorHAnsi" w:cstheme="minorHAnsi"/>
                <w:bCs w:val="0"/>
                <w:sz w:val="22"/>
                <w:szCs w:val="22"/>
                <w:lang w:eastAsia="bg-BG"/>
              </w:rPr>
            </w:pPr>
            <w:r w:rsidRPr="007631C5">
              <w:rPr>
                <w:rFonts w:asciiTheme="minorHAnsi" w:hAnsiTheme="minorHAnsi" w:cstheme="minorHAnsi"/>
                <w:bCs w:val="0"/>
                <w:sz w:val="22"/>
                <w:szCs w:val="22"/>
                <w:lang w:eastAsia="bg-BG"/>
              </w:rPr>
              <w:t>Наименование, в хил. лв.</w:t>
            </w:r>
          </w:p>
        </w:tc>
        <w:tc>
          <w:tcPr>
            <w:tcW w:w="1332" w:type="dxa"/>
            <w:noWrap/>
            <w:vAlign w:val="center"/>
            <w:hideMark/>
          </w:tcPr>
          <w:p w:rsidR="007631C5" w:rsidRPr="007631C5" w:rsidRDefault="007631C5" w:rsidP="007631C5">
            <w:pPr>
              <w:autoSpaceDE/>
              <w:autoSpaceDN/>
              <w:adjustRightInd/>
              <w:spacing w:after="0"/>
              <w:jc w:val="center"/>
              <w:cnfStyle w:val="100000000000"/>
              <w:rPr>
                <w:rFonts w:asciiTheme="minorHAnsi" w:hAnsiTheme="minorHAnsi" w:cstheme="minorHAnsi"/>
                <w:bCs w:val="0"/>
                <w:color w:val="auto"/>
                <w:sz w:val="22"/>
                <w:szCs w:val="22"/>
                <w:lang w:eastAsia="bg-BG"/>
              </w:rPr>
            </w:pPr>
            <w:r w:rsidRPr="007631C5">
              <w:rPr>
                <w:rFonts w:asciiTheme="minorHAnsi" w:hAnsiTheme="minorHAnsi" w:cstheme="minorHAnsi"/>
                <w:bCs w:val="0"/>
                <w:color w:val="auto"/>
                <w:sz w:val="22"/>
                <w:szCs w:val="22"/>
                <w:lang w:eastAsia="bg-BG"/>
              </w:rPr>
              <w:t>31.12.2009</w:t>
            </w:r>
          </w:p>
        </w:tc>
        <w:tc>
          <w:tcPr>
            <w:tcW w:w="1332" w:type="dxa"/>
            <w:noWrap/>
            <w:vAlign w:val="center"/>
            <w:hideMark/>
          </w:tcPr>
          <w:p w:rsidR="007631C5" w:rsidRPr="007631C5" w:rsidRDefault="007631C5" w:rsidP="007631C5">
            <w:pPr>
              <w:autoSpaceDE/>
              <w:autoSpaceDN/>
              <w:adjustRightInd/>
              <w:spacing w:after="0"/>
              <w:jc w:val="center"/>
              <w:cnfStyle w:val="100000000000"/>
              <w:rPr>
                <w:rFonts w:asciiTheme="minorHAnsi" w:hAnsiTheme="minorHAnsi" w:cstheme="minorHAnsi"/>
                <w:bCs w:val="0"/>
                <w:color w:val="auto"/>
                <w:sz w:val="22"/>
                <w:szCs w:val="22"/>
                <w:lang w:eastAsia="bg-BG"/>
              </w:rPr>
            </w:pPr>
            <w:r w:rsidRPr="007631C5">
              <w:rPr>
                <w:rFonts w:asciiTheme="minorHAnsi" w:hAnsiTheme="minorHAnsi" w:cstheme="minorHAnsi"/>
                <w:bCs w:val="0"/>
                <w:color w:val="auto"/>
                <w:sz w:val="22"/>
                <w:szCs w:val="22"/>
                <w:lang w:eastAsia="bg-BG"/>
              </w:rPr>
              <w:t>31.12.2010</w:t>
            </w:r>
          </w:p>
        </w:tc>
        <w:tc>
          <w:tcPr>
            <w:tcW w:w="1333" w:type="dxa"/>
            <w:noWrap/>
            <w:vAlign w:val="center"/>
            <w:hideMark/>
          </w:tcPr>
          <w:p w:rsidR="007631C5" w:rsidRPr="007631C5" w:rsidRDefault="007631C5" w:rsidP="007631C5">
            <w:pPr>
              <w:autoSpaceDE/>
              <w:autoSpaceDN/>
              <w:adjustRightInd/>
              <w:spacing w:after="0"/>
              <w:jc w:val="center"/>
              <w:cnfStyle w:val="100000000000"/>
              <w:rPr>
                <w:rFonts w:asciiTheme="minorHAnsi" w:hAnsiTheme="minorHAnsi" w:cstheme="minorHAnsi"/>
                <w:bCs w:val="0"/>
                <w:color w:val="auto"/>
                <w:sz w:val="22"/>
                <w:szCs w:val="22"/>
                <w:lang w:eastAsia="bg-BG"/>
              </w:rPr>
            </w:pPr>
            <w:r w:rsidRPr="007631C5">
              <w:rPr>
                <w:rFonts w:asciiTheme="minorHAnsi" w:hAnsiTheme="minorHAnsi" w:cstheme="minorHAnsi"/>
                <w:bCs w:val="0"/>
                <w:color w:val="auto"/>
                <w:sz w:val="22"/>
                <w:szCs w:val="22"/>
                <w:lang w:eastAsia="bg-BG"/>
              </w:rPr>
              <w:t>31.12.11</w:t>
            </w:r>
          </w:p>
        </w:tc>
        <w:tc>
          <w:tcPr>
            <w:tcW w:w="1332" w:type="dxa"/>
            <w:noWrap/>
            <w:vAlign w:val="center"/>
            <w:hideMark/>
          </w:tcPr>
          <w:p w:rsidR="007631C5" w:rsidRPr="007631C5" w:rsidRDefault="007631C5" w:rsidP="007631C5">
            <w:pPr>
              <w:autoSpaceDE/>
              <w:autoSpaceDN/>
              <w:adjustRightInd/>
              <w:spacing w:after="0"/>
              <w:ind w:left="-12" w:right="-70"/>
              <w:jc w:val="center"/>
              <w:cnfStyle w:val="100000000000"/>
              <w:rPr>
                <w:rFonts w:asciiTheme="minorHAnsi" w:hAnsiTheme="minorHAnsi" w:cstheme="minorHAnsi"/>
                <w:bCs w:val="0"/>
                <w:color w:val="000000"/>
                <w:sz w:val="22"/>
                <w:szCs w:val="22"/>
                <w:lang w:eastAsia="bg-BG"/>
              </w:rPr>
            </w:pPr>
            <w:r w:rsidRPr="007631C5">
              <w:rPr>
                <w:rFonts w:asciiTheme="minorHAnsi" w:hAnsiTheme="minorHAnsi" w:cstheme="minorHAnsi"/>
                <w:bCs w:val="0"/>
                <w:color w:val="000000"/>
                <w:sz w:val="22"/>
                <w:szCs w:val="22"/>
                <w:lang w:eastAsia="bg-BG"/>
              </w:rPr>
              <w:t>21.05.12</w:t>
            </w:r>
          </w:p>
        </w:tc>
        <w:tc>
          <w:tcPr>
            <w:tcW w:w="1333" w:type="dxa"/>
            <w:noWrap/>
            <w:vAlign w:val="center"/>
            <w:hideMark/>
          </w:tcPr>
          <w:p w:rsidR="007631C5" w:rsidRPr="007631C5" w:rsidRDefault="007631C5" w:rsidP="007631C5">
            <w:pPr>
              <w:autoSpaceDE/>
              <w:autoSpaceDN/>
              <w:adjustRightInd/>
              <w:spacing w:after="0"/>
              <w:jc w:val="center"/>
              <w:cnfStyle w:val="100000000000"/>
              <w:rPr>
                <w:rFonts w:asciiTheme="minorHAnsi" w:hAnsiTheme="minorHAnsi" w:cstheme="minorHAnsi"/>
                <w:bCs w:val="0"/>
                <w:color w:val="auto"/>
                <w:sz w:val="22"/>
                <w:szCs w:val="22"/>
                <w:lang w:eastAsia="bg-BG"/>
              </w:rPr>
            </w:pPr>
            <w:r w:rsidRPr="007631C5">
              <w:rPr>
                <w:rFonts w:asciiTheme="minorHAnsi" w:hAnsiTheme="minorHAnsi" w:cstheme="minorHAnsi"/>
                <w:bCs w:val="0"/>
                <w:color w:val="auto"/>
                <w:sz w:val="22"/>
                <w:szCs w:val="22"/>
                <w:lang w:eastAsia="bg-BG"/>
              </w:rPr>
              <w:t xml:space="preserve">Поети гаранции, </w:t>
            </w:r>
            <w:r w:rsidRPr="007631C5">
              <w:rPr>
                <w:rFonts w:asciiTheme="minorHAnsi" w:hAnsiTheme="minorHAnsi" w:cstheme="minorHAnsi"/>
                <w:bCs w:val="0"/>
                <w:color w:val="000000"/>
                <w:sz w:val="22"/>
                <w:szCs w:val="22"/>
                <w:lang w:eastAsia="bg-BG"/>
              </w:rPr>
              <w:t>21.05.12</w:t>
            </w:r>
          </w:p>
        </w:tc>
      </w:tr>
      <w:tr w:rsidR="0045485D" w:rsidRPr="0060652A" w:rsidTr="00A52886">
        <w:trPr>
          <w:cnfStyle w:val="000000100000"/>
          <w:trHeight w:val="300"/>
        </w:trPr>
        <w:tc>
          <w:tcPr>
            <w:cnfStyle w:val="001000000000"/>
            <w:tcW w:w="2992" w:type="dxa"/>
            <w:noWrap/>
            <w:hideMark/>
          </w:tcPr>
          <w:p w:rsidR="0045485D" w:rsidRPr="0060652A" w:rsidRDefault="0045485D"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Булром Газ 2006 ЕООД</w:t>
            </w:r>
          </w:p>
        </w:tc>
        <w:tc>
          <w:tcPr>
            <w:tcW w:w="1332" w:type="dxa"/>
            <w:noWrap/>
            <w:hideMark/>
          </w:tcPr>
          <w:p w:rsidR="0045485D" w:rsidRPr="00735311" w:rsidRDefault="00112B19" w:rsidP="003D3056">
            <w:pPr>
              <w:spacing w:before="20" w:afterLines="2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2 205</w:t>
            </w:r>
          </w:p>
        </w:tc>
        <w:tc>
          <w:tcPr>
            <w:tcW w:w="1332" w:type="dxa"/>
            <w:noWrap/>
            <w:hideMark/>
          </w:tcPr>
          <w:p w:rsidR="0045485D" w:rsidRPr="00735311" w:rsidRDefault="00112B19" w:rsidP="003D3056">
            <w:pPr>
              <w:spacing w:before="20" w:afterLines="2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2 830</w:t>
            </w:r>
          </w:p>
        </w:tc>
        <w:tc>
          <w:tcPr>
            <w:tcW w:w="1333" w:type="dxa"/>
            <w:noWrap/>
            <w:hideMark/>
          </w:tcPr>
          <w:p w:rsidR="0045485D" w:rsidRPr="00735311" w:rsidRDefault="0045485D"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3 057</w:t>
            </w:r>
          </w:p>
        </w:tc>
        <w:tc>
          <w:tcPr>
            <w:tcW w:w="1332" w:type="dxa"/>
            <w:noWrap/>
            <w:hideMark/>
          </w:tcPr>
          <w:p w:rsidR="0045485D" w:rsidRPr="00735311" w:rsidRDefault="0045485D"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3 252</w:t>
            </w:r>
          </w:p>
        </w:tc>
        <w:tc>
          <w:tcPr>
            <w:tcW w:w="1333" w:type="dxa"/>
            <w:noWrap/>
            <w:hideMark/>
          </w:tcPr>
          <w:p w:rsidR="0045485D" w:rsidRPr="00735311" w:rsidRDefault="0045485D"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681</w:t>
            </w:r>
          </w:p>
        </w:tc>
      </w:tr>
      <w:tr w:rsidR="0045485D" w:rsidRPr="0060652A" w:rsidTr="00A52886">
        <w:trPr>
          <w:trHeight w:val="300"/>
        </w:trPr>
        <w:tc>
          <w:tcPr>
            <w:cnfStyle w:val="001000000000"/>
            <w:tcW w:w="2992" w:type="dxa"/>
            <w:noWrap/>
            <w:hideMark/>
          </w:tcPr>
          <w:p w:rsidR="0045485D" w:rsidRPr="0060652A" w:rsidRDefault="0045485D"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Омникар Ауто ООД</w:t>
            </w:r>
          </w:p>
        </w:tc>
        <w:tc>
          <w:tcPr>
            <w:tcW w:w="1332" w:type="dxa"/>
            <w:noWrap/>
            <w:hideMark/>
          </w:tcPr>
          <w:p w:rsidR="0045485D" w:rsidRPr="00735311" w:rsidRDefault="0045485D"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c>
          <w:tcPr>
            <w:tcW w:w="1332" w:type="dxa"/>
            <w:noWrap/>
            <w:hideMark/>
          </w:tcPr>
          <w:p w:rsidR="0045485D" w:rsidRPr="00735311" w:rsidRDefault="0045485D"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c>
          <w:tcPr>
            <w:tcW w:w="1333" w:type="dxa"/>
            <w:noWrap/>
            <w:hideMark/>
          </w:tcPr>
          <w:p w:rsidR="0045485D" w:rsidRPr="00735311" w:rsidRDefault="0045485D"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2</w:t>
            </w:r>
          </w:p>
        </w:tc>
        <w:tc>
          <w:tcPr>
            <w:tcW w:w="1332" w:type="dxa"/>
            <w:noWrap/>
            <w:hideMark/>
          </w:tcPr>
          <w:p w:rsidR="0045485D" w:rsidRPr="00735311" w:rsidRDefault="0045485D"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2</w:t>
            </w:r>
          </w:p>
        </w:tc>
        <w:tc>
          <w:tcPr>
            <w:tcW w:w="1333" w:type="dxa"/>
            <w:noWrap/>
            <w:hideMark/>
          </w:tcPr>
          <w:p w:rsidR="0045485D" w:rsidRPr="00735311" w:rsidRDefault="0045485D"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1 498</w:t>
            </w:r>
          </w:p>
        </w:tc>
      </w:tr>
      <w:tr w:rsidR="0045485D" w:rsidRPr="0060652A" w:rsidTr="00A52886">
        <w:trPr>
          <w:cnfStyle w:val="000000100000"/>
          <w:trHeight w:val="300"/>
        </w:trPr>
        <w:tc>
          <w:tcPr>
            <w:cnfStyle w:val="001000000000"/>
            <w:tcW w:w="2992" w:type="dxa"/>
            <w:noWrap/>
            <w:hideMark/>
          </w:tcPr>
          <w:p w:rsidR="0045485D" w:rsidRPr="0060652A" w:rsidRDefault="00411610" w:rsidP="003D3056">
            <w:pPr>
              <w:spacing w:before="20" w:afterLines="20"/>
              <w:jc w:val="left"/>
              <w:rPr>
                <w:rFonts w:asciiTheme="minorHAnsi" w:hAnsiTheme="minorHAnsi" w:cstheme="minorHAnsi"/>
                <w:bCs w:val="0"/>
                <w:sz w:val="22"/>
                <w:szCs w:val="22"/>
                <w:lang w:eastAsia="bg-BG"/>
              </w:rPr>
            </w:pPr>
            <w:r>
              <w:rPr>
                <w:rFonts w:asciiTheme="minorHAnsi" w:hAnsiTheme="minorHAnsi" w:cstheme="minorHAnsi"/>
                <w:bCs w:val="0"/>
                <w:sz w:val="22"/>
                <w:szCs w:val="22"/>
                <w:lang w:eastAsia="bg-BG"/>
              </w:rPr>
              <w:t>В.И. Драгомир ООД</w:t>
            </w:r>
          </w:p>
        </w:tc>
        <w:tc>
          <w:tcPr>
            <w:tcW w:w="1332" w:type="dxa"/>
            <w:noWrap/>
            <w:hideMark/>
          </w:tcPr>
          <w:p w:rsidR="0045485D" w:rsidRPr="00735311" w:rsidRDefault="00112B19" w:rsidP="003D3056">
            <w:pPr>
              <w:spacing w:before="20" w:afterLines="2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233</w:t>
            </w:r>
          </w:p>
        </w:tc>
        <w:tc>
          <w:tcPr>
            <w:tcW w:w="1332" w:type="dxa"/>
            <w:noWrap/>
            <w:hideMark/>
          </w:tcPr>
          <w:p w:rsidR="0045485D" w:rsidRPr="00735311" w:rsidRDefault="00112B19" w:rsidP="003D3056">
            <w:pPr>
              <w:spacing w:before="20" w:afterLines="2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171</w:t>
            </w:r>
          </w:p>
        </w:tc>
        <w:tc>
          <w:tcPr>
            <w:tcW w:w="1333" w:type="dxa"/>
            <w:noWrap/>
            <w:hideMark/>
          </w:tcPr>
          <w:p w:rsidR="0045485D" w:rsidRPr="00735311" w:rsidRDefault="0045485D"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246</w:t>
            </w:r>
          </w:p>
        </w:tc>
        <w:tc>
          <w:tcPr>
            <w:tcW w:w="1332" w:type="dxa"/>
            <w:noWrap/>
            <w:hideMark/>
          </w:tcPr>
          <w:p w:rsidR="0045485D" w:rsidRPr="00735311" w:rsidRDefault="0045485D"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246</w:t>
            </w:r>
          </w:p>
        </w:tc>
        <w:tc>
          <w:tcPr>
            <w:tcW w:w="1333" w:type="dxa"/>
            <w:noWrap/>
            <w:hideMark/>
          </w:tcPr>
          <w:p w:rsidR="0045485D" w:rsidRPr="00735311" w:rsidRDefault="0045485D"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200</w:t>
            </w:r>
          </w:p>
        </w:tc>
      </w:tr>
      <w:tr w:rsidR="0045485D" w:rsidRPr="0060652A" w:rsidTr="00A52886">
        <w:trPr>
          <w:trHeight w:val="300"/>
        </w:trPr>
        <w:tc>
          <w:tcPr>
            <w:cnfStyle w:val="001000000000"/>
            <w:tcW w:w="2992" w:type="dxa"/>
            <w:noWrap/>
            <w:hideMark/>
          </w:tcPr>
          <w:p w:rsidR="0045485D" w:rsidRPr="0060652A" w:rsidRDefault="0045485D"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Омникар – С ЕООД</w:t>
            </w:r>
          </w:p>
        </w:tc>
        <w:tc>
          <w:tcPr>
            <w:tcW w:w="1332" w:type="dxa"/>
            <w:noWrap/>
            <w:hideMark/>
          </w:tcPr>
          <w:p w:rsidR="0045485D" w:rsidRPr="00735311" w:rsidRDefault="00112B19" w:rsidP="003D3056">
            <w:pPr>
              <w:spacing w:before="20" w:afterLines="2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157</w:t>
            </w:r>
          </w:p>
        </w:tc>
        <w:tc>
          <w:tcPr>
            <w:tcW w:w="1332" w:type="dxa"/>
            <w:noWrap/>
            <w:hideMark/>
          </w:tcPr>
          <w:p w:rsidR="0045485D" w:rsidRPr="00735311" w:rsidRDefault="00112B19" w:rsidP="003D3056">
            <w:pPr>
              <w:spacing w:before="20" w:afterLines="2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186</w:t>
            </w:r>
          </w:p>
        </w:tc>
        <w:tc>
          <w:tcPr>
            <w:tcW w:w="1333" w:type="dxa"/>
            <w:noWrap/>
            <w:hideMark/>
          </w:tcPr>
          <w:p w:rsidR="0045485D" w:rsidRPr="00735311" w:rsidRDefault="0045485D"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305</w:t>
            </w:r>
          </w:p>
        </w:tc>
        <w:tc>
          <w:tcPr>
            <w:tcW w:w="1332" w:type="dxa"/>
            <w:noWrap/>
            <w:hideMark/>
          </w:tcPr>
          <w:p w:rsidR="0045485D" w:rsidRPr="00735311" w:rsidRDefault="0045485D"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3</w:t>
            </w:r>
            <w:r w:rsidR="00112B19">
              <w:rPr>
                <w:rFonts w:asciiTheme="minorHAnsi" w:hAnsiTheme="minorHAnsi" w:cstheme="minorHAnsi"/>
                <w:sz w:val="22"/>
                <w:szCs w:val="22"/>
                <w:lang w:eastAsia="bg-BG"/>
              </w:rPr>
              <w:t>51</w:t>
            </w:r>
          </w:p>
        </w:tc>
        <w:tc>
          <w:tcPr>
            <w:tcW w:w="1333" w:type="dxa"/>
            <w:noWrap/>
            <w:hideMark/>
          </w:tcPr>
          <w:p w:rsidR="0045485D" w:rsidRPr="00735311" w:rsidRDefault="0045485D"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r>
      <w:tr w:rsidR="0045485D" w:rsidRPr="0060652A" w:rsidTr="00A52886">
        <w:trPr>
          <w:cnfStyle w:val="000000100000"/>
          <w:trHeight w:val="300"/>
        </w:trPr>
        <w:tc>
          <w:tcPr>
            <w:cnfStyle w:val="001000000000"/>
            <w:tcW w:w="2992" w:type="dxa"/>
            <w:noWrap/>
            <w:hideMark/>
          </w:tcPr>
          <w:p w:rsidR="0045485D" w:rsidRPr="0060652A" w:rsidRDefault="0045485D"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Омникар - БГ ЕООД</w:t>
            </w:r>
          </w:p>
        </w:tc>
        <w:tc>
          <w:tcPr>
            <w:tcW w:w="1332" w:type="dxa"/>
            <w:noWrap/>
            <w:hideMark/>
          </w:tcPr>
          <w:p w:rsidR="0045485D" w:rsidRPr="00735311" w:rsidRDefault="0045485D"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c>
          <w:tcPr>
            <w:tcW w:w="1332" w:type="dxa"/>
            <w:noWrap/>
            <w:hideMark/>
          </w:tcPr>
          <w:p w:rsidR="0045485D" w:rsidRPr="00735311" w:rsidRDefault="0045485D" w:rsidP="003D3056">
            <w:pPr>
              <w:spacing w:before="20" w:afterLines="20"/>
              <w:jc w:val="right"/>
              <w:cnfStyle w:val="000000100000"/>
              <w:rPr>
                <w:rFonts w:asciiTheme="minorHAnsi" w:hAnsiTheme="minorHAnsi" w:cstheme="minorHAnsi"/>
                <w:sz w:val="22"/>
                <w:szCs w:val="22"/>
                <w:lang w:eastAsia="bg-BG"/>
              </w:rPr>
            </w:pPr>
          </w:p>
        </w:tc>
        <w:tc>
          <w:tcPr>
            <w:tcW w:w="1333" w:type="dxa"/>
            <w:noWrap/>
            <w:hideMark/>
          </w:tcPr>
          <w:p w:rsidR="0045485D" w:rsidRPr="00735311" w:rsidRDefault="0045485D"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186</w:t>
            </w:r>
          </w:p>
        </w:tc>
        <w:tc>
          <w:tcPr>
            <w:tcW w:w="1332" w:type="dxa"/>
            <w:noWrap/>
            <w:hideMark/>
          </w:tcPr>
          <w:p w:rsidR="0045485D" w:rsidRPr="00735311" w:rsidRDefault="00112B19" w:rsidP="003D3056">
            <w:pPr>
              <w:spacing w:before="20" w:afterLines="2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441</w:t>
            </w:r>
          </w:p>
        </w:tc>
        <w:tc>
          <w:tcPr>
            <w:tcW w:w="1333" w:type="dxa"/>
            <w:noWrap/>
            <w:hideMark/>
          </w:tcPr>
          <w:p w:rsidR="0045485D" w:rsidRPr="00735311" w:rsidRDefault="0045485D"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2 160</w:t>
            </w:r>
          </w:p>
        </w:tc>
      </w:tr>
      <w:tr w:rsidR="0045485D" w:rsidRPr="0060652A" w:rsidTr="00A52886">
        <w:trPr>
          <w:trHeight w:val="300"/>
        </w:trPr>
        <w:tc>
          <w:tcPr>
            <w:cnfStyle w:val="001000000000"/>
            <w:tcW w:w="2992" w:type="dxa"/>
            <w:noWrap/>
            <w:hideMark/>
          </w:tcPr>
          <w:p w:rsidR="0045485D" w:rsidRPr="0060652A" w:rsidRDefault="0045485D"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 xml:space="preserve">Валери Мектупчиян                     </w:t>
            </w:r>
          </w:p>
        </w:tc>
        <w:tc>
          <w:tcPr>
            <w:tcW w:w="1332" w:type="dxa"/>
            <w:noWrap/>
            <w:hideMark/>
          </w:tcPr>
          <w:p w:rsidR="0045485D" w:rsidRPr="00735311" w:rsidRDefault="00112B19" w:rsidP="003D3056">
            <w:pPr>
              <w:spacing w:before="20" w:afterLines="2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463</w:t>
            </w:r>
          </w:p>
        </w:tc>
        <w:tc>
          <w:tcPr>
            <w:tcW w:w="1332" w:type="dxa"/>
            <w:noWrap/>
            <w:hideMark/>
          </w:tcPr>
          <w:p w:rsidR="0045485D" w:rsidRPr="00735311" w:rsidRDefault="00112B19" w:rsidP="003D3056">
            <w:pPr>
              <w:spacing w:before="20" w:afterLines="2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463</w:t>
            </w:r>
          </w:p>
        </w:tc>
        <w:tc>
          <w:tcPr>
            <w:tcW w:w="1333" w:type="dxa"/>
            <w:noWrap/>
            <w:hideMark/>
          </w:tcPr>
          <w:p w:rsidR="0045485D" w:rsidRPr="00735311" w:rsidRDefault="0045485D"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548</w:t>
            </w:r>
          </w:p>
        </w:tc>
        <w:tc>
          <w:tcPr>
            <w:tcW w:w="1332" w:type="dxa"/>
            <w:noWrap/>
            <w:hideMark/>
          </w:tcPr>
          <w:p w:rsidR="0045485D" w:rsidRPr="00735311" w:rsidRDefault="00112B19"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548</w:t>
            </w:r>
          </w:p>
        </w:tc>
        <w:tc>
          <w:tcPr>
            <w:tcW w:w="1333" w:type="dxa"/>
            <w:noWrap/>
            <w:hideMark/>
          </w:tcPr>
          <w:p w:rsidR="0045485D" w:rsidRPr="00735311" w:rsidRDefault="0045485D"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r>
      <w:tr w:rsidR="003C5B61" w:rsidRPr="0060652A" w:rsidTr="00A52886">
        <w:trPr>
          <w:cnfStyle w:val="000000100000"/>
          <w:trHeight w:val="300"/>
        </w:trPr>
        <w:tc>
          <w:tcPr>
            <w:cnfStyle w:val="001000000000"/>
            <w:tcW w:w="2992" w:type="dxa"/>
            <w:noWrap/>
            <w:hideMark/>
          </w:tcPr>
          <w:p w:rsidR="003C5B61" w:rsidRPr="0060652A" w:rsidRDefault="003C5B61"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Спиди груп</w:t>
            </w:r>
            <w:r w:rsidR="0045485D" w:rsidRPr="0060652A">
              <w:rPr>
                <w:rFonts w:asciiTheme="minorHAnsi" w:hAnsiTheme="minorHAnsi" w:cstheme="minorHAnsi"/>
                <w:bCs w:val="0"/>
                <w:sz w:val="22"/>
                <w:szCs w:val="22"/>
                <w:lang w:eastAsia="bg-BG"/>
              </w:rPr>
              <w:t xml:space="preserve"> АД</w:t>
            </w:r>
          </w:p>
        </w:tc>
        <w:tc>
          <w:tcPr>
            <w:tcW w:w="1332" w:type="dxa"/>
            <w:noWrap/>
            <w:hideMark/>
          </w:tcPr>
          <w:p w:rsidR="003C5B61" w:rsidRPr="00735311" w:rsidRDefault="003C5B61"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c>
          <w:tcPr>
            <w:tcW w:w="1332" w:type="dxa"/>
            <w:noWrap/>
            <w:hideMark/>
          </w:tcPr>
          <w:p w:rsidR="003C5B61" w:rsidRPr="00735311" w:rsidRDefault="003C5B61"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c>
          <w:tcPr>
            <w:tcW w:w="1333" w:type="dxa"/>
            <w:noWrap/>
            <w:hideMark/>
          </w:tcPr>
          <w:p w:rsidR="003C5B61" w:rsidRPr="00735311" w:rsidRDefault="003C5B61"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50</w:t>
            </w:r>
          </w:p>
        </w:tc>
        <w:tc>
          <w:tcPr>
            <w:tcW w:w="1332" w:type="dxa"/>
            <w:noWrap/>
            <w:hideMark/>
          </w:tcPr>
          <w:p w:rsidR="003C5B61" w:rsidRPr="00735311" w:rsidRDefault="003C5B61"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50</w:t>
            </w:r>
          </w:p>
        </w:tc>
        <w:tc>
          <w:tcPr>
            <w:tcW w:w="1333" w:type="dxa"/>
            <w:noWrap/>
            <w:hideMark/>
          </w:tcPr>
          <w:p w:rsidR="003C5B61" w:rsidRPr="00735311" w:rsidRDefault="003C5B61"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r>
      <w:tr w:rsidR="003C5B61" w:rsidRPr="0060652A" w:rsidTr="00A52886">
        <w:trPr>
          <w:trHeight w:val="300"/>
        </w:trPr>
        <w:tc>
          <w:tcPr>
            <w:cnfStyle w:val="001000000000"/>
            <w:tcW w:w="2992" w:type="dxa"/>
            <w:noWrap/>
            <w:hideMark/>
          </w:tcPr>
          <w:p w:rsidR="003C5B61" w:rsidRPr="0060652A" w:rsidRDefault="003C5B61"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 xml:space="preserve">Трансбалкан груп ООД             </w:t>
            </w:r>
          </w:p>
        </w:tc>
        <w:tc>
          <w:tcPr>
            <w:tcW w:w="1332" w:type="dxa"/>
            <w:noWrap/>
            <w:hideMark/>
          </w:tcPr>
          <w:p w:rsidR="003C5B61" w:rsidRPr="00735311" w:rsidRDefault="003C5B61"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c>
          <w:tcPr>
            <w:tcW w:w="1332" w:type="dxa"/>
            <w:noWrap/>
            <w:hideMark/>
          </w:tcPr>
          <w:p w:rsidR="003C5B61" w:rsidRPr="00735311" w:rsidRDefault="003C5B61"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c>
          <w:tcPr>
            <w:tcW w:w="1333" w:type="dxa"/>
            <w:noWrap/>
            <w:hideMark/>
          </w:tcPr>
          <w:p w:rsidR="003C5B61" w:rsidRPr="00735311" w:rsidRDefault="003C5B61"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c>
          <w:tcPr>
            <w:tcW w:w="1332" w:type="dxa"/>
            <w:noWrap/>
            <w:hideMark/>
          </w:tcPr>
          <w:p w:rsidR="003C5B61" w:rsidRPr="00735311" w:rsidRDefault="00112B19" w:rsidP="003D3056">
            <w:pPr>
              <w:spacing w:before="20" w:afterLines="2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2</w:t>
            </w:r>
            <w:r w:rsidR="003C5B61" w:rsidRPr="00735311">
              <w:rPr>
                <w:rFonts w:asciiTheme="minorHAnsi" w:hAnsiTheme="minorHAnsi" w:cstheme="minorHAnsi"/>
                <w:sz w:val="22"/>
                <w:szCs w:val="22"/>
                <w:lang w:eastAsia="bg-BG"/>
              </w:rPr>
              <w:t>47</w:t>
            </w:r>
          </w:p>
        </w:tc>
        <w:tc>
          <w:tcPr>
            <w:tcW w:w="1333" w:type="dxa"/>
            <w:noWrap/>
            <w:hideMark/>
          </w:tcPr>
          <w:p w:rsidR="003C5B61" w:rsidRPr="00735311" w:rsidRDefault="003C5B61"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 </w:t>
            </w:r>
          </w:p>
        </w:tc>
      </w:tr>
      <w:tr w:rsidR="009F39F5" w:rsidRPr="0060652A" w:rsidTr="002C59C1">
        <w:trPr>
          <w:cnfStyle w:val="010000000000"/>
          <w:trHeight w:val="300"/>
        </w:trPr>
        <w:tc>
          <w:tcPr>
            <w:cnfStyle w:val="001000000000"/>
            <w:tcW w:w="2992" w:type="dxa"/>
            <w:noWrap/>
            <w:hideMark/>
          </w:tcPr>
          <w:p w:rsidR="009F39F5" w:rsidRPr="0060652A" w:rsidRDefault="009F39F5"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 ОБЩО ЗАЕМИ И ГАРАНЦИИ</w:t>
            </w:r>
          </w:p>
        </w:tc>
        <w:tc>
          <w:tcPr>
            <w:tcW w:w="1332" w:type="dxa"/>
            <w:noWrap/>
            <w:vAlign w:val="bottom"/>
            <w:hideMark/>
          </w:tcPr>
          <w:p w:rsidR="009F39F5" w:rsidRPr="009F39F5" w:rsidRDefault="009F39F5">
            <w:pPr>
              <w:jc w:val="right"/>
              <w:cnfStyle w:val="010000000000"/>
              <w:rPr>
                <w:b/>
                <w:color w:val="000000"/>
                <w:sz w:val="22"/>
                <w:szCs w:val="22"/>
              </w:rPr>
            </w:pPr>
            <w:r w:rsidRPr="009F39F5">
              <w:rPr>
                <w:b/>
                <w:color w:val="000000"/>
                <w:sz w:val="22"/>
                <w:szCs w:val="22"/>
              </w:rPr>
              <w:t>3 058</w:t>
            </w:r>
          </w:p>
        </w:tc>
        <w:tc>
          <w:tcPr>
            <w:tcW w:w="1332" w:type="dxa"/>
            <w:noWrap/>
            <w:vAlign w:val="bottom"/>
            <w:hideMark/>
          </w:tcPr>
          <w:p w:rsidR="009F39F5" w:rsidRPr="009F39F5" w:rsidRDefault="009F39F5">
            <w:pPr>
              <w:jc w:val="right"/>
              <w:cnfStyle w:val="010000000000"/>
              <w:rPr>
                <w:b/>
                <w:color w:val="000000"/>
                <w:sz w:val="22"/>
                <w:szCs w:val="22"/>
              </w:rPr>
            </w:pPr>
            <w:r w:rsidRPr="009F39F5">
              <w:rPr>
                <w:b/>
                <w:color w:val="000000"/>
                <w:sz w:val="22"/>
                <w:szCs w:val="22"/>
              </w:rPr>
              <w:t>3 650</w:t>
            </w:r>
          </w:p>
        </w:tc>
        <w:tc>
          <w:tcPr>
            <w:tcW w:w="1333" w:type="dxa"/>
            <w:noWrap/>
            <w:vAlign w:val="bottom"/>
            <w:hideMark/>
          </w:tcPr>
          <w:p w:rsidR="009F39F5" w:rsidRPr="009F39F5" w:rsidRDefault="009F39F5">
            <w:pPr>
              <w:jc w:val="right"/>
              <w:cnfStyle w:val="010000000000"/>
              <w:rPr>
                <w:b/>
                <w:color w:val="000000"/>
                <w:sz w:val="22"/>
                <w:szCs w:val="22"/>
              </w:rPr>
            </w:pPr>
            <w:r w:rsidRPr="009F39F5">
              <w:rPr>
                <w:b/>
                <w:color w:val="000000"/>
                <w:sz w:val="22"/>
                <w:szCs w:val="22"/>
              </w:rPr>
              <w:t>4 394</w:t>
            </w:r>
          </w:p>
        </w:tc>
        <w:tc>
          <w:tcPr>
            <w:tcW w:w="1332" w:type="dxa"/>
            <w:noWrap/>
            <w:vAlign w:val="bottom"/>
            <w:hideMark/>
          </w:tcPr>
          <w:p w:rsidR="009F39F5" w:rsidRPr="009F39F5" w:rsidRDefault="009F39F5">
            <w:pPr>
              <w:jc w:val="right"/>
              <w:cnfStyle w:val="010000000000"/>
              <w:rPr>
                <w:b/>
                <w:color w:val="000000"/>
                <w:sz w:val="22"/>
                <w:szCs w:val="22"/>
              </w:rPr>
            </w:pPr>
            <w:r w:rsidRPr="009F39F5">
              <w:rPr>
                <w:b/>
                <w:color w:val="000000"/>
                <w:sz w:val="22"/>
                <w:szCs w:val="22"/>
              </w:rPr>
              <w:t>5 137</w:t>
            </w:r>
          </w:p>
        </w:tc>
        <w:tc>
          <w:tcPr>
            <w:tcW w:w="1333" w:type="dxa"/>
            <w:noWrap/>
            <w:hideMark/>
          </w:tcPr>
          <w:p w:rsidR="009F39F5" w:rsidRPr="00735311" w:rsidRDefault="009F39F5" w:rsidP="003C5B61">
            <w:pPr>
              <w:autoSpaceDE/>
              <w:autoSpaceDN/>
              <w:adjustRightInd/>
              <w:spacing w:after="0"/>
              <w:jc w:val="right"/>
              <w:cnfStyle w:val="010000000000"/>
              <w:rPr>
                <w:rFonts w:asciiTheme="minorHAnsi" w:hAnsiTheme="minorHAnsi" w:cstheme="minorHAnsi"/>
                <w:b/>
                <w:bCs/>
                <w:sz w:val="22"/>
                <w:szCs w:val="22"/>
                <w:lang w:eastAsia="bg-BG"/>
              </w:rPr>
            </w:pPr>
            <w:r w:rsidRPr="00735311">
              <w:rPr>
                <w:rFonts w:asciiTheme="minorHAnsi" w:hAnsiTheme="minorHAnsi" w:cstheme="minorHAnsi"/>
                <w:b/>
                <w:bCs/>
                <w:sz w:val="22"/>
                <w:szCs w:val="22"/>
                <w:lang w:eastAsia="bg-BG"/>
              </w:rPr>
              <w:t>4 539</w:t>
            </w:r>
          </w:p>
        </w:tc>
      </w:tr>
    </w:tbl>
    <w:p w:rsidR="00D62189" w:rsidRDefault="00D62189" w:rsidP="00942CE6"/>
    <w:p w:rsidR="00E0297D" w:rsidRDefault="00E0297D" w:rsidP="00E0297D">
      <w:r>
        <w:t xml:space="preserve">Предоставените от </w:t>
      </w:r>
      <w:r w:rsidRPr="00E0297D">
        <w:t>„СПИДИ” ЕАД</w:t>
      </w:r>
      <w:r>
        <w:t xml:space="preserve"> заеми на свър</w:t>
      </w:r>
      <w:r w:rsidR="002B26FE">
        <w:t>з</w:t>
      </w:r>
      <w:r>
        <w:t>аани лице са с лихва от 10% годишно.</w:t>
      </w:r>
      <w:r w:rsidR="009E4F95">
        <w:t xml:space="preserve"> „СПИДИ” ЕАД е солидарен длъжник по заеми на свързани лица за обща стойност 4,539 млн. лв. С изключение на „Винарско имение Драгомир” ООД, „Спиди” ЕООД е солидарен длъжник по същите заеми на свързани лица. „СПИДИ” ЕАД е солидарен длъжник по 100 хил. лв. овърдрафт на „Спиди” ЕООД, а „Спиди” ЕООД е солидарен длъжник по овърдрафт за 200 хил. лв. на „СПИДИ” ЕАД.</w:t>
      </w:r>
    </w:p>
    <w:p w:rsidR="00AA3B76" w:rsidRDefault="00AA3B76" w:rsidP="00E0297D">
      <w:r>
        <w:t>Към датата на проспекта всички заеми към свързани лица се обслужват редовно, няма просрочия и начислени неустойки. Във всички договори е предвидена неустойка от 0,5% наказателна лихва за всеки ден просрочие.</w:t>
      </w:r>
    </w:p>
    <w:p w:rsidR="00AA3B76" w:rsidRDefault="00AA3B76" w:rsidP="00E0297D">
      <w:r>
        <w:t>Предоставените заеми са необезпечени.</w:t>
      </w:r>
    </w:p>
    <w:p w:rsidR="008E73A5" w:rsidRDefault="008E73A5" w:rsidP="00E0297D"/>
    <w:p w:rsidR="008E73A5" w:rsidRDefault="008E73A5" w:rsidP="00E0297D"/>
    <w:p w:rsidR="008E73A5" w:rsidRDefault="008E73A5" w:rsidP="00E0297D"/>
    <w:tbl>
      <w:tblPr>
        <w:tblStyle w:val="MediumShading2-Accent11"/>
        <w:tblW w:w="9781" w:type="dxa"/>
        <w:tblInd w:w="108" w:type="dxa"/>
        <w:tblLayout w:type="fixed"/>
        <w:tblLook w:val="04E0"/>
      </w:tblPr>
      <w:tblGrid>
        <w:gridCol w:w="2977"/>
        <w:gridCol w:w="1276"/>
        <w:gridCol w:w="1630"/>
        <w:gridCol w:w="1630"/>
        <w:gridCol w:w="2268"/>
      </w:tblGrid>
      <w:tr w:rsidR="008E73A5" w:rsidRPr="007631C5" w:rsidTr="008E73A5">
        <w:trPr>
          <w:cnfStyle w:val="100000000000"/>
          <w:trHeight w:val="300"/>
        </w:trPr>
        <w:tc>
          <w:tcPr>
            <w:cnfStyle w:val="001000000100"/>
            <w:tcW w:w="2977" w:type="dxa"/>
            <w:noWrap/>
            <w:vAlign w:val="center"/>
            <w:hideMark/>
          </w:tcPr>
          <w:p w:rsidR="008E73A5" w:rsidRPr="007631C5" w:rsidRDefault="008E73A5" w:rsidP="003D3056">
            <w:pPr>
              <w:autoSpaceDE/>
              <w:autoSpaceDN/>
              <w:adjustRightInd/>
              <w:spacing w:before="20" w:afterLines="20"/>
              <w:jc w:val="center"/>
              <w:rPr>
                <w:rFonts w:asciiTheme="minorHAnsi" w:hAnsiTheme="minorHAnsi" w:cstheme="minorHAnsi"/>
                <w:bCs w:val="0"/>
                <w:sz w:val="22"/>
                <w:szCs w:val="22"/>
                <w:lang w:eastAsia="bg-BG"/>
              </w:rPr>
            </w:pPr>
            <w:r w:rsidRPr="007631C5">
              <w:rPr>
                <w:rFonts w:asciiTheme="minorHAnsi" w:hAnsiTheme="minorHAnsi" w:cstheme="minorHAnsi"/>
                <w:bCs w:val="0"/>
                <w:sz w:val="22"/>
                <w:szCs w:val="22"/>
                <w:lang w:eastAsia="bg-BG"/>
              </w:rPr>
              <w:t>Наименование, в хил. лв.</w:t>
            </w:r>
          </w:p>
        </w:tc>
        <w:tc>
          <w:tcPr>
            <w:tcW w:w="1276" w:type="dxa"/>
            <w:vAlign w:val="center"/>
          </w:tcPr>
          <w:p w:rsidR="008E73A5" w:rsidRPr="0067709A" w:rsidRDefault="008E73A5" w:rsidP="003D3056">
            <w:pPr>
              <w:autoSpaceDE/>
              <w:autoSpaceDN/>
              <w:adjustRightInd/>
              <w:spacing w:before="20" w:afterLines="20"/>
              <w:ind w:right="-108"/>
              <w:jc w:val="center"/>
              <w:cnfStyle w:val="100000000000"/>
              <w:rPr>
                <w:rFonts w:asciiTheme="minorHAnsi" w:hAnsiTheme="minorHAnsi" w:cstheme="minorHAnsi"/>
                <w:bCs w:val="0"/>
                <w:sz w:val="22"/>
                <w:szCs w:val="22"/>
                <w:lang w:eastAsia="bg-BG"/>
              </w:rPr>
            </w:pPr>
            <w:r w:rsidRPr="0067709A">
              <w:rPr>
                <w:rFonts w:asciiTheme="minorHAnsi" w:hAnsiTheme="minorHAnsi" w:cstheme="minorHAnsi"/>
                <w:bCs w:val="0"/>
                <w:sz w:val="22"/>
                <w:szCs w:val="22"/>
                <w:lang w:eastAsia="bg-BG"/>
              </w:rPr>
              <w:t>Размер</w:t>
            </w:r>
          </w:p>
        </w:tc>
        <w:tc>
          <w:tcPr>
            <w:tcW w:w="1630" w:type="dxa"/>
            <w:noWrap/>
            <w:vAlign w:val="center"/>
            <w:hideMark/>
          </w:tcPr>
          <w:p w:rsidR="008E73A5" w:rsidRPr="0067709A" w:rsidRDefault="008E73A5" w:rsidP="003D3056">
            <w:pPr>
              <w:autoSpaceDE/>
              <w:autoSpaceDN/>
              <w:adjustRightInd/>
              <w:spacing w:before="20" w:afterLines="20"/>
              <w:ind w:left="-108" w:right="-108"/>
              <w:jc w:val="center"/>
              <w:cnfStyle w:val="100000000000"/>
              <w:rPr>
                <w:rFonts w:asciiTheme="minorHAnsi" w:hAnsiTheme="minorHAnsi" w:cstheme="minorHAnsi"/>
                <w:bCs w:val="0"/>
                <w:sz w:val="22"/>
                <w:szCs w:val="22"/>
                <w:lang w:eastAsia="bg-BG"/>
              </w:rPr>
            </w:pPr>
            <w:r w:rsidRPr="0067709A">
              <w:rPr>
                <w:rFonts w:asciiTheme="minorHAnsi" w:hAnsiTheme="minorHAnsi" w:cstheme="minorHAnsi"/>
                <w:bCs w:val="0"/>
                <w:sz w:val="22"/>
                <w:szCs w:val="22"/>
                <w:lang w:eastAsia="bg-BG"/>
              </w:rPr>
              <w:t>Сключен</w:t>
            </w:r>
            <w:r>
              <w:rPr>
                <w:rFonts w:asciiTheme="minorHAnsi" w:hAnsiTheme="minorHAnsi" w:cstheme="minorHAnsi"/>
                <w:bCs w:val="0"/>
                <w:sz w:val="22"/>
                <w:szCs w:val="22"/>
                <w:lang w:eastAsia="bg-BG"/>
              </w:rPr>
              <w:t xml:space="preserve"> на</w:t>
            </w:r>
          </w:p>
        </w:tc>
        <w:tc>
          <w:tcPr>
            <w:tcW w:w="1630" w:type="dxa"/>
            <w:noWrap/>
            <w:vAlign w:val="center"/>
            <w:hideMark/>
          </w:tcPr>
          <w:p w:rsidR="008E73A5" w:rsidRPr="0067709A" w:rsidRDefault="008E73A5" w:rsidP="003D3056">
            <w:pPr>
              <w:autoSpaceDE/>
              <w:autoSpaceDN/>
              <w:adjustRightInd/>
              <w:spacing w:before="20" w:afterLines="20"/>
              <w:ind w:left="-108" w:right="-108"/>
              <w:jc w:val="center"/>
              <w:cnfStyle w:val="100000000000"/>
              <w:rPr>
                <w:rFonts w:asciiTheme="minorHAnsi" w:hAnsiTheme="minorHAnsi" w:cstheme="minorHAnsi"/>
                <w:bCs w:val="0"/>
                <w:sz w:val="22"/>
                <w:szCs w:val="22"/>
                <w:lang w:eastAsia="bg-BG"/>
              </w:rPr>
            </w:pPr>
            <w:r w:rsidRPr="0067709A">
              <w:rPr>
                <w:rFonts w:asciiTheme="minorHAnsi" w:hAnsiTheme="minorHAnsi" w:cstheme="minorHAnsi"/>
                <w:bCs w:val="0"/>
                <w:sz w:val="22"/>
                <w:szCs w:val="22"/>
                <w:lang w:eastAsia="bg-BG"/>
              </w:rPr>
              <w:t>Падеж</w:t>
            </w:r>
          </w:p>
        </w:tc>
        <w:tc>
          <w:tcPr>
            <w:tcW w:w="2268" w:type="dxa"/>
            <w:noWrap/>
            <w:vAlign w:val="center"/>
            <w:hideMark/>
          </w:tcPr>
          <w:p w:rsidR="008E73A5" w:rsidRPr="0067709A" w:rsidRDefault="008E73A5" w:rsidP="003D3056">
            <w:pPr>
              <w:autoSpaceDE/>
              <w:autoSpaceDN/>
              <w:adjustRightInd/>
              <w:spacing w:before="20" w:afterLines="20"/>
              <w:jc w:val="center"/>
              <w:cnfStyle w:val="100000000000"/>
              <w:rPr>
                <w:rFonts w:asciiTheme="minorHAnsi" w:hAnsiTheme="minorHAnsi" w:cstheme="minorHAnsi"/>
                <w:bCs w:val="0"/>
                <w:sz w:val="22"/>
                <w:szCs w:val="22"/>
                <w:lang w:eastAsia="bg-BG"/>
              </w:rPr>
            </w:pPr>
            <w:r>
              <w:rPr>
                <w:rFonts w:asciiTheme="minorHAnsi" w:hAnsiTheme="minorHAnsi" w:cstheme="minorHAnsi"/>
                <w:bCs w:val="0"/>
                <w:sz w:val="22"/>
                <w:szCs w:val="22"/>
                <w:lang w:eastAsia="bg-BG"/>
              </w:rPr>
              <w:t>Предназначение</w:t>
            </w:r>
          </w:p>
        </w:tc>
      </w:tr>
      <w:tr w:rsidR="008E73A5" w:rsidRPr="0060652A" w:rsidTr="008E73A5">
        <w:trPr>
          <w:cnfStyle w:val="000000100000"/>
          <w:trHeight w:val="300"/>
        </w:trPr>
        <w:tc>
          <w:tcPr>
            <w:cnfStyle w:val="001000000000"/>
            <w:tcW w:w="2977" w:type="dxa"/>
            <w:noWrap/>
            <w:hideMark/>
          </w:tcPr>
          <w:p w:rsidR="008E73A5" w:rsidRPr="0060652A" w:rsidRDefault="008E73A5"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Булром Газ 2006 ЕООД</w:t>
            </w:r>
          </w:p>
        </w:tc>
        <w:tc>
          <w:tcPr>
            <w:tcW w:w="1276" w:type="dxa"/>
          </w:tcPr>
          <w:p w:rsidR="008E73A5" w:rsidRPr="00735311" w:rsidRDefault="008E73A5"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3 252</w:t>
            </w:r>
          </w:p>
        </w:tc>
        <w:tc>
          <w:tcPr>
            <w:tcW w:w="1630" w:type="dxa"/>
            <w:noWrap/>
            <w:hideMark/>
          </w:tcPr>
          <w:p w:rsidR="008E73A5" w:rsidRPr="00735311" w:rsidRDefault="008E73A5" w:rsidP="003D3056">
            <w:pPr>
              <w:spacing w:before="20" w:afterLines="20"/>
              <w:ind w:left="-108" w:right="-108"/>
              <w:jc w:val="center"/>
              <w:cnfStyle w:val="000000100000"/>
              <w:rPr>
                <w:rFonts w:asciiTheme="minorHAnsi" w:hAnsiTheme="minorHAnsi" w:cstheme="minorHAnsi"/>
                <w:sz w:val="22"/>
                <w:szCs w:val="22"/>
                <w:lang w:eastAsia="bg-BG"/>
              </w:rPr>
            </w:pPr>
            <w:r w:rsidRPr="00F60ED5">
              <w:rPr>
                <w:rFonts w:asciiTheme="minorHAnsi" w:hAnsiTheme="minorHAnsi" w:cstheme="minorHAnsi"/>
                <w:sz w:val="22"/>
                <w:szCs w:val="22"/>
                <w:lang w:eastAsia="bg-BG"/>
              </w:rPr>
              <w:t>29.12.2006</w:t>
            </w:r>
          </w:p>
        </w:tc>
        <w:tc>
          <w:tcPr>
            <w:tcW w:w="1630" w:type="dxa"/>
            <w:noWrap/>
            <w:hideMark/>
          </w:tcPr>
          <w:p w:rsidR="008E73A5" w:rsidRPr="00735311" w:rsidRDefault="008E73A5" w:rsidP="003D3056">
            <w:pPr>
              <w:spacing w:before="20" w:afterLines="20"/>
              <w:ind w:left="-108" w:right="-108"/>
              <w:jc w:val="center"/>
              <w:cnfStyle w:val="000000100000"/>
              <w:rPr>
                <w:rFonts w:asciiTheme="minorHAnsi" w:hAnsiTheme="minorHAnsi" w:cstheme="minorHAnsi"/>
                <w:sz w:val="22"/>
                <w:szCs w:val="22"/>
                <w:lang w:eastAsia="bg-BG"/>
              </w:rPr>
            </w:pPr>
            <w:r w:rsidRPr="00EE70FC">
              <w:rPr>
                <w:rFonts w:asciiTheme="minorHAnsi" w:hAnsiTheme="minorHAnsi" w:cstheme="minorHAnsi"/>
                <w:sz w:val="22"/>
                <w:szCs w:val="22"/>
                <w:lang w:eastAsia="bg-BG"/>
              </w:rPr>
              <w:t>31.12.2017</w:t>
            </w:r>
          </w:p>
        </w:tc>
        <w:tc>
          <w:tcPr>
            <w:tcW w:w="2268" w:type="dxa"/>
            <w:noWrap/>
            <w:hideMark/>
          </w:tcPr>
          <w:p w:rsidR="008E73A5" w:rsidRPr="00735311" w:rsidRDefault="008E73A5" w:rsidP="003D3056">
            <w:pPr>
              <w:spacing w:before="20" w:afterLines="2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Инвестиционен</w:t>
            </w:r>
          </w:p>
        </w:tc>
      </w:tr>
      <w:tr w:rsidR="008E73A5" w:rsidRPr="0060652A" w:rsidTr="008E73A5">
        <w:trPr>
          <w:trHeight w:val="300"/>
        </w:trPr>
        <w:tc>
          <w:tcPr>
            <w:cnfStyle w:val="001000000000"/>
            <w:tcW w:w="2977" w:type="dxa"/>
            <w:noWrap/>
            <w:hideMark/>
          </w:tcPr>
          <w:p w:rsidR="008E73A5" w:rsidRPr="0060652A" w:rsidRDefault="008E73A5"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Омникар Ауто ООД</w:t>
            </w:r>
          </w:p>
        </w:tc>
        <w:tc>
          <w:tcPr>
            <w:tcW w:w="1276" w:type="dxa"/>
          </w:tcPr>
          <w:p w:rsidR="008E73A5" w:rsidRPr="00735311" w:rsidRDefault="008E73A5"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2</w:t>
            </w:r>
          </w:p>
        </w:tc>
        <w:tc>
          <w:tcPr>
            <w:tcW w:w="1630" w:type="dxa"/>
            <w:noWrap/>
            <w:hideMark/>
          </w:tcPr>
          <w:p w:rsidR="008E73A5" w:rsidRPr="00735311" w:rsidRDefault="008E73A5" w:rsidP="003D3056">
            <w:pPr>
              <w:spacing w:before="20" w:afterLines="20"/>
              <w:ind w:left="-108" w:right="-108"/>
              <w:jc w:val="center"/>
              <w:cnfStyle w:val="000000000000"/>
              <w:rPr>
                <w:rFonts w:asciiTheme="minorHAnsi" w:hAnsiTheme="minorHAnsi" w:cstheme="minorHAnsi"/>
                <w:sz w:val="22"/>
                <w:szCs w:val="22"/>
                <w:lang w:eastAsia="bg-BG"/>
              </w:rPr>
            </w:pPr>
            <w:r w:rsidRPr="00F60ED5">
              <w:rPr>
                <w:rFonts w:asciiTheme="minorHAnsi" w:hAnsiTheme="minorHAnsi" w:cstheme="minorHAnsi"/>
                <w:sz w:val="22"/>
                <w:szCs w:val="22"/>
                <w:lang w:eastAsia="bg-BG"/>
              </w:rPr>
              <w:t>01.07.2011</w:t>
            </w:r>
          </w:p>
        </w:tc>
        <w:tc>
          <w:tcPr>
            <w:tcW w:w="1630" w:type="dxa"/>
            <w:noWrap/>
            <w:hideMark/>
          </w:tcPr>
          <w:p w:rsidR="008E73A5" w:rsidRPr="00735311" w:rsidRDefault="008E73A5" w:rsidP="003D3056">
            <w:pPr>
              <w:spacing w:before="20" w:afterLines="20"/>
              <w:ind w:left="-108" w:right="-108"/>
              <w:jc w:val="center"/>
              <w:cnfStyle w:val="000000000000"/>
              <w:rPr>
                <w:rFonts w:asciiTheme="minorHAnsi" w:hAnsiTheme="minorHAnsi" w:cstheme="minorHAnsi"/>
                <w:sz w:val="22"/>
                <w:szCs w:val="22"/>
                <w:lang w:eastAsia="bg-BG"/>
              </w:rPr>
            </w:pPr>
            <w:r w:rsidRPr="00EE70FC">
              <w:rPr>
                <w:rFonts w:asciiTheme="minorHAnsi" w:hAnsiTheme="minorHAnsi" w:cstheme="minorHAnsi"/>
                <w:sz w:val="22"/>
                <w:szCs w:val="22"/>
                <w:lang w:eastAsia="bg-BG"/>
              </w:rPr>
              <w:t>30.09.2012</w:t>
            </w:r>
          </w:p>
        </w:tc>
        <w:tc>
          <w:tcPr>
            <w:tcW w:w="2268" w:type="dxa"/>
            <w:noWrap/>
            <w:hideMark/>
          </w:tcPr>
          <w:p w:rsidR="008E73A5" w:rsidRPr="00735311" w:rsidRDefault="008E73A5" w:rsidP="003D3056">
            <w:pPr>
              <w:spacing w:before="20" w:afterLines="2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Оборотен</w:t>
            </w:r>
          </w:p>
        </w:tc>
      </w:tr>
      <w:tr w:rsidR="008E73A5" w:rsidRPr="0060652A" w:rsidTr="008E73A5">
        <w:trPr>
          <w:cnfStyle w:val="000000100000"/>
          <w:trHeight w:val="300"/>
        </w:trPr>
        <w:tc>
          <w:tcPr>
            <w:cnfStyle w:val="001000000000"/>
            <w:tcW w:w="2977" w:type="dxa"/>
            <w:noWrap/>
            <w:hideMark/>
          </w:tcPr>
          <w:p w:rsidR="008E73A5" w:rsidRPr="0060652A" w:rsidRDefault="008E73A5" w:rsidP="003D3056">
            <w:pPr>
              <w:spacing w:before="20" w:afterLines="20"/>
              <w:jc w:val="left"/>
              <w:rPr>
                <w:rFonts w:asciiTheme="minorHAnsi" w:hAnsiTheme="minorHAnsi" w:cstheme="minorHAnsi"/>
                <w:bCs w:val="0"/>
                <w:sz w:val="22"/>
                <w:szCs w:val="22"/>
                <w:lang w:eastAsia="bg-BG"/>
              </w:rPr>
            </w:pPr>
            <w:r>
              <w:rPr>
                <w:rFonts w:asciiTheme="minorHAnsi" w:hAnsiTheme="minorHAnsi" w:cstheme="minorHAnsi"/>
                <w:bCs w:val="0"/>
                <w:sz w:val="22"/>
                <w:szCs w:val="22"/>
                <w:lang w:eastAsia="bg-BG"/>
              </w:rPr>
              <w:t>В.И. Драгомир ООД</w:t>
            </w:r>
          </w:p>
        </w:tc>
        <w:tc>
          <w:tcPr>
            <w:tcW w:w="1276" w:type="dxa"/>
          </w:tcPr>
          <w:p w:rsidR="008E73A5" w:rsidRPr="00735311" w:rsidRDefault="008E73A5"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246</w:t>
            </w:r>
          </w:p>
        </w:tc>
        <w:tc>
          <w:tcPr>
            <w:tcW w:w="1630" w:type="dxa"/>
            <w:noWrap/>
            <w:hideMark/>
          </w:tcPr>
          <w:p w:rsidR="008E73A5" w:rsidRPr="00735311" w:rsidRDefault="008E73A5" w:rsidP="003D3056">
            <w:pPr>
              <w:spacing w:before="20" w:afterLines="20"/>
              <w:ind w:left="-108" w:right="-108"/>
              <w:jc w:val="center"/>
              <w:cnfStyle w:val="000000100000"/>
              <w:rPr>
                <w:rFonts w:asciiTheme="minorHAnsi" w:hAnsiTheme="minorHAnsi" w:cstheme="minorHAnsi"/>
                <w:sz w:val="22"/>
                <w:szCs w:val="22"/>
                <w:lang w:eastAsia="bg-BG"/>
              </w:rPr>
            </w:pPr>
            <w:r w:rsidRPr="00F60ED5">
              <w:rPr>
                <w:rFonts w:asciiTheme="minorHAnsi" w:hAnsiTheme="minorHAnsi" w:cstheme="minorHAnsi"/>
                <w:sz w:val="22"/>
                <w:szCs w:val="22"/>
                <w:lang w:eastAsia="bg-BG"/>
              </w:rPr>
              <w:t>04.06.2008</w:t>
            </w:r>
          </w:p>
        </w:tc>
        <w:tc>
          <w:tcPr>
            <w:tcW w:w="1630" w:type="dxa"/>
            <w:noWrap/>
            <w:hideMark/>
          </w:tcPr>
          <w:p w:rsidR="008E73A5" w:rsidRPr="00735311" w:rsidRDefault="008E73A5" w:rsidP="003D3056">
            <w:pPr>
              <w:spacing w:before="20" w:afterLines="20"/>
              <w:ind w:left="-108" w:right="-108"/>
              <w:jc w:val="center"/>
              <w:cnfStyle w:val="000000100000"/>
              <w:rPr>
                <w:rFonts w:asciiTheme="minorHAnsi" w:hAnsiTheme="minorHAnsi" w:cstheme="minorHAnsi"/>
                <w:sz w:val="22"/>
                <w:szCs w:val="22"/>
                <w:lang w:eastAsia="bg-BG"/>
              </w:rPr>
            </w:pPr>
            <w:r w:rsidRPr="00EE70FC">
              <w:rPr>
                <w:rFonts w:asciiTheme="minorHAnsi" w:hAnsiTheme="minorHAnsi" w:cstheme="minorHAnsi"/>
                <w:sz w:val="22"/>
                <w:szCs w:val="22"/>
                <w:lang w:eastAsia="bg-BG"/>
              </w:rPr>
              <w:t>31.12.2012</w:t>
            </w:r>
          </w:p>
        </w:tc>
        <w:tc>
          <w:tcPr>
            <w:tcW w:w="2268" w:type="dxa"/>
            <w:noWrap/>
            <w:hideMark/>
          </w:tcPr>
          <w:p w:rsidR="008E73A5" w:rsidRPr="00735311" w:rsidRDefault="008E73A5" w:rsidP="003D3056">
            <w:pPr>
              <w:spacing w:before="20" w:afterLines="2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Инвестиционен</w:t>
            </w:r>
          </w:p>
        </w:tc>
      </w:tr>
      <w:tr w:rsidR="008E73A5" w:rsidRPr="0060652A" w:rsidTr="008E73A5">
        <w:trPr>
          <w:trHeight w:val="300"/>
        </w:trPr>
        <w:tc>
          <w:tcPr>
            <w:cnfStyle w:val="001000000000"/>
            <w:tcW w:w="2977" w:type="dxa"/>
            <w:noWrap/>
            <w:hideMark/>
          </w:tcPr>
          <w:p w:rsidR="008E73A5" w:rsidRPr="0060652A" w:rsidRDefault="008E73A5"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Омникар – С ЕООД</w:t>
            </w:r>
          </w:p>
        </w:tc>
        <w:tc>
          <w:tcPr>
            <w:tcW w:w="1276" w:type="dxa"/>
          </w:tcPr>
          <w:p w:rsidR="008E73A5" w:rsidRPr="00735311" w:rsidRDefault="008E73A5"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3</w:t>
            </w:r>
            <w:r>
              <w:rPr>
                <w:rFonts w:asciiTheme="minorHAnsi" w:hAnsiTheme="minorHAnsi" w:cstheme="minorHAnsi"/>
                <w:sz w:val="22"/>
                <w:szCs w:val="22"/>
                <w:lang w:eastAsia="bg-BG"/>
              </w:rPr>
              <w:t>51</w:t>
            </w:r>
          </w:p>
        </w:tc>
        <w:tc>
          <w:tcPr>
            <w:tcW w:w="1630" w:type="dxa"/>
            <w:noWrap/>
            <w:hideMark/>
          </w:tcPr>
          <w:p w:rsidR="008E73A5" w:rsidRPr="00735311" w:rsidRDefault="008E73A5" w:rsidP="003D3056">
            <w:pPr>
              <w:spacing w:before="20" w:afterLines="20"/>
              <w:ind w:left="-108" w:right="-108"/>
              <w:jc w:val="center"/>
              <w:cnfStyle w:val="000000000000"/>
              <w:rPr>
                <w:rFonts w:asciiTheme="minorHAnsi" w:hAnsiTheme="minorHAnsi" w:cstheme="minorHAnsi"/>
                <w:sz w:val="22"/>
                <w:szCs w:val="22"/>
                <w:lang w:eastAsia="bg-BG"/>
              </w:rPr>
            </w:pPr>
            <w:r w:rsidRPr="00F60ED5">
              <w:rPr>
                <w:rFonts w:asciiTheme="minorHAnsi" w:hAnsiTheme="minorHAnsi" w:cstheme="minorHAnsi"/>
                <w:sz w:val="22"/>
                <w:szCs w:val="22"/>
                <w:lang w:eastAsia="bg-BG"/>
              </w:rPr>
              <w:t>04.08.2008</w:t>
            </w:r>
          </w:p>
        </w:tc>
        <w:tc>
          <w:tcPr>
            <w:tcW w:w="1630" w:type="dxa"/>
            <w:noWrap/>
            <w:hideMark/>
          </w:tcPr>
          <w:p w:rsidR="008E73A5" w:rsidRPr="00735311" w:rsidRDefault="008E73A5" w:rsidP="003D3056">
            <w:pPr>
              <w:spacing w:before="20" w:afterLines="20"/>
              <w:ind w:left="-108" w:right="-108"/>
              <w:jc w:val="center"/>
              <w:cnfStyle w:val="000000000000"/>
              <w:rPr>
                <w:rFonts w:asciiTheme="minorHAnsi" w:hAnsiTheme="minorHAnsi" w:cstheme="minorHAnsi"/>
                <w:sz w:val="22"/>
                <w:szCs w:val="22"/>
                <w:lang w:eastAsia="bg-BG"/>
              </w:rPr>
            </w:pPr>
            <w:r w:rsidRPr="00EE70FC">
              <w:rPr>
                <w:rFonts w:asciiTheme="minorHAnsi" w:hAnsiTheme="minorHAnsi" w:cstheme="minorHAnsi"/>
                <w:sz w:val="22"/>
                <w:szCs w:val="22"/>
                <w:lang w:eastAsia="bg-BG"/>
              </w:rPr>
              <w:t>31.12.2012</w:t>
            </w:r>
          </w:p>
        </w:tc>
        <w:tc>
          <w:tcPr>
            <w:tcW w:w="2268" w:type="dxa"/>
            <w:noWrap/>
            <w:hideMark/>
          </w:tcPr>
          <w:p w:rsidR="008E73A5" w:rsidRPr="00EE70FC" w:rsidRDefault="008E73A5" w:rsidP="003D3056">
            <w:pPr>
              <w:spacing w:before="20" w:afterLines="20"/>
              <w:jc w:val="right"/>
              <w:cnfStyle w:val="000000000000"/>
              <w:rPr>
                <w:rFonts w:asciiTheme="minorHAnsi" w:hAnsiTheme="minorHAnsi" w:cstheme="minorHAnsi"/>
                <w:b/>
                <w:sz w:val="22"/>
                <w:szCs w:val="22"/>
                <w:lang w:eastAsia="bg-BG"/>
              </w:rPr>
            </w:pPr>
            <w:r>
              <w:rPr>
                <w:rFonts w:asciiTheme="minorHAnsi" w:hAnsiTheme="minorHAnsi" w:cstheme="minorHAnsi"/>
                <w:sz w:val="22"/>
                <w:szCs w:val="22"/>
                <w:lang w:eastAsia="bg-BG"/>
              </w:rPr>
              <w:t>Инвестиционен</w:t>
            </w:r>
          </w:p>
        </w:tc>
      </w:tr>
      <w:tr w:rsidR="008E73A5" w:rsidRPr="0060652A" w:rsidTr="008E73A5">
        <w:trPr>
          <w:cnfStyle w:val="000000100000"/>
          <w:trHeight w:val="300"/>
        </w:trPr>
        <w:tc>
          <w:tcPr>
            <w:cnfStyle w:val="001000000000"/>
            <w:tcW w:w="2977" w:type="dxa"/>
            <w:noWrap/>
            <w:hideMark/>
          </w:tcPr>
          <w:p w:rsidR="008E73A5" w:rsidRPr="0060652A" w:rsidRDefault="008E73A5"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Омникар - БГ ЕООД</w:t>
            </w:r>
          </w:p>
        </w:tc>
        <w:tc>
          <w:tcPr>
            <w:tcW w:w="1276" w:type="dxa"/>
          </w:tcPr>
          <w:p w:rsidR="008E73A5" w:rsidRPr="00735311" w:rsidRDefault="008E73A5" w:rsidP="003D3056">
            <w:pPr>
              <w:spacing w:before="20" w:afterLines="2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441</w:t>
            </w:r>
          </w:p>
        </w:tc>
        <w:tc>
          <w:tcPr>
            <w:tcW w:w="1630" w:type="dxa"/>
            <w:noWrap/>
            <w:hideMark/>
          </w:tcPr>
          <w:p w:rsidR="008E73A5" w:rsidRPr="00735311" w:rsidRDefault="008E73A5" w:rsidP="003D3056">
            <w:pPr>
              <w:spacing w:before="20" w:afterLines="20"/>
              <w:ind w:left="-108" w:right="-108"/>
              <w:jc w:val="center"/>
              <w:cnfStyle w:val="000000100000"/>
              <w:rPr>
                <w:rFonts w:asciiTheme="minorHAnsi" w:hAnsiTheme="minorHAnsi" w:cstheme="minorHAnsi"/>
                <w:sz w:val="22"/>
                <w:szCs w:val="22"/>
                <w:lang w:eastAsia="bg-BG"/>
              </w:rPr>
            </w:pPr>
            <w:r w:rsidRPr="00F60ED5">
              <w:rPr>
                <w:rFonts w:asciiTheme="minorHAnsi" w:hAnsiTheme="minorHAnsi" w:cstheme="minorHAnsi"/>
                <w:sz w:val="22"/>
                <w:szCs w:val="22"/>
                <w:lang w:eastAsia="bg-BG"/>
              </w:rPr>
              <w:t>16.01.2012</w:t>
            </w:r>
          </w:p>
        </w:tc>
        <w:tc>
          <w:tcPr>
            <w:tcW w:w="1630" w:type="dxa"/>
            <w:noWrap/>
            <w:hideMark/>
          </w:tcPr>
          <w:p w:rsidR="008E73A5" w:rsidRPr="00735311" w:rsidRDefault="008E73A5" w:rsidP="003D3056">
            <w:pPr>
              <w:spacing w:before="20" w:afterLines="20"/>
              <w:ind w:left="-108" w:right="-108"/>
              <w:jc w:val="center"/>
              <w:cnfStyle w:val="000000100000"/>
              <w:rPr>
                <w:rFonts w:asciiTheme="minorHAnsi" w:hAnsiTheme="minorHAnsi" w:cstheme="minorHAnsi"/>
                <w:sz w:val="22"/>
                <w:szCs w:val="22"/>
                <w:lang w:eastAsia="bg-BG"/>
              </w:rPr>
            </w:pPr>
            <w:r w:rsidRPr="00EE70FC">
              <w:rPr>
                <w:rFonts w:asciiTheme="minorHAnsi" w:hAnsiTheme="minorHAnsi" w:cstheme="minorHAnsi"/>
                <w:sz w:val="22"/>
                <w:szCs w:val="22"/>
                <w:lang w:eastAsia="bg-BG"/>
              </w:rPr>
              <w:t>31.12.2013</w:t>
            </w:r>
          </w:p>
        </w:tc>
        <w:tc>
          <w:tcPr>
            <w:tcW w:w="2268" w:type="dxa"/>
            <w:noWrap/>
            <w:hideMark/>
          </w:tcPr>
          <w:p w:rsidR="008E73A5" w:rsidRPr="00735311" w:rsidRDefault="008E73A5" w:rsidP="003D3056">
            <w:pPr>
              <w:spacing w:before="20" w:afterLines="2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Оборотен</w:t>
            </w:r>
          </w:p>
        </w:tc>
      </w:tr>
      <w:tr w:rsidR="008E73A5" w:rsidRPr="0060652A" w:rsidTr="008E73A5">
        <w:trPr>
          <w:trHeight w:val="300"/>
        </w:trPr>
        <w:tc>
          <w:tcPr>
            <w:cnfStyle w:val="001000000000"/>
            <w:tcW w:w="2977" w:type="dxa"/>
            <w:noWrap/>
            <w:hideMark/>
          </w:tcPr>
          <w:p w:rsidR="008E73A5" w:rsidRPr="0060652A" w:rsidRDefault="008E73A5"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 xml:space="preserve">Валери Мектупчиян                     </w:t>
            </w:r>
          </w:p>
        </w:tc>
        <w:tc>
          <w:tcPr>
            <w:tcW w:w="1276" w:type="dxa"/>
          </w:tcPr>
          <w:p w:rsidR="008E73A5" w:rsidRPr="00735311" w:rsidRDefault="008E73A5" w:rsidP="003D3056">
            <w:pPr>
              <w:spacing w:before="20" w:afterLines="20"/>
              <w:jc w:val="right"/>
              <w:cnfStyle w:val="0000000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548</w:t>
            </w:r>
          </w:p>
        </w:tc>
        <w:tc>
          <w:tcPr>
            <w:tcW w:w="1630" w:type="dxa"/>
            <w:noWrap/>
            <w:hideMark/>
          </w:tcPr>
          <w:p w:rsidR="008E73A5" w:rsidRPr="00735311" w:rsidRDefault="008E73A5" w:rsidP="003D3056">
            <w:pPr>
              <w:spacing w:before="20" w:afterLines="20"/>
              <w:ind w:left="-108" w:right="-108"/>
              <w:jc w:val="center"/>
              <w:cnfStyle w:val="000000000000"/>
              <w:rPr>
                <w:rFonts w:asciiTheme="minorHAnsi" w:hAnsiTheme="minorHAnsi" w:cstheme="minorHAnsi"/>
                <w:sz w:val="22"/>
                <w:szCs w:val="22"/>
                <w:lang w:eastAsia="bg-BG"/>
              </w:rPr>
            </w:pPr>
            <w:r w:rsidRPr="00F60ED5">
              <w:rPr>
                <w:rFonts w:asciiTheme="minorHAnsi" w:hAnsiTheme="minorHAnsi" w:cstheme="minorHAnsi"/>
                <w:sz w:val="22"/>
                <w:szCs w:val="22"/>
                <w:lang w:eastAsia="bg-BG"/>
              </w:rPr>
              <w:t>28.07.2009</w:t>
            </w:r>
          </w:p>
        </w:tc>
        <w:tc>
          <w:tcPr>
            <w:tcW w:w="1630" w:type="dxa"/>
            <w:noWrap/>
            <w:hideMark/>
          </w:tcPr>
          <w:p w:rsidR="008E73A5" w:rsidRPr="00735311" w:rsidRDefault="008E73A5" w:rsidP="003D3056">
            <w:pPr>
              <w:spacing w:before="20" w:afterLines="20"/>
              <w:ind w:left="-108" w:right="-108"/>
              <w:jc w:val="center"/>
              <w:cnfStyle w:val="000000000000"/>
              <w:rPr>
                <w:rFonts w:asciiTheme="minorHAnsi" w:hAnsiTheme="minorHAnsi" w:cstheme="minorHAnsi"/>
                <w:sz w:val="22"/>
                <w:szCs w:val="22"/>
                <w:lang w:eastAsia="bg-BG"/>
              </w:rPr>
            </w:pPr>
            <w:r w:rsidRPr="00EE70FC">
              <w:rPr>
                <w:rFonts w:asciiTheme="minorHAnsi" w:hAnsiTheme="minorHAnsi" w:cstheme="minorHAnsi"/>
                <w:sz w:val="22"/>
                <w:szCs w:val="22"/>
                <w:lang w:eastAsia="bg-BG"/>
              </w:rPr>
              <w:t>31.12.2012</w:t>
            </w:r>
          </w:p>
        </w:tc>
        <w:tc>
          <w:tcPr>
            <w:tcW w:w="2268" w:type="dxa"/>
            <w:noWrap/>
            <w:hideMark/>
          </w:tcPr>
          <w:p w:rsidR="008E73A5" w:rsidRPr="00735311" w:rsidRDefault="008E73A5" w:rsidP="003D3056">
            <w:pPr>
              <w:spacing w:before="20" w:afterLines="2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Лични цели</w:t>
            </w:r>
          </w:p>
        </w:tc>
      </w:tr>
      <w:tr w:rsidR="008E73A5" w:rsidRPr="0060652A" w:rsidTr="008E73A5">
        <w:trPr>
          <w:cnfStyle w:val="000000100000"/>
          <w:trHeight w:val="300"/>
        </w:trPr>
        <w:tc>
          <w:tcPr>
            <w:cnfStyle w:val="001000000000"/>
            <w:tcW w:w="2977" w:type="dxa"/>
            <w:noWrap/>
            <w:hideMark/>
          </w:tcPr>
          <w:p w:rsidR="008E73A5" w:rsidRPr="0060652A" w:rsidRDefault="008E73A5"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Спиди груп АД</w:t>
            </w:r>
          </w:p>
        </w:tc>
        <w:tc>
          <w:tcPr>
            <w:tcW w:w="1276" w:type="dxa"/>
          </w:tcPr>
          <w:p w:rsidR="008E73A5" w:rsidRPr="00735311" w:rsidRDefault="008E73A5" w:rsidP="003D3056">
            <w:pPr>
              <w:spacing w:before="20" w:afterLines="20"/>
              <w:jc w:val="right"/>
              <w:cnfStyle w:val="000000100000"/>
              <w:rPr>
                <w:rFonts w:asciiTheme="minorHAnsi" w:hAnsiTheme="minorHAnsi" w:cstheme="minorHAnsi"/>
                <w:sz w:val="22"/>
                <w:szCs w:val="22"/>
                <w:lang w:eastAsia="bg-BG"/>
              </w:rPr>
            </w:pPr>
            <w:r w:rsidRPr="00735311">
              <w:rPr>
                <w:rFonts w:asciiTheme="minorHAnsi" w:hAnsiTheme="minorHAnsi" w:cstheme="minorHAnsi"/>
                <w:sz w:val="22"/>
                <w:szCs w:val="22"/>
                <w:lang w:eastAsia="bg-BG"/>
              </w:rPr>
              <w:t>50</w:t>
            </w:r>
          </w:p>
        </w:tc>
        <w:tc>
          <w:tcPr>
            <w:tcW w:w="1630" w:type="dxa"/>
            <w:noWrap/>
            <w:hideMark/>
          </w:tcPr>
          <w:p w:rsidR="008E73A5" w:rsidRPr="00735311" w:rsidRDefault="008E73A5" w:rsidP="003D3056">
            <w:pPr>
              <w:spacing w:before="20" w:afterLines="20"/>
              <w:ind w:left="-108" w:right="-108"/>
              <w:jc w:val="center"/>
              <w:cnfStyle w:val="000000100000"/>
              <w:rPr>
                <w:rFonts w:asciiTheme="minorHAnsi" w:hAnsiTheme="minorHAnsi" w:cstheme="minorHAnsi"/>
                <w:sz w:val="22"/>
                <w:szCs w:val="22"/>
                <w:lang w:eastAsia="bg-BG"/>
              </w:rPr>
            </w:pPr>
            <w:r w:rsidRPr="00F60ED5">
              <w:rPr>
                <w:rFonts w:asciiTheme="minorHAnsi" w:hAnsiTheme="minorHAnsi" w:cstheme="minorHAnsi"/>
                <w:sz w:val="22"/>
                <w:szCs w:val="22"/>
                <w:lang w:eastAsia="bg-BG"/>
              </w:rPr>
              <w:t>21.11.2011</w:t>
            </w:r>
          </w:p>
        </w:tc>
        <w:tc>
          <w:tcPr>
            <w:tcW w:w="1630" w:type="dxa"/>
            <w:noWrap/>
            <w:hideMark/>
          </w:tcPr>
          <w:p w:rsidR="008E73A5" w:rsidRPr="00735311" w:rsidRDefault="008E73A5" w:rsidP="003D3056">
            <w:pPr>
              <w:spacing w:before="20" w:afterLines="20"/>
              <w:ind w:left="-108" w:right="-108"/>
              <w:jc w:val="center"/>
              <w:cnfStyle w:val="000000100000"/>
              <w:rPr>
                <w:rFonts w:asciiTheme="minorHAnsi" w:hAnsiTheme="minorHAnsi" w:cstheme="minorHAnsi"/>
                <w:sz w:val="22"/>
                <w:szCs w:val="22"/>
                <w:lang w:eastAsia="bg-BG"/>
              </w:rPr>
            </w:pPr>
            <w:r w:rsidRPr="00EE70FC">
              <w:rPr>
                <w:rFonts w:asciiTheme="minorHAnsi" w:hAnsiTheme="minorHAnsi" w:cstheme="minorHAnsi"/>
                <w:sz w:val="22"/>
                <w:szCs w:val="22"/>
                <w:lang w:eastAsia="bg-BG"/>
              </w:rPr>
              <w:t>31.12.2012</w:t>
            </w:r>
          </w:p>
        </w:tc>
        <w:tc>
          <w:tcPr>
            <w:tcW w:w="2268" w:type="dxa"/>
            <w:noWrap/>
            <w:hideMark/>
          </w:tcPr>
          <w:p w:rsidR="008E73A5" w:rsidRPr="00735311" w:rsidRDefault="008E73A5" w:rsidP="003D3056">
            <w:pPr>
              <w:spacing w:before="20" w:afterLines="20"/>
              <w:jc w:val="right"/>
              <w:cnfStyle w:val="000000100000"/>
              <w:rPr>
                <w:rFonts w:asciiTheme="minorHAnsi" w:hAnsiTheme="minorHAnsi" w:cstheme="minorHAnsi"/>
                <w:sz w:val="22"/>
                <w:szCs w:val="22"/>
                <w:lang w:eastAsia="bg-BG"/>
              </w:rPr>
            </w:pPr>
            <w:r>
              <w:rPr>
                <w:rFonts w:asciiTheme="minorHAnsi" w:hAnsiTheme="minorHAnsi" w:cstheme="minorHAnsi"/>
                <w:sz w:val="22"/>
                <w:szCs w:val="22"/>
                <w:lang w:eastAsia="bg-BG"/>
              </w:rPr>
              <w:t>Оборотен</w:t>
            </w:r>
          </w:p>
        </w:tc>
      </w:tr>
      <w:tr w:rsidR="008E73A5" w:rsidRPr="0060652A" w:rsidTr="008E73A5">
        <w:trPr>
          <w:trHeight w:val="300"/>
        </w:trPr>
        <w:tc>
          <w:tcPr>
            <w:cnfStyle w:val="001000000000"/>
            <w:tcW w:w="2977" w:type="dxa"/>
            <w:noWrap/>
            <w:hideMark/>
          </w:tcPr>
          <w:p w:rsidR="008E73A5" w:rsidRPr="0060652A" w:rsidRDefault="008E73A5" w:rsidP="003D3056">
            <w:pPr>
              <w:spacing w:before="20" w:afterLines="20"/>
              <w:jc w:val="left"/>
              <w:rPr>
                <w:rFonts w:asciiTheme="minorHAnsi" w:hAnsiTheme="minorHAnsi" w:cstheme="minorHAnsi"/>
                <w:bCs w:val="0"/>
                <w:sz w:val="22"/>
                <w:szCs w:val="22"/>
                <w:lang w:eastAsia="bg-BG"/>
              </w:rPr>
            </w:pPr>
            <w:r w:rsidRPr="0060652A">
              <w:rPr>
                <w:rFonts w:asciiTheme="minorHAnsi" w:hAnsiTheme="minorHAnsi" w:cstheme="minorHAnsi"/>
                <w:bCs w:val="0"/>
                <w:sz w:val="22"/>
                <w:szCs w:val="22"/>
                <w:lang w:eastAsia="bg-BG"/>
              </w:rPr>
              <w:t xml:space="preserve">Трансбалкан груп ООД             </w:t>
            </w:r>
          </w:p>
        </w:tc>
        <w:tc>
          <w:tcPr>
            <w:tcW w:w="1276" w:type="dxa"/>
          </w:tcPr>
          <w:p w:rsidR="008E73A5" w:rsidRPr="00735311" w:rsidRDefault="008E73A5" w:rsidP="003D3056">
            <w:pPr>
              <w:spacing w:before="20" w:afterLines="2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2</w:t>
            </w:r>
            <w:r w:rsidRPr="00735311">
              <w:rPr>
                <w:rFonts w:asciiTheme="minorHAnsi" w:hAnsiTheme="minorHAnsi" w:cstheme="minorHAnsi"/>
                <w:sz w:val="22"/>
                <w:szCs w:val="22"/>
                <w:lang w:eastAsia="bg-BG"/>
              </w:rPr>
              <w:t>47</w:t>
            </w:r>
          </w:p>
        </w:tc>
        <w:tc>
          <w:tcPr>
            <w:tcW w:w="1630" w:type="dxa"/>
            <w:noWrap/>
            <w:hideMark/>
          </w:tcPr>
          <w:p w:rsidR="008E73A5" w:rsidRPr="00735311" w:rsidRDefault="008E73A5" w:rsidP="003D3056">
            <w:pPr>
              <w:spacing w:before="20" w:afterLines="20"/>
              <w:ind w:left="-108" w:right="-108"/>
              <w:jc w:val="center"/>
              <w:cnfStyle w:val="000000000000"/>
              <w:rPr>
                <w:rFonts w:asciiTheme="minorHAnsi" w:hAnsiTheme="minorHAnsi" w:cstheme="minorHAnsi"/>
                <w:sz w:val="22"/>
                <w:szCs w:val="22"/>
                <w:lang w:eastAsia="bg-BG"/>
              </w:rPr>
            </w:pPr>
            <w:r w:rsidRPr="00F60ED5">
              <w:rPr>
                <w:rFonts w:asciiTheme="minorHAnsi" w:hAnsiTheme="minorHAnsi" w:cstheme="minorHAnsi"/>
                <w:sz w:val="22"/>
                <w:szCs w:val="22"/>
                <w:lang w:eastAsia="bg-BG"/>
              </w:rPr>
              <w:t>20.03.2012</w:t>
            </w:r>
          </w:p>
        </w:tc>
        <w:tc>
          <w:tcPr>
            <w:tcW w:w="1630" w:type="dxa"/>
            <w:noWrap/>
            <w:hideMark/>
          </w:tcPr>
          <w:p w:rsidR="008E73A5" w:rsidRPr="00EE70FC" w:rsidRDefault="008E73A5" w:rsidP="003D3056">
            <w:pPr>
              <w:spacing w:before="20" w:afterLines="20"/>
              <w:ind w:left="-108" w:right="-108"/>
              <w:jc w:val="center"/>
              <w:cnfStyle w:val="000000000000"/>
              <w:rPr>
                <w:rFonts w:asciiTheme="minorHAnsi" w:hAnsiTheme="minorHAnsi" w:cstheme="minorHAnsi"/>
                <w:sz w:val="22"/>
                <w:szCs w:val="22"/>
                <w:lang w:eastAsia="bg-BG"/>
              </w:rPr>
            </w:pPr>
            <w:r w:rsidRPr="00EE70FC">
              <w:rPr>
                <w:rFonts w:asciiTheme="minorHAnsi" w:hAnsiTheme="minorHAnsi" w:cstheme="minorHAnsi"/>
                <w:sz w:val="22"/>
                <w:szCs w:val="22"/>
                <w:lang w:eastAsia="bg-BG"/>
              </w:rPr>
              <w:t>31.12.2012</w:t>
            </w:r>
          </w:p>
        </w:tc>
        <w:tc>
          <w:tcPr>
            <w:tcW w:w="2268" w:type="dxa"/>
            <w:noWrap/>
            <w:hideMark/>
          </w:tcPr>
          <w:p w:rsidR="008E73A5" w:rsidRPr="00735311" w:rsidRDefault="008E73A5" w:rsidP="003D3056">
            <w:pPr>
              <w:spacing w:before="20" w:afterLines="20"/>
              <w:jc w:val="right"/>
              <w:cnfStyle w:val="000000000000"/>
              <w:rPr>
                <w:rFonts w:asciiTheme="minorHAnsi" w:hAnsiTheme="minorHAnsi" w:cstheme="minorHAnsi"/>
                <w:sz w:val="22"/>
                <w:szCs w:val="22"/>
                <w:lang w:eastAsia="bg-BG"/>
              </w:rPr>
            </w:pPr>
            <w:r>
              <w:rPr>
                <w:rFonts w:asciiTheme="minorHAnsi" w:hAnsiTheme="minorHAnsi" w:cstheme="minorHAnsi"/>
                <w:sz w:val="22"/>
                <w:szCs w:val="22"/>
                <w:lang w:eastAsia="bg-BG"/>
              </w:rPr>
              <w:t>Оборотен</w:t>
            </w:r>
          </w:p>
        </w:tc>
      </w:tr>
      <w:tr w:rsidR="008E73A5" w:rsidRPr="0060652A" w:rsidTr="008E73A5">
        <w:trPr>
          <w:cnfStyle w:val="010000000000"/>
          <w:trHeight w:val="300"/>
        </w:trPr>
        <w:tc>
          <w:tcPr>
            <w:cnfStyle w:val="001000000000"/>
            <w:tcW w:w="2977" w:type="dxa"/>
            <w:noWrap/>
            <w:hideMark/>
          </w:tcPr>
          <w:p w:rsidR="008E73A5" w:rsidRPr="0060652A" w:rsidRDefault="008E73A5" w:rsidP="003D3056">
            <w:pPr>
              <w:spacing w:before="20" w:afterLines="20"/>
              <w:jc w:val="left"/>
              <w:rPr>
                <w:rFonts w:asciiTheme="minorHAnsi" w:hAnsiTheme="minorHAnsi" w:cstheme="minorHAnsi"/>
                <w:bCs w:val="0"/>
                <w:sz w:val="22"/>
                <w:szCs w:val="22"/>
                <w:lang w:eastAsia="bg-BG"/>
              </w:rPr>
            </w:pPr>
            <w:r>
              <w:rPr>
                <w:rFonts w:asciiTheme="minorHAnsi" w:hAnsiTheme="minorHAnsi" w:cstheme="minorHAnsi"/>
                <w:bCs w:val="0"/>
                <w:sz w:val="22"/>
                <w:szCs w:val="22"/>
                <w:lang w:eastAsia="bg-BG"/>
              </w:rPr>
              <w:t> ОБЩО ЗАЕМИ</w:t>
            </w:r>
          </w:p>
        </w:tc>
        <w:tc>
          <w:tcPr>
            <w:tcW w:w="1276" w:type="dxa"/>
            <w:vAlign w:val="bottom"/>
          </w:tcPr>
          <w:p w:rsidR="008E73A5" w:rsidRPr="009F39F5" w:rsidRDefault="008E73A5" w:rsidP="00EE70FC">
            <w:pPr>
              <w:jc w:val="right"/>
              <w:cnfStyle w:val="010000000000"/>
              <w:rPr>
                <w:b/>
                <w:color w:val="000000"/>
                <w:sz w:val="22"/>
                <w:szCs w:val="22"/>
              </w:rPr>
            </w:pPr>
            <w:r w:rsidRPr="009F39F5">
              <w:rPr>
                <w:b/>
                <w:color w:val="000000"/>
                <w:sz w:val="22"/>
                <w:szCs w:val="22"/>
              </w:rPr>
              <w:t>5 137</w:t>
            </w:r>
          </w:p>
        </w:tc>
        <w:tc>
          <w:tcPr>
            <w:tcW w:w="1630" w:type="dxa"/>
            <w:noWrap/>
            <w:vAlign w:val="bottom"/>
            <w:hideMark/>
          </w:tcPr>
          <w:p w:rsidR="008E73A5" w:rsidRPr="009F39F5" w:rsidRDefault="008E73A5" w:rsidP="009B11F0">
            <w:pPr>
              <w:ind w:left="-108" w:right="-108"/>
              <w:jc w:val="center"/>
              <w:cnfStyle w:val="010000000000"/>
              <w:rPr>
                <w:b/>
                <w:color w:val="000000"/>
                <w:sz w:val="22"/>
                <w:szCs w:val="22"/>
              </w:rPr>
            </w:pPr>
          </w:p>
        </w:tc>
        <w:tc>
          <w:tcPr>
            <w:tcW w:w="1630" w:type="dxa"/>
            <w:noWrap/>
            <w:vAlign w:val="bottom"/>
            <w:hideMark/>
          </w:tcPr>
          <w:p w:rsidR="008E73A5" w:rsidRPr="009F39F5" w:rsidRDefault="008E73A5" w:rsidP="009B11F0">
            <w:pPr>
              <w:ind w:left="-108" w:right="-108"/>
              <w:jc w:val="center"/>
              <w:cnfStyle w:val="010000000000"/>
              <w:rPr>
                <w:b/>
                <w:color w:val="000000"/>
                <w:sz w:val="22"/>
                <w:szCs w:val="22"/>
              </w:rPr>
            </w:pPr>
          </w:p>
        </w:tc>
        <w:tc>
          <w:tcPr>
            <w:tcW w:w="2268" w:type="dxa"/>
            <w:noWrap/>
            <w:vAlign w:val="bottom"/>
            <w:hideMark/>
          </w:tcPr>
          <w:p w:rsidR="008E73A5" w:rsidRPr="009F39F5" w:rsidRDefault="008E73A5" w:rsidP="00EE70FC">
            <w:pPr>
              <w:jc w:val="right"/>
              <w:cnfStyle w:val="010000000000"/>
              <w:rPr>
                <w:b/>
                <w:color w:val="000000"/>
                <w:sz w:val="22"/>
                <w:szCs w:val="22"/>
              </w:rPr>
            </w:pPr>
          </w:p>
        </w:tc>
      </w:tr>
    </w:tbl>
    <w:p w:rsidR="00CF5530" w:rsidRDefault="00CF5530" w:rsidP="00E0297D"/>
    <w:p w:rsidR="00666888" w:rsidRDefault="00666888" w:rsidP="00E0297D"/>
    <w:p w:rsidR="003C5B61" w:rsidRPr="00E0297D" w:rsidRDefault="00E0297D" w:rsidP="00E0297D">
      <w:r w:rsidRPr="00E0297D">
        <w:br w:type="page"/>
      </w:r>
    </w:p>
    <w:p w:rsidR="00FC3657" w:rsidRPr="003C5B61" w:rsidRDefault="00FC3657" w:rsidP="003C5B61">
      <w:pPr>
        <w:pStyle w:val="Heading1"/>
        <w:numPr>
          <w:ilvl w:val="0"/>
          <w:numId w:val="11"/>
        </w:numPr>
        <w:rPr>
          <w:rFonts w:ascii="Times New Roman" w:hAnsi="Times New Roman"/>
          <w:smallCaps/>
          <w:sz w:val="28"/>
          <w:szCs w:val="28"/>
        </w:rPr>
      </w:pPr>
      <w:bookmarkStart w:id="153" w:name="_Toc324376960"/>
      <w:bookmarkStart w:id="154" w:name="_Toc324380119"/>
      <w:r w:rsidRPr="003C5B61">
        <w:rPr>
          <w:rFonts w:ascii="Times New Roman" w:hAnsi="Times New Roman"/>
          <w:smallCaps/>
          <w:sz w:val="28"/>
          <w:szCs w:val="28"/>
        </w:rPr>
        <w:t>Финансова информация</w:t>
      </w:r>
      <w:bookmarkEnd w:id="153"/>
      <w:bookmarkEnd w:id="154"/>
    </w:p>
    <w:p w:rsidR="00350562" w:rsidRDefault="00350562" w:rsidP="00942CE6"/>
    <w:p w:rsidR="00350562" w:rsidRPr="00350562" w:rsidRDefault="00350562" w:rsidP="00350562">
      <w:r w:rsidRPr="00350562">
        <w:t>Одитираните неконсолидирани финансови отчети на Дружеството, изготвени съгласно</w:t>
      </w:r>
      <w:r>
        <w:t xml:space="preserve"> </w:t>
      </w:r>
      <w:r w:rsidRPr="00350562">
        <w:t xml:space="preserve">Международните стандарти за </w:t>
      </w:r>
      <w:r>
        <w:t>финансова</w:t>
      </w:r>
      <w:r w:rsidRPr="00350562">
        <w:t xml:space="preserve"> отчет</w:t>
      </w:r>
      <w:r>
        <w:t>ност</w:t>
      </w:r>
      <w:r w:rsidRPr="00350562">
        <w:t xml:space="preserve"> (МСФО) за финансовите </w:t>
      </w:r>
      <w:r>
        <w:t xml:space="preserve">година </w:t>
      </w:r>
      <w:r w:rsidRPr="00350562">
        <w:t>2009 г</w:t>
      </w:r>
      <w:r>
        <w:t>,</w:t>
      </w:r>
      <w:r w:rsidRPr="00350562">
        <w:t>.2010 г</w:t>
      </w:r>
      <w:r>
        <w:t>. и 2011</w:t>
      </w:r>
      <w:r w:rsidRPr="00350562">
        <w:t xml:space="preserve"> са</w:t>
      </w:r>
      <w:r>
        <w:t xml:space="preserve"> </w:t>
      </w:r>
      <w:r w:rsidRPr="00350562">
        <w:t xml:space="preserve">представени </w:t>
      </w:r>
      <w:r>
        <w:t>като приложение към настоящия проспект</w:t>
      </w:r>
      <w:r w:rsidR="00430FF3">
        <w:t>.</w:t>
      </w:r>
    </w:p>
    <w:p w:rsidR="00276FA8" w:rsidRDefault="00350562" w:rsidP="00350562">
      <w:r>
        <w:t>През 2011 г. „СПИДИ” ЕАД става едноличен собственик в „Спиди” ЕООД, с което възниква задължението за изготвяне на консолидирани отчети. Приложеният консолидиран годишен финансов отчет за 2011 г. е изготвен и одитиран</w:t>
      </w:r>
      <w:r w:rsidRPr="00350562">
        <w:t xml:space="preserve"> съгласно</w:t>
      </w:r>
      <w:r>
        <w:t xml:space="preserve"> </w:t>
      </w:r>
      <w:r w:rsidRPr="00350562">
        <w:t xml:space="preserve">Международните стандарти за </w:t>
      </w:r>
      <w:r>
        <w:t>финансова</w:t>
      </w:r>
      <w:r w:rsidRPr="00350562">
        <w:t xml:space="preserve"> отчет</w:t>
      </w:r>
      <w:r>
        <w:t>ност</w:t>
      </w:r>
      <w:r w:rsidRPr="00350562">
        <w:t xml:space="preserve"> (МСФО)</w:t>
      </w:r>
      <w:r w:rsidR="00906549">
        <w:t>.</w:t>
      </w:r>
    </w:p>
    <w:p w:rsidR="00906549" w:rsidRDefault="00906549" w:rsidP="00350562">
      <w:r>
        <w:t>Представените годишни финансови отчети съдържат:</w:t>
      </w:r>
    </w:p>
    <w:p w:rsidR="00906549" w:rsidRPr="00EA1CC6" w:rsidRDefault="00906549" w:rsidP="00906549">
      <w:pPr>
        <w:pStyle w:val="ListParagraph"/>
        <w:numPr>
          <w:ilvl w:val="0"/>
          <w:numId w:val="23"/>
        </w:numPr>
        <w:ind w:left="284" w:hanging="284"/>
      </w:pPr>
      <w:r w:rsidRPr="00EA1CC6">
        <w:t>Баланс;</w:t>
      </w:r>
    </w:p>
    <w:p w:rsidR="00906549" w:rsidRPr="00EA1CC6" w:rsidRDefault="00906549" w:rsidP="00906549">
      <w:pPr>
        <w:pStyle w:val="ListParagraph"/>
        <w:numPr>
          <w:ilvl w:val="0"/>
          <w:numId w:val="23"/>
        </w:numPr>
        <w:ind w:left="284" w:hanging="284"/>
      </w:pPr>
      <w:r>
        <w:t>О</w:t>
      </w:r>
      <w:r w:rsidRPr="00EA1CC6">
        <w:t>тчет за приходите и разходите;</w:t>
      </w:r>
    </w:p>
    <w:p w:rsidR="00906549" w:rsidRPr="00EA1CC6" w:rsidRDefault="00906549" w:rsidP="00906549">
      <w:pPr>
        <w:pStyle w:val="ListParagraph"/>
        <w:numPr>
          <w:ilvl w:val="0"/>
          <w:numId w:val="23"/>
        </w:numPr>
        <w:ind w:left="284" w:hanging="284"/>
      </w:pPr>
      <w:r w:rsidRPr="00EA1CC6">
        <w:t>Отчет за собствения капитал;</w:t>
      </w:r>
    </w:p>
    <w:p w:rsidR="00906549" w:rsidRPr="00EA1CC6" w:rsidRDefault="00906549" w:rsidP="00906549">
      <w:pPr>
        <w:pStyle w:val="ListParagraph"/>
        <w:numPr>
          <w:ilvl w:val="0"/>
          <w:numId w:val="23"/>
        </w:numPr>
        <w:ind w:left="284" w:hanging="284"/>
      </w:pPr>
      <w:r w:rsidRPr="00EA1CC6">
        <w:t>Отчет за паричните потоци;</w:t>
      </w:r>
    </w:p>
    <w:p w:rsidR="00906549" w:rsidRPr="00EA1CC6" w:rsidRDefault="00906549" w:rsidP="00906549">
      <w:pPr>
        <w:pStyle w:val="ListParagraph"/>
        <w:numPr>
          <w:ilvl w:val="0"/>
          <w:numId w:val="23"/>
        </w:numPr>
        <w:ind w:left="284" w:hanging="284"/>
      </w:pPr>
      <w:r>
        <w:t>Счетоводна политика и пояснителни бележки;</w:t>
      </w:r>
    </w:p>
    <w:p w:rsidR="00906549" w:rsidRPr="00EA1CC6" w:rsidRDefault="00906549" w:rsidP="00906549">
      <w:pPr>
        <w:pStyle w:val="ListParagraph"/>
        <w:numPr>
          <w:ilvl w:val="0"/>
          <w:numId w:val="23"/>
        </w:numPr>
        <w:ind w:left="284" w:hanging="284"/>
      </w:pPr>
      <w:r w:rsidRPr="00EA1CC6">
        <w:t>Отчет за управлението по чл. 33, ал</w:t>
      </w:r>
      <w:r>
        <w:t>. 1 от Закона за счетоводството;</w:t>
      </w:r>
    </w:p>
    <w:p w:rsidR="00906549" w:rsidRPr="00EA1CC6" w:rsidRDefault="00906549" w:rsidP="00906549">
      <w:pPr>
        <w:pStyle w:val="ListParagraph"/>
        <w:numPr>
          <w:ilvl w:val="0"/>
          <w:numId w:val="23"/>
        </w:numPr>
        <w:ind w:left="284" w:hanging="284"/>
      </w:pPr>
      <w:r w:rsidRPr="00EA1CC6">
        <w:t>Одиторски доклади за всеки от периодите</w:t>
      </w:r>
      <w:r>
        <w:t>.</w:t>
      </w:r>
    </w:p>
    <w:p w:rsidR="00350562" w:rsidRDefault="00906549" w:rsidP="00942CE6">
      <w:r>
        <w:t>Приложено са представени и междинни финансови отчети за първо тримесечие на 2012 г. на консолидирана и неконсолидирана база.</w:t>
      </w:r>
    </w:p>
    <w:p w:rsidR="00906549" w:rsidRPr="00906549" w:rsidRDefault="00906549" w:rsidP="00942CE6">
      <w:pPr>
        <w:rPr>
          <w:b/>
          <w:u w:val="single"/>
        </w:rPr>
      </w:pPr>
      <w:r w:rsidRPr="00906549">
        <w:rPr>
          <w:b/>
          <w:u w:val="single"/>
        </w:rPr>
        <w:t>МЕЖДИННИТЕ ФИНАНСОВИ ОТЧЕТИ И ВСИЧКИ ДАННИ ЗА ПЪРВО ТРИМЕСЕЧИЕ НА 2012 Г., ПРЕДСТАВЕНИ В НАСТОЯЩИЯ ПРОСПЕКТ НЕ СА ОДИТИРАНИ.</w:t>
      </w:r>
    </w:p>
    <w:p w:rsidR="00500C5E" w:rsidRPr="00B05AD4" w:rsidRDefault="00500C5E" w:rsidP="00500C5E">
      <w:r w:rsidRPr="00B05AD4">
        <w:t>След придобиване на публичен статут дружеството ще изготвя междинни финансови отчети на всяко тримесечие, съгласно нормативните изисквания.</w:t>
      </w:r>
    </w:p>
    <w:p w:rsidR="00500C5E" w:rsidRPr="00B05AD4" w:rsidRDefault="00500C5E" w:rsidP="00500C5E">
      <w:r w:rsidRPr="00B05AD4">
        <w:t>Всички финансови отчети на друже</w:t>
      </w:r>
      <w:r w:rsidR="00B0219C">
        <w:t>с</w:t>
      </w:r>
      <w:r w:rsidRPr="00B05AD4">
        <w:t xml:space="preserve">твото ще бъдат достъпни в електронен вариант на сайта на Комисията за финансов надзор - </w:t>
      </w:r>
      <w:hyperlink r:id="rId16" w:history="1">
        <w:r w:rsidRPr="00500C5E">
          <w:t>www.fsc.bg</w:t>
        </w:r>
      </w:hyperlink>
      <w:r w:rsidRPr="00500C5E">
        <w:t xml:space="preserve">, </w:t>
      </w:r>
      <w:r w:rsidRPr="00B05AD4">
        <w:t xml:space="preserve">на сайта на Българска Фондова Борса - </w:t>
      </w:r>
      <w:hyperlink r:id="rId17" w:history="1">
        <w:r w:rsidRPr="00500C5E">
          <w:t>www.bse-sofia.bg</w:t>
        </w:r>
      </w:hyperlink>
      <w:r w:rsidR="00356D51">
        <w:t xml:space="preserve"> и по други </w:t>
      </w:r>
      <w:r>
        <w:t>способи</w:t>
      </w:r>
      <w:r w:rsidR="00356D51">
        <w:t xml:space="preserve"> за предоставяне на публична информация</w:t>
      </w:r>
      <w:r>
        <w:t>.</w:t>
      </w:r>
    </w:p>
    <w:p w:rsidR="00350562" w:rsidRDefault="00EE3AAC" w:rsidP="00EE3AAC">
      <w:r w:rsidRPr="00EE3AAC">
        <w:t>Към момента на изготвяне на настоящия регистрационен документ не са налице</w:t>
      </w:r>
      <w:r>
        <w:t xml:space="preserve"> </w:t>
      </w:r>
      <w:r w:rsidRPr="00EE3AAC">
        <w:t>обстоятелства, които да налагат представяне на проформа финансова информация</w:t>
      </w:r>
    </w:p>
    <w:p w:rsidR="00CA5B84" w:rsidRDefault="00206E31" w:rsidP="001F54CF">
      <w:pPr>
        <w:pStyle w:val="Heading1"/>
        <w:numPr>
          <w:ilvl w:val="1"/>
          <w:numId w:val="11"/>
        </w:numPr>
        <w:ind w:left="567" w:hanging="567"/>
        <w:rPr>
          <w:rFonts w:ascii="Times New Roman" w:hAnsi="Times New Roman"/>
          <w:b w:val="0"/>
          <w:i/>
          <w:smallCaps/>
          <w:sz w:val="24"/>
          <w:szCs w:val="24"/>
        </w:rPr>
      </w:pPr>
      <w:bookmarkStart w:id="155" w:name="_Toc324376961"/>
      <w:bookmarkStart w:id="156" w:name="_Toc324380120"/>
      <w:r>
        <w:rPr>
          <w:rFonts w:ascii="Times New Roman" w:hAnsi="Times New Roman"/>
          <w:b w:val="0"/>
          <w:i/>
          <w:smallCaps/>
          <w:sz w:val="24"/>
          <w:szCs w:val="24"/>
        </w:rPr>
        <w:t>Дивидентна политика</w:t>
      </w:r>
      <w:bookmarkEnd w:id="155"/>
      <w:bookmarkEnd w:id="156"/>
    </w:p>
    <w:p w:rsidR="0055138C" w:rsidRDefault="0055138C" w:rsidP="0055138C">
      <w:r w:rsidRPr="00B05AD4">
        <w:t xml:space="preserve">Дивиденти се разпределят по решение на Общото събрание. </w:t>
      </w:r>
    </w:p>
    <w:p w:rsidR="0055138C" w:rsidRDefault="0055138C" w:rsidP="0055138C">
      <w:r w:rsidRPr="00B05AD4">
        <w:t xml:space="preserve">Такова решение Общото събрание може да приеме само ако е приело годишния счетоводен отчет, проверен от експерт - счетоводител и според него нетната стойност на активите, намалена с дивидентите, подлежащи на разпределение, е сума не по-малка от сумата на капитала на дружеството, фонд „Резервен" и другите фондове, които дружеството е длъжно да образува по закон или устав. </w:t>
      </w:r>
    </w:p>
    <w:p w:rsidR="0055138C" w:rsidRPr="00B05AD4" w:rsidRDefault="0055138C" w:rsidP="0055138C">
      <w:r w:rsidRPr="00B05AD4">
        <w:t>Плащанията се извършват до размера на печалбата за съответната година, неразпределената печалба от минали години, частта от фонд „Резервен" и другите фондове на дружеството, надхвърляща определения от закона или устава минимум, намален с непокритите загуби от предходни години, и</w:t>
      </w:r>
      <w:r>
        <w:t xml:space="preserve"> отчисленията за фонд „Резервен“</w:t>
      </w:r>
      <w:r w:rsidRPr="00B05AD4">
        <w:t xml:space="preserve"> и другите фондове, които дружеството е длъжно да образува по закон или устав.</w:t>
      </w:r>
    </w:p>
    <w:p w:rsidR="0055138C" w:rsidRDefault="0055138C" w:rsidP="0055138C">
      <w:r w:rsidRPr="00B05AD4">
        <w:t xml:space="preserve">Разходите по изплащането на дивидента са за сметка на Дружеството. </w:t>
      </w:r>
      <w:r>
        <w:t>„Спиди“ ЕАД</w:t>
      </w:r>
      <w:r w:rsidRPr="00B05AD4">
        <w:t xml:space="preserve"> е длъжно да изплати на акционерите гласувания от общото събрание дивидент в срок три месеца от провеждането му. </w:t>
      </w:r>
    </w:p>
    <w:p w:rsidR="0055138C" w:rsidRPr="00B05AD4" w:rsidRDefault="0055138C" w:rsidP="0055138C">
      <w:r w:rsidRPr="00B05AD4">
        <w:t>Лицата, имащи право на дивидент, които не го потърсят в 3-месечния срок, могат да упражнят това право до изтичане на общия 5- годишен давностен срок, след което правото се погасява и неполучените дивиденти остават в Дружеството.</w:t>
      </w:r>
    </w:p>
    <w:p w:rsidR="001F54CF" w:rsidRDefault="0055138C" w:rsidP="0055138C">
      <w:r w:rsidRPr="00B05AD4">
        <w:t xml:space="preserve">Уставът на </w:t>
      </w:r>
      <w:r>
        <w:t>„Спиди“ ЕАД</w:t>
      </w:r>
      <w:r w:rsidRPr="00B05AD4">
        <w:t xml:space="preserve"> не предвижда ограничения за разпределянето на дивидент, както и процедури за получаване на дивиденти от непребиваващи държатели.</w:t>
      </w:r>
    </w:p>
    <w:tbl>
      <w:tblPr>
        <w:tblStyle w:val="MediumShading2-Accent11"/>
        <w:tblW w:w="9781" w:type="dxa"/>
        <w:tblInd w:w="108" w:type="dxa"/>
        <w:tblLayout w:type="fixed"/>
        <w:tblLook w:val="04A0"/>
      </w:tblPr>
      <w:tblGrid>
        <w:gridCol w:w="3969"/>
        <w:gridCol w:w="1937"/>
        <w:gridCol w:w="1937"/>
        <w:gridCol w:w="1938"/>
      </w:tblGrid>
      <w:tr w:rsidR="001F54CF" w:rsidRPr="001F54CF" w:rsidTr="0055138C">
        <w:trPr>
          <w:cnfStyle w:val="100000000000"/>
          <w:trHeight w:val="285"/>
        </w:trPr>
        <w:tc>
          <w:tcPr>
            <w:cnfStyle w:val="001000000100"/>
            <w:tcW w:w="3969" w:type="dxa"/>
            <w:noWrap/>
            <w:hideMark/>
          </w:tcPr>
          <w:p w:rsidR="001F54CF" w:rsidRPr="001F54CF" w:rsidRDefault="00F243FA" w:rsidP="00F243FA">
            <w:pPr>
              <w:autoSpaceDE/>
              <w:autoSpaceDN/>
              <w:adjustRightInd/>
              <w:spacing w:after="0"/>
              <w:jc w:val="center"/>
              <w:rPr>
                <w:rFonts w:asciiTheme="minorHAnsi" w:hAnsiTheme="minorHAnsi" w:cstheme="minorHAnsi"/>
                <w:lang w:eastAsia="bg-BG"/>
              </w:rPr>
            </w:pPr>
            <w:r>
              <w:rPr>
                <w:rFonts w:asciiTheme="minorHAnsi" w:hAnsiTheme="minorHAnsi" w:cstheme="minorHAnsi"/>
                <w:lang w:eastAsia="bg-BG"/>
              </w:rPr>
              <w:t>В лева</w:t>
            </w:r>
          </w:p>
        </w:tc>
        <w:tc>
          <w:tcPr>
            <w:tcW w:w="1937" w:type="dxa"/>
            <w:noWrap/>
            <w:hideMark/>
          </w:tcPr>
          <w:p w:rsidR="001F54CF" w:rsidRPr="001F54CF" w:rsidRDefault="001F54CF" w:rsidP="00FD280C">
            <w:pPr>
              <w:autoSpaceDE/>
              <w:autoSpaceDN/>
              <w:adjustRightInd/>
              <w:spacing w:after="0"/>
              <w:jc w:val="center"/>
              <w:cnfStyle w:val="100000000000"/>
              <w:rPr>
                <w:rFonts w:asciiTheme="minorHAnsi" w:hAnsiTheme="minorHAnsi" w:cstheme="minorHAnsi"/>
                <w:color w:val="000000"/>
                <w:lang w:eastAsia="bg-BG"/>
              </w:rPr>
            </w:pPr>
            <w:r w:rsidRPr="001F54CF">
              <w:rPr>
                <w:rFonts w:asciiTheme="minorHAnsi" w:hAnsiTheme="minorHAnsi" w:cstheme="minorHAnsi"/>
                <w:color w:val="000000"/>
                <w:lang w:eastAsia="bg-BG"/>
              </w:rPr>
              <w:t>2009</w:t>
            </w:r>
          </w:p>
        </w:tc>
        <w:tc>
          <w:tcPr>
            <w:tcW w:w="1937" w:type="dxa"/>
            <w:noWrap/>
            <w:hideMark/>
          </w:tcPr>
          <w:p w:rsidR="001F54CF" w:rsidRPr="001F54CF" w:rsidRDefault="001F54CF" w:rsidP="00FD280C">
            <w:pPr>
              <w:autoSpaceDE/>
              <w:autoSpaceDN/>
              <w:adjustRightInd/>
              <w:spacing w:after="0"/>
              <w:jc w:val="center"/>
              <w:cnfStyle w:val="100000000000"/>
              <w:rPr>
                <w:rFonts w:asciiTheme="minorHAnsi" w:hAnsiTheme="minorHAnsi" w:cstheme="minorHAnsi"/>
                <w:color w:val="000000"/>
                <w:lang w:eastAsia="bg-BG"/>
              </w:rPr>
            </w:pPr>
            <w:r w:rsidRPr="001F54CF">
              <w:rPr>
                <w:rFonts w:asciiTheme="minorHAnsi" w:hAnsiTheme="minorHAnsi" w:cstheme="minorHAnsi"/>
                <w:color w:val="000000"/>
                <w:lang w:eastAsia="bg-BG"/>
              </w:rPr>
              <w:t>2010</w:t>
            </w:r>
          </w:p>
        </w:tc>
        <w:tc>
          <w:tcPr>
            <w:tcW w:w="1938" w:type="dxa"/>
            <w:noWrap/>
            <w:hideMark/>
          </w:tcPr>
          <w:p w:rsidR="001F54CF" w:rsidRPr="001F54CF" w:rsidRDefault="001F54CF" w:rsidP="00FD280C">
            <w:pPr>
              <w:autoSpaceDE/>
              <w:autoSpaceDN/>
              <w:adjustRightInd/>
              <w:spacing w:after="0"/>
              <w:jc w:val="center"/>
              <w:cnfStyle w:val="100000000000"/>
              <w:rPr>
                <w:rFonts w:asciiTheme="minorHAnsi" w:hAnsiTheme="minorHAnsi" w:cstheme="minorHAnsi"/>
                <w:color w:val="000000"/>
                <w:lang w:eastAsia="bg-BG"/>
              </w:rPr>
            </w:pPr>
            <w:r w:rsidRPr="001F54CF">
              <w:rPr>
                <w:rFonts w:asciiTheme="minorHAnsi" w:hAnsiTheme="minorHAnsi" w:cstheme="minorHAnsi"/>
                <w:color w:val="000000"/>
                <w:lang w:eastAsia="bg-BG"/>
              </w:rPr>
              <w:t>2011</w:t>
            </w:r>
          </w:p>
        </w:tc>
      </w:tr>
      <w:tr w:rsidR="001F54CF" w:rsidRPr="001F54CF" w:rsidTr="0055138C">
        <w:trPr>
          <w:cnfStyle w:val="000000100000"/>
          <w:trHeight w:val="315"/>
        </w:trPr>
        <w:tc>
          <w:tcPr>
            <w:cnfStyle w:val="001000000000"/>
            <w:tcW w:w="3969" w:type="dxa"/>
            <w:noWrap/>
            <w:hideMark/>
          </w:tcPr>
          <w:p w:rsidR="001F54CF" w:rsidRPr="001F54CF" w:rsidRDefault="001F54CF" w:rsidP="00FD280C">
            <w:pPr>
              <w:autoSpaceDE/>
              <w:autoSpaceDN/>
              <w:adjustRightInd/>
              <w:spacing w:after="0"/>
              <w:rPr>
                <w:rFonts w:asciiTheme="minorHAnsi" w:hAnsiTheme="minorHAnsi" w:cstheme="minorHAnsi"/>
                <w:lang w:eastAsia="bg-BG"/>
              </w:rPr>
            </w:pPr>
            <w:r w:rsidRPr="001F54CF">
              <w:rPr>
                <w:rFonts w:asciiTheme="minorHAnsi" w:hAnsiTheme="minorHAnsi" w:cstheme="minorHAnsi"/>
                <w:lang w:eastAsia="bg-BG"/>
              </w:rPr>
              <w:t>Разпределен дивидент</w:t>
            </w:r>
          </w:p>
        </w:tc>
        <w:tc>
          <w:tcPr>
            <w:tcW w:w="1937" w:type="dxa"/>
            <w:noWrap/>
            <w:vAlign w:val="center"/>
            <w:hideMark/>
          </w:tcPr>
          <w:p w:rsidR="001F54CF" w:rsidRPr="001F54CF" w:rsidRDefault="001F54CF" w:rsidP="001F54CF">
            <w:pPr>
              <w:autoSpaceDE/>
              <w:autoSpaceDN/>
              <w:adjustRightInd/>
              <w:spacing w:after="0"/>
              <w:jc w:val="right"/>
              <w:cnfStyle w:val="000000100000"/>
              <w:rPr>
                <w:rFonts w:asciiTheme="minorHAnsi" w:hAnsiTheme="minorHAnsi" w:cstheme="minorHAnsi"/>
                <w:lang w:eastAsia="bg-BG"/>
              </w:rPr>
            </w:pPr>
            <w:r w:rsidRPr="001F54CF">
              <w:rPr>
                <w:rFonts w:asciiTheme="minorHAnsi" w:hAnsiTheme="minorHAnsi" w:cstheme="minorHAnsi"/>
                <w:lang w:eastAsia="bg-BG"/>
              </w:rPr>
              <w:t>3 345 598</w:t>
            </w:r>
          </w:p>
        </w:tc>
        <w:tc>
          <w:tcPr>
            <w:tcW w:w="1937" w:type="dxa"/>
            <w:noWrap/>
            <w:vAlign w:val="center"/>
            <w:hideMark/>
          </w:tcPr>
          <w:p w:rsidR="001F54CF" w:rsidRPr="001F54CF" w:rsidRDefault="001F54CF" w:rsidP="001F54CF">
            <w:pPr>
              <w:autoSpaceDE/>
              <w:autoSpaceDN/>
              <w:adjustRightInd/>
              <w:spacing w:after="0"/>
              <w:jc w:val="right"/>
              <w:cnfStyle w:val="000000100000"/>
              <w:rPr>
                <w:rFonts w:asciiTheme="minorHAnsi" w:hAnsiTheme="minorHAnsi" w:cstheme="minorHAnsi"/>
                <w:lang w:eastAsia="bg-BG"/>
              </w:rPr>
            </w:pPr>
            <w:r w:rsidRPr="001F54CF">
              <w:rPr>
                <w:rFonts w:asciiTheme="minorHAnsi" w:hAnsiTheme="minorHAnsi" w:cstheme="minorHAnsi"/>
                <w:lang w:eastAsia="bg-BG"/>
              </w:rPr>
              <w:t>650 000</w:t>
            </w:r>
          </w:p>
        </w:tc>
        <w:tc>
          <w:tcPr>
            <w:tcW w:w="1938" w:type="dxa"/>
            <w:noWrap/>
            <w:vAlign w:val="center"/>
            <w:hideMark/>
          </w:tcPr>
          <w:p w:rsidR="001F54CF" w:rsidRPr="001F54CF" w:rsidRDefault="001F54CF" w:rsidP="001F54CF">
            <w:pPr>
              <w:autoSpaceDE/>
              <w:autoSpaceDN/>
              <w:adjustRightInd/>
              <w:spacing w:after="0"/>
              <w:jc w:val="right"/>
              <w:cnfStyle w:val="000000100000"/>
              <w:rPr>
                <w:rFonts w:asciiTheme="minorHAnsi" w:hAnsiTheme="minorHAnsi" w:cstheme="minorHAnsi"/>
                <w:lang w:eastAsia="bg-BG"/>
              </w:rPr>
            </w:pPr>
            <w:r w:rsidRPr="001F54CF">
              <w:rPr>
                <w:rFonts w:asciiTheme="minorHAnsi" w:hAnsiTheme="minorHAnsi" w:cstheme="minorHAnsi"/>
                <w:lang w:eastAsia="bg-BG"/>
              </w:rPr>
              <w:t>5 538 827</w:t>
            </w:r>
          </w:p>
        </w:tc>
      </w:tr>
      <w:tr w:rsidR="001F54CF" w:rsidRPr="001F54CF" w:rsidTr="0055138C">
        <w:trPr>
          <w:trHeight w:val="315"/>
        </w:trPr>
        <w:tc>
          <w:tcPr>
            <w:cnfStyle w:val="001000000000"/>
            <w:tcW w:w="3969" w:type="dxa"/>
            <w:noWrap/>
            <w:hideMark/>
          </w:tcPr>
          <w:p w:rsidR="001F54CF" w:rsidRPr="001F54CF" w:rsidRDefault="001F54CF" w:rsidP="00FD280C">
            <w:pPr>
              <w:autoSpaceDE/>
              <w:autoSpaceDN/>
              <w:adjustRightInd/>
              <w:spacing w:after="0"/>
              <w:rPr>
                <w:rFonts w:asciiTheme="minorHAnsi" w:hAnsiTheme="minorHAnsi" w:cstheme="minorHAnsi"/>
                <w:lang w:eastAsia="bg-BG"/>
              </w:rPr>
            </w:pPr>
            <w:r w:rsidRPr="001F54CF">
              <w:rPr>
                <w:rFonts w:asciiTheme="minorHAnsi" w:hAnsiTheme="minorHAnsi" w:cstheme="minorHAnsi"/>
                <w:lang w:eastAsia="bg-BG"/>
              </w:rPr>
              <w:t>Среден брой акции</w:t>
            </w:r>
          </w:p>
        </w:tc>
        <w:tc>
          <w:tcPr>
            <w:tcW w:w="1937" w:type="dxa"/>
            <w:noWrap/>
            <w:vAlign w:val="center"/>
            <w:hideMark/>
          </w:tcPr>
          <w:p w:rsidR="001F54CF" w:rsidRPr="001F54CF" w:rsidRDefault="001F54CF" w:rsidP="001F54CF">
            <w:pPr>
              <w:autoSpaceDE/>
              <w:autoSpaceDN/>
              <w:adjustRightInd/>
              <w:spacing w:after="0"/>
              <w:jc w:val="right"/>
              <w:cnfStyle w:val="000000000000"/>
              <w:rPr>
                <w:rFonts w:asciiTheme="minorHAnsi" w:hAnsiTheme="minorHAnsi" w:cstheme="minorHAnsi"/>
                <w:lang w:eastAsia="bg-BG"/>
              </w:rPr>
            </w:pPr>
            <w:r w:rsidRPr="001F54CF">
              <w:rPr>
                <w:rFonts w:asciiTheme="minorHAnsi" w:hAnsiTheme="minorHAnsi" w:cstheme="minorHAnsi"/>
                <w:lang w:eastAsia="bg-BG"/>
              </w:rPr>
              <w:t>500 000</w:t>
            </w:r>
          </w:p>
        </w:tc>
        <w:tc>
          <w:tcPr>
            <w:tcW w:w="1937" w:type="dxa"/>
            <w:noWrap/>
            <w:vAlign w:val="center"/>
            <w:hideMark/>
          </w:tcPr>
          <w:p w:rsidR="001F54CF" w:rsidRPr="001F54CF" w:rsidRDefault="001F54CF" w:rsidP="001F54CF">
            <w:pPr>
              <w:autoSpaceDE/>
              <w:autoSpaceDN/>
              <w:adjustRightInd/>
              <w:spacing w:after="0"/>
              <w:jc w:val="right"/>
              <w:cnfStyle w:val="000000000000"/>
              <w:rPr>
                <w:rFonts w:asciiTheme="minorHAnsi" w:hAnsiTheme="minorHAnsi" w:cstheme="minorHAnsi"/>
                <w:lang w:eastAsia="bg-BG"/>
              </w:rPr>
            </w:pPr>
            <w:r w:rsidRPr="001F54CF">
              <w:rPr>
                <w:rFonts w:asciiTheme="minorHAnsi" w:hAnsiTheme="minorHAnsi" w:cstheme="minorHAnsi"/>
                <w:lang w:eastAsia="bg-BG"/>
              </w:rPr>
              <w:t>500 000</w:t>
            </w:r>
          </w:p>
        </w:tc>
        <w:tc>
          <w:tcPr>
            <w:tcW w:w="1938" w:type="dxa"/>
            <w:noWrap/>
            <w:vAlign w:val="center"/>
            <w:hideMark/>
          </w:tcPr>
          <w:p w:rsidR="001F54CF" w:rsidRPr="001F54CF" w:rsidRDefault="001F54CF" w:rsidP="001F54CF">
            <w:pPr>
              <w:autoSpaceDE/>
              <w:autoSpaceDN/>
              <w:adjustRightInd/>
              <w:spacing w:after="0"/>
              <w:jc w:val="right"/>
              <w:cnfStyle w:val="000000000000"/>
              <w:rPr>
                <w:rFonts w:asciiTheme="minorHAnsi" w:hAnsiTheme="minorHAnsi" w:cstheme="minorHAnsi"/>
                <w:lang w:eastAsia="bg-BG"/>
              </w:rPr>
            </w:pPr>
            <w:r w:rsidRPr="001F54CF">
              <w:rPr>
                <w:rFonts w:asciiTheme="minorHAnsi" w:hAnsiTheme="minorHAnsi" w:cstheme="minorHAnsi"/>
                <w:lang w:eastAsia="bg-BG"/>
              </w:rPr>
              <w:t>1 055 659</w:t>
            </w:r>
          </w:p>
        </w:tc>
      </w:tr>
      <w:tr w:rsidR="001F54CF" w:rsidRPr="001F54CF" w:rsidTr="0055138C">
        <w:trPr>
          <w:cnfStyle w:val="000000100000"/>
          <w:trHeight w:val="315"/>
        </w:trPr>
        <w:tc>
          <w:tcPr>
            <w:cnfStyle w:val="001000000000"/>
            <w:tcW w:w="3969" w:type="dxa"/>
            <w:noWrap/>
            <w:hideMark/>
          </w:tcPr>
          <w:p w:rsidR="001F54CF" w:rsidRPr="001F54CF" w:rsidRDefault="001F54CF" w:rsidP="00FD280C">
            <w:pPr>
              <w:autoSpaceDE/>
              <w:autoSpaceDN/>
              <w:adjustRightInd/>
              <w:spacing w:after="0"/>
              <w:rPr>
                <w:rFonts w:asciiTheme="minorHAnsi" w:hAnsiTheme="minorHAnsi" w:cstheme="minorHAnsi"/>
                <w:lang w:eastAsia="bg-BG"/>
              </w:rPr>
            </w:pPr>
            <w:r w:rsidRPr="001F54CF">
              <w:rPr>
                <w:rFonts w:asciiTheme="minorHAnsi" w:hAnsiTheme="minorHAnsi" w:cstheme="minorHAnsi"/>
                <w:lang w:eastAsia="bg-BG"/>
              </w:rPr>
              <w:t>Дивидент на акция</w:t>
            </w:r>
          </w:p>
        </w:tc>
        <w:tc>
          <w:tcPr>
            <w:tcW w:w="1937" w:type="dxa"/>
            <w:noWrap/>
            <w:vAlign w:val="center"/>
            <w:hideMark/>
          </w:tcPr>
          <w:p w:rsidR="001F54CF" w:rsidRPr="001F54CF" w:rsidRDefault="001F54CF" w:rsidP="001F54CF">
            <w:pPr>
              <w:autoSpaceDE/>
              <w:autoSpaceDN/>
              <w:adjustRightInd/>
              <w:spacing w:after="0"/>
              <w:jc w:val="right"/>
              <w:cnfStyle w:val="000000100000"/>
              <w:rPr>
                <w:rFonts w:asciiTheme="minorHAnsi" w:hAnsiTheme="minorHAnsi" w:cstheme="minorHAnsi"/>
                <w:lang w:eastAsia="bg-BG"/>
              </w:rPr>
            </w:pPr>
            <w:r w:rsidRPr="001F54CF">
              <w:rPr>
                <w:rFonts w:asciiTheme="minorHAnsi" w:hAnsiTheme="minorHAnsi" w:cstheme="minorHAnsi"/>
                <w:lang w:eastAsia="bg-BG"/>
              </w:rPr>
              <w:t>6,69</w:t>
            </w:r>
          </w:p>
        </w:tc>
        <w:tc>
          <w:tcPr>
            <w:tcW w:w="1937" w:type="dxa"/>
            <w:noWrap/>
            <w:vAlign w:val="center"/>
            <w:hideMark/>
          </w:tcPr>
          <w:p w:rsidR="001F54CF" w:rsidRPr="001F54CF" w:rsidRDefault="001F54CF" w:rsidP="001F54CF">
            <w:pPr>
              <w:autoSpaceDE/>
              <w:autoSpaceDN/>
              <w:adjustRightInd/>
              <w:spacing w:after="0"/>
              <w:jc w:val="right"/>
              <w:cnfStyle w:val="000000100000"/>
              <w:rPr>
                <w:rFonts w:asciiTheme="minorHAnsi" w:hAnsiTheme="minorHAnsi" w:cstheme="minorHAnsi"/>
                <w:lang w:eastAsia="bg-BG"/>
              </w:rPr>
            </w:pPr>
            <w:r w:rsidRPr="001F54CF">
              <w:rPr>
                <w:rFonts w:asciiTheme="minorHAnsi" w:hAnsiTheme="minorHAnsi" w:cstheme="minorHAnsi"/>
                <w:lang w:eastAsia="bg-BG"/>
              </w:rPr>
              <w:t>1,30</w:t>
            </w:r>
          </w:p>
        </w:tc>
        <w:tc>
          <w:tcPr>
            <w:tcW w:w="1938" w:type="dxa"/>
            <w:noWrap/>
            <w:vAlign w:val="center"/>
            <w:hideMark/>
          </w:tcPr>
          <w:p w:rsidR="001F54CF" w:rsidRPr="001F54CF" w:rsidRDefault="001F54CF" w:rsidP="001F54CF">
            <w:pPr>
              <w:autoSpaceDE/>
              <w:autoSpaceDN/>
              <w:adjustRightInd/>
              <w:spacing w:after="0"/>
              <w:jc w:val="right"/>
              <w:cnfStyle w:val="000000100000"/>
              <w:rPr>
                <w:rFonts w:asciiTheme="minorHAnsi" w:hAnsiTheme="minorHAnsi" w:cstheme="minorHAnsi"/>
                <w:lang w:eastAsia="bg-BG"/>
              </w:rPr>
            </w:pPr>
            <w:r w:rsidRPr="001F54CF">
              <w:rPr>
                <w:rFonts w:asciiTheme="minorHAnsi" w:hAnsiTheme="minorHAnsi" w:cstheme="minorHAnsi"/>
                <w:lang w:eastAsia="bg-BG"/>
              </w:rPr>
              <w:t>5,25</w:t>
            </w:r>
          </w:p>
        </w:tc>
      </w:tr>
    </w:tbl>
    <w:p w:rsidR="001F54CF" w:rsidRDefault="001F54CF" w:rsidP="001F54CF"/>
    <w:p w:rsidR="00EE3AAC" w:rsidRDefault="00EE3AAC" w:rsidP="00EE3AAC">
      <w:r>
        <w:t>Дружеството има политика всяка година да разпределя като дивидент част от реализираната печалба. Размерът на дивидента зависи от ре</w:t>
      </w:r>
      <w:r w:rsidR="006A7C7E">
        <w:t>ализираните финансови резултати и</w:t>
      </w:r>
      <w:r>
        <w:t xml:space="preserve"> инвестиционната програма. Свободните средства над размера, необходим за финансиране на дейността се разпределят като дивидент.</w:t>
      </w:r>
    </w:p>
    <w:p w:rsidR="00EE3AAC" w:rsidRDefault="00EE3AAC" w:rsidP="00EE3AAC">
      <w:r>
        <w:t>Няма ограничения относно бъдещото разпределение на дивиденти.</w:t>
      </w:r>
    </w:p>
    <w:p w:rsidR="000246DE" w:rsidRDefault="000246DE" w:rsidP="00EE3AAC"/>
    <w:p w:rsidR="00FE1452" w:rsidRDefault="00FE1452" w:rsidP="00206E31">
      <w:pPr>
        <w:pStyle w:val="Heading1"/>
        <w:numPr>
          <w:ilvl w:val="1"/>
          <w:numId w:val="11"/>
        </w:numPr>
        <w:ind w:left="567" w:hanging="567"/>
        <w:rPr>
          <w:rFonts w:ascii="Times New Roman" w:hAnsi="Times New Roman"/>
          <w:b w:val="0"/>
          <w:i/>
          <w:smallCaps/>
          <w:sz w:val="24"/>
          <w:szCs w:val="24"/>
        </w:rPr>
      </w:pPr>
      <w:r w:rsidRPr="00206E31">
        <w:rPr>
          <w:rFonts w:ascii="Times New Roman" w:hAnsi="Times New Roman"/>
          <w:b w:val="0"/>
          <w:i/>
          <w:smallCaps/>
          <w:sz w:val="24"/>
          <w:szCs w:val="24"/>
        </w:rPr>
        <w:t xml:space="preserve"> </w:t>
      </w:r>
      <w:bookmarkStart w:id="157" w:name="_Toc324376962"/>
      <w:bookmarkStart w:id="158" w:name="_Toc324380121"/>
      <w:r w:rsidRPr="00206E31">
        <w:rPr>
          <w:rFonts w:ascii="Times New Roman" w:hAnsi="Times New Roman"/>
          <w:b w:val="0"/>
          <w:i/>
          <w:smallCaps/>
          <w:sz w:val="24"/>
          <w:szCs w:val="24"/>
        </w:rPr>
        <w:t>Информация за висящи съдебни, административни или арбитражни производства</w:t>
      </w:r>
      <w:r w:rsidR="000246DE">
        <w:rPr>
          <w:rFonts w:ascii="Times New Roman" w:hAnsi="Times New Roman"/>
          <w:b w:val="0"/>
          <w:i/>
          <w:smallCaps/>
          <w:sz w:val="24"/>
          <w:szCs w:val="24"/>
        </w:rPr>
        <w:t>.</w:t>
      </w:r>
      <w:bookmarkEnd w:id="157"/>
      <w:bookmarkEnd w:id="158"/>
    </w:p>
    <w:p w:rsidR="00206E31" w:rsidRPr="00206E31" w:rsidRDefault="00206E31" w:rsidP="000246DE">
      <w:r w:rsidRPr="00206E31">
        <w:t>Към датата на изготвяне на настоящия документ, както и за периода, обхващащ 12 месеца</w:t>
      </w:r>
      <w:r>
        <w:t xml:space="preserve"> </w:t>
      </w:r>
      <w:r w:rsidRPr="00206E31">
        <w:t xml:space="preserve">преди датата на изготвянето му, по отношение на </w:t>
      </w:r>
      <w:r w:rsidR="000246DE">
        <w:t xml:space="preserve">„СПИДИ” ЕАД и </w:t>
      </w:r>
      <w:r w:rsidR="000246DE" w:rsidRPr="00206E31">
        <w:t xml:space="preserve">на дъщерните дружества </w:t>
      </w:r>
      <w:r w:rsidRPr="00206E31">
        <w:t>няма висящи държавни, правни или арбитражни</w:t>
      </w:r>
      <w:r>
        <w:t xml:space="preserve"> </w:t>
      </w:r>
      <w:r w:rsidRPr="00206E31">
        <w:t>производства, или опасност от такива производства, за които Емитентът е осведомен и</w:t>
      </w:r>
      <w:r>
        <w:t xml:space="preserve"> </w:t>
      </w:r>
      <w:r w:rsidRPr="00206E31">
        <w:t xml:space="preserve">които могат </w:t>
      </w:r>
      <w:r w:rsidR="000246DE">
        <w:t>д</w:t>
      </w:r>
      <w:r w:rsidRPr="00206E31">
        <w:t>а имат значителни последици през близкото минало за</w:t>
      </w:r>
      <w:r>
        <w:t xml:space="preserve"> </w:t>
      </w:r>
      <w:r w:rsidRPr="00206E31">
        <w:t>Емитента, за самите дъщерни дружества, и/или за финансовото състояние или</w:t>
      </w:r>
      <w:r>
        <w:t xml:space="preserve"> </w:t>
      </w:r>
      <w:r w:rsidRPr="00206E31">
        <w:t>рентабилността на групата.</w:t>
      </w:r>
    </w:p>
    <w:p w:rsidR="00206E31" w:rsidRDefault="00206E31" w:rsidP="00206E31">
      <w:r w:rsidRPr="00206E31">
        <w:t>Следва да се има предвид, че в хода на своята основна дейност, Емитентът, като</w:t>
      </w:r>
      <w:r>
        <w:t xml:space="preserve"> </w:t>
      </w:r>
      <w:r w:rsidR="000246DE">
        <w:t>акционерно</w:t>
      </w:r>
      <w:r w:rsidRPr="00206E31">
        <w:t xml:space="preserve"> дружество, участва в искови производства, но няма конкретно</w:t>
      </w:r>
      <w:r>
        <w:t xml:space="preserve"> </w:t>
      </w:r>
      <w:r w:rsidRPr="00206E31">
        <w:t>производство или съвкупност от такива, които да могат да окажат съществено влияние</w:t>
      </w:r>
      <w:r>
        <w:t xml:space="preserve"> </w:t>
      </w:r>
      <w:r w:rsidRPr="00206E31">
        <w:t>върху Емитента или групата, към която той принадлежи.</w:t>
      </w:r>
    </w:p>
    <w:p w:rsidR="000246DE" w:rsidRDefault="000246DE" w:rsidP="00206E31">
      <w:r>
        <w:t>Дружеството е ответник по две дела на об</w:t>
      </w:r>
      <w:r w:rsidR="00B0219C">
        <w:t>ща стойност 11,5 хил. лв. и ищец</w:t>
      </w:r>
      <w:r>
        <w:t xml:space="preserve"> по общо 345 дела на обща стойност 590 хил.лв. основно по просрочени плащания на клиенти, които са провизирани съобразно срока на просрочие.</w:t>
      </w:r>
    </w:p>
    <w:p w:rsidR="00FC3657" w:rsidRDefault="00FC3657" w:rsidP="000246DE">
      <w:pPr>
        <w:pStyle w:val="Heading1"/>
        <w:numPr>
          <w:ilvl w:val="1"/>
          <w:numId w:val="11"/>
        </w:numPr>
        <w:ind w:left="567" w:hanging="567"/>
        <w:rPr>
          <w:rFonts w:ascii="Times New Roman" w:hAnsi="Times New Roman"/>
          <w:b w:val="0"/>
          <w:i/>
          <w:smallCaps/>
          <w:sz w:val="24"/>
          <w:szCs w:val="24"/>
        </w:rPr>
      </w:pPr>
      <w:r w:rsidRPr="000246DE">
        <w:rPr>
          <w:rFonts w:ascii="Times New Roman" w:hAnsi="Times New Roman"/>
          <w:b w:val="0"/>
          <w:i/>
          <w:smallCaps/>
          <w:sz w:val="24"/>
          <w:szCs w:val="24"/>
        </w:rPr>
        <w:t xml:space="preserve"> </w:t>
      </w:r>
      <w:bookmarkStart w:id="159" w:name="_Toc324376963"/>
      <w:bookmarkStart w:id="160" w:name="_Toc324380122"/>
      <w:r w:rsidRPr="000246DE">
        <w:rPr>
          <w:rFonts w:ascii="Times New Roman" w:hAnsi="Times New Roman"/>
          <w:b w:val="0"/>
          <w:i/>
          <w:smallCaps/>
          <w:sz w:val="24"/>
          <w:szCs w:val="24"/>
        </w:rPr>
        <w:t>Описание на съществените промени във финансовото и търговското състояние на емитента</w:t>
      </w:r>
      <w:bookmarkEnd w:id="159"/>
      <w:bookmarkEnd w:id="160"/>
    </w:p>
    <w:p w:rsidR="00046975" w:rsidRDefault="000246DE" w:rsidP="008D52E6">
      <w:pPr>
        <w:rPr>
          <w:b/>
          <w:bCs/>
          <w:smallCaps/>
          <w:kern w:val="32"/>
          <w:sz w:val="28"/>
          <w:szCs w:val="28"/>
        </w:rPr>
      </w:pPr>
      <w:r w:rsidRPr="000246DE">
        <w:t xml:space="preserve">След </w:t>
      </w:r>
      <w:r w:rsidR="002F58DE">
        <w:t>датата</w:t>
      </w:r>
      <w:r w:rsidRPr="000246DE">
        <w:t xml:space="preserve"> на последния финансов отчет на Дружеството (</w:t>
      </w:r>
      <w:r w:rsidR="002F58DE">
        <w:t>не</w:t>
      </w:r>
      <w:r w:rsidRPr="000246DE">
        <w:t>одитиран</w:t>
      </w:r>
      <w:r>
        <w:t xml:space="preserve"> </w:t>
      </w:r>
      <w:r w:rsidR="002F58DE">
        <w:t xml:space="preserve">междинен </w:t>
      </w:r>
      <w:r w:rsidRPr="000246DE">
        <w:t>отчет към 31.</w:t>
      </w:r>
      <w:r w:rsidR="002F58DE">
        <w:t>03</w:t>
      </w:r>
      <w:r w:rsidRPr="000246DE">
        <w:t>.201</w:t>
      </w:r>
      <w:r w:rsidR="002F58DE">
        <w:t>2</w:t>
      </w:r>
      <w:r w:rsidRPr="000246DE">
        <w:t xml:space="preserve"> г.) не са настъпили събития,</w:t>
      </w:r>
      <w:r>
        <w:t xml:space="preserve"> </w:t>
      </w:r>
      <w:r w:rsidRPr="000246DE">
        <w:t>които водят до значителна промяна във финансовата и търговска позиция на Емитента.</w:t>
      </w:r>
      <w:r w:rsidR="00046975">
        <w:rPr>
          <w:smallCaps/>
          <w:sz w:val="28"/>
          <w:szCs w:val="28"/>
        </w:rPr>
        <w:br w:type="page"/>
      </w:r>
    </w:p>
    <w:p w:rsidR="00FC3657" w:rsidRPr="00046975" w:rsidRDefault="00FC3657" w:rsidP="00046975">
      <w:pPr>
        <w:pStyle w:val="Heading1"/>
        <w:numPr>
          <w:ilvl w:val="0"/>
          <w:numId w:val="11"/>
        </w:numPr>
        <w:rPr>
          <w:rFonts w:ascii="Times New Roman" w:hAnsi="Times New Roman"/>
          <w:smallCaps/>
          <w:sz w:val="28"/>
          <w:szCs w:val="28"/>
        </w:rPr>
      </w:pPr>
      <w:r w:rsidRPr="00046975">
        <w:rPr>
          <w:rFonts w:ascii="Times New Roman" w:hAnsi="Times New Roman"/>
          <w:smallCaps/>
          <w:sz w:val="28"/>
          <w:szCs w:val="28"/>
        </w:rPr>
        <w:t xml:space="preserve"> </w:t>
      </w:r>
      <w:bookmarkStart w:id="161" w:name="_Toc324376964"/>
      <w:bookmarkStart w:id="162" w:name="_Toc324380123"/>
      <w:r w:rsidRPr="00046975">
        <w:rPr>
          <w:rFonts w:ascii="Times New Roman" w:hAnsi="Times New Roman"/>
          <w:smallCaps/>
          <w:sz w:val="28"/>
          <w:szCs w:val="28"/>
        </w:rPr>
        <w:t>Допълнителна информация</w:t>
      </w:r>
      <w:bookmarkEnd w:id="161"/>
      <w:bookmarkEnd w:id="162"/>
    </w:p>
    <w:p w:rsidR="006E5807" w:rsidRDefault="006E5807" w:rsidP="00942CE6"/>
    <w:p w:rsidR="006E5807" w:rsidRPr="006E5807" w:rsidRDefault="006E5807" w:rsidP="006E5807">
      <w:pPr>
        <w:pStyle w:val="Heading1"/>
        <w:numPr>
          <w:ilvl w:val="1"/>
          <w:numId w:val="11"/>
        </w:numPr>
        <w:ind w:left="567" w:hanging="567"/>
        <w:rPr>
          <w:rFonts w:ascii="Times New Roman" w:hAnsi="Times New Roman"/>
          <w:b w:val="0"/>
          <w:i/>
          <w:smallCaps/>
          <w:sz w:val="24"/>
          <w:szCs w:val="24"/>
        </w:rPr>
      </w:pPr>
      <w:r w:rsidRPr="006E5807">
        <w:rPr>
          <w:rFonts w:ascii="Times New Roman" w:hAnsi="Times New Roman"/>
          <w:b w:val="0"/>
          <w:i/>
          <w:smallCaps/>
          <w:sz w:val="24"/>
          <w:szCs w:val="24"/>
        </w:rPr>
        <w:t xml:space="preserve"> </w:t>
      </w:r>
      <w:bookmarkStart w:id="163" w:name="_Toc324376965"/>
      <w:bookmarkStart w:id="164" w:name="_Toc324380124"/>
      <w:r w:rsidRPr="006E5807">
        <w:rPr>
          <w:rFonts w:ascii="Times New Roman" w:hAnsi="Times New Roman"/>
          <w:b w:val="0"/>
          <w:i/>
          <w:smallCaps/>
          <w:sz w:val="24"/>
          <w:szCs w:val="24"/>
        </w:rPr>
        <w:t>Данни за капитала на емитента.</w:t>
      </w:r>
      <w:bookmarkEnd w:id="163"/>
      <w:bookmarkEnd w:id="164"/>
    </w:p>
    <w:p w:rsidR="006E5807" w:rsidRDefault="006E5807" w:rsidP="00942CE6"/>
    <w:p w:rsidR="006E5807" w:rsidRPr="006E5807" w:rsidRDefault="006E5807" w:rsidP="006E5807">
      <w:pPr>
        <w:pStyle w:val="Heading1"/>
        <w:numPr>
          <w:ilvl w:val="2"/>
          <w:numId w:val="11"/>
        </w:numPr>
        <w:ind w:left="1418" w:hanging="851"/>
        <w:rPr>
          <w:rFonts w:ascii="Times New Roman" w:hAnsi="Times New Roman"/>
          <w:b w:val="0"/>
          <w:i/>
          <w:sz w:val="24"/>
          <w:szCs w:val="24"/>
        </w:rPr>
      </w:pPr>
      <w:bookmarkStart w:id="165" w:name="_Toc324376966"/>
      <w:bookmarkStart w:id="166" w:name="_Toc324377145"/>
      <w:bookmarkStart w:id="167" w:name="_Toc324377576"/>
      <w:bookmarkStart w:id="168" w:name="_Toc324380125"/>
      <w:r w:rsidRPr="006E5807">
        <w:rPr>
          <w:rFonts w:ascii="Times New Roman" w:hAnsi="Times New Roman"/>
          <w:b w:val="0"/>
          <w:i/>
          <w:sz w:val="24"/>
          <w:szCs w:val="24"/>
        </w:rPr>
        <w:t>Към датата на последния изготвен счетоводен баланс:</w:t>
      </w:r>
      <w:bookmarkEnd w:id="165"/>
      <w:bookmarkEnd w:id="166"/>
      <w:bookmarkEnd w:id="167"/>
      <w:bookmarkEnd w:id="168"/>
    </w:p>
    <w:p w:rsidR="006E5807" w:rsidRPr="00E22C4B" w:rsidRDefault="006E5807" w:rsidP="006E5807">
      <w:pPr>
        <w:pStyle w:val="ListParagraph"/>
        <w:numPr>
          <w:ilvl w:val="0"/>
          <w:numId w:val="34"/>
        </w:numPr>
        <w:ind w:left="1276" w:hanging="11"/>
      </w:pPr>
      <w:r w:rsidRPr="00E22C4B">
        <w:t>Размерът на капитала на емитента е 1 482 200 (един милион четиристотин осемдесет и две хиляди и двеста) лева;</w:t>
      </w:r>
    </w:p>
    <w:p w:rsidR="006E5807" w:rsidRPr="00E22C4B" w:rsidRDefault="006E5807" w:rsidP="006E5807">
      <w:pPr>
        <w:pStyle w:val="ListParagraph"/>
        <w:numPr>
          <w:ilvl w:val="0"/>
          <w:numId w:val="34"/>
        </w:numPr>
        <w:ind w:left="1276" w:hanging="11"/>
      </w:pPr>
      <w:r w:rsidRPr="00E22C4B">
        <w:t>Броят акции на емитента 1 482 200 (един милион четиристотин осемдесет и две хиляди и двеста) броя акции;</w:t>
      </w:r>
    </w:p>
    <w:p w:rsidR="006E5807" w:rsidRPr="00E22C4B" w:rsidRDefault="006E5807" w:rsidP="006E5807">
      <w:pPr>
        <w:pStyle w:val="ListParagraph"/>
        <w:numPr>
          <w:ilvl w:val="0"/>
          <w:numId w:val="34"/>
        </w:numPr>
        <w:ind w:left="1276" w:hanging="11"/>
      </w:pPr>
      <w:r w:rsidRPr="00E22C4B">
        <w:t>Номиналната стойност на акциите е 1 лв. всяка;</w:t>
      </w:r>
    </w:p>
    <w:p w:rsidR="006E5807" w:rsidRPr="00E22C4B" w:rsidRDefault="006E5807" w:rsidP="006E5807">
      <w:pPr>
        <w:pStyle w:val="ListParagraph"/>
        <w:numPr>
          <w:ilvl w:val="0"/>
          <w:numId w:val="34"/>
        </w:numPr>
        <w:ind w:left="1276" w:hanging="11"/>
      </w:pPr>
      <w:r w:rsidRPr="00E22C4B">
        <w:t>Брой на емитираните и напълно изплатени акции - 1 482 200 (един милион четиристотин осемдесет и две хиляди и двеста) броя акции;</w:t>
      </w:r>
    </w:p>
    <w:p w:rsidR="00320989" w:rsidRDefault="00320989" w:rsidP="00320989">
      <w:r>
        <w:t>През 2011 г. са извършени следните промени в капитала на емитента:</w:t>
      </w:r>
    </w:p>
    <w:p w:rsidR="00320989" w:rsidRDefault="00320989" w:rsidP="00320989"/>
    <w:p w:rsidR="00320989" w:rsidRDefault="00320989" w:rsidP="00320989">
      <w:r>
        <w:t xml:space="preserve">На 30.05.2011 г. на проведено извънредно решение на акционерите на „Спиди” </w:t>
      </w:r>
      <w:r w:rsidR="00B0219C">
        <w:t>Е</w:t>
      </w:r>
      <w:r>
        <w:t xml:space="preserve">АД, на основание чл. 195 от ТЗ е взето решение за увеличение на капитала на дружеството от </w:t>
      </w:r>
      <w:r w:rsidRPr="007778D4">
        <w:rPr>
          <w:b/>
        </w:rPr>
        <w:t>500 000</w:t>
      </w:r>
      <w:r>
        <w:t xml:space="preserve"> (петстотин хиляди) лева на </w:t>
      </w:r>
      <w:r w:rsidRPr="007778D4">
        <w:rPr>
          <w:b/>
        </w:rPr>
        <w:t>1 482 200</w:t>
      </w:r>
      <w:r>
        <w:t xml:space="preserve"> (един милион четиристотин осемдесет и две хиляди и двеста) лева, чрез издаване на нови  982 200 (деветстотин осемдесет хиляди и две и двеста) обикновени акции, с номинална и емисионна стойност 1 лев всяка , записани срещу непарични вноски, както следва:</w:t>
      </w:r>
    </w:p>
    <w:p w:rsidR="00320989" w:rsidRDefault="00320989" w:rsidP="00320989">
      <w:pPr>
        <w:numPr>
          <w:ilvl w:val="0"/>
          <w:numId w:val="48"/>
        </w:numPr>
        <w:autoSpaceDE/>
        <w:autoSpaceDN/>
        <w:adjustRightInd/>
        <w:spacing w:after="0"/>
        <w:ind w:left="426" w:hanging="426"/>
      </w:pPr>
      <w:r w:rsidRPr="007778D4">
        <w:rPr>
          <w:b/>
        </w:rPr>
        <w:t>660 040</w:t>
      </w:r>
      <w:r>
        <w:t xml:space="preserve"> акции, записани от „Омникар БГ” ЕООД, срещу внесените от дружеството 66 004 дяла с номинална стойност 10 лева, всеки един от дружествения капитал на „Спиди” ООД, ЕИК 115260535;</w:t>
      </w:r>
    </w:p>
    <w:p w:rsidR="00320989" w:rsidRDefault="00320989" w:rsidP="00320989">
      <w:pPr>
        <w:numPr>
          <w:ilvl w:val="0"/>
          <w:numId w:val="48"/>
        </w:numPr>
        <w:autoSpaceDE/>
        <w:autoSpaceDN/>
        <w:adjustRightInd/>
        <w:spacing w:after="0"/>
        <w:ind w:left="426" w:hanging="426"/>
      </w:pPr>
      <w:r w:rsidRPr="007778D4">
        <w:rPr>
          <w:b/>
        </w:rPr>
        <w:t>243 590</w:t>
      </w:r>
      <w:r>
        <w:t xml:space="preserve"> акции, записани от „Алекс Г” ЕООД, срещу внесените от дружеството 24 359 дяла с номинална стойност 10 лева, всеки един от дружествения капитал на „Спиди” ООД, ЕИК 115260535;</w:t>
      </w:r>
    </w:p>
    <w:p w:rsidR="00320989" w:rsidRDefault="00320989" w:rsidP="00320989">
      <w:pPr>
        <w:numPr>
          <w:ilvl w:val="0"/>
          <w:numId w:val="48"/>
        </w:numPr>
        <w:autoSpaceDE/>
        <w:autoSpaceDN/>
        <w:adjustRightInd/>
        <w:spacing w:after="0"/>
        <w:ind w:left="426" w:hanging="426"/>
      </w:pPr>
      <w:r w:rsidRPr="007778D4">
        <w:rPr>
          <w:b/>
        </w:rPr>
        <w:t>78 570</w:t>
      </w:r>
      <w:r>
        <w:t xml:space="preserve"> акции, записани от Славчо Кирилов Панталеев, срещу внесените от него 7 857 дяла с номинална стойност 10 лева, всеки един от дружествения капитал на „Спиди” ООД, ЕИК 115260535;</w:t>
      </w:r>
    </w:p>
    <w:p w:rsidR="00320989" w:rsidRDefault="00320989" w:rsidP="00320989">
      <w:pPr>
        <w:ind w:left="426" w:hanging="426"/>
      </w:pPr>
    </w:p>
    <w:p w:rsidR="00320989" w:rsidRDefault="00320989" w:rsidP="00320989">
      <w:r>
        <w:t xml:space="preserve">Промяната в капитала е вписана в Търговски регистър на 07.06.2011 г. </w:t>
      </w:r>
    </w:p>
    <w:p w:rsidR="006E5807" w:rsidRPr="006E5807" w:rsidRDefault="006E5807" w:rsidP="006E5807">
      <w:pPr>
        <w:pStyle w:val="Heading1"/>
        <w:numPr>
          <w:ilvl w:val="2"/>
          <w:numId w:val="11"/>
        </w:numPr>
        <w:ind w:left="1418" w:hanging="851"/>
        <w:rPr>
          <w:rFonts w:ascii="Times New Roman" w:hAnsi="Times New Roman"/>
          <w:b w:val="0"/>
          <w:i/>
          <w:sz w:val="24"/>
          <w:szCs w:val="24"/>
        </w:rPr>
      </w:pPr>
      <w:bookmarkStart w:id="169" w:name="_Toc324376967"/>
      <w:bookmarkStart w:id="170" w:name="_Toc324377146"/>
      <w:bookmarkStart w:id="171" w:name="_Toc324377577"/>
      <w:bookmarkStart w:id="172" w:name="_Toc324380126"/>
      <w:r w:rsidRPr="006E5807">
        <w:rPr>
          <w:rFonts w:ascii="Times New Roman" w:hAnsi="Times New Roman"/>
          <w:b w:val="0"/>
          <w:i/>
          <w:sz w:val="24"/>
          <w:szCs w:val="24"/>
        </w:rPr>
        <w:t>Акции, които не представляват капитал.</w:t>
      </w:r>
      <w:bookmarkEnd w:id="169"/>
      <w:bookmarkEnd w:id="170"/>
      <w:bookmarkEnd w:id="171"/>
      <w:bookmarkEnd w:id="172"/>
    </w:p>
    <w:p w:rsidR="006E5807" w:rsidRPr="00E22C4B" w:rsidRDefault="006E5807" w:rsidP="006E5807">
      <w:r w:rsidRPr="00E22C4B">
        <w:t>Няма акции, които не представляват капитал.</w:t>
      </w:r>
    </w:p>
    <w:p w:rsidR="006E5807" w:rsidRPr="006E5807" w:rsidRDefault="006E5807" w:rsidP="006E5807">
      <w:pPr>
        <w:pStyle w:val="Heading1"/>
        <w:numPr>
          <w:ilvl w:val="2"/>
          <w:numId w:val="11"/>
        </w:numPr>
        <w:ind w:left="1418" w:hanging="851"/>
        <w:rPr>
          <w:rFonts w:ascii="Times New Roman" w:hAnsi="Times New Roman"/>
          <w:b w:val="0"/>
          <w:i/>
          <w:sz w:val="24"/>
          <w:szCs w:val="24"/>
        </w:rPr>
      </w:pPr>
      <w:bookmarkStart w:id="173" w:name="_Toc324376968"/>
      <w:bookmarkStart w:id="174" w:name="_Toc324377147"/>
      <w:bookmarkStart w:id="175" w:name="_Toc324377578"/>
      <w:bookmarkStart w:id="176" w:name="_Toc324380127"/>
      <w:r w:rsidRPr="006E5807">
        <w:rPr>
          <w:rFonts w:ascii="Times New Roman" w:hAnsi="Times New Roman"/>
          <w:b w:val="0"/>
          <w:i/>
          <w:sz w:val="24"/>
          <w:szCs w:val="24"/>
        </w:rPr>
        <w:t>Брой, счетоводна стойност и номинална стойност на акциите на емитента, държани от или от името на самия емитент или от дъщерните предприятия на емитента</w:t>
      </w:r>
      <w:bookmarkEnd w:id="173"/>
      <w:bookmarkEnd w:id="174"/>
      <w:bookmarkEnd w:id="175"/>
      <w:bookmarkEnd w:id="176"/>
    </w:p>
    <w:p w:rsidR="006E5807" w:rsidRPr="00E22C4B" w:rsidRDefault="006E5807" w:rsidP="006E5807">
      <w:r>
        <w:t>„Спиди“ Е</w:t>
      </w:r>
      <w:r w:rsidRPr="00E22C4B">
        <w:t xml:space="preserve">АД </w:t>
      </w:r>
      <w:r>
        <w:t xml:space="preserve">или негово дъщерно дружество </w:t>
      </w:r>
      <w:r w:rsidRPr="00E22C4B">
        <w:t>не притежава собствени акции.</w:t>
      </w:r>
    </w:p>
    <w:p w:rsidR="006E5807" w:rsidRPr="006E5807" w:rsidRDefault="006E5807" w:rsidP="006E5807">
      <w:pPr>
        <w:pStyle w:val="Heading1"/>
        <w:numPr>
          <w:ilvl w:val="2"/>
          <w:numId w:val="11"/>
        </w:numPr>
        <w:ind w:left="1418" w:hanging="851"/>
        <w:rPr>
          <w:rFonts w:ascii="Times New Roman" w:hAnsi="Times New Roman"/>
          <w:b w:val="0"/>
          <w:i/>
          <w:sz w:val="24"/>
          <w:szCs w:val="24"/>
        </w:rPr>
      </w:pPr>
      <w:r w:rsidRPr="006E5807">
        <w:rPr>
          <w:rFonts w:ascii="Times New Roman" w:hAnsi="Times New Roman"/>
          <w:b w:val="0"/>
          <w:i/>
          <w:sz w:val="24"/>
          <w:szCs w:val="24"/>
        </w:rPr>
        <w:t xml:space="preserve"> </w:t>
      </w:r>
      <w:bookmarkStart w:id="177" w:name="_Toc324376969"/>
      <w:bookmarkStart w:id="178" w:name="_Toc324377148"/>
      <w:bookmarkStart w:id="179" w:name="_Toc324377579"/>
      <w:bookmarkStart w:id="180" w:name="_Toc324380128"/>
      <w:r w:rsidRPr="006E5807">
        <w:rPr>
          <w:rFonts w:ascii="Times New Roman" w:hAnsi="Times New Roman"/>
          <w:b w:val="0"/>
          <w:i/>
          <w:sz w:val="24"/>
          <w:szCs w:val="24"/>
        </w:rPr>
        <w:t>Сумата на всякакви конвертируеми ценни книжа, обменяеми ценни книжа или ценни книжа с варанти, с указване на управляващите условия и процедури за конвертиране, обмяна или подписка.</w:t>
      </w:r>
      <w:bookmarkEnd w:id="177"/>
      <w:bookmarkEnd w:id="178"/>
      <w:bookmarkEnd w:id="179"/>
      <w:bookmarkEnd w:id="180"/>
    </w:p>
    <w:p w:rsidR="006E5807" w:rsidRPr="006E5807" w:rsidRDefault="006E5807" w:rsidP="006E5807">
      <w:r w:rsidRPr="006E5807">
        <w:t>Към датата на изготвяне на настоящия документ, „Спиди“ ЕАД не е издавал конвертируеми ценни книжа, обменяеми ценни книжа или ценни книжа с варанти.</w:t>
      </w:r>
    </w:p>
    <w:p w:rsidR="006E5807" w:rsidRPr="006E5807" w:rsidRDefault="006E5807" w:rsidP="006E5807">
      <w:pPr>
        <w:pStyle w:val="Heading1"/>
        <w:numPr>
          <w:ilvl w:val="2"/>
          <w:numId w:val="11"/>
        </w:numPr>
        <w:ind w:left="1418" w:hanging="851"/>
        <w:rPr>
          <w:rFonts w:ascii="Times New Roman" w:hAnsi="Times New Roman"/>
          <w:b w:val="0"/>
          <w:i/>
          <w:sz w:val="24"/>
          <w:szCs w:val="24"/>
        </w:rPr>
      </w:pPr>
      <w:bookmarkStart w:id="181" w:name="bookmark46"/>
      <w:bookmarkStart w:id="182" w:name="_Toc324376970"/>
      <w:bookmarkStart w:id="183" w:name="_Toc324377149"/>
      <w:bookmarkStart w:id="184" w:name="_Toc324377580"/>
      <w:bookmarkStart w:id="185" w:name="_Toc324380129"/>
      <w:r w:rsidRPr="006E5807">
        <w:rPr>
          <w:rFonts w:ascii="Times New Roman" w:hAnsi="Times New Roman"/>
          <w:b w:val="0"/>
          <w:i/>
          <w:sz w:val="24"/>
          <w:szCs w:val="24"/>
        </w:rPr>
        <w:t>Информация за условията на всякакви права за придобиване и/или</w:t>
      </w:r>
      <w:bookmarkEnd w:id="181"/>
      <w:r>
        <w:rPr>
          <w:rFonts w:ascii="Times New Roman" w:hAnsi="Times New Roman"/>
          <w:b w:val="0"/>
          <w:i/>
          <w:sz w:val="24"/>
          <w:szCs w:val="24"/>
        </w:rPr>
        <w:t xml:space="preserve"> </w:t>
      </w:r>
      <w:r w:rsidRPr="006E5807">
        <w:rPr>
          <w:rFonts w:ascii="Times New Roman" w:hAnsi="Times New Roman"/>
          <w:b w:val="0"/>
          <w:i/>
          <w:sz w:val="24"/>
          <w:szCs w:val="24"/>
        </w:rPr>
        <w:t>задължения за уставен, но неемитиран капитал или начинание за увеличаване на капитала</w:t>
      </w:r>
      <w:bookmarkEnd w:id="182"/>
      <w:bookmarkEnd w:id="183"/>
      <w:bookmarkEnd w:id="184"/>
      <w:bookmarkEnd w:id="185"/>
    </w:p>
    <w:p w:rsidR="006E5807" w:rsidRDefault="006E5807" w:rsidP="006E5807">
      <w:r w:rsidRPr="00E22C4B">
        <w:t xml:space="preserve">Към настоящия момент няма взето решение за ново увеличаване на капитала на </w:t>
      </w:r>
      <w:r>
        <w:t>„Спиди“</w:t>
      </w:r>
      <w:r w:rsidRPr="00E22C4B">
        <w:t xml:space="preserve"> </w:t>
      </w:r>
      <w:r>
        <w:t>ЕАД.</w:t>
      </w:r>
    </w:p>
    <w:p w:rsidR="006E5807" w:rsidRDefault="006E5807" w:rsidP="006E5807">
      <w:r>
        <w:t>„Спиди“</w:t>
      </w:r>
      <w:r w:rsidRPr="00E22C4B">
        <w:t xml:space="preserve"> </w:t>
      </w:r>
      <w:r>
        <w:t>ЕАД</w:t>
      </w:r>
      <w:r w:rsidRPr="00E22C4B">
        <w:t xml:space="preserve"> не е издавало права за придобиване и не е поемало задължения по отношение на разрешен уставен, но неемитиран капитал.</w:t>
      </w:r>
    </w:p>
    <w:p w:rsidR="006E5807" w:rsidRPr="006E5807" w:rsidRDefault="006E5807" w:rsidP="006E5807">
      <w:pPr>
        <w:pStyle w:val="Heading1"/>
        <w:numPr>
          <w:ilvl w:val="2"/>
          <w:numId w:val="11"/>
        </w:numPr>
        <w:ind w:left="1418" w:hanging="851"/>
        <w:rPr>
          <w:rFonts w:ascii="Times New Roman" w:hAnsi="Times New Roman"/>
          <w:b w:val="0"/>
          <w:i/>
          <w:sz w:val="24"/>
          <w:szCs w:val="24"/>
        </w:rPr>
      </w:pPr>
      <w:bookmarkStart w:id="186" w:name="bookmark47"/>
      <w:r w:rsidRPr="006E5807">
        <w:rPr>
          <w:rFonts w:ascii="Times New Roman" w:hAnsi="Times New Roman"/>
          <w:b w:val="0"/>
          <w:i/>
          <w:sz w:val="24"/>
          <w:szCs w:val="24"/>
        </w:rPr>
        <w:t xml:space="preserve"> </w:t>
      </w:r>
      <w:bookmarkStart w:id="187" w:name="_Toc324376971"/>
      <w:bookmarkStart w:id="188" w:name="_Toc324377150"/>
      <w:bookmarkStart w:id="189" w:name="_Toc324377581"/>
      <w:bookmarkStart w:id="190" w:name="_Toc324380130"/>
      <w:r w:rsidRPr="006E5807">
        <w:rPr>
          <w:rFonts w:ascii="Times New Roman" w:hAnsi="Times New Roman"/>
          <w:b w:val="0"/>
          <w:i/>
          <w:sz w:val="24"/>
          <w:szCs w:val="24"/>
        </w:rPr>
        <w:t>Информация за всякакъв капитал, на който и да е член на групата, който е под</w:t>
      </w:r>
      <w:bookmarkEnd w:id="186"/>
      <w:r>
        <w:rPr>
          <w:rFonts w:ascii="Times New Roman" w:hAnsi="Times New Roman"/>
          <w:b w:val="0"/>
          <w:i/>
          <w:sz w:val="24"/>
          <w:szCs w:val="24"/>
        </w:rPr>
        <w:t xml:space="preserve"> </w:t>
      </w:r>
      <w:r w:rsidRPr="006E5807">
        <w:rPr>
          <w:rFonts w:ascii="Times New Roman" w:hAnsi="Times New Roman"/>
          <w:b w:val="0"/>
          <w:i/>
          <w:sz w:val="24"/>
          <w:szCs w:val="24"/>
        </w:rPr>
        <w:t>опция или е договорено условно или безусловно да бъде поставен под опция и подробностите за такива опции, включително лицата, за които се отнасят подобни опции</w:t>
      </w:r>
      <w:bookmarkEnd w:id="187"/>
      <w:bookmarkEnd w:id="188"/>
      <w:bookmarkEnd w:id="189"/>
      <w:bookmarkEnd w:id="190"/>
    </w:p>
    <w:p w:rsidR="006E5807" w:rsidRPr="00E22C4B" w:rsidRDefault="006E5807" w:rsidP="006E5807"/>
    <w:p w:rsidR="006E5807" w:rsidRDefault="006E5807" w:rsidP="006E5807">
      <w:r w:rsidRPr="00E22C4B">
        <w:t>Нито едно лице от акционерите на дружеството, или трето лице не притежава опции върху капитала на емитента.</w:t>
      </w:r>
    </w:p>
    <w:p w:rsidR="006E5807" w:rsidRDefault="006E5807" w:rsidP="006E5807">
      <w:r w:rsidRPr="00E22C4B">
        <w:t>Няма лица, към които има поет ангажимент под условие или безусловно да бъдат издадени опции в тяхна полза; няма опции, които са дадени или ще бъдат дадени на всички притежатели на акции, на дългови ценни книжа, на определен клас акции или на служители, съгласно план за стимулиране.</w:t>
      </w:r>
    </w:p>
    <w:p w:rsidR="006E5807" w:rsidRPr="006E5807" w:rsidRDefault="006E5807" w:rsidP="006E5807">
      <w:pPr>
        <w:pStyle w:val="Heading1"/>
        <w:numPr>
          <w:ilvl w:val="2"/>
          <w:numId w:val="11"/>
        </w:numPr>
        <w:ind w:left="1418" w:hanging="851"/>
        <w:rPr>
          <w:rFonts w:ascii="Times New Roman" w:hAnsi="Times New Roman"/>
          <w:b w:val="0"/>
          <w:i/>
          <w:sz w:val="24"/>
          <w:szCs w:val="24"/>
        </w:rPr>
      </w:pPr>
      <w:bookmarkStart w:id="191" w:name="_Toc324376972"/>
      <w:bookmarkStart w:id="192" w:name="_Toc324377151"/>
      <w:bookmarkStart w:id="193" w:name="_Toc324377582"/>
      <w:bookmarkStart w:id="194" w:name="_Toc324380131"/>
      <w:r w:rsidRPr="006E5807">
        <w:rPr>
          <w:rFonts w:ascii="Times New Roman" w:hAnsi="Times New Roman"/>
          <w:b w:val="0"/>
          <w:i/>
          <w:sz w:val="24"/>
          <w:szCs w:val="24"/>
        </w:rPr>
        <w:t>История на акционерния капитал, с акцент върху информацията за всякакви промени, за периода обхванат от историческата финансова информация</w:t>
      </w:r>
      <w:bookmarkEnd w:id="191"/>
      <w:bookmarkEnd w:id="192"/>
      <w:bookmarkEnd w:id="193"/>
      <w:bookmarkEnd w:id="194"/>
    </w:p>
    <w:p w:rsidR="006E5807" w:rsidRDefault="0062463A" w:rsidP="006E5807">
      <w:r>
        <w:t xml:space="preserve">Измененията в акционернив капитал са подробно описани в т.  </w:t>
      </w:r>
      <w:r w:rsidR="001E7C80">
        <w:fldChar w:fldCharType="begin"/>
      </w:r>
      <w:r>
        <w:instrText xml:space="preserve"> REF _Ref324339686 \r \h </w:instrText>
      </w:r>
      <w:r w:rsidR="001E7C80">
        <w:fldChar w:fldCharType="separate"/>
      </w:r>
      <w:r>
        <w:t>4.2</w:t>
      </w:r>
      <w:r w:rsidR="001E7C80">
        <w:fldChar w:fldCharType="end"/>
      </w:r>
      <w:r>
        <w:t xml:space="preserve"> </w:t>
      </w:r>
      <w:r w:rsidR="001E7C80">
        <w:fldChar w:fldCharType="begin"/>
      </w:r>
      <w:r>
        <w:instrText xml:space="preserve"> REF _Ref324339725 \h </w:instrText>
      </w:r>
      <w:r w:rsidR="001E7C80">
        <w:fldChar w:fldCharType="separate"/>
      </w:r>
      <w:r w:rsidRPr="000C61B0">
        <w:rPr>
          <w:b/>
          <w:i/>
          <w:smallCaps/>
        </w:rPr>
        <w:t>Важни събития в развитието на емитента</w:t>
      </w:r>
      <w:r w:rsidR="001E7C80">
        <w:fldChar w:fldCharType="end"/>
      </w:r>
    </w:p>
    <w:p w:rsidR="006E5807" w:rsidRDefault="006E5807" w:rsidP="00942CE6"/>
    <w:p w:rsidR="00121073" w:rsidRDefault="00FC3657" w:rsidP="00E45EB8">
      <w:pPr>
        <w:pStyle w:val="Heading1"/>
        <w:numPr>
          <w:ilvl w:val="1"/>
          <w:numId w:val="11"/>
        </w:numPr>
        <w:ind w:left="567" w:hanging="567"/>
        <w:rPr>
          <w:rFonts w:ascii="Times New Roman" w:hAnsi="Times New Roman"/>
          <w:b w:val="0"/>
          <w:i/>
          <w:smallCaps/>
          <w:sz w:val="24"/>
          <w:szCs w:val="24"/>
        </w:rPr>
      </w:pPr>
      <w:r w:rsidRPr="00E45EB8">
        <w:rPr>
          <w:rFonts w:ascii="Times New Roman" w:hAnsi="Times New Roman"/>
          <w:b w:val="0"/>
          <w:i/>
          <w:smallCaps/>
          <w:sz w:val="24"/>
          <w:szCs w:val="24"/>
        </w:rPr>
        <w:t xml:space="preserve"> </w:t>
      </w:r>
      <w:bookmarkStart w:id="195" w:name="_Toc324376973"/>
      <w:bookmarkStart w:id="196" w:name="_Toc324380132"/>
      <w:r w:rsidR="00121073" w:rsidRPr="00E45EB8">
        <w:rPr>
          <w:rFonts w:ascii="Times New Roman" w:hAnsi="Times New Roman"/>
          <w:b w:val="0"/>
          <w:i/>
          <w:smallCaps/>
          <w:sz w:val="24"/>
          <w:szCs w:val="24"/>
        </w:rPr>
        <w:t xml:space="preserve">Информация </w:t>
      </w:r>
      <w:r w:rsidRPr="00E45EB8">
        <w:rPr>
          <w:rFonts w:ascii="Times New Roman" w:hAnsi="Times New Roman"/>
          <w:b w:val="0"/>
          <w:i/>
          <w:smallCaps/>
          <w:sz w:val="24"/>
          <w:szCs w:val="24"/>
        </w:rPr>
        <w:t>за у</w:t>
      </w:r>
      <w:r w:rsidR="00E45EB8">
        <w:rPr>
          <w:rFonts w:ascii="Times New Roman" w:hAnsi="Times New Roman"/>
          <w:b w:val="0"/>
          <w:i/>
          <w:smallCaps/>
          <w:sz w:val="24"/>
          <w:szCs w:val="24"/>
        </w:rPr>
        <w:t>става на емитен</w:t>
      </w:r>
      <w:r w:rsidR="00E921E5">
        <w:rPr>
          <w:rFonts w:ascii="Times New Roman" w:hAnsi="Times New Roman"/>
          <w:b w:val="0"/>
          <w:i/>
          <w:smallCaps/>
          <w:sz w:val="24"/>
          <w:szCs w:val="24"/>
        </w:rPr>
        <w:t>та</w:t>
      </w:r>
      <w:bookmarkEnd w:id="195"/>
      <w:bookmarkEnd w:id="196"/>
    </w:p>
    <w:p w:rsidR="00E921E5" w:rsidRDefault="00E921E5" w:rsidP="00E921E5"/>
    <w:p w:rsidR="00E921E5"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Уставът на дружеството, приет с решение на </w:t>
      </w:r>
      <w:r>
        <w:rPr>
          <w:rFonts w:ascii="Times New Roman" w:hAnsi="Times New Roman" w:cs="Times New Roman"/>
          <w:sz w:val="24"/>
          <w:szCs w:val="24"/>
        </w:rPr>
        <w:t xml:space="preserve">извънредно </w:t>
      </w:r>
      <w:r w:rsidRPr="007A49F2">
        <w:rPr>
          <w:rFonts w:ascii="Times New Roman" w:hAnsi="Times New Roman" w:cs="Times New Roman"/>
          <w:sz w:val="24"/>
          <w:szCs w:val="24"/>
        </w:rPr>
        <w:t xml:space="preserve">ОСА, проведено </w:t>
      </w:r>
      <w:r w:rsidRPr="00096CB1">
        <w:rPr>
          <w:rFonts w:ascii="Times New Roman" w:hAnsi="Times New Roman" w:cs="Times New Roman"/>
          <w:sz w:val="24"/>
          <w:szCs w:val="24"/>
        </w:rPr>
        <w:t xml:space="preserve">на </w:t>
      </w:r>
      <w:r w:rsidR="00096CB1" w:rsidRPr="00096CB1">
        <w:rPr>
          <w:rFonts w:ascii="Times New Roman" w:hAnsi="Times New Roman" w:cs="Times New Roman"/>
          <w:sz w:val="24"/>
          <w:szCs w:val="24"/>
          <w:lang w:val="en-US"/>
        </w:rPr>
        <w:t>10</w:t>
      </w:r>
      <w:r w:rsidRPr="00096CB1">
        <w:rPr>
          <w:rFonts w:ascii="Times New Roman" w:hAnsi="Times New Roman" w:cs="Times New Roman"/>
          <w:sz w:val="24"/>
          <w:szCs w:val="24"/>
        </w:rPr>
        <w:t>.05.2012 г.</w:t>
      </w:r>
      <w:r w:rsidRPr="00E47843">
        <w:rPr>
          <w:rFonts w:ascii="Times New Roman" w:hAnsi="Times New Roman" w:cs="Times New Roman"/>
          <w:sz w:val="24"/>
          <w:szCs w:val="24"/>
        </w:rPr>
        <w:t>,</w:t>
      </w:r>
      <w:r w:rsidRPr="007A49F2">
        <w:rPr>
          <w:rFonts w:ascii="Times New Roman" w:hAnsi="Times New Roman" w:cs="Times New Roman"/>
          <w:sz w:val="24"/>
          <w:szCs w:val="24"/>
        </w:rPr>
        <w:t xml:space="preserve"> под условие, че дружеството придобие публичен статут, е съобразен с изискванията на ЗППЦК и подзаконовите нормативни актове </w:t>
      </w:r>
      <w:r>
        <w:rPr>
          <w:rFonts w:ascii="Times New Roman" w:hAnsi="Times New Roman" w:cs="Times New Roman"/>
          <w:sz w:val="24"/>
          <w:szCs w:val="24"/>
        </w:rPr>
        <w:t>действащи към датата наприеменето му.</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 В случай, че някои разпоредби на Устава, приет под условие, противоречат на ЗППЦК и ТЗ, с предимство се прилагат законовите разпоредби, а при несъответствие между специалния закон (ЗППЦК) и общия закон (ТЗ), се прилага специалният - ЗППЦК.</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В устава на дружеството, приет под условие, че дружеството придобие публичен статут, не са предвидени ограничения относно прехвърлянето на акции на дружеството - те са свободно прехвърлими ценни книжа.</w:t>
      </w: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197" w:name="bookmark48"/>
      <w:r w:rsidRPr="00E921E5">
        <w:rPr>
          <w:rFonts w:ascii="Times New Roman" w:hAnsi="Times New Roman"/>
          <w:b w:val="0"/>
          <w:i/>
          <w:sz w:val="24"/>
          <w:szCs w:val="24"/>
        </w:rPr>
        <w:tab/>
      </w:r>
      <w:bookmarkStart w:id="198" w:name="_Toc324376974"/>
      <w:bookmarkStart w:id="199" w:name="_Toc324377153"/>
      <w:bookmarkStart w:id="200" w:name="_Toc324377584"/>
      <w:bookmarkStart w:id="201" w:name="_Toc324380133"/>
      <w:r w:rsidRPr="00E921E5">
        <w:rPr>
          <w:rFonts w:ascii="Times New Roman" w:hAnsi="Times New Roman"/>
          <w:b w:val="0"/>
          <w:i/>
          <w:sz w:val="24"/>
          <w:szCs w:val="24"/>
        </w:rPr>
        <w:t>Описание на предмета на дейност и целите на емитента и къде същите могат</w:t>
      </w:r>
      <w:bookmarkEnd w:id="197"/>
      <w:r w:rsidRPr="00E921E5">
        <w:rPr>
          <w:rFonts w:ascii="Times New Roman" w:hAnsi="Times New Roman"/>
          <w:b w:val="0"/>
          <w:i/>
          <w:sz w:val="24"/>
          <w:szCs w:val="24"/>
        </w:rPr>
        <w:t xml:space="preserve"> да бъдат намерени в устава</w:t>
      </w:r>
      <w:bookmarkEnd w:id="198"/>
      <w:bookmarkEnd w:id="199"/>
      <w:bookmarkEnd w:id="200"/>
      <w:bookmarkEnd w:id="201"/>
    </w:p>
    <w:p w:rsidR="00E921E5" w:rsidRPr="00E47843"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E47843">
        <w:rPr>
          <w:rFonts w:ascii="Times New Roman" w:hAnsi="Times New Roman" w:cs="Times New Roman"/>
          <w:sz w:val="24"/>
          <w:szCs w:val="24"/>
        </w:rPr>
        <w:t>Съгласно чл. 5, ал. 1 от устава на „Спиди“  ЕАД, предметът на дейност на дружеството е предоставяне на куриерски услуги, спедиторска дейност, обработка, складиране и дистрибуция на документи, стоки и товари, вътрешене и международен транспорт, внос и износ на стоки, търговско представителство и посредничество на български и чуждестранни физически и юридически лица и всяка друга дейност, за която няма забрана, установена със закон.</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p>
    <w:p w:rsidR="00E921E5" w:rsidRPr="00E921E5" w:rsidRDefault="00E921E5" w:rsidP="00E921E5">
      <w:pPr>
        <w:pStyle w:val="Heading1"/>
        <w:numPr>
          <w:ilvl w:val="2"/>
          <w:numId w:val="11"/>
        </w:numPr>
        <w:ind w:left="1418" w:hanging="851"/>
        <w:rPr>
          <w:rFonts w:ascii="Times New Roman" w:hAnsi="Times New Roman"/>
          <w:b w:val="0"/>
          <w:i/>
          <w:sz w:val="24"/>
          <w:szCs w:val="24"/>
        </w:rPr>
      </w:pPr>
      <w:r w:rsidRPr="00E921E5">
        <w:rPr>
          <w:rFonts w:ascii="Times New Roman" w:hAnsi="Times New Roman"/>
          <w:b w:val="0"/>
          <w:i/>
          <w:sz w:val="24"/>
          <w:szCs w:val="24"/>
        </w:rPr>
        <w:tab/>
      </w:r>
      <w:bookmarkStart w:id="202" w:name="_Toc324376975"/>
      <w:bookmarkStart w:id="203" w:name="_Toc324377154"/>
      <w:bookmarkStart w:id="204" w:name="_Toc324377585"/>
      <w:bookmarkStart w:id="205" w:name="_Toc324380134"/>
      <w:r w:rsidRPr="00E921E5">
        <w:rPr>
          <w:rFonts w:ascii="Times New Roman" w:hAnsi="Times New Roman"/>
          <w:b w:val="0"/>
          <w:i/>
          <w:sz w:val="24"/>
          <w:szCs w:val="24"/>
        </w:rPr>
        <w:t>Резюме на всякакви разпоредби на учредителния договор, устава, хартата, или правилниците във връзка с членовете на административните, управителните и надзорни органи</w:t>
      </w:r>
      <w:bookmarkEnd w:id="202"/>
      <w:bookmarkEnd w:id="203"/>
      <w:bookmarkEnd w:id="204"/>
      <w:bookmarkEnd w:id="205"/>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Всички разпоредби в Устава и вътрешните актове на </w:t>
      </w:r>
      <w:r>
        <w:rPr>
          <w:rFonts w:ascii="Times New Roman" w:hAnsi="Times New Roman" w:cs="Times New Roman"/>
          <w:sz w:val="24"/>
          <w:szCs w:val="24"/>
        </w:rPr>
        <w:t>„Спиди“</w:t>
      </w:r>
      <w:r w:rsidRPr="007A49F2">
        <w:rPr>
          <w:rFonts w:ascii="Times New Roman" w:hAnsi="Times New Roman" w:cs="Times New Roman"/>
          <w:sz w:val="24"/>
          <w:szCs w:val="24"/>
        </w:rPr>
        <w:t xml:space="preserve"> </w:t>
      </w:r>
      <w:r>
        <w:rPr>
          <w:rFonts w:ascii="Times New Roman" w:hAnsi="Times New Roman" w:cs="Times New Roman"/>
          <w:sz w:val="24"/>
          <w:szCs w:val="24"/>
        </w:rPr>
        <w:t>Е</w:t>
      </w:r>
      <w:r w:rsidRPr="007A49F2">
        <w:rPr>
          <w:rFonts w:ascii="Times New Roman" w:hAnsi="Times New Roman" w:cs="Times New Roman"/>
          <w:sz w:val="24"/>
          <w:szCs w:val="24"/>
        </w:rPr>
        <w:t>АД относно членовете на СД на дружеството са съобразени с изискв</w:t>
      </w:r>
      <w:r>
        <w:rPr>
          <w:rFonts w:ascii="Times New Roman" w:hAnsi="Times New Roman" w:cs="Times New Roman"/>
          <w:sz w:val="24"/>
          <w:szCs w:val="24"/>
        </w:rPr>
        <w:t>анията на Търговския закон, ЗППЦ</w:t>
      </w:r>
      <w:r w:rsidRPr="007A49F2">
        <w:rPr>
          <w:rFonts w:ascii="Times New Roman" w:hAnsi="Times New Roman" w:cs="Times New Roman"/>
          <w:sz w:val="24"/>
          <w:szCs w:val="24"/>
        </w:rPr>
        <w:t>К и актовете по прилагането му.</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Дружеството има едностепенна система на управление. Органи на Дружеството са:</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общо събрание на акционерите и</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съвет на директорите</w:t>
      </w:r>
    </w:p>
    <w:p w:rsidR="00C953E3"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Общото събрание се състои от всички акционери с право на глас. Правото на глас се упражнява от лицата, вписани в регистъра на „Централен депозитар" АД като акционери най-малко 14 дни преди датата на Общото събрание. Акционерите участват в Общото събрание лично или чрез представител. упълномощаването на представителя трябва винаги да бъде съставено във формата и съобразно изискванията на приложимите нормативни разпоредби. Членовете на Съвета на директорите могат да присъстват на Общото събрание, но без право н</w:t>
      </w:r>
      <w:r w:rsidR="00C953E3">
        <w:rPr>
          <w:rFonts w:ascii="Times New Roman" w:hAnsi="Times New Roman" w:cs="Times New Roman"/>
          <w:sz w:val="24"/>
          <w:szCs w:val="24"/>
        </w:rPr>
        <w:t>а глас, освен ако са акционери.</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Членовете на Съвета на директорите не могат да представляват акционер.</w:t>
      </w:r>
      <w:r w:rsidR="00C953E3" w:rsidRPr="00C953E3">
        <w:rPr>
          <w:rFonts w:ascii="Verdana" w:hAnsi="Verdana" w:cs="Verdana"/>
          <w:color w:val="000000"/>
          <w:sz w:val="20"/>
          <w:szCs w:val="20"/>
        </w:rPr>
        <w:t xml:space="preserve"> </w:t>
      </w:r>
      <w:r w:rsidR="00C953E3">
        <w:rPr>
          <w:rFonts w:ascii="Times New Roman" w:hAnsi="Times New Roman" w:cs="Times New Roman"/>
          <w:sz w:val="24"/>
          <w:szCs w:val="24"/>
        </w:rPr>
        <w:t>Това ограничение</w:t>
      </w:r>
      <w:r w:rsidR="00C953E3" w:rsidRPr="00C953E3">
        <w:rPr>
          <w:rFonts w:ascii="Times New Roman" w:hAnsi="Times New Roman" w:cs="Times New Roman"/>
          <w:sz w:val="24"/>
          <w:szCs w:val="24"/>
        </w:rPr>
        <w:t xml:space="preserve"> не се прилага, ако акционерът изрично е посочил начина на гласуване по всяка от точките от дневния ред.</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В чл. </w:t>
      </w:r>
      <w:r>
        <w:rPr>
          <w:rFonts w:ascii="Times New Roman" w:hAnsi="Times New Roman" w:cs="Times New Roman"/>
          <w:sz w:val="24"/>
          <w:szCs w:val="24"/>
        </w:rPr>
        <w:t>21</w:t>
      </w:r>
      <w:r w:rsidRPr="007A49F2">
        <w:rPr>
          <w:rFonts w:ascii="Times New Roman" w:hAnsi="Times New Roman" w:cs="Times New Roman"/>
          <w:sz w:val="24"/>
          <w:szCs w:val="24"/>
        </w:rPr>
        <w:t xml:space="preserve">, от Устава на </w:t>
      </w:r>
      <w:r>
        <w:rPr>
          <w:rFonts w:ascii="Times New Roman" w:hAnsi="Times New Roman" w:cs="Times New Roman"/>
          <w:sz w:val="24"/>
          <w:szCs w:val="24"/>
        </w:rPr>
        <w:t>„Спиди“</w:t>
      </w:r>
      <w:r w:rsidR="00B0219C">
        <w:rPr>
          <w:rFonts w:ascii="Times New Roman" w:hAnsi="Times New Roman" w:cs="Times New Roman"/>
          <w:sz w:val="24"/>
          <w:szCs w:val="24"/>
        </w:rPr>
        <w:t xml:space="preserve"> </w:t>
      </w:r>
      <w:r>
        <w:rPr>
          <w:rFonts w:ascii="Times New Roman" w:hAnsi="Times New Roman" w:cs="Times New Roman"/>
          <w:sz w:val="24"/>
          <w:szCs w:val="24"/>
        </w:rPr>
        <w:t>Е</w:t>
      </w:r>
      <w:r w:rsidRPr="007A49F2">
        <w:rPr>
          <w:rFonts w:ascii="Times New Roman" w:hAnsi="Times New Roman" w:cs="Times New Roman"/>
          <w:sz w:val="24"/>
          <w:szCs w:val="24"/>
        </w:rPr>
        <w:t>АД е предвидена компетентността на Общото събрание на акционерите. Общото събрание на акционерите:</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 xml:space="preserve">изменя </w:t>
      </w:r>
      <w:r>
        <w:rPr>
          <w:rFonts w:ascii="Times New Roman" w:hAnsi="Times New Roman" w:cs="Times New Roman"/>
          <w:sz w:val="24"/>
          <w:szCs w:val="24"/>
        </w:rPr>
        <w:t xml:space="preserve">и допълва </w:t>
      </w:r>
      <w:r w:rsidRPr="007A49F2">
        <w:rPr>
          <w:rFonts w:ascii="Times New Roman" w:hAnsi="Times New Roman" w:cs="Times New Roman"/>
          <w:sz w:val="24"/>
          <w:szCs w:val="24"/>
        </w:rPr>
        <w:t>устава на Дружеството;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увеличава и намалява капитала на Дружеството;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преобразува и прекратява Дружеството;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избира и освобождава членовете на Съвета на директорите и определя възнаграждението на членовете на Съвета на Директорите, включително правото им да получат част от печалбата на Дружеството, както и да придобият акции и облигации на Дружеството;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назначава и освобождава дипломиран експерт-счетоводител;</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одобрява годишния счетоводен отчет на Дружеството след заверка от назначения дипломиран експерт-счетоводител;</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решава издаването на облигации;</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назначава ликвидатори при прекратяване на Дружеството, освен в случай на несъстоятелност;</w:t>
      </w:r>
    </w:p>
    <w:p w:rsidR="00E921E5"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освобождава от отговорност членовете на Съвета на директорите;</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Pr>
          <w:rFonts w:ascii="Times New Roman" w:hAnsi="Times New Roman" w:cs="Times New Roman"/>
          <w:sz w:val="24"/>
          <w:szCs w:val="24"/>
        </w:rPr>
        <w:t>взима решения в случаите на чл.114, ал. 1 от ЗППЦК;</w:t>
      </w:r>
    </w:p>
    <w:p w:rsidR="00E921E5"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взема решение за разпределяне на печалбата, за попълване на фонд „Резервен" и за изплащане на дивидент;</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Pr>
          <w:rFonts w:ascii="Times New Roman" w:hAnsi="Times New Roman" w:cs="Times New Roman"/>
          <w:sz w:val="24"/>
          <w:szCs w:val="24"/>
        </w:rPr>
        <w:t>избира одитен комитет на дружеството, определя мандата и броя на членовете му;</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решава всички други въпроси, предоставени на неговата компетентност от закона и/или от Устава.</w:t>
      </w:r>
    </w:p>
    <w:p w:rsidR="00E921E5"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Съгласно чл. </w:t>
      </w:r>
      <w:r>
        <w:rPr>
          <w:rFonts w:ascii="Times New Roman" w:hAnsi="Times New Roman" w:cs="Times New Roman"/>
          <w:sz w:val="24"/>
          <w:szCs w:val="24"/>
        </w:rPr>
        <w:t xml:space="preserve">22 </w:t>
      </w:r>
      <w:r w:rsidRPr="007A49F2">
        <w:rPr>
          <w:rFonts w:ascii="Times New Roman" w:hAnsi="Times New Roman" w:cs="Times New Roman"/>
          <w:sz w:val="24"/>
          <w:szCs w:val="24"/>
        </w:rPr>
        <w:t>от Устава на дружеството, Общо събрание се провежда най- малко веднъж годишно в седалището на Дружеството. Общото събрание се свиква от</w:t>
      </w:r>
      <w:r>
        <w:rPr>
          <w:rFonts w:ascii="Times New Roman" w:hAnsi="Times New Roman" w:cs="Times New Roman"/>
          <w:sz w:val="24"/>
          <w:szCs w:val="24"/>
        </w:rPr>
        <w:t xml:space="preserve"> </w:t>
      </w:r>
      <w:r w:rsidRPr="007A49F2">
        <w:rPr>
          <w:rFonts w:ascii="Times New Roman" w:hAnsi="Times New Roman" w:cs="Times New Roman"/>
          <w:sz w:val="24"/>
          <w:szCs w:val="24"/>
        </w:rPr>
        <w:t xml:space="preserve">Съвета на директорите. </w:t>
      </w:r>
    </w:p>
    <w:p w:rsidR="00E921E5"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То може да бъде свикано и по искане на акционерите при условията и по реда на чл. 223 от Търговския закон и/или по реда съгласно чл.118, ал.2, т.3 от ЗППЦК по искане на акционери, които заедно или поотделно притежават най-малко 5 на сто от капитала на Дружеството. </w:t>
      </w:r>
    </w:p>
    <w:p w:rsidR="006C76E1" w:rsidRPr="007A49F2" w:rsidRDefault="006C76E1" w:rsidP="00E47843">
      <w:pPr>
        <w:pStyle w:val="a0"/>
        <w:shd w:val="clear" w:color="auto" w:fill="auto"/>
        <w:spacing w:before="0" w:line="278" w:lineRule="exact"/>
        <w:ind w:left="20" w:right="20" w:firstLine="0"/>
        <w:rPr>
          <w:rFonts w:ascii="Times New Roman" w:hAnsi="Times New Roman" w:cs="Times New Roman"/>
          <w:sz w:val="24"/>
          <w:szCs w:val="24"/>
        </w:rPr>
      </w:pPr>
      <w:r w:rsidRPr="006C76E1">
        <w:rPr>
          <w:rFonts w:ascii="Times New Roman" w:hAnsi="Times New Roman" w:cs="Times New Roman"/>
          <w:sz w:val="24"/>
          <w:szCs w:val="24"/>
        </w:rPr>
        <w:t xml:space="preserve">Най-малко 30 дни преди датата на общото събрание поканата за свикването му трябва да се публикува в търговския регистър и да се оповести, заедно с материалите за общото събрание чрез информационна агенция, която Дружеството използва, за да осигури разпространението на регулирана информация до обществеността. </w:t>
      </w:r>
      <w:r w:rsidRPr="007A49F2">
        <w:rPr>
          <w:rFonts w:ascii="Times New Roman" w:hAnsi="Times New Roman" w:cs="Times New Roman"/>
          <w:sz w:val="24"/>
          <w:szCs w:val="24"/>
        </w:rPr>
        <w:t>Съдържанието на поканата за свикване на Общо Събрание се определя съгласно изискванията на приложимите нормативни разпоредби.</w:t>
      </w:r>
      <w:r>
        <w:rPr>
          <w:rFonts w:ascii="Times New Roman" w:hAnsi="Times New Roman" w:cs="Times New Roman"/>
          <w:sz w:val="24"/>
          <w:szCs w:val="24"/>
        </w:rPr>
        <w:t xml:space="preserve"> </w:t>
      </w:r>
      <w:r w:rsidRPr="006C76E1">
        <w:rPr>
          <w:rFonts w:ascii="Times New Roman" w:hAnsi="Times New Roman" w:cs="Times New Roman"/>
          <w:sz w:val="24"/>
          <w:szCs w:val="24"/>
        </w:rPr>
        <w:t xml:space="preserve">Информационната агенция, чрез която емитентът възнамерява да оповестява регулирана информация е Х3News. В същия срок поканата заедно със свързаните с дневния ред наобщото събрание документи, трябва да бъдат изпратени от емитента на КФН и публикувани на интернет страницата му за времето от обявяване на поканата в търговския регистър до приключване на общото събрание. </w:t>
      </w:r>
      <w:r w:rsidRPr="007A49F2">
        <w:rPr>
          <w:rFonts w:ascii="Times New Roman" w:hAnsi="Times New Roman" w:cs="Times New Roman"/>
          <w:sz w:val="24"/>
          <w:szCs w:val="24"/>
        </w:rPr>
        <w:t>Информацията, публикувана на страницата на публичното дружество в интернет, трябва да е идентична по съдържание с информацията, предоставена на обществеността.</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Съгласно чл. </w:t>
      </w:r>
      <w:r>
        <w:rPr>
          <w:rFonts w:ascii="Times New Roman" w:hAnsi="Times New Roman" w:cs="Times New Roman"/>
          <w:sz w:val="24"/>
          <w:szCs w:val="24"/>
        </w:rPr>
        <w:t xml:space="preserve">30 </w:t>
      </w:r>
      <w:r w:rsidRPr="007A49F2">
        <w:rPr>
          <w:rFonts w:ascii="Times New Roman" w:hAnsi="Times New Roman" w:cs="Times New Roman"/>
          <w:sz w:val="24"/>
          <w:szCs w:val="24"/>
        </w:rPr>
        <w:t xml:space="preserve">от Устава на </w:t>
      </w:r>
      <w:r>
        <w:rPr>
          <w:rFonts w:ascii="Times New Roman" w:hAnsi="Times New Roman" w:cs="Times New Roman"/>
          <w:sz w:val="24"/>
          <w:szCs w:val="24"/>
        </w:rPr>
        <w:t>„Спиди“</w:t>
      </w:r>
      <w:r w:rsidR="00B0219C">
        <w:rPr>
          <w:rFonts w:ascii="Times New Roman" w:hAnsi="Times New Roman" w:cs="Times New Roman"/>
          <w:sz w:val="24"/>
          <w:szCs w:val="24"/>
        </w:rPr>
        <w:t xml:space="preserve"> </w:t>
      </w:r>
      <w:r>
        <w:rPr>
          <w:rFonts w:ascii="Times New Roman" w:hAnsi="Times New Roman" w:cs="Times New Roman"/>
          <w:sz w:val="24"/>
          <w:szCs w:val="24"/>
        </w:rPr>
        <w:t>ЕАД</w:t>
      </w:r>
      <w:r w:rsidRPr="007A49F2">
        <w:rPr>
          <w:rFonts w:ascii="Times New Roman" w:hAnsi="Times New Roman" w:cs="Times New Roman"/>
          <w:sz w:val="24"/>
          <w:szCs w:val="24"/>
        </w:rPr>
        <w:t xml:space="preserve"> Съветът на директорите се състои от 3 (трима)</w:t>
      </w:r>
      <w:r>
        <w:rPr>
          <w:rFonts w:ascii="Times New Roman" w:hAnsi="Times New Roman" w:cs="Times New Roman"/>
          <w:sz w:val="24"/>
          <w:szCs w:val="24"/>
        </w:rPr>
        <w:t xml:space="preserve"> до 9 (девет)</w:t>
      </w:r>
      <w:r w:rsidRPr="007A49F2">
        <w:rPr>
          <w:rFonts w:ascii="Times New Roman" w:hAnsi="Times New Roman" w:cs="Times New Roman"/>
          <w:sz w:val="24"/>
          <w:szCs w:val="24"/>
        </w:rPr>
        <w:t xml:space="preserve"> членове. Мандатът на Съвета на директорите е 5 (пет) години, без ограничение за преизбиране. Членове на Съвета на директорите могат да бъдат както </w:t>
      </w:r>
      <w:r>
        <w:rPr>
          <w:rFonts w:ascii="Times New Roman" w:hAnsi="Times New Roman" w:cs="Times New Roman"/>
          <w:sz w:val="24"/>
          <w:szCs w:val="24"/>
        </w:rPr>
        <w:t xml:space="preserve">дееспособни </w:t>
      </w:r>
      <w:r w:rsidRPr="007A49F2">
        <w:rPr>
          <w:rFonts w:ascii="Times New Roman" w:hAnsi="Times New Roman" w:cs="Times New Roman"/>
          <w:sz w:val="24"/>
          <w:szCs w:val="24"/>
        </w:rPr>
        <w:t xml:space="preserve">физически, така и юридически лица. В последния случай, юридическото лице определя и упълномощава физическо лице, което да упражнява правата и задълженията му на член на Съвета на директорите. </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В чл. </w:t>
      </w:r>
      <w:r>
        <w:rPr>
          <w:rFonts w:ascii="Times New Roman" w:hAnsi="Times New Roman" w:cs="Times New Roman"/>
          <w:sz w:val="24"/>
          <w:szCs w:val="24"/>
        </w:rPr>
        <w:t xml:space="preserve">30, ал. 3 </w:t>
      </w:r>
      <w:r w:rsidRPr="007A49F2">
        <w:rPr>
          <w:rFonts w:ascii="Times New Roman" w:hAnsi="Times New Roman" w:cs="Times New Roman"/>
          <w:sz w:val="24"/>
          <w:szCs w:val="24"/>
        </w:rPr>
        <w:t xml:space="preserve"> от Устава са предвидени условията, на които трябва да отговарят лицата, включени в състава на Съвета на директорите на дружеството. Не могат да бъдат членове на Съвета на директорите на Дружеството лица, които към момента на избора са осъдени с влязла в сила присъда за престъпления против собствеността, против стопанството или против финансовата, данъчната и осигурителната система, извършени в Република България или в чужбина, освен ако са реабилитирани.</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Най-малко една трета от членовете на Съвета на директорите трябва да бъдат независими лица. Независимият член на съвета не може да бъде:</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служител в публичното дружество;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акционер, който притежава пряко или чрез свързани лица най-малко 25 на сто от гласовете в общото събрание или е свързано с публичното дружество лице;</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лице, което е в трайни търговски отношения с публичното дружество;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член на управителен или контролен орган, прокурист или служител на търговско дружество или друго юридическо лице по т. 2 и 3;</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свързано лице с друг член на управителен или контролен орган на публичното дружество.</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Съветът на директорите управлява и представлява Дружеството в съответствие с Устава на дружеството и изискванията на закона.</w:t>
      </w:r>
      <w:r>
        <w:rPr>
          <w:rFonts w:ascii="Times New Roman" w:hAnsi="Times New Roman" w:cs="Times New Roman"/>
          <w:sz w:val="24"/>
          <w:szCs w:val="24"/>
        </w:rPr>
        <w:t xml:space="preserve"> </w:t>
      </w:r>
      <w:r w:rsidRPr="007A49F2">
        <w:rPr>
          <w:rFonts w:ascii="Times New Roman" w:hAnsi="Times New Roman" w:cs="Times New Roman"/>
          <w:sz w:val="24"/>
          <w:szCs w:val="24"/>
        </w:rPr>
        <w:t xml:space="preserve">Съветът на директорите заседава редовно, </w:t>
      </w:r>
      <w:r>
        <w:rPr>
          <w:rFonts w:ascii="Times New Roman" w:hAnsi="Times New Roman" w:cs="Times New Roman"/>
          <w:sz w:val="24"/>
          <w:szCs w:val="24"/>
        </w:rPr>
        <w:t>най-малко два пъти месечно</w:t>
      </w:r>
      <w:r w:rsidRPr="007A49F2">
        <w:rPr>
          <w:rFonts w:ascii="Times New Roman" w:hAnsi="Times New Roman" w:cs="Times New Roman"/>
          <w:sz w:val="24"/>
          <w:szCs w:val="24"/>
        </w:rPr>
        <w:t xml:space="preserve">. </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Съгласно чл. </w:t>
      </w:r>
      <w:r>
        <w:rPr>
          <w:rFonts w:ascii="Times New Roman" w:hAnsi="Times New Roman" w:cs="Times New Roman"/>
          <w:sz w:val="24"/>
          <w:szCs w:val="24"/>
        </w:rPr>
        <w:t>32</w:t>
      </w:r>
      <w:r w:rsidRPr="007A49F2">
        <w:rPr>
          <w:rFonts w:ascii="Times New Roman" w:hAnsi="Times New Roman" w:cs="Times New Roman"/>
          <w:sz w:val="24"/>
          <w:szCs w:val="24"/>
        </w:rPr>
        <w:t>, ал. 2</w:t>
      </w:r>
      <w:r>
        <w:rPr>
          <w:rFonts w:ascii="Times New Roman" w:hAnsi="Times New Roman" w:cs="Times New Roman"/>
          <w:sz w:val="24"/>
          <w:szCs w:val="24"/>
        </w:rPr>
        <w:t xml:space="preserve">, т. 10 </w:t>
      </w:r>
      <w:r w:rsidRPr="007A49F2">
        <w:rPr>
          <w:rFonts w:ascii="Times New Roman" w:hAnsi="Times New Roman" w:cs="Times New Roman"/>
          <w:sz w:val="24"/>
          <w:szCs w:val="24"/>
        </w:rPr>
        <w:t xml:space="preserve"> от Устава, Съветът на директорите на </w:t>
      </w:r>
      <w:r>
        <w:rPr>
          <w:rFonts w:ascii="Times New Roman" w:hAnsi="Times New Roman" w:cs="Times New Roman"/>
          <w:sz w:val="24"/>
          <w:szCs w:val="24"/>
        </w:rPr>
        <w:t xml:space="preserve">„Спиди“ </w:t>
      </w:r>
      <w:r w:rsidRPr="007A49F2">
        <w:rPr>
          <w:rFonts w:ascii="Times New Roman" w:hAnsi="Times New Roman" w:cs="Times New Roman"/>
          <w:sz w:val="24"/>
          <w:szCs w:val="24"/>
        </w:rPr>
        <w:t xml:space="preserve"> </w:t>
      </w:r>
      <w:r>
        <w:rPr>
          <w:rFonts w:ascii="Times New Roman" w:hAnsi="Times New Roman" w:cs="Times New Roman"/>
          <w:sz w:val="24"/>
          <w:szCs w:val="24"/>
        </w:rPr>
        <w:t>Е</w:t>
      </w:r>
      <w:r w:rsidRPr="007A49F2">
        <w:rPr>
          <w:rFonts w:ascii="Times New Roman" w:hAnsi="Times New Roman" w:cs="Times New Roman"/>
          <w:sz w:val="24"/>
          <w:szCs w:val="24"/>
        </w:rPr>
        <w:t xml:space="preserve">АД, в срок 5 години от </w:t>
      </w:r>
      <w:r>
        <w:rPr>
          <w:rFonts w:ascii="Times New Roman" w:hAnsi="Times New Roman" w:cs="Times New Roman"/>
          <w:sz w:val="24"/>
          <w:szCs w:val="24"/>
        </w:rPr>
        <w:t>датата на вземане на това решение от ОСА</w:t>
      </w:r>
      <w:r w:rsidRPr="007A49F2">
        <w:rPr>
          <w:rFonts w:ascii="Times New Roman" w:hAnsi="Times New Roman" w:cs="Times New Roman"/>
          <w:sz w:val="24"/>
          <w:szCs w:val="24"/>
        </w:rPr>
        <w:t xml:space="preserve"> може да вземе решение за увеличаване на капитала на дружеството до </w:t>
      </w:r>
      <w:r>
        <w:rPr>
          <w:rFonts w:ascii="Times New Roman" w:hAnsi="Times New Roman" w:cs="Times New Roman"/>
          <w:sz w:val="24"/>
          <w:szCs w:val="24"/>
        </w:rPr>
        <w:t>2</w:t>
      </w:r>
      <w:r w:rsidRPr="007A49F2">
        <w:rPr>
          <w:rFonts w:ascii="Times New Roman" w:hAnsi="Times New Roman" w:cs="Times New Roman"/>
          <w:sz w:val="24"/>
          <w:szCs w:val="24"/>
        </w:rPr>
        <w:t>0,000,000 (</w:t>
      </w:r>
      <w:r>
        <w:rPr>
          <w:rFonts w:ascii="Times New Roman" w:hAnsi="Times New Roman" w:cs="Times New Roman"/>
          <w:sz w:val="24"/>
          <w:szCs w:val="24"/>
        </w:rPr>
        <w:t>двадесет</w:t>
      </w:r>
      <w:r w:rsidRPr="007A49F2">
        <w:rPr>
          <w:rFonts w:ascii="Times New Roman" w:hAnsi="Times New Roman" w:cs="Times New Roman"/>
          <w:sz w:val="24"/>
          <w:szCs w:val="24"/>
        </w:rPr>
        <w:t xml:space="preserve"> милиона) лв., чрез издаване на нови акции.</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Мандатът на всеки член на Съвета на директорите може да бъде прекратен при:</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изтичане на мандата, освен ако бъде подновен;</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неговото/нейното освобождаване по решение на Общото събрание;</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подаване от директор на писмено уведомление за освобождаване от длъжност като член на Съвета на директорите при спазване на съответните изисквания по Търговския закон.</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Членовете на Съвета на директорите предоставят гаранция за тяхното управление в размер, определен от Общото събрание, но не по-малко тримесечното им възнаграждение.</w:t>
      </w:r>
    </w:p>
    <w:p w:rsidR="00E921E5"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По отношение на третите лица Дружеството се представлява от </w:t>
      </w:r>
      <w:r>
        <w:rPr>
          <w:rFonts w:ascii="Times New Roman" w:hAnsi="Times New Roman" w:cs="Times New Roman"/>
          <w:sz w:val="24"/>
          <w:szCs w:val="24"/>
        </w:rPr>
        <w:t>Изпълнителния директор</w:t>
      </w:r>
      <w:r w:rsidRPr="007A49F2">
        <w:rPr>
          <w:rFonts w:ascii="Times New Roman" w:hAnsi="Times New Roman" w:cs="Times New Roman"/>
          <w:sz w:val="24"/>
          <w:szCs w:val="24"/>
        </w:rPr>
        <w:t>.</w:t>
      </w:r>
    </w:p>
    <w:p w:rsidR="00E921E5"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Pr>
          <w:rFonts w:ascii="Times New Roman" w:hAnsi="Times New Roman" w:cs="Times New Roman"/>
          <w:sz w:val="24"/>
          <w:szCs w:val="24"/>
        </w:rPr>
        <w:t>Съгласно чл. 39, ал. 2 от Устава Изпълнителният директор:</w:t>
      </w:r>
    </w:p>
    <w:p w:rsidR="00E921E5" w:rsidRPr="00E47843"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E47843">
        <w:rPr>
          <w:rFonts w:ascii="Times New Roman" w:hAnsi="Times New Roman" w:cs="Times New Roman"/>
          <w:sz w:val="24"/>
          <w:szCs w:val="24"/>
        </w:rPr>
        <w:t xml:space="preserve">Организира изпълнението на решенията на Общото събрание на акционерите и на Съвета на директорите; </w:t>
      </w:r>
    </w:p>
    <w:p w:rsidR="00E921E5" w:rsidRPr="00E47843"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E47843">
        <w:rPr>
          <w:rFonts w:ascii="Times New Roman" w:hAnsi="Times New Roman" w:cs="Times New Roman"/>
          <w:sz w:val="24"/>
          <w:szCs w:val="24"/>
        </w:rPr>
        <w:t xml:space="preserve">Организира дейността на дружеството, осъществява оперативното му ръковдство, осигурява стопанисването и опазването на неговото имущество; </w:t>
      </w:r>
    </w:p>
    <w:p w:rsidR="00E921E5" w:rsidRPr="00E47843"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E47843">
        <w:rPr>
          <w:rFonts w:ascii="Times New Roman" w:hAnsi="Times New Roman" w:cs="Times New Roman"/>
          <w:sz w:val="24"/>
          <w:szCs w:val="24"/>
        </w:rPr>
        <w:t xml:space="preserve">Сключва и прекратява трудовите договори със служителите на дружеството; </w:t>
      </w:r>
    </w:p>
    <w:p w:rsidR="00E921E5" w:rsidRPr="007A59F9"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E47843">
        <w:rPr>
          <w:rFonts w:ascii="Times New Roman" w:hAnsi="Times New Roman" w:cs="Times New Roman"/>
          <w:sz w:val="24"/>
          <w:szCs w:val="24"/>
        </w:rPr>
        <w:t>Представлява дружеството и изпълнява функциите, които са му възложени от закона или от Съвета на директорите</w:t>
      </w:r>
    </w:p>
    <w:p w:rsidR="00E921E5" w:rsidRPr="007A49F2" w:rsidRDefault="00E921E5" w:rsidP="00E921E5">
      <w:pPr>
        <w:pStyle w:val="a0"/>
        <w:shd w:val="clear" w:color="auto" w:fill="auto"/>
        <w:spacing w:before="0" w:after="192" w:line="278" w:lineRule="exact"/>
        <w:ind w:left="20" w:right="20" w:firstLine="540"/>
        <w:rPr>
          <w:rFonts w:ascii="Times New Roman" w:hAnsi="Times New Roman" w:cs="Times New Roman"/>
          <w:sz w:val="24"/>
          <w:szCs w:val="24"/>
        </w:rPr>
      </w:pPr>
      <w:r w:rsidRPr="007A49F2">
        <w:rPr>
          <w:rFonts w:ascii="Times New Roman" w:hAnsi="Times New Roman" w:cs="Times New Roman"/>
          <w:sz w:val="24"/>
          <w:szCs w:val="24"/>
        </w:rPr>
        <w:t xml:space="preserve"> </w:t>
      </w: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206" w:name="_Toc324376976"/>
      <w:bookmarkStart w:id="207" w:name="_Toc324377155"/>
      <w:bookmarkStart w:id="208" w:name="_Toc324377586"/>
      <w:bookmarkStart w:id="209" w:name="_Toc324380135"/>
      <w:r w:rsidRPr="00E921E5">
        <w:rPr>
          <w:rFonts w:ascii="Times New Roman" w:hAnsi="Times New Roman"/>
          <w:b w:val="0"/>
          <w:i/>
          <w:sz w:val="24"/>
          <w:szCs w:val="24"/>
        </w:rPr>
        <w:t>Описание на правата, преференциите и ограниченията, отнасящи се до всеки клас съществуващи акции.</w:t>
      </w:r>
      <w:bookmarkEnd w:id="206"/>
      <w:bookmarkEnd w:id="207"/>
      <w:bookmarkEnd w:id="208"/>
      <w:bookmarkEnd w:id="209"/>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Съгласно чл. 6 от Устава Капиталът на Дружеството е разделен на </w:t>
      </w:r>
      <w:r>
        <w:rPr>
          <w:rFonts w:ascii="Times New Roman" w:hAnsi="Times New Roman" w:cs="Times New Roman"/>
          <w:sz w:val="24"/>
          <w:szCs w:val="24"/>
        </w:rPr>
        <w:t>1 482</w:t>
      </w:r>
      <w:r w:rsidR="00A77CC8">
        <w:rPr>
          <w:rFonts w:ascii="Times New Roman" w:hAnsi="Times New Roman" w:cs="Times New Roman"/>
          <w:sz w:val="24"/>
          <w:szCs w:val="24"/>
        </w:rPr>
        <w:t xml:space="preserve"> 200 </w:t>
      </w:r>
      <w:r w:rsidRPr="007A49F2">
        <w:rPr>
          <w:rFonts w:ascii="Times New Roman" w:hAnsi="Times New Roman" w:cs="Times New Roman"/>
          <w:sz w:val="24"/>
          <w:szCs w:val="24"/>
        </w:rPr>
        <w:t>(</w:t>
      </w:r>
      <w:r>
        <w:rPr>
          <w:rFonts w:ascii="Times New Roman" w:hAnsi="Times New Roman" w:cs="Times New Roman"/>
          <w:sz w:val="24"/>
          <w:szCs w:val="24"/>
        </w:rPr>
        <w:t>един милион четиристотин осемдесет хиляди и двеста</w:t>
      </w:r>
      <w:r w:rsidRPr="007A49F2">
        <w:rPr>
          <w:rFonts w:ascii="Times New Roman" w:hAnsi="Times New Roman" w:cs="Times New Roman"/>
          <w:sz w:val="24"/>
          <w:szCs w:val="24"/>
        </w:rPr>
        <w:t>) обикновени безналични поименни акции с право на глас с номинална стойност 1 (един) лв. за всяка акция.</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Всички акции образуват един клас от обикновени поименни безналични свободно прехвърляеми акции с право на глас, като всяка акция дава права, еднакви с тези, давани от всяка друга акция. Няма да се издават акции на приносител. Не се допуска издаването на привилегировани акции, даващи право на повече от един глас в Общото събрание или на допълнителен ликвидационен дял. Срещу записаните безналични поименни акции с право на глас акционерите получават поименни удостоверения (депозитарни раз</w:t>
      </w:r>
      <w:r>
        <w:rPr>
          <w:rFonts w:ascii="Times New Roman" w:hAnsi="Times New Roman" w:cs="Times New Roman"/>
          <w:sz w:val="24"/>
          <w:szCs w:val="24"/>
        </w:rPr>
        <w:t xml:space="preserve">писки) от „Централен депозитар“ </w:t>
      </w:r>
      <w:r w:rsidRPr="007A49F2">
        <w:rPr>
          <w:rFonts w:ascii="Times New Roman" w:hAnsi="Times New Roman" w:cs="Times New Roman"/>
          <w:sz w:val="24"/>
          <w:szCs w:val="24"/>
        </w:rPr>
        <w:t>АД.</w:t>
      </w:r>
    </w:p>
    <w:p w:rsidR="00E921E5"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Всяка акция дава право на един глас в ОСА, право на дивидент и на ликвидационен дял, съразмерни с номиналната стойност на акцията. </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Уставът на </w:t>
      </w:r>
      <w:r>
        <w:rPr>
          <w:rFonts w:ascii="Times New Roman" w:hAnsi="Times New Roman" w:cs="Times New Roman"/>
          <w:sz w:val="24"/>
          <w:szCs w:val="24"/>
        </w:rPr>
        <w:t>„Спиди“ Е</w:t>
      </w:r>
      <w:r w:rsidRPr="007A49F2">
        <w:rPr>
          <w:rFonts w:ascii="Times New Roman" w:hAnsi="Times New Roman" w:cs="Times New Roman"/>
          <w:sz w:val="24"/>
          <w:szCs w:val="24"/>
        </w:rPr>
        <w:t>АД не предвижда ограничения при упражняване на правата по акциите.</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Съгласно разпоредбата на чл. </w:t>
      </w:r>
      <w:r>
        <w:rPr>
          <w:rFonts w:ascii="Times New Roman" w:hAnsi="Times New Roman" w:cs="Times New Roman"/>
          <w:sz w:val="24"/>
          <w:szCs w:val="24"/>
        </w:rPr>
        <w:t>7, ал. 9</w:t>
      </w:r>
      <w:r w:rsidRPr="007A49F2">
        <w:rPr>
          <w:rFonts w:ascii="Times New Roman" w:hAnsi="Times New Roman" w:cs="Times New Roman"/>
          <w:sz w:val="24"/>
          <w:szCs w:val="24"/>
        </w:rPr>
        <w:t xml:space="preserve"> от Устава прехвърлянето на акциите се извършва свободно между акционери и трети лица. Прехвърлянето на акции на дружеството има действие от момента на вписване на сделката в ре</w:t>
      </w:r>
      <w:r>
        <w:rPr>
          <w:rFonts w:ascii="Times New Roman" w:hAnsi="Times New Roman" w:cs="Times New Roman"/>
          <w:sz w:val="24"/>
          <w:szCs w:val="24"/>
        </w:rPr>
        <w:t>гистъра на „Централен депозитар“</w:t>
      </w:r>
      <w:r w:rsidRPr="007A49F2">
        <w:rPr>
          <w:rFonts w:ascii="Times New Roman" w:hAnsi="Times New Roman" w:cs="Times New Roman"/>
          <w:sz w:val="24"/>
          <w:szCs w:val="24"/>
        </w:rPr>
        <w:t xml:space="preserve"> АД.</w:t>
      </w: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210" w:name="_Toc324376977"/>
      <w:bookmarkStart w:id="211" w:name="_Toc324377156"/>
      <w:bookmarkStart w:id="212" w:name="_Toc324377587"/>
      <w:bookmarkStart w:id="213" w:name="_Toc324380136"/>
      <w:r w:rsidRPr="00E921E5">
        <w:rPr>
          <w:rFonts w:ascii="Times New Roman" w:hAnsi="Times New Roman"/>
          <w:b w:val="0"/>
          <w:i/>
          <w:sz w:val="24"/>
          <w:szCs w:val="24"/>
        </w:rPr>
        <w:t>Право на дивидент</w:t>
      </w:r>
      <w:bookmarkEnd w:id="210"/>
      <w:bookmarkEnd w:id="211"/>
      <w:bookmarkEnd w:id="212"/>
      <w:bookmarkEnd w:id="213"/>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Всяка обикновена акция дава право на дивидент, съразмерно с номиналната й стойност.</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Pr>
          <w:rFonts w:ascii="Times New Roman" w:hAnsi="Times New Roman" w:cs="Times New Roman"/>
          <w:sz w:val="24"/>
          <w:szCs w:val="24"/>
        </w:rPr>
        <w:t xml:space="preserve">„Спиди“ </w:t>
      </w:r>
      <w:r w:rsidRPr="007A49F2">
        <w:rPr>
          <w:rFonts w:ascii="Times New Roman" w:hAnsi="Times New Roman" w:cs="Times New Roman"/>
          <w:sz w:val="24"/>
          <w:szCs w:val="24"/>
        </w:rPr>
        <w:t xml:space="preserve"> </w:t>
      </w:r>
      <w:r>
        <w:rPr>
          <w:rFonts w:ascii="Times New Roman" w:hAnsi="Times New Roman" w:cs="Times New Roman"/>
          <w:sz w:val="24"/>
          <w:szCs w:val="24"/>
        </w:rPr>
        <w:t>Е</w:t>
      </w:r>
      <w:r w:rsidRPr="007A49F2">
        <w:rPr>
          <w:rFonts w:ascii="Times New Roman" w:hAnsi="Times New Roman" w:cs="Times New Roman"/>
          <w:sz w:val="24"/>
          <w:szCs w:val="24"/>
        </w:rPr>
        <w:t>АД разпределя дивиденти по реда и при условията, предвидени в Търговския закон, Закона за публичното предлагане на ценни книжа и Устава на Дружеството</w:t>
      </w:r>
      <w:r>
        <w:rPr>
          <w:rFonts w:ascii="Times New Roman" w:hAnsi="Times New Roman" w:cs="Times New Roman"/>
          <w:sz w:val="24"/>
          <w:szCs w:val="24"/>
        </w:rPr>
        <w:t xml:space="preserve"> – регламентирано в чл. 17 от Устава</w:t>
      </w:r>
      <w:r w:rsidRPr="007A49F2">
        <w:rPr>
          <w:rFonts w:ascii="Times New Roman" w:hAnsi="Times New Roman" w:cs="Times New Roman"/>
          <w:sz w:val="24"/>
          <w:szCs w:val="24"/>
        </w:rPr>
        <w:t>.</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Общото събрание взема решение за разпределяне на дивиденти след одобрение на счетоводните отчети и в съответствие с предвиденото в закона.</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В случай, че Общото събрание на акционерите приеме решение за това, печалбата на дружеството се разпределя като дивидент в съответствие с Устава и при спазване ограниченията на чл. 247а от Търговския закон. Разходите по изплащането на дивидента са за сметка на Дружеството.</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В съответствие с изискването на чл. 115в от ЗППЦК правото да получат дивидент имат лицата, вписани в регистрите на </w:t>
      </w:r>
      <w:r>
        <w:rPr>
          <w:rFonts w:ascii="Times New Roman" w:hAnsi="Times New Roman" w:cs="Times New Roman"/>
          <w:sz w:val="24"/>
          <w:szCs w:val="24"/>
        </w:rPr>
        <w:t>„Централен депозитар“ АД</w:t>
      </w:r>
      <w:r w:rsidRPr="007A49F2">
        <w:rPr>
          <w:rFonts w:ascii="Times New Roman" w:hAnsi="Times New Roman" w:cs="Times New Roman"/>
          <w:sz w:val="24"/>
          <w:szCs w:val="24"/>
        </w:rPr>
        <w:t xml:space="preserve">, като акционери на 14 -ия ден след деня на ОСА, на което е приет годишният финансов отчет и е взето решение за разпределение на печалбата. </w:t>
      </w:r>
      <w:r>
        <w:rPr>
          <w:rFonts w:ascii="Times New Roman" w:hAnsi="Times New Roman" w:cs="Times New Roman"/>
          <w:sz w:val="24"/>
          <w:szCs w:val="24"/>
        </w:rPr>
        <w:t>„Централен депозитар“ АД п</w:t>
      </w:r>
      <w:r w:rsidRPr="007A49F2">
        <w:rPr>
          <w:rFonts w:ascii="Times New Roman" w:hAnsi="Times New Roman" w:cs="Times New Roman"/>
          <w:sz w:val="24"/>
          <w:szCs w:val="24"/>
        </w:rPr>
        <w:t xml:space="preserve">редоставя на Дружеството списък на акционерите към горепосочената дата. Присъствието на лицето в този списък е достатъчно условие </w:t>
      </w:r>
      <w:r>
        <w:rPr>
          <w:rFonts w:ascii="Times New Roman" w:hAnsi="Times New Roman" w:cs="Times New Roman"/>
          <w:sz w:val="24"/>
          <w:szCs w:val="24"/>
        </w:rPr>
        <w:t>същото</w:t>
      </w:r>
      <w:r w:rsidRPr="007A49F2">
        <w:rPr>
          <w:rFonts w:ascii="Times New Roman" w:hAnsi="Times New Roman" w:cs="Times New Roman"/>
          <w:sz w:val="24"/>
          <w:szCs w:val="24"/>
        </w:rPr>
        <w:t xml:space="preserve"> да получи дивидент, след надлежната му легитимация.</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Дружеството е длъжно незабавно да уведоми Комисията за финансов надзор, </w:t>
      </w:r>
      <w:r>
        <w:rPr>
          <w:rFonts w:ascii="Times New Roman" w:hAnsi="Times New Roman" w:cs="Times New Roman"/>
          <w:sz w:val="24"/>
          <w:szCs w:val="24"/>
        </w:rPr>
        <w:t xml:space="preserve">„Централен депозитар“ АД </w:t>
      </w:r>
      <w:r w:rsidRPr="007A49F2">
        <w:rPr>
          <w:rFonts w:ascii="Times New Roman" w:hAnsi="Times New Roman" w:cs="Times New Roman"/>
          <w:sz w:val="24"/>
          <w:szCs w:val="24"/>
        </w:rPr>
        <w:t>и регулирания пазар за решението на общото събрание относно вида и размера на дивидента, както и относно условията и реда за неговото изплащане, включително да посочи поне една финансова институция, чрез която ще се извършват плащанията. След получаване на уведомлението по предходното изречение, регулираният пазар, на който се търгуват акциите, незабавно оповестява последната дата за сключване на сделки с тях, в резултат на които приобретателят на акциите има право да получи дивидента по тях, гласуван на общото събрание.</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Pr>
          <w:rFonts w:ascii="Times New Roman" w:hAnsi="Times New Roman" w:cs="Times New Roman"/>
          <w:sz w:val="24"/>
          <w:szCs w:val="24"/>
        </w:rPr>
        <w:t>Д</w:t>
      </w:r>
      <w:r w:rsidRPr="007A49F2">
        <w:rPr>
          <w:rFonts w:ascii="Times New Roman" w:hAnsi="Times New Roman" w:cs="Times New Roman"/>
          <w:sz w:val="24"/>
          <w:szCs w:val="24"/>
        </w:rPr>
        <w:t>ружеството - емитент е длъжно да осигури изплащането на акционерите на гласувания на ОСА дивидент, в тримесечен срок от провеждането му. Лицата, имащи право на дивидент, които не го потърсят в 3-месечния срок, могат да упражнят това право до изтичане на общия 5-годишен давностен срок, след което правото се погасява и неполучените дивиденти остават в Дружеството.</w:t>
      </w:r>
    </w:p>
    <w:p w:rsidR="00E921E5"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Уставът на </w:t>
      </w:r>
      <w:r>
        <w:rPr>
          <w:rFonts w:ascii="Times New Roman" w:hAnsi="Times New Roman" w:cs="Times New Roman"/>
          <w:sz w:val="24"/>
          <w:szCs w:val="24"/>
        </w:rPr>
        <w:t xml:space="preserve">„Спиди“ </w:t>
      </w:r>
      <w:r w:rsidRPr="007A49F2">
        <w:rPr>
          <w:rFonts w:ascii="Times New Roman" w:hAnsi="Times New Roman" w:cs="Times New Roman"/>
          <w:sz w:val="24"/>
          <w:szCs w:val="24"/>
        </w:rPr>
        <w:t xml:space="preserve"> </w:t>
      </w:r>
      <w:r>
        <w:rPr>
          <w:rFonts w:ascii="Times New Roman" w:hAnsi="Times New Roman" w:cs="Times New Roman"/>
          <w:sz w:val="24"/>
          <w:szCs w:val="24"/>
        </w:rPr>
        <w:t>Е</w:t>
      </w:r>
      <w:r w:rsidRPr="007A49F2">
        <w:rPr>
          <w:rFonts w:ascii="Times New Roman" w:hAnsi="Times New Roman" w:cs="Times New Roman"/>
          <w:sz w:val="24"/>
          <w:szCs w:val="24"/>
        </w:rPr>
        <w:t>АД не предвижда ограничения за разпределянето на дивидент, както и процедури за получаване на дивиденти от непребиваващи държатели.</w:t>
      </w:r>
    </w:p>
    <w:p w:rsidR="00E921E5" w:rsidRPr="007A49F2" w:rsidRDefault="00E921E5" w:rsidP="00E921E5">
      <w:pPr>
        <w:pStyle w:val="a0"/>
        <w:shd w:val="clear" w:color="auto" w:fill="auto"/>
        <w:spacing w:before="0" w:after="0" w:line="278" w:lineRule="exact"/>
        <w:ind w:left="20" w:right="260" w:firstLine="360"/>
        <w:rPr>
          <w:rFonts w:ascii="Times New Roman" w:hAnsi="Times New Roman" w:cs="Times New Roman"/>
          <w:sz w:val="24"/>
          <w:szCs w:val="24"/>
        </w:rPr>
      </w:pP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214" w:name="_Toc324376978"/>
      <w:bookmarkStart w:id="215" w:name="_Toc324377157"/>
      <w:bookmarkStart w:id="216" w:name="_Toc324377588"/>
      <w:bookmarkStart w:id="217" w:name="_Toc324380137"/>
      <w:r w:rsidRPr="00E921E5">
        <w:rPr>
          <w:rFonts w:ascii="Times New Roman" w:hAnsi="Times New Roman"/>
          <w:b w:val="0"/>
          <w:i/>
          <w:sz w:val="24"/>
          <w:szCs w:val="24"/>
        </w:rPr>
        <w:t>Право на глас</w:t>
      </w:r>
      <w:bookmarkEnd w:id="214"/>
      <w:bookmarkEnd w:id="215"/>
      <w:bookmarkEnd w:id="216"/>
      <w:bookmarkEnd w:id="217"/>
    </w:p>
    <w:p w:rsidR="00E921E5"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Всяка акция дава право на 1 (един) глас в ОСА на Дружеството. Правото на глас в ОСА се упражнява от лицата, вписани в регистрите на </w:t>
      </w:r>
      <w:r>
        <w:rPr>
          <w:rFonts w:ascii="Times New Roman" w:hAnsi="Times New Roman" w:cs="Times New Roman"/>
          <w:sz w:val="24"/>
          <w:szCs w:val="24"/>
        </w:rPr>
        <w:t xml:space="preserve">„Централен депозитар“ АД </w:t>
      </w:r>
      <w:r w:rsidRPr="007A49F2">
        <w:rPr>
          <w:rFonts w:ascii="Times New Roman" w:hAnsi="Times New Roman" w:cs="Times New Roman"/>
          <w:sz w:val="24"/>
          <w:szCs w:val="24"/>
        </w:rPr>
        <w:t xml:space="preserve">като акционери 14 (четиринадесет) дни преди датата на ОСА. </w:t>
      </w:r>
    </w:p>
    <w:p w:rsidR="00E921E5"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Pr>
          <w:rFonts w:ascii="Times New Roman" w:hAnsi="Times New Roman" w:cs="Times New Roman"/>
          <w:sz w:val="24"/>
          <w:szCs w:val="24"/>
        </w:rPr>
        <w:t>„Централен депозитар“ АД</w:t>
      </w:r>
      <w:r w:rsidRPr="007A49F2">
        <w:rPr>
          <w:rFonts w:ascii="Times New Roman" w:hAnsi="Times New Roman" w:cs="Times New Roman"/>
          <w:sz w:val="24"/>
          <w:szCs w:val="24"/>
        </w:rPr>
        <w:t xml:space="preserve"> предоставя на Дружеството списък на акционерите към горепосочената дата (14 дни преди Общото събрание на акционерите). Присъствието на лицето в този списък е достатъчно условие то да участва в общото събрание и да упражни правото си на глас, след надлежната му легитимация. Притежателите на правото на глас участват в ОСА лично или чрез представител. </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Писменото пълномощно за представляване на акционер в ОСА на </w:t>
      </w:r>
      <w:r>
        <w:rPr>
          <w:rFonts w:ascii="Times New Roman" w:hAnsi="Times New Roman" w:cs="Times New Roman"/>
          <w:sz w:val="24"/>
          <w:szCs w:val="24"/>
        </w:rPr>
        <w:t xml:space="preserve">„Спиди“ </w:t>
      </w:r>
      <w:r w:rsidRPr="007A49F2">
        <w:rPr>
          <w:rFonts w:ascii="Times New Roman" w:hAnsi="Times New Roman" w:cs="Times New Roman"/>
          <w:sz w:val="24"/>
          <w:szCs w:val="24"/>
        </w:rPr>
        <w:t xml:space="preserve"> </w:t>
      </w:r>
      <w:r>
        <w:rPr>
          <w:rFonts w:ascii="Times New Roman" w:hAnsi="Times New Roman" w:cs="Times New Roman"/>
          <w:sz w:val="24"/>
          <w:szCs w:val="24"/>
        </w:rPr>
        <w:t>Е</w:t>
      </w:r>
      <w:r w:rsidRPr="007A49F2">
        <w:rPr>
          <w:rFonts w:ascii="Times New Roman" w:hAnsi="Times New Roman" w:cs="Times New Roman"/>
          <w:sz w:val="24"/>
          <w:szCs w:val="24"/>
        </w:rPr>
        <w:t>АД трябва да бъде за конкретно общо събрание, да е изрично и да има минималното съдържание, определено в чл. 116, ал. 1 от ЗППЦК.</w:t>
      </w: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218" w:name="_Toc324376979"/>
      <w:bookmarkStart w:id="219" w:name="_Toc324377158"/>
      <w:bookmarkStart w:id="220" w:name="_Toc324377589"/>
      <w:bookmarkStart w:id="221" w:name="_Toc324380138"/>
      <w:r w:rsidRPr="00E921E5">
        <w:rPr>
          <w:rFonts w:ascii="Times New Roman" w:hAnsi="Times New Roman"/>
          <w:b w:val="0"/>
          <w:i/>
          <w:sz w:val="24"/>
          <w:szCs w:val="24"/>
        </w:rPr>
        <w:t>Право на ликвидационен дял</w:t>
      </w:r>
      <w:bookmarkEnd w:id="218"/>
      <w:bookmarkEnd w:id="219"/>
      <w:bookmarkEnd w:id="220"/>
      <w:bookmarkEnd w:id="221"/>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Всяка обикновена акция дава право на ликвидационен дял, съразмерно с номиналната й стойност. Това право е условно - то възниква и може да бъде упражнено само в случай, че (и доколкото) при ликвидацията на Дружеството след удовлетворяването на претенциите на всички кредитори е останало имущество за разпределяне между акционерите и до размера на това имущество.</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С право на ликвидационен дял разполагат само лицата, вписани в регистрите на </w:t>
      </w:r>
      <w:r>
        <w:rPr>
          <w:rFonts w:ascii="Times New Roman" w:hAnsi="Times New Roman" w:cs="Times New Roman"/>
          <w:sz w:val="24"/>
          <w:szCs w:val="24"/>
        </w:rPr>
        <w:t>„Централен депозитар“ АД</w:t>
      </w:r>
      <w:r w:rsidRPr="007A49F2">
        <w:rPr>
          <w:rFonts w:ascii="Times New Roman" w:hAnsi="Times New Roman" w:cs="Times New Roman"/>
          <w:sz w:val="24"/>
          <w:szCs w:val="24"/>
        </w:rPr>
        <w:t xml:space="preserve"> като акционери към момента на прекратяване на Дружеството.</w:t>
      </w: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222" w:name="_Toc324376980"/>
      <w:bookmarkStart w:id="223" w:name="_Toc324377159"/>
      <w:bookmarkStart w:id="224" w:name="_Toc324377590"/>
      <w:bookmarkStart w:id="225" w:name="_Toc324380139"/>
      <w:r w:rsidRPr="00E921E5">
        <w:rPr>
          <w:rFonts w:ascii="Times New Roman" w:hAnsi="Times New Roman"/>
          <w:b w:val="0"/>
          <w:i/>
          <w:sz w:val="24"/>
          <w:szCs w:val="24"/>
        </w:rPr>
        <w:t>Допълнителни права, които дават акциите:</w:t>
      </w:r>
      <w:bookmarkEnd w:id="222"/>
      <w:bookmarkEnd w:id="223"/>
      <w:bookmarkEnd w:id="224"/>
      <w:bookmarkEnd w:id="225"/>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право на всеки акционер при увеличение на капитала да придобие акции, които съответстват на неговия дял в капитала преди увеличението.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право на участие в управлението, чрез решаване на въпросите от компетентността на ОСА.</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право на информация, в това число и правото на предварително запознаване с писмените материали по обявения дневен ред на ОСА и свободното им получаване при поискване.</w:t>
      </w:r>
    </w:p>
    <w:p w:rsidR="00E921E5" w:rsidRPr="007A49F2"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Уставът на </w:t>
      </w:r>
      <w:r>
        <w:rPr>
          <w:rFonts w:ascii="Times New Roman" w:hAnsi="Times New Roman" w:cs="Times New Roman"/>
          <w:sz w:val="24"/>
          <w:szCs w:val="24"/>
        </w:rPr>
        <w:t>„Спиди“</w:t>
      </w:r>
      <w:r w:rsidRPr="007A49F2">
        <w:rPr>
          <w:rFonts w:ascii="Times New Roman" w:hAnsi="Times New Roman" w:cs="Times New Roman"/>
          <w:sz w:val="24"/>
          <w:szCs w:val="24"/>
        </w:rPr>
        <w:t xml:space="preserve"> </w:t>
      </w:r>
      <w:r>
        <w:rPr>
          <w:rFonts w:ascii="Times New Roman" w:hAnsi="Times New Roman" w:cs="Times New Roman"/>
          <w:sz w:val="24"/>
          <w:szCs w:val="24"/>
        </w:rPr>
        <w:t>Е</w:t>
      </w:r>
      <w:r w:rsidRPr="007A49F2">
        <w:rPr>
          <w:rFonts w:ascii="Times New Roman" w:hAnsi="Times New Roman" w:cs="Times New Roman"/>
          <w:sz w:val="24"/>
          <w:szCs w:val="24"/>
        </w:rPr>
        <w:t>АД не предвижда акции, даващи особени права и привилегии на притежателите им.</w:t>
      </w: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226" w:name="_Toc324376981"/>
      <w:bookmarkStart w:id="227" w:name="_Toc324377160"/>
      <w:bookmarkStart w:id="228" w:name="_Toc324377591"/>
      <w:bookmarkStart w:id="229" w:name="_Toc324380140"/>
      <w:r w:rsidRPr="00E921E5">
        <w:rPr>
          <w:rFonts w:ascii="Times New Roman" w:hAnsi="Times New Roman"/>
          <w:b w:val="0"/>
          <w:i/>
          <w:sz w:val="24"/>
          <w:szCs w:val="24"/>
        </w:rPr>
        <w:t>Права на миноритарните акционери:</w:t>
      </w:r>
      <w:bookmarkEnd w:id="226"/>
      <w:bookmarkEnd w:id="227"/>
      <w:bookmarkEnd w:id="228"/>
      <w:bookmarkEnd w:id="229"/>
    </w:p>
    <w:p w:rsidR="00E921E5" w:rsidRPr="00133319" w:rsidRDefault="00E921E5" w:rsidP="00E47843">
      <w:pPr>
        <w:pStyle w:val="a0"/>
        <w:shd w:val="clear" w:color="auto" w:fill="auto"/>
        <w:spacing w:before="0" w:line="278" w:lineRule="exact"/>
        <w:ind w:left="20" w:right="20" w:firstLine="0"/>
        <w:rPr>
          <w:rFonts w:ascii="Times New Roman" w:hAnsi="Times New Roman" w:cs="Times New Roman"/>
          <w:sz w:val="24"/>
          <w:szCs w:val="24"/>
        </w:rPr>
      </w:pPr>
      <w:r w:rsidRPr="00133319">
        <w:rPr>
          <w:rFonts w:ascii="Times New Roman" w:hAnsi="Times New Roman" w:cs="Times New Roman"/>
          <w:sz w:val="24"/>
          <w:szCs w:val="24"/>
        </w:rPr>
        <w:t>Акционери, притежаващи заедно или поотделно не по-малко от 5% (пет процента) от капитала на дружеството, могат:</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при бездействие на управителните му органи, което застрашава интересите на дружеството, да предявят пред съда исковете на Дружеството срещу трети лица. Като страна се призовава и Дружеството;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да предявят иск пред окръжния съд по седалището на Дружеството за обезщетение на вреди, причинени на Дружеството от действия или бездействия на членовете на Съвета на директорите и на прокуристите на Дружеството;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да искат от Общото събрание или от окръжния съд назначаването на контрольори, които да проверят цялата счетоводна документация на Дружеството и да изготвят доклад за констатациите си;</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да искат от окръжния съд свикване на Общо събрание или овластяване на техен представител да свика Общо събрание по определен от тях дневен ред;</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да искат включването на въпроси и да предлагат решения по вече включени въпроси в дневния ред на общото събрание по реда на чл. 223а от Търговския закон;</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ако Дружеството има сключен договор за съвместно предприятие, акционери, притежаващи заедно или поотделно най-малко 5% (пет процента) от капитала на Дружеството могат да предявят иск пред окръжния съд по седалището на Дружеството за обезщетение на вреди, причинени на дружеството от действия или бездействия на лицата, управляващи съвместното предприятие.</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Акционери, които повече от три месеца притежават акции, представляващи поне 5% (пет процента) от капитала на Дружеството, могат:</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да поискат от съвета на директорите свикване на Общо събрание. Ако в едномесечен срок от искането, то не бъде удовлетворено или ако Общото събрание не бъде проведено в тримесечен срок от заявяване на искането, окръжният съд по седалището на дружеството свиква Общо събрание или овластява акционерите, поискали свикването, или техен представител да свика събранието.</w:t>
      </w:r>
    </w:p>
    <w:p w:rsidR="00E921E5" w:rsidRPr="00E47843" w:rsidRDefault="00E921E5" w:rsidP="00E921E5">
      <w:pPr>
        <w:pStyle w:val="Heading1"/>
        <w:numPr>
          <w:ilvl w:val="2"/>
          <w:numId w:val="11"/>
        </w:numPr>
        <w:ind w:left="1418" w:hanging="851"/>
        <w:rPr>
          <w:rFonts w:ascii="Times New Roman" w:hAnsi="Times New Roman"/>
          <w:b w:val="0"/>
          <w:i/>
          <w:sz w:val="24"/>
          <w:szCs w:val="24"/>
        </w:rPr>
      </w:pPr>
      <w:bookmarkStart w:id="230" w:name="bookmark49"/>
      <w:bookmarkStart w:id="231" w:name="_Toc324376982"/>
      <w:bookmarkStart w:id="232" w:name="_Toc324377161"/>
      <w:bookmarkStart w:id="233" w:name="_Toc324377592"/>
      <w:bookmarkStart w:id="234" w:name="_Toc324380141"/>
      <w:r w:rsidRPr="00E47843">
        <w:rPr>
          <w:rFonts w:ascii="Times New Roman" w:hAnsi="Times New Roman"/>
          <w:b w:val="0"/>
          <w:i/>
          <w:sz w:val="24"/>
          <w:szCs w:val="24"/>
        </w:rPr>
        <w:t>Описание на това какво действие е необходимо за промяна на правата на</w:t>
      </w:r>
      <w:bookmarkEnd w:id="230"/>
      <w:r w:rsidR="00E47843">
        <w:rPr>
          <w:rFonts w:ascii="Times New Roman" w:hAnsi="Times New Roman"/>
          <w:b w:val="0"/>
          <w:i/>
          <w:sz w:val="24"/>
          <w:szCs w:val="24"/>
        </w:rPr>
        <w:t xml:space="preserve"> </w:t>
      </w:r>
      <w:r w:rsidRPr="00E47843">
        <w:rPr>
          <w:rFonts w:ascii="Times New Roman" w:hAnsi="Times New Roman"/>
          <w:b w:val="0"/>
          <w:i/>
          <w:sz w:val="24"/>
          <w:szCs w:val="24"/>
        </w:rPr>
        <w:t>държателите на акциите, указвайки къде условията са по-значителни, отколкото се изисква по закон</w:t>
      </w:r>
      <w:bookmarkEnd w:id="231"/>
      <w:bookmarkEnd w:id="232"/>
      <w:bookmarkEnd w:id="233"/>
      <w:bookmarkEnd w:id="234"/>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Всички акции, издадени от Дружеството са от един клас, евентуална промяна в тях може да бъде продиктувана от издаването на привилегировани акции, които да дават право на гарантиран или допълнителен дивидент. Дружеството може да издава привилегировани акции без право на глас при условията на чл. 182, ал. 1, изр. второ от ТЗ. Дружеството не може да издава привилегировани акции, даващи право на повече от един глас в общото събрание или допълнителен ликвидационен дял.</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 xml:space="preserve">Прехвърлянето на акциите се извършва на регулиран или извън регулиран пазар на ценни книжа, като сделката има действие спрямо дружеството от вписването на прехвърлянето във водената от </w:t>
      </w:r>
      <w:r>
        <w:rPr>
          <w:rFonts w:ascii="Times New Roman" w:hAnsi="Times New Roman" w:cs="Times New Roman"/>
          <w:sz w:val="24"/>
          <w:szCs w:val="24"/>
        </w:rPr>
        <w:t xml:space="preserve">„Централен депозитар“ АД </w:t>
      </w:r>
      <w:r w:rsidRPr="007A49F2">
        <w:rPr>
          <w:rFonts w:ascii="Times New Roman" w:hAnsi="Times New Roman" w:cs="Times New Roman"/>
          <w:sz w:val="24"/>
          <w:szCs w:val="24"/>
        </w:rPr>
        <w:t xml:space="preserve">книга на акционерите. Акциите на дружеството са свободно прехвърляеми и за прехвърлянето им не съществуват ограничения. Наследниците по закон/правоприемниците на акционер с изключение на държавата могат да встъпят в правата на наследодателя след провеждане на процедура по наследяване съгласно Правилника на </w:t>
      </w:r>
      <w:r>
        <w:rPr>
          <w:rFonts w:ascii="Times New Roman" w:hAnsi="Times New Roman" w:cs="Times New Roman"/>
          <w:sz w:val="24"/>
          <w:szCs w:val="24"/>
        </w:rPr>
        <w:t>„Централен депозитар“</w:t>
      </w:r>
      <w:r w:rsidRPr="007A49F2">
        <w:rPr>
          <w:rFonts w:ascii="Times New Roman" w:hAnsi="Times New Roman" w:cs="Times New Roman"/>
          <w:sz w:val="24"/>
          <w:szCs w:val="24"/>
        </w:rPr>
        <w:t xml:space="preserve"> АД.</w:t>
      </w:r>
      <w:r>
        <w:rPr>
          <w:rFonts w:ascii="Times New Roman" w:hAnsi="Times New Roman" w:cs="Times New Roman"/>
          <w:sz w:val="24"/>
          <w:szCs w:val="24"/>
        </w:rPr>
        <w:t xml:space="preserve"> </w:t>
      </w:r>
      <w:r w:rsidRPr="007A49F2">
        <w:rPr>
          <w:rFonts w:ascii="Times New Roman" w:hAnsi="Times New Roman" w:cs="Times New Roman"/>
          <w:sz w:val="24"/>
          <w:szCs w:val="24"/>
        </w:rPr>
        <w:t>Акционерите могат да упражняват в пълен обем всички права по притежаваните от тях акции, включително правото си на глас, след пълното изплащане на емисионната им стойност.</w:t>
      </w: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235" w:name="_Toc324376983"/>
      <w:bookmarkStart w:id="236" w:name="_Toc324377162"/>
      <w:bookmarkStart w:id="237" w:name="_Toc324377593"/>
      <w:bookmarkStart w:id="238" w:name="_Toc324380142"/>
      <w:r w:rsidRPr="00E921E5">
        <w:rPr>
          <w:rFonts w:ascii="Times New Roman" w:hAnsi="Times New Roman"/>
          <w:b w:val="0"/>
          <w:i/>
          <w:sz w:val="24"/>
          <w:szCs w:val="24"/>
        </w:rPr>
        <w:t>Описание на условията за свикване на годишното общо събрание на акционерите и извънредните общи събрания на акционерите, включително условията за участие в събранието.</w:t>
      </w:r>
      <w:bookmarkEnd w:id="235"/>
      <w:bookmarkEnd w:id="236"/>
      <w:bookmarkEnd w:id="237"/>
      <w:bookmarkEnd w:id="238"/>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Общото събрание на публичното дружество се провежда по неговото седалище. Редовното общо събрание се провежда до края на първото полугодие след приключване на отчетната година. Общото събрание се свиква от Съвета на директорите. Общо събрание може да се свика по реда на чл. 223, ал. 3 от ТЗ по искане на акционери, които притежават поне 5% (пет процента) от капитала на Дружеството повече от 3 месеца. Ако в едномесечен срок от искането, то не бъде удовлетворено или ако Общото събрание не бъде проведено в тримесечен срок от заявяване на искането, окръжният съд по седалището на дружеството свиква Общо събрание или овластява акционерите, поискали свикването, или техен представител да свика събранието.</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Общо събрание може да се свика и по облекчения ред, предвиден в чл.118, ал.2, т.3 ЗППЦК от акционери, които притежават заедно или поотделно най-малко 5 на сто от капитала на публично дружество. Тези акционери могат да искат от окръжния съд свикване на общо събрание или овластяване на техен представител да свика общо събрание по определен от тях дневен ред. Съдът се произнася незабавно по това искане.</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Поканата трябва да съдържа фирмата и седалището на дружеството; мястото, датата и часа на събранието; вида на общото събрание; съобщение за формалностите, ако са предвидени в устава, които трябва да бъдат изпълнени за участие в събранието и за упражняване на правото на глас; информация относно общия брой на акциите и правата на глас в общото събрание към датата на решението за свикване на общото събрание, както и правото на акционерите да участват в общото събрание; дневен ред на въпросите, предложени за обсъждане, както и конкретни предложения за решения; правото на акционерите да включват въпроси в дневния ред на общото събрание и да правят предложения за решения по въпроси, включени в дневния ред на общото събрание, и крайния срок за упражняване на това право; поканата може да съдържа само крайния срок, в който тези права могат да бъдат упражнени, ако посочва мястото на интернет страницата на дружеството, където се съдържа по-подробна информация относно тези права; правото на акционерите да поставят въпроси по време на общото събрание; правилата за гласуване чрез пълномощник, образците, които се използват за гласуване чрез пълномощник, и начините, чрез които дружеството ще бъде уведомявано за извършени упълномощавания по електронен път; правилата за гласуване чрез кореспонденция или електронни средства, когато е приложимо; датата по чл. 115б, ал. 1 от ЗППЦК с указание, че само лицата, вписани като акционери на тази дата, имат право да участват и да гласуват в общото събрание; мястото и начина на получаване на писмените материали, свързани с дневния ред на общото събрание по чл. 224 от ТЗ; интернет страницата, на която се публикува поканата и всички материали във връзка с ОСА.</w:t>
      </w:r>
    </w:p>
    <w:p w:rsidR="002F0B31" w:rsidRPr="007A49F2" w:rsidRDefault="002F0B31" w:rsidP="002F0B31">
      <w:pPr>
        <w:pStyle w:val="a0"/>
        <w:shd w:val="clear" w:color="auto" w:fill="auto"/>
        <w:spacing w:before="0" w:line="278" w:lineRule="exact"/>
        <w:ind w:left="20" w:right="20" w:firstLine="0"/>
        <w:rPr>
          <w:rFonts w:ascii="Times New Roman" w:hAnsi="Times New Roman" w:cs="Times New Roman"/>
          <w:sz w:val="24"/>
          <w:szCs w:val="24"/>
        </w:rPr>
      </w:pPr>
      <w:r w:rsidRPr="006C76E1">
        <w:rPr>
          <w:rFonts w:ascii="Times New Roman" w:hAnsi="Times New Roman" w:cs="Times New Roman"/>
          <w:sz w:val="24"/>
          <w:szCs w:val="24"/>
        </w:rPr>
        <w:t xml:space="preserve">Най-малко 30 дни преди датата на общото събрание поканата за свикването му трябва да се публикува в търговския регистър и да се оповести, заедно с материалите за общото събрание чрез информационна агенция, която Дружеството използва, за да осигури разпространението на регулирана информация до обществеността. </w:t>
      </w:r>
      <w:r w:rsidRPr="007A49F2">
        <w:rPr>
          <w:rFonts w:ascii="Times New Roman" w:hAnsi="Times New Roman" w:cs="Times New Roman"/>
          <w:sz w:val="24"/>
          <w:szCs w:val="24"/>
        </w:rPr>
        <w:t>Съдържанието на поканата за свикване на Общо Събрание се определя съгласно изискванията на приложимите нормативни разпоредби.</w:t>
      </w:r>
      <w:r>
        <w:rPr>
          <w:rFonts w:ascii="Times New Roman" w:hAnsi="Times New Roman" w:cs="Times New Roman"/>
          <w:sz w:val="24"/>
          <w:szCs w:val="24"/>
        </w:rPr>
        <w:t xml:space="preserve"> </w:t>
      </w:r>
      <w:r w:rsidRPr="006C76E1">
        <w:rPr>
          <w:rFonts w:ascii="Times New Roman" w:hAnsi="Times New Roman" w:cs="Times New Roman"/>
          <w:sz w:val="24"/>
          <w:szCs w:val="24"/>
        </w:rPr>
        <w:t xml:space="preserve">Информационната агенция, чрез която емитентът възнамерява да оповестява регулирана информация е Х3News. В същия срок поканата заедно със свързаните с дневния ред наобщото събрание документи, трябва да бъдат изпратени от емитента на КФН и публикувани на интернет страницата му за времето от обявяване на поканата в търговския регистър до приключване на общото събрание. </w:t>
      </w:r>
      <w:r w:rsidRPr="007A49F2">
        <w:rPr>
          <w:rFonts w:ascii="Times New Roman" w:hAnsi="Times New Roman" w:cs="Times New Roman"/>
          <w:sz w:val="24"/>
          <w:szCs w:val="24"/>
        </w:rPr>
        <w:t>Информацията, публикувана на страницата на публичното дружество в интернет, трябва да е идентична по съдържание с информацията, предоставена на обществеността.</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Общото събрание включва акционерите с право на глас. Правото на глас се упражнява от лицата, вписани в регистрите на Централния депозитар като акционери 14 дни преди датата на общото събрание. Централният депозитар е длъжен да предостави на дружеството списъци на акционерите, описани в предходното изречение и на чуждестранните лица по чл. 136, ал. 1 от ЗППЦК по искане на лицето, овластено да управлява и представлява дружеството.</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Акционерите в публично дружество имат право да упълномощят всяко физическо или юридическо лице да участва и да гласува в общото събрание от тяхно име, включително членове на Съвета на директорите на дружеството. Когато акционерът е упълномощил член на Съвета на директорите е необходимо изрично да е посочил начина на гласуване по всяка от точките от дневния ред. Акционерите и представителите се легитимират и удостоверяват присъствието си с подпис.</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Изискванията към формата и съдържанието на пълномощното са въведени в чл. 116, ал. 1 от ЗППЦК. Писменото пълномощно за представляване на акционер в общото събрание на акционерите на публично дружество трябва да е за конкретно общо събрание, да е изрично и да посочва най-малко: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данните за акционера и пълномощника;</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броя на акциите, за които се отнася пълномощното;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дневния ред на въпросите, предложени за обсъждане;</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предложенията за решения по всеки от въпросите в дневния ред;</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начина на гласуване по всеки от въпросите, ако е приложимо;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дата и подпис.</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Ако в пълномощното не е посочен начинът на гласуване по отделните точки от дневния ред, в него трябва да се посочи, че пълномощникът има право на преценка дали и по какъв начин да гласува. Преупълномощаването с правата по пълномощното, както и пълномощното, дадено в нарушение на правилата по чл. 116, ал. 1 от ЗППЦК, е нищожно.</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 xml:space="preserve">Публичното дружество е длъжно да предостави образец на писменото пълномощно на хартиен носител или чрез електронни средства, ако е приложимо, заедно с материалите за общото събрание или при поискване след свикването му. Съгласно чл. 115, ал. 6 от ЗППЦК дружество предоставя в КФН и публикува на интернет страницата си образците на пълномощни за гласуване чрез пълномощник или чрез кореспонденция, ако е приложимо. </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 xml:space="preserve">Упълномощаването може да се извърши и чрез използване на електронни средства. Публичното дружество е длъжно да осигури най-малко един способ за получаване на пълномощни чрез електронни средства. </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В уставът на публичното дружество може да бъдат поставени допълнителни изисквания относно упълномощаването, представянето на пълномощното на дружеството и даването на инструкции от акционера за начина на гласуване, които изисквания са необходими за идентификация на акционерите и пълномощника или за да се осигури възможност за проверка на съдържанието на инструкциите и само доколкото това съответства на постигането на тези цели.</w:t>
      </w:r>
    </w:p>
    <w:p w:rsidR="00FC59FE" w:rsidRPr="00FC59FE" w:rsidRDefault="00E921E5" w:rsidP="00FC59FE">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 xml:space="preserve">Решенията на Общото събрание се приемат с обикновено мнозинство (петдесет процента плюс една акция) от представените на събранието акции, освен когато действащото законодателство или Устава на Дружеството, приет под условие, че дружеството придобие публичен статут, изискват по-високо мнозинство за вземането на някои решения. </w:t>
      </w:r>
      <w:r w:rsidR="00FC59FE" w:rsidRPr="00FC59FE">
        <w:rPr>
          <w:rFonts w:ascii="Times New Roman" w:hAnsi="Times New Roman" w:cs="Times New Roman"/>
          <w:sz w:val="24"/>
          <w:szCs w:val="24"/>
        </w:rPr>
        <w:t xml:space="preserve">Съгласно Търговския закон решението за увеличаване на капитала на акционерно дружество чрез издаване на нови акции се взима от Общото събрание на акционерите с мнозинство 2/3 от гласовете на представените акции, а в случай на увеличаване на капитала чрез капитализиране на печалбата – ¾ от представените акции. </w:t>
      </w:r>
    </w:p>
    <w:p w:rsidR="00FC59FE" w:rsidRDefault="00FC59FE" w:rsidP="00FC59FE">
      <w:pPr>
        <w:pStyle w:val="a0"/>
        <w:shd w:val="clear" w:color="auto" w:fill="auto"/>
        <w:spacing w:before="0" w:after="60" w:line="278" w:lineRule="exact"/>
        <w:ind w:right="20" w:firstLine="0"/>
        <w:rPr>
          <w:rFonts w:ascii="Times New Roman" w:hAnsi="Times New Roman" w:cs="Times New Roman"/>
          <w:sz w:val="24"/>
          <w:szCs w:val="24"/>
        </w:rPr>
      </w:pPr>
      <w:r w:rsidRPr="00FC59FE">
        <w:rPr>
          <w:rFonts w:ascii="Times New Roman" w:hAnsi="Times New Roman" w:cs="Times New Roman"/>
          <w:sz w:val="24"/>
          <w:szCs w:val="24"/>
        </w:rPr>
        <w:t>В съотвествие с изложеното, проекто-уставът на „Спиди“ ЕАД изисква решението за увеличавене на капитала да се взема с с мнозинство 2/3 от представените акции, с изключение на увеличаването на капитала чрез капитализиране на печалбата, за което е необходимо мнозинство от  ¾ от представените на Общото събрание акции.</w:t>
      </w:r>
      <w:r>
        <w:rPr>
          <w:rFonts w:ascii="Times New Roman" w:hAnsi="Times New Roman" w:cs="Times New Roman"/>
          <w:sz w:val="24"/>
          <w:szCs w:val="24"/>
        </w:rPr>
        <w:t xml:space="preserve"> </w:t>
      </w:r>
    </w:p>
    <w:p w:rsidR="00E921E5" w:rsidRPr="007A49F2" w:rsidRDefault="00FC59FE" w:rsidP="00FC59FE">
      <w:pPr>
        <w:pStyle w:val="a0"/>
        <w:shd w:val="clear" w:color="auto" w:fill="auto"/>
        <w:spacing w:before="0" w:after="60" w:line="278" w:lineRule="exact"/>
        <w:ind w:right="20" w:firstLine="0"/>
        <w:rPr>
          <w:rFonts w:ascii="Times New Roman" w:hAnsi="Times New Roman" w:cs="Times New Roman"/>
          <w:sz w:val="24"/>
          <w:szCs w:val="24"/>
        </w:rPr>
      </w:pPr>
      <w:r w:rsidRPr="00FC59FE">
        <w:rPr>
          <w:rFonts w:ascii="Times New Roman" w:hAnsi="Times New Roman" w:cs="Times New Roman"/>
          <w:sz w:val="24"/>
          <w:szCs w:val="24"/>
        </w:rPr>
        <w:t>Съгласно разпоредбата на чл. 27, ал. 3, предложение второ и ал. 4 на същия член, в случая на придобиване или разпореждане с дълготрайни активи решението на Общото събрание се взима с мнозинство ¾ от представения капитал.</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Членовете на Съвета на директорите на дружеството са длъжни да отговарят вярно, изчерпателно и по същество на въпроси на акционерите, задавани на общото събрание, относно икономическото и финансовото състояние и търговската дейност на дружеството, освен за обстоятелства, които представляват вътрешна информация. Акционерите могат да задават такива въпроси независимо дали те са свързани с дневния ред.</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Общото събрание не може да приема решения, засягащи въпроси, които не са били включени в дневния ред и оповестени съобразно разпоредбите на чл. 223 и 223а от ТЗ, освен когато всички акционери присъстват или са представени на събранието и никой не възразява повдигнатите въпроси да бъдат обсъждани. Решенията на Общото събрание влизат в сила незабавно, освен ако действието им не бъде отложено, или ако според закона те влизат в сила след вписването им в търговския регистър.</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За проведеното заседание на ОСА се съставя протокол в съответствие с приложимото право. В протокола се записват резултатите от гласуването по всяка точка от дневния ред като изрично се посочва информация относно броя на акциите, по които са подадени действителни гласове, каква част от капитала представляват, общия брой на действително подадените гласове, броя подадени гласове „за", „против" и броя на въздържалите се. Дружеството е длъжно да изпрати на КФН протокола от заседанието на общото събрание в срок три работни дни от провеждането на събранието, както и да го публикува на своята интернет страница за срок, не по-кратък от една година. Протоколите и документите, свързани с ОСА, се пазят най-малко 5 (пет) години.</w:t>
      </w: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239" w:name="_Toc324376984"/>
      <w:bookmarkStart w:id="240" w:name="_Toc324377163"/>
      <w:bookmarkStart w:id="241" w:name="_Toc324377594"/>
      <w:bookmarkStart w:id="242" w:name="_Toc324380143"/>
      <w:r w:rsidRPr="00E921E5">
        <w:rPr>
          <w:rFonts w:ascii="Times New Roman" w:hAnsi="Times New Roman"/>
          <w:b w:val="0"/>
          <w:i/>
          <w:sz w:val="24"/>
          <w:szCs w:val="24"/>
        </w:rPr>
        <w:t>Кратко описание на всяка разпоредба на учредителния договор, устава, хартата, или правилниците за вътрешния ред на емитента, която би довела до забавяне, отлагане или предотвратяване на промяна в контрола на емитента</w:t>
      </w:r>
      <w:bookmarkEnd w:id="239"/>
      <w:bookmarkEnd w:id="240"/>
      <w:bookmarkEnd w:id="241"/>
      <w:bookmarkEnd w:id="242"/>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В Устава на Дружеството, приет под условие, че дружеството придобие публичен статут или правилниците за вътрешния ред на емитента не са предвидени разпоредби, които биха довели до забавяне, отлагане или предотвратяване на промяна в контрола на емитента.</w:t>
      </w: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243" w:name="_Toc324376985"/>
      <w:bookmarkStart w:id="244" w:name="_Toc324377164"/>
      <w:bookmarkStart w:id="245" w:name="_Toc324377595"/>
      <w:bookmarkStart w:id="246" w:name="_Toc324380144"/>
      <w:r w:rsidRPr="00E921E5">
        <w:rPr>
          <w:rFonts w:ascii="Times New Roman" w:hAnsi="Times New Roman"/>
          <w:b w:val="0"/>
          <w:i/>
          <w:sz w:val="24"/>
          <w:szCs w:val="24"/>
        </w:rPr>
        <w:t>Указание за учредителния договор, устава, хартата, или правилниците, ако има такива, които управляват праг на собственост, над който акционерната собственост трябва да бъде оповестена</w:t>
      </w:r>
      <w:bookmarkEnd w:id="243"/>
      <w:bookmarkEnd w:id="244"/>
      <w:bookmarkEnd w:id="245"/>
      <w:bookmarkEnd w:id="246"/>
    </w:p>
    <w:p w:rsidR="00E921E5"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 xml:space="preserve">Уставът, приет под условие, че дружеството придобие публичен статут и вътрешните актове на дружеството не съдържат разпоредби, които установяват праг на акционерна собственост, над който тя трябва да бъде оповестена. </w:t>
      </w:r>
    </w:p>
    <w:p w:rsidR="00E921E5"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 xml:space="preserve">Това задължение произтича от разпоредбите на чл. 145 и следв. от ЗППЦК и Наредба № 39 (обн., ДВ, бр. 103 от 07.12.2007 г.) за разкриване на дялово участие в публично дружество, които уреждат изискванията за разкриването на участие в Дружеството. </w:t>
      </w:r>
    </w:p>
    <w:p w:rsidR="00E921E5" w:rsidRPr="007A49F2" w:rsidRDefault="00E921E5" w:rsidP="00E47843">
      <w:pPr>
        <w:pStyle w:val="a0"/>
        <w:shd w:val="clear" w:color="auto" w:fill="auto"/>
        <w:spacing w:before="0" w:after="60" w:line="278" w:lineRule="exact"/>
        <w:ind w:right="20" w:firstLine="0"/>
        <w:rPr>
          <w:rFonts w:ascii="Times New Roman" w:hAnsi="Times New Roman" w:cs="Times New Roman"/>
          <w:sz w:val="24"/>
          <w:szCs w:val="24"/>
        </w:rPr>
      </w:pPr>
      <w:r w:rsidRPr="007A49F2">
        <w:rPr>
          <w:rFonts w:ascii="Times New Roman" w:hAnsi="Times New Roman" w:cs="Times New Roman"/>
          <w:sz w:val="24"/>
          <w:szCs w:val="24"/>
        </w:rPr>
        <w:t xml:space="preserve">Съгласно разпоредбата на чл. 145, ал. 1 всеки акционер, които придобие или прехвърли пряко и/или по чл. 146 право на глас в Общото събрание на публично </w:t>
      </w:r>
      <w:r>
        <w:rPr>
          <w:rFonts w:ascii="Times New Roman" w:hAnsi="Times New Roman" w:cs="Times New Roman"/>
          <w:sz w:val="24"/>
          <w:szCs w:val="24"/>
        </w:rPr>
        <w:t>дружество, е длъжен да уведоми К</w:t>
      </w:r>
      <w:r w:rsidRPr="007A49F2">
        <w:rPr>
          <w:rFonts w:ascii="Times New Roman" w:hAnsi="Times New Roman" w:cs="Times New Roman"/>
          <w:sz w:val="24"/>
          <w:szCs w:val="24"/>
        </w:rPr>
        <w:t>омисията и публичното дружество, когато: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В резултат на придобиването или прехвърлянето правото му на глас достигне, надхвърли или падне под 5 на сто или число, кратно на 5 на сто, от броя на гласовете в общото събрание на дружеството;</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Правото му на глас надхвърли, достигне или падне под праговете по т. 1 в резултат на събития, които водят до промени в общия брой на правата на глас въз основа на информацията, оповестена съгласно чл. 112д от ЗППЦК.</w:t>
      </w:r>
    </w:p>
    <w:p w:rsidR="00E47843" w:rsidRDefault="00E921E5" w:rsidP="00E921E5">
      <w:pPr>
        <w:pStyle w:val="a0"/>
        <w:shd w:val="clear" w:color="auto" w:fill="auto"/>
        <w:spacing w:before="0" w:after="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Правото на глас се изчислява въз основа на общия брой акции с право на глас, независимо от това дали за упражняването на правото на глас е наложено ограничение. Изчисляването се извършва за всеки отделен клас акции. Когато достигането или преминаването на праговете по чл. 145, ал. 1 от ЗППЦК е в резултат на пряко придобиване или на прехвърляне на акции с право на глас, задължението за уведомяване възниква и за Централния депозитар.</w:t>
      </w:r>
    </w:p>
    <w:p w:rsidR="00E921E5" w:rsidRPr="007A49F2" w:rsidRDefault="00E921E5" w:rsidP="00E921E5">
      <w:pPr>
        <w:pStyle w:val="a0"/>
        <w:shd w:val="clear" w:color="auto" w:fill="auto"/>
        <w:spacing w:before="0" w:after="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Съгласно чл. 148, ал. 3 от ЗППЦК, задължението за уведомяване по чл. 145, ал. 1 и чл. 146, ал. 1 от ЗППЦК се изпълнява незабавно, но не по-късно от 4 работни дни от деня, следващ деня, в който акционерът или лицето по чл. 146, ал. 1 от ЗППЦК:</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узнае за придобиването, прехвърлянето или за възможността да упражнява правата на глас съгласно чл. 146 от ЗППЦК, или на който съобразно конкретните обстоятелства е бил длъжен да узнае, независимо от датата, на която е извършено придобиването, прехвърлянето или е възникнала възможността за упражняване на правата на глас;</w:t>
      </w:r>
    </w:p>
    <w:p w:rsidR="00E921E5" w:rsidRPr="007A49F2" w:rsidRDefault="00E921E5" w:rsidP="00E47843">
      <w:pPr>
        <w:pStyle w:val="a0"/>
        <w:numPr>
          <w:ilvl w:val="0"/>
          <w:numId w:val="46"/>
        </w:numPr>
        <w:shd w:val="clear" w:color="auto" w:fill="auto"/>
        <w:spacing w:before="0" w:line="278" w:lineRule="exact"/>
        <w:ind w:left="426" w:right="20" w:hanging="426"/>
        <w:rPr>
          <w:rFonts w:ascii="Times New Roman" w:hAnsi="Times New Roman" w:cs="Times New Roman"/>
          <w:sz w:val="24"/>
          <w:szCs w:val="24"/>
        </w:rPr>
      </w:pPr>
      <w:r w:rsidRPr="007A49F2">
        <w:rPr>
          <w:rFonts w:ascii="Times New Roman" w:hAnsi="Times New Roman" w:cs="Times New Roman"/>
          <w:sz w:val="24"/>
          <w:szCs w:val="24"/>
        </w:rPr>
        <w:t>е уведомено за настъпването на събитията по чл. 145, ал. 1, т. 2 от ЗППЦК.</w:t>
      </w:r>
    </w:p>
    <w:p w:rsidR="00E921E5" w:rsidRPr="007A49F2" w:rsidRDefault="00E921E5" w:rsidP="00E921E5">
      <w:pPr>
        <w:pStyle w:val="a0"/>
        <w:shd w:val="clear" w:color="auto" w:fill="auto"/>
        <w:spacing w:before="0" w:after="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Задължението за уведомяване по чл. 145, ал. 3 от ЗППЦК се изпълнява най-късно до края на деня, следващ придобиването или прехвърлянето на акциите.</w:t>
      </w:r>
    </w:p>
    <w:p w:rsidR="00E921E5" w:rsidRDefault="00E921E5" w:rsidP="00E921E5">
      <w:pPr>
        <w:pStyle w:val="a0"/>
        <w:shd w:val="clear" w:color="auto" w:fill="auto"/>
        <w:spacing w:before="0" w:after="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 xml:space="preserve">Ако обаче промяната в дяловото участие представлява вътрешна информация, например налице е промяна в контрола върху публичното дружество, тази промяна трябва да бъде публично оповестена незабавно, но не по-късно от следващия работен ден след деня на нейното извършване. </w:t>
      </w:r>
    </w:p>
    <w:p w:rsidR="00E921E5" w:rsidRPr="00E921E5" w:rsidRDefault="00E921E5" w:rsidP="00E921E5">
      <w:pPr>
        <w:pStyle w:val="a0"/>
        <w:shd w:val="clear" w:color="auto" w:fill="auto"/>
        <w:spacing w:before="0" w:after="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Информация за промяната в дяловото участие се оповестява в публичния регистър, воден от КФН и бюлетина на БФБ. Ако промяната в дяловото участие касае юридическото лице, уведомлението до Дружеството, КФН и БФБ трябва също да разкрива лицата, които контролират пряко или непряко това лице и начина, по който те упражняват контрол.</w:t>
      </w:r>
    </w:p>
    <w:p w:rsidR="00E921E5" w:rsidRPr="00E921E5" w:rsidRDefault="00E921E5" w:rsidP="00E921E5">
      <w:pPr>
        <w:pStyle w:val="a0"/>
        <w:shd w:val="clear" w:color="auto" w:fill="auto"/>
        <w:spacing w:before="0" w:after="0" w:line="278" w:lineRule="exact"/>
        <w:ind w:left="20" w:right="20" w:firstLine="0"/>
        <w:rPr>
          <w:rFonts w:ascii="Times New Roman" w:hAnsi="Times New Roman" w:cs="Times New Roman"/>
          <w:sz w:val="24"/>
          <w:szCs w:val="24"/>
        </w:rPr>
      </w:pPr>
    </w:p>
    <w:p w:rsidR="00E921E5" w:rsidRPr="00E921E5" w:rsidRDefault="00E921E5" w:rsidP="00E921E5">
      <w:pPr>
        <w:pStyle w:val="Heading1"/>
        <w:numPr>
          <w:ilvl w:val="2"/>
          <w:numId w:val="11"/>
        </w:numPr>
        <w:ind w:left="1418" w:hanging="851"/>
        <w:rPr>
          <w:rFonts w:ascii="Times New Roman" w:hAnsi="Times New Roman"/>
          <w:b w:val="0"/>
          <w:i/>
          <w:sz w:val="24"/>
          <w:szCs w:val="24"/>
        </w:rPr>
      </w:pPr>
      <w:bookmarkStart w:id="247" w:name="bookmark50"/>
      <w:bookmarkStart w:id="248" w:name="_Toc324376986"/>
      <w:bookmarkStart w:id="249" w:name="_Toc324377165"/>
      <w:bookmarkStart w:id="250" w:name="_Toc324377596"/>
      <w:bookmarkStart w:id="251" w:name="_Toc324380145"/>
      <w:r w:rsidRPr="00E921E5">
        <w:rPr>
          <w:rFonts w:ascii="Times New Roman" w:hAnsi="Times New Roman"/>
          <w:b w:val="0"/>
          <w:i/>
          <w:sz w:val="24"/>
          <w:szCs w:val="24"/>
        </w:rPr>
        <w:t>Описание на условията, наложени от учредителния договор, устава, хартата</w:t>
      </w:r>
      <w:bookmarkEnd w:id="247"/>
      <w:r>
        <w:rPr>
          <w:rFonts w:ascii="Times New Roman" w:hAnsi="Times New Roman"/>
          <w:b w:val="0"/>
          <w:i/>
          <w:sz w:val="24"/>
          <w:szCs w:val="24"/>
        </w:rPr>
        <w:t xml:space="preserve"> </w:t>
      </w:r>
      <w:r w:rsidRPr="00E921E5">
        <w:rPr>
          <w:rFonts w:ascii="Times New Roman" w:hAnsi="Times New Roman"/>
          <w:b w:val="0"/>
          <w:i/>
          <w:sz w:val="24"/>
          <w:szCs w:val="24"/>
        </w:rPr>
        <w:t>или правилниците, които управляват промени в капитала, когато такива условия са по-строги отколкото се изисква по закон</w:t>
      </w:r>
      <w:bookmarkEnd w:id="248"/>
      <w:bookmarkEnd w:id="249"/>
      <w:bookmarkEnd w:id="250"/>
      <w:bookmarkEnd w:id="251"/>
    </w:p>
    <w:p w:rsidR="00E921E5" w:rsidRPr="007A49F2" w:rsidRDefault="00E921E5" w:rsidP="00E921E5">
      <w:pPr>
        <w:pStyle w:val="a0"/>
        <w:shd w:val="clear" w:color="auto" w:fill="auto"/>
        <w:spacing w:before="0" w:after="0" w:line="278" w:lineRule="exact"/>
        <w:ind w:left="20" w:right="20" w:firstLine="0"/>
        <w:rPr>
          <w:rFonts w:ascii="Times New Roman" w:hAnsi="Times New Roman" w:cs="Times New Roman"/>
          <w:sz w:val="24"/>
          <w:szCs w:val="24"/>
        </w:rPr>
      </w:pPr>
      <w:r w:rsidRPr="007A49F2">
        <w:rPr>
          <w:rFonts w:ascii="Times New Roman" w:hAnsi="Times New Roman" w:cs="Times New Roman"/>
          <w:sz w:val="24"/>
          <w:szCs w:val="24"/>
        </w:rPr>
        <w:t>Уставът на дружеството, приет под условие, че дружеството придобие публичен статут, не предвижда условия за промени в капитала на дружеството, които да са по- рестриктивни от условията на действащото законодателство.</w:t>
      </w:r>
    </w:p>
    <w:p w:rsidR="00E921E5" w:rsidRPr="00E921E5" w:rsidRDefault="00E921E5" w:rsidP="00E921E5"/>
    <w:p w:rsidR="00FC3657" w:rsidRDefault="00B4521F" w:rsidP="00B4521F">
      <w:pPr>
        <w:pStyle w:val="Heading1"/>
        <w:numPr>
          <w:ilvl w:val="1"/>
          <w:numId w:val="11"/>
        </w:numPr>
        <w:ind w:left="567" w:hanging="567"/>
        <w:rPr>
          <w:rFonts w:ascii="Times New Roman" w:hAnsi="Times New Roman"/>
          <w:b w:val="0"/>
          <w:i/>
          <w:smallCaps/>
          <w:sz w:val="24"/>
          <w:szCs w:val="24"/>
        </w:rPr>
      </w:pPr>
      <w:bookmarkStart w:id="252" w:name="_Toc324376987"/>
      <w:bookmarkStart w:id="253" w:name="_Toc324380146"/>
      <w:r>
        <w:rPr>
          <w:rFonts w:ascii="Times New Roman" w:hAnsi="Times New Roman"/>
          <w:b w:val="0"/>
          <w:i/>
          <w:smallCaps/>
          <w:sz w:val="24"/>
          <w:szCs w:val="24"/>
        </w:rPr>
        <w:t>Значителни договори</w:t>
      </w:r>
      <w:bookmarkEnd w:id="252"/>
      <w:bookmarkEnd w:id="253"/>
    </w:p>
    <w:p w:rsidR="00B4521F" w:rsidRDefault="00410596" w:rsidP="00B4521F">
      <w:r>
        <w:t>За последните две години, предхождащи</w:t>
      </w:r>
      <w:r w:rsidR="00B4521F" w:rsidRPr="00BD503D">
        <w:t xml:space="preserve"> датата на изготвяне на настоящия документ, дружеството </w:t>
      </w:r>
      <w:r>
        <w:t xml:space="preserve">и другите дружества от групата, </w:t>
      </w:r>
      <w:r w:rsidR="00B4521F" w:rsidRPr="00BD503D">
        <w:t>няма</w:t>
      </w:r>
      <w:r>
        <w:t>т</w:t>
      </w:r>
      <w:r w:rsidR="00B4521F" w:rsidRPr="00BD503D">
        <w:t xml:space="preserve"> съществени договори, както и такива на значителна стойност, сключени извън обичайната му дейност.</w:t>
      </w:r>
    </w:p>
    <w:p w:rsidR="00410596" w:rsidRPr="00B4521F" w:rsidRDefault="00410596" w:rsidP="00B4521F">
      <w:r>
        <w:t>За последните две години, предхождащи</w:t>
      </w:r>
      <w:r w:rsidRPr="00BD503D">
        <w:t xml:space="preserve"> датата на изготвяне на настоящия документ, дружеството </w:t>
      </w:r>
      <w:r>
        <w:t xml:space="preserve">и другите дружества от групата, </w:t>
      </w:r>
      <w:r w:rsidRPr="00BD503D">
        <w:t>няма</w:t>
      </w:r>
      <w:r>
        <w:t>т</w:t>
      </w:r>
      <w:r w:rsidRPr="00BD503D">
        <w:t xml:space="preserve"> </w:t>
      </w:r>
      <w:r>
        <w:t xml:space="preserve">сключени </w:t>
      </w:r>
      <w:r w:rsidRPr="00BD503D">
        <w:t>договори</w:t>
      </w:r>
      <w:r>
        <w:t xml:space="preserve"> (който не е договор, сключен като част от обичайната дейност), съдържащи условия, които да пораждат права или задължения, съществени за групата.</w:t>
      </w:r>
    </w:p>
    <w:p w:rsidR="005B712E" w:rsidRDefault="005B712E" w:rsidP="00942CE6"/>
    <w:p w:rsidR="00B53541" w:rsidRPr="00B53541" w:rsidRDefault="00AC5142" w:rsidP="00B53541">
      <w:pPr>
        <w:pStyle w:val="Heading1"/>
        <w:numPr>
          <w:ilvl w:val="1"/>
          <w:numId w:val="11"/>
        </w:numPr>
        <w:ind w:left="567" w:hanging="567"/>
        <w:rPr>
          <w:rFonts w:ascii="Times New Roman" w:hAnsi="Times New Roman"/>
          <w:b w:val="0"/>
          <w:i/>
          <w:smallCaps/>
          <w:sz w:val="24"/>
          <w:szCs w:val="24"/>
        </w:rPr>
      </w:pPr>
      <w:bookmarkStart w:id="254" w:name="_Toc324376988"/>
      <w:bookmarkStart w:id="255" w:name="_Toc324380147"/>
      <w:r w:rsidRPr="00B53541">
        <w:rPr>
          <w:rFonts w:ascii="Times New Roman" w:hAnsi="Times New Roman"/>
          <w:b w:val="0"/>
          <w:i/>
          <w:smallCaps/>
          <w:sz w:val="24"/>
          <w:szCs w:val="24"/>
        </w:rPr>
        <w:t>Информация за трети лица, изявление от експерти и декларации за всякакъв интерес</w:t>
      </w:r>
      <w:bookmarkEnd w:id="254"/>
      <w:bookmarkEnd w:id="255"/>
    </w:p>
    <w:p w:rsidR="00B53541" w:rsidRDefault="00B53541" w:rsidP="00B53541">
      <w:pPr>
        <w:pStyle w:val="20"/>
        <w:shd w:val="clear" w:color="auto" w:fill="auto"/>
        <w:spacing w:before="0" w:after="49" w:line="264" w:lineRule="exact"/>
        <w:ind w:left="20" w:right="20"/>
        <w:jc w:val="both"/>
      </w:pPr>
    </w:p>
    <w:p w:rsidR="00B53541" w:rsidRDefault="00B53541" w:rsidP="00B53541">
      <w:r w:rsidRPr="00BD503D">
        <w:t xml:space="preserve">В настоящия документ на </w:t>
      </w:r>
      <w:r>
        <w:t>„Спиди“ Е</w:t>
      </w:r>
      <w:r w:rsidRPr="00BD503D">
        <w:t>АД не са включени изявления, доклади или други експертни становища, освен тези на експертите изготвили проспекта.</w:t>
      </w:r>
    </w:p>
    <w:p w:rsidR="00BB3DC5" w:rsidRDefault="00BB3DC5" w:rsidP="00B53541">
      <w:r>
        <w:t>Данаил Данаилов, гр. София, ул. Самоковско шосе 1, е директор стратегическо и бизнес развитие</w:t>
      </w:r>
      <w:r w:rsidR="00DB65BC">
        <w:t xml:space="preserve"> в „Спиди Груп” АД</w:t>
      </w:r>
      <w:r w:rsidR="00D16D0C">
        <w:t xml:space="preserve"> и е</w:t>
      </w:r>
      <w:r w:rsidR="00DB65BC">
        <w:t xml:space="preserve"> с</w:t>
      </w:r>
      <w:r w:rsidR="00D16D0C">
        <w:t>ъс</w:t>
      </w:r>
      <w:r w:rsidR="00DB65BC">
        <w:t xml:space="preserve"> 17 години опит във </w:t>
      </w:r>
      <w:r w:rsidR="00D16D0C">
        <w:t>финансовата и инвестиционната сфера</w:t>
      </w:r>
      <w:r>
        <w:t xml:space="preserve">. Същият няма значителен интерес, извън трудовите взаимоотошения в „Спиди Груп” </w:t>
      </w:r>
      <w:r w:rsidR="00DB65BC">
        <w:t xml:space="preserve">АД </w:t>
      </w:r>
      <w:r>
        <w:t>и свър</w:t>
      </w:r>
      <w:r w:rsidR="000962A2">
        <w:t>заните с него компании.</w:t>
      </w:r>
    </w:p>
    <w:p w:rsidR="000962A2" w:rsidRPr="00BD503D" w:rsidRDefault="000962A2" w:rsidP="00B53541">
      <w:r>
        <w:t>Красимир Тахчиев, гр. София, ж.к. Дружба 2, бл. 224, вх, В, ап. 80, е магистър по икономика, с дългогодишен опит в сферата на капиталовия пазар и участва в изготвянето на проспекта в качеството си на външен консултат, Същият няма значителен интерес в емитента.</w:t>
      </w:r>
    </w:p>
    <w:p w:rsidR="00B53541" w:rsidRDefault="00B53541" w:rsidP="00B53541">
      <w:r w:rsidRPr="00BD503D">
        <w:t xml:space="preserve">Цитираните разпоредби на Устава на емитента, приет на </w:t>
      </w:r>
      <w:r>
        <w:t xml:space="preserve">извънредно </w:t>
      </w:r>
      <w:r w:rsidRPr="00BD503D">
        <w:t xml:space="preserve">Общо събрание на акционерите, под условие, че дружеството стане публично, проведено на </w:t>
      </w:r>
      <w:r w:rsidR="00096CB1" w:rsidRPr="00096CB1">
        <w:rPr>
          <w:lang w:val="en-US"/>
        </w:rPr>
        <w:t>10</w:t>
      </w:r>
      <w:r w:rsidRPr="00096CB1">
        <w:t>.05.2012 г.</w:t>
      </w:r>
      <w:r w:rsidRPr="00BD503D">
        <w:t xml:space="preserve"> и действащите нормативни и други актове, които регламентират публичното предлагане на ценни книжа в Република България са коректно възпроизведени и не са пропуснати никакви факти, които биха направили възпроизведената информация неточна или подвеждаща.</w:t>
      </w:r>
    </w:p>
    <w:p w:rsidR="00B53541" w:rsidRDefault="00DF5F61" w:rsidP="00AC5142">
      <w:pPr>
        <w:pStyle w:val="a0"/>
        <w:shd w:val="clear" w:color="auto" w:fill="auto"/>
        <w:spacing w:before="0" w:after="0" w:line="278" w:lineRule="exact"/>
        <w:ind w:right="20" w:firstLine="0"/>
        <w:rPr>
          <w:rFonts w:ascii="Times New Roman" w:hAnsi="Times New Roman"/>
          <w:sz w:val="24"/>
        </w:rPr>
      </w:pPr>
      <w:r>
        <w:rPr>
          <w:rFonts w:ascii="Times New Roman" w:hAnsi="Times New Roman"/>
          <w:sz w:val="24"/>
        </w:rPr>
        <w:t xml:space="preserve">Информацията използвана от външни източници е възпроизведена точно и доколкото е известно на емитента </w:t>
      </w:r>
      <w:r w:rsidR="006D3814">
        <w:rPr>
          <w:rFonts w:ascii="Times New Roman" w:hAnsi="Times New Roman"/>
          <w:sz w:val="24"/>
        </w:rPr>
        <w:t>и е имал възможност да се увери от информацията от трети лица, не са пропуснати факти, които да придадат на информацията неточен или подвеждаш характер.</w:t>
      </w:r>
    </w:p>
    <w:p w:rsidR="00AC5142" w:rsidRPr="00D342E8" w:rsidRDefault="00AC5142" w:rsidP="00AC5142">
      <w:pPr>
        <w:pStyle w:val="Heading1"/>
        <w:numPr>
          <w:ilvl w:val="1"/>
          <w:numId w:val="11"/>
        </w:numPr>
        <w:ind w:left="567" w:hanging="567"/>
        <w:rPr>
          <w:rFonts w:ascii="Times New Roman" w:hAnsi="Times New Roman"/>
          <w:b w:val="0"/>
          <w:i/>
          <w:smallCaps/>
          <w:sz w:val="24"/>
          <w:szCs w:val="24"/>
        </w:rPr>
      </w:pPr>
      <w:bookmarkStart w:id="256" w:name="_Toc324376989"/>
      <w:bookmarkStart w:id="257" w:name="_Toc324380148"/>
      <w:r w:rsidRPr="00D342E8">
        <w:rPr>
          <w:rFonts w:ascii="Times New Roman" w:hAnsi="Times New Roman"/>
          <w:b w:val="0"/>
          <w:i/>
          <w:smallCaps/>
          <w:sz w:val="24"/>
          <w:szCs w:val="24"/>
        </w:rPr>
        <w:t>Информация за участия</w:t>
      </w:r>
      <w:bookmarkEnd w:id="256"/>
      <w:bookmarkEnd w:id="257"/>
    </w:p>
    <w:p w:rsidR="00D342E8" w:rsidRPr="00D342E8" w:rsidRDefault="00D342E8" w:rsidP="00D342E8">
      <w:pPr>
        <w:pStyle w:val="a0"/>
        <w:shd w:val="clear" w:color="auto" w:fill="auto"/>
        <w:spacing w:before="0" w:after="235" w:line="278" w:lineRule="exact"/>
        <w:ind w:left="20" w:firstLine="0"/>
        <w:rPr>
          <w:rFonts w:ascii="Times New Roman" w:hAnsi="Times New Roman" w:cs="Times New Roman"/>
          <w:sz w:val="24"/>
          <w:szCs w:val="24"/>
        </w:rPr>
      </w:pPr>
      <w:r w:rsidRPr="00D342E8">
        <w:rPr>
          <w:rFonts w:ascii="Times New Roman" w:hAnsi="Times New Roman" w:cs="Times New Roman"/>
          <w:sz w:val="24"/>
          <w:szCs w:val="24"/>
        </w:rPr>
        <w:t xml:space="preserve">Към момента на изготвяне на настоящия документ, емитентът притежава пряко 100 % от капитала на "Спиди" </w:t>
      </w:r>
      <w:r w:rsidR="005B3501">
        <w:rPr>
          <w:rFonts w:ascii="Times New Roman" w:hAnsi="Times New Roman" w:cs="Times New Roman"/>
          <w:sz w:val="24"/>
          <w:szCs w:val="24"/>
        </w:rPr>
        <w:t>Е</w:t>
      </w:r>
      <w:r w:rsidRPr="00D342E8">
        <w:rPr>
          <w:rFonts w:ascii="Times New Roman" w:hAnsi="Times New Roman" w:cs="Times New Roman"/>
          <w:sz w:val="24"/>
          <w:szCs w:val="24"/>
        </w:rPr>
        <w:t xml:space="preserve">ООД, гр. Пловдив, ЕИК 115260535 и непряко 100% от капитала на "Трансбалкан" SRL, Румъния чрез "Спиди" </w:t>
      </w:r>
      <w:r w:rsidR="005B3501">
        <w:rPr>
          <w:rFonts w:ascii="Times New Roman" w:hAnsi="Times New Roman" w:cs="Times New Roman"/>
          <w:sz w:val="24"/>
          <w:szCs w:val="24"/>
        </w:rPr>
        <w:t>Е</w:t>
      </w:r>
      <w:r w:rsidRPr="00D342E8">
        <w:rPr>
          <w:rFonts w:ascii="Times New Roman" w:hAnsi="Times New Roman" w:cs="Times New Roman"/>
          <w:sz w:val="24"/>
          <w:szCs w:val="24"/>
        </w:rPr>
        <w:t>ООД</w:t>
      </w:r>
    </w:p>
    <w:p w:rsidR="00D342E8" w:rsidRPr="00D342E8" w:rsidRDefault="00D342E8" w:rsidP="00D342E8">
      <w:pPr>
        <w:pStyle w:val="a0"/>
        <w:shd w:val="clear" w:color="auto" w:fill="auto"/>
        <w:spacing w:before="0" w:after="235" w:line="278" w:lineRule="exact"/>
        <w:ind w:left="20" w:firstLine="0"/>
        <w:rPr>
          <w:rFonts w:ascii="Times New Roman" w:hAnsi="Times New Roman" w:cs="Times New Roman"/>
          <w:sz w:val="24"/>
          <w:szCs w:val="24"/>
        </w:rPr>
      </w:pPr>
    </w:p>
    <w:p w:rsidR="00FC3657" w:rsidRPr="00925142" w:rsidRDefault="00FC3657" w:rsidP="00D342E8">
      <w:pPr>
        <w:pStyle w:val="Heading1"/>
        <w:numPr>
          <w:ilvl w:val="1"/>
          <w:numId w:val="11"/>
        </w:numPr>
        <w:ind w:left="567" w:hanging="567"/>
        <w:rPr>
          <w:rFonts w:ascii="Times New Roman" w:hAnsi="Times New Roman"/>
          <w:b w:val="0"/>
          <w:i/>
          <w:smallCaps/>
          <w:sz w:val="24"/>
          <w:szCs w:val="24"/>
        </w:rPr>
      </w:pPr>
      <w:bookmarkStart w:id="258" w:name="_Toc324376990"/>
      <w:bookmarkStart w:id="259" w:name="_Toc324380149"/>
      <w:r w:rsidRPr="00925142">
        <w:rPr>
          <w:rFonts w:ascii="Times New Roman" w:hAnsi="Times New Roman"/>
          <w:b w:val="0"/>
          <w:i/>
          <w:smallCaps/>
          <w:sz w:val="24"/>
          <w:szCs w:val="24"/>
        </w:rPr>
        <w:t>Информация за мястото, времето и начина, по който може да бъде получена допълнителна</w:t>
      </w:r>
      <w:r w:rsidR="00B13C10" w:rsidRPr="00925142">
        <w:rPr>
          <w:rFonts w:ascii="Times New Roman" w:hAnsi="Times New Roman"/>
          <w:b w:val="0"/>
          <w:i/>
          <w:smallCaps/>
          <w:sz w:val="24"/>
          <w:szCs w:val="24"/>
        </w:rPr>
        <w:t xml:space="preserve"> </w:t>
      </w:r>
      <w:r w:rsidRPr="00925142">
        <w:rPr>
          <w:rFonts w:ascii="Times New Roman" w:hAnsi="Times New Roman"/>
          <w:b w:val="0"/>
          <w:i/>
          <w:smallCaps/>
          <w:sz w:val="24"/>
          <w:szCs w:val="24"/>
        </w:rPr>
        <w:t>информация, включително адрес, телефон, работно време и лице за контакти.</w:t>
      </w:r>
      <w:bookmarkEnd w:id="258"/>
      <w:bookmarkEnd w:id="259"/>
    </w:p>
    <w:tbl>
      <w:tblPr>
        <w:tblW w:w="0" w:type="auto"/>
        <w:tblInd w:w="108" w:type="dxa"/>
        <w:tblBorders>
          <w:top w:val="single" w:sz="12" w:space="0" w:color="000000"/>
          <w:bottom w:val="single" w:sz="12" w:space="0" w:color="000000"/>
        </w:tblBorders>
        <w:tblLook w:val="04A0"/>
      </w:tblPr>
      <w:tblGrid>
        <w:gridCol w:w="2694"/>
        <w:gridCol w:w="7053"/>
      </w:tblGrid>
      <w:tr w:rsidR="00925142" w:rsidRPr="005A6D82" w:rsidTr="00CC6BE7">
        <w:tc>
          <w:tcPr>
            <w:tcW w:w="2694" w:type="dxa"/>
            <w:tcBorders>
              <w:bottom w:val="single" w:sz="6" w:space="0" w:color="000000"/>
              <w:right w:val="single" w:sz="6" w:space="0" w:color="000000"/>
            </w:tcBorders>
            <w:shd w:val="clear" w:color="auto" w:fill="auto"/>
          </w:tcPr>
          <w:p w:rsidR="00925142" w:rsidRPr="005A6D82" w:rsidRDefault="00925142" w:rsidP="00CC6BE7"/>
        </w:tc>
        <w:tc>
          <w:tcPr>
            <w:tcW w:w="7053" w:type="dxa"/>
            <w:tcBorders>
              <w:bottom w:val="single" w:sz="6" w:space="0" w:color="000000"/>
            </w:tcBorders>
            <w:shd w:val="clear" w:color="auto" w:fill="auto"/>
          </w:tcPr>
          <w:p w:rsidR="00925142" w:rsidRPr="005A6D82" w:rsidRDefault="00925142" w:rsidP="00CC6BE7">
            <w:pPr>
              <w:jc w:val="center"/>
            </w:pPr>
            <w:r>
              <w:rPr>
                <w:noProof/>
                <w:lang w:eastAsia="bg-BG"/>
              </w:rPr>
              <w:drawing>
                <wp:inline distT="0" distB="0" distL="0" distR="0">
                  <wp:extent cx="1913890" cy="35115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13890" cy="351155"/>
                          </a:xfrm>
                          <a:prstGeom prst="rect">
                            <a:avLst/>
                          </a:prstGeom>
                          <a:noFill/>
                          <a:ln w="9525">
                            <a:noFill/>
                            <a:miter lim="800000"/>
                            <a:headEnd/>
                            <a:tailEnd/>
                          </a:ln>
                        </pic:spPr>
                      </pic:pic>
                    </a:graphicData>
                  </a:graphic>
                </wp:inline>
              </w:drawing>
            </w:r>
          </w:p>
        </w:tc>
      </w:tr>
      <w:tr w:rsidR="00925142" w:rsidRPr="005A6D82" w:rsidTr="00CC6BE7">
        <w:tc>
          <w:tcPr>
            <w:tcW w:w="2694" w:type="dxa"/>
            <w:tcBorders>
              <w:right w:val="single" w:sz="6" w:space="0" w:color="000000"/>
            </w:tcBorders>
            <w:shd w:val="clear" w:color="auto" w:fill="auto"/>
          </w:tcPr>
          <w:p w:rsidR="00925142" w:rsidRPr="005A6D82" w:rsidRDefault="00925142" w:rsidP="00CC6BE7"/>
        </w:tc>
        <w:tc>
          <w:tcPr>
            <w:tcW w:w="7053" w:type="dxa"/>
            <w:shd w:val="clear" w:color="auto" w:fill="auto"/>
          </w:tcPr>
          <w:p w:rsidR="00925142" w:rsidRPr="005A6D82" w:rsidRDefault="00925142" w:rsidP="00CC6BE7"/>
        </w:tc>
      </w:tr>
      <w:tr w:rsidR="00925142" w:rsidRPr="005A6D82" w:rsidTr="00CC6BE7">
        <w:tc>
          <w:tcPr>
            <w:tcW w:w="2694" w:type="dxa"/>
            <w:tcBorders>
              <w:right w:val="single" w:sz="6" w:space="0" w:color="000000"/>
            </w:tcBorders>
            <w:shd w:val="clear" w:color="auto" w:fill="auto"/>
          </w:tcPr>
          <w:p w:rsidR="00925142" w:rsidRPr="005A6D82" w:rsidRDefault="00925142" w:rsidP="00CC6BE7">
            <w:r w:rsidRPr="005A6D82">
              <w:t>Адрес:</w:t>
            </w:r>
          </w:p>
        </w:tc>
        <w:tc>
          <w:tcPr>
            <w:tcW w:w="7053" w:type="dxa"/>
            <w:shd w:val="clear" w:color="auto" w:fill="auto"/>
          </w:tcPr>
          <w:p w:rsidR="00925142" w:rsidRPr="005A6D82" w:rsidRDefault="00925142" w:rsidP="00CC6BE7">
            <w:r w:rsidRPr="007817E4">
              <w:t>гр. София, ул. Самоковско шосе №1</w:t>
            </w:r>
          </w:p>
        </w:tc>
      </w:tr>
      <w:tr w:rsidR="00925142" w:rsidRPr="005A6D82" w:rsidTr="00CC6BE7">
        <w:tc>
          <w:tcPr>
            <w:tcW w:w="2694" w:type="dxa"/>
            <w:tcBorders>
              <w:right w:val="single" w:sz="6" w:space="0" w:color="000000"/>
            </w:tcBorders>
            <w:shd w:val="clear" w:color="auto" w:fill="auto"/>
          </w:tcPr>
          <w:p w:rsidR="00925142" w:rsidRPr="005A6D82" w:rsidRDefault="00925142" w:rsidP="00CC6BE7">
            <w:r w:rsidRPr="005A6D82">
              <w:t>Телефон:</w:t>
            </w:r>
          </w:p>
        </w:tc>
        <w:tc>
          <w:tcPr>
            <w:tcW w:w="7053" w:type="dxa"/>
            <w:shd w:val="clear" w:color="auto" w:fill="auto"/>
          </w:tcPr>
          <w:p w:rsidR="00925142" w:rsidRPr="005A6D82" w:rsidRDefault="00925142" w:rsidP="00CC6BE7">
            <w:r w:rsidRPr="007817E4">
              <w:t>02 8173 999</w:t>
            </w:r>
          </w:p>
        </w:tc>
      </w:tr>
      <w:tr w:rsidR="00925142" w:rsidRPr="005A6D82" w:rsidTr="00CC6BE7">
        <w:tc>
          <w:tcPr>
            <w:tcW w:w="2694" w:type="dxa"/>
            <w:tcBorders>
              <w:right w:val="single" w:sz="6" w:space="0" w:color="000000"/>
            </w:tcBorders>
            <w:shd w:val="clear" w:color="auto" w:fill="auto"/>
          </w:tcPr>
          <w:p w:rsidR="00925142" w:rsidRPr="005A6D82" w:rsidRDefault="00925142" w:rsidP="00CC6BE7">
            <w:r>
              <w:t>Работно време:</w:t>
            </w:r>
          </w:p>
        </w:tc>
        <w:tc>
          <w:tcPr>
            <w:tcW w:w="7053" w:type="dxa"/>
            <w:shd w:val="clear" w:color="auto" w:fill="auto"/>
          </w:tcPr>
          <w:p w:rsidR="00925142" w:rsidRPr="007817E4" w:rsidRDefault="00925142" w:rsidP="00CC6BE7">
            <w:r>
              <w:t xml:space="preserve">От 9:30 ч. До 17:00 ч. </w:t>
            </w:r>
          </w:p>
        </w:tc>
      </w:tr>
      <w:tr w:rsidR="00925142" w:rsidRPr="005A6D82" w:rsidTr="00CC6BE7">
        <w:tc>
          <w:tcPr>
            <w:tcW w:w="2694" w:type="dxa"/>
            <w:tcBorders>
              <w:right w:val="single" w:sz="6" w:space="0" w:color="000000"/>
            </w:tcBorders>
            <w:shd w:val="clear" w:color="auto" w:fill="auto"/>
          </w:tcPr>
          <w:p w:rsidR="00925142" w:rsidRPr="005A6D82" w:rsidRDefault="00925142" w:rsidP="00CC6BE7">
            <w:r w:rsidRPr="005A6D82">
              <w:t>Лице за контакти:</w:t>
            </w:r>
          </w:p>
        </w:tc>
        <w:tc>
          <w:tcPr>
            <w:tcW w:w="7053" w:type="dxa"/>
            <w:shd w:val="clear" w:color="auto" w:fill="auto"/>
          </w:tcPr>
          <w:p w:rsidR="00925142" w:rsidRPr="005A6D82" w:rsidRDefault="00925142" w:rsidP="00CC6BE7">
            <w:r>
              <w:t>Ана Бонева</w:t>
            </w:r>
          </w:p>
        </w:tc>
      </w:tr>
    </w:tbl>
    <w:p w:rsidR="00BE33A4" w:rsidRPr="00BE33A4" w:rsidRDefault="00BE33A4" w:rsidP="00BE33A4"/>
    <w:p w:rsidR="00BE33A4" w:rsidRPr="00D342E8" w:rsidRDefault="00BE33A4" w:rsidP="00BE33A4">
      <w:pPr>
        <w:pStyle w:val="Heading1"/>
        <w:numPr>
          <w:ilvl w:val="1"/>
          <w:numId w:val="11"/>
        </w:numPr>
        <w:ind w:left="567" w:hanging="567"/>
        <w:rPr>
          <w:rFonts w:ascii="Times New Roman" w:hAnsi="Times New Roman"/>
          <w:b w:val="0"/>
          <w:i/>
          <w:smallCaps/>
          <w:sz w:val="24"/>
          <w:szCs w:val="24"/>
        </w:rPr>
      </w:pPr>
      <w:bookmarkStart w:id="260" w:name="_Toc324376991"/>
      <w:bookmarkStart w:id="261" w:name="_Toc324380150"/>
      <w:r w:rsidRPr="00D342E8">
        <w:rPr>
          <w:rFonts w:ascii="Times New Roman" w:hAnsi="Times New Roman"/>
          <w:b w:val="0"/>
          <w:i/>
          <w:smallCaps/>
          <w:sz w:val="24"/>
          <w:szCs w:val="24"/>
        </w:rPr>
        <w:t>Приложени документи</w:t>
      </w:r>
      <w:bookmarkEnd w:id="260"/>
      <w:bookmarkEnd w:id="261"/>
    </w:p>
    <w:p w:rsidR="00BE33A4" w:rsidRPr="00D342E8" w:rsidRDefault="00BE33A4" w:rsidP="00BE33A4">
      <w:r w:rsidRPr="00D342E8">
        <w:t>По време на периода на валидност на регистрационния документ, следните документи (или копия от тях), когато е приложимо могат да бъдат инспектирани:</w:t>
      </w:r>
    </w:p>
    <w:p w:rsidR="00925142" w:rsidRDefault="00925142" w:rsidP="00BE33A4">
      <w:pPr>
        <w:pStyle w:val="a0"/>
        <w:numPr>
          <w:ilvl w:val="1"/>
          <w:numId w:val="47"/>
        </w:numPr>
        <w:shd w:val="clear" w:color="auto" w:fill="auto"/>
        <w:tabs>
          <w:tab w:val="left" w:pos="663"/>
        </w:tabs>
        <w:spacing w:before="0" w:after="60" w:line="278" w:lineRule="exact"/>
        <w:ind w:left="284" w:hanging="284"/>
        <w:rPr>
          <w:rFonts w:ascii="Times New Roman" w:hAnsi="Times New Roman" w:cs="Times New Roman"/>
          <w:sz w:val="24"/>
          <w:szCs w:val="24"/>
        </w:rPr>
      </w:pPr>
      <w:r>
        <w:rPr>
          <w:rFonts w:ascii="Times New Roman" w:hAnsi="Times New Roman" w:cs="Times New Roman"/>
          <w:sz w:val="24"/>
          <w:szCs w:val="24"/>
        </w:rPr>
        <w:t>Актуален устав на емитента.</w:t>
      </w:r>
    </w:p>
    <w:p w:rsidR="00BE33A4" w:rsidRPr="00C367A0" w:rsidRDefault="00925142" w:rsidP="00BE33A4">
      <w:pPr>
        <w:pStyle w:val="a0"/>
        <w:numPr>
          <w:ilvl w:val="1"/>
          <w:numId w:val="47"/>
        </w:numPr>
        <w:shd w:val="clear" w:color="auto" w:fill="auto"/>
        <w:tabs>
          <w:tab w:val="left" w:pos="663"/>
        </w:tabs>
        <w:spacing w:before="0" w:after="60" w:line="278" w:lineRule="exact"/>
        <w:ind w:left="284" w:hanging="284"/>
        <w:rPr>
          <w:rFonts w:ascii="Times New Roman" w:hAnsi="Times New Roman" w:cs="Times New Roman"/>
          <w:sz w:val="24"/>
          <w:szCs w:val="24"/>
        </w:rPr>
      </w:pPr>
      <w:r>
        <w:rPr>
          <w:rFonts w:ascii="Times New Roman" w:hAnsi="Times New Roman" w:cs="Times New Roman"/>
          <w:sz w:val="24"/>
          <w:szCs w:val="24"/>
        </w:rPr>
        <w:t>Проекто-</w:t>
      </w:r>
      <w:r w:rsidR="00BE33A4" w:rsidRPr="00C367A0">
        <w:rPr>
          <w:rFonts w:ascii="Times New Roman" w:hAnsi="Times New Roman" w:cs="Times New Roman"/>
          <w:sz w:val="24"/>
          <w:szCs w:val="24"/>
        </w:rPr>
        <w:t xml:space="preserve">устав на емитента, приет на </w:t>
      </w:r>
      <w:r w:rsidR="00BE33A4">
        <w:rPr>
          <w:rFonts w:ascii="Times New Roman" w:hAnsi="Times New Roman" w:cs="Times New Roman"/>
          <w:sz w:val="24"/>
          <w:szCs w:val="24"/>
        </w:rPr>
        <w:t xml:space="preserve">извънредно </w:t>
      </w:r>
      <w:r w:rsidR="00BE33A4" w:rsidRPr="00C367A0">
        <w:rPr>
          <w:rFonts w:ascii="Times New Roman" w:hAnsi="Times New Roman" w:cs="Times New Roman"/>
          <w:sz w:val="24"/>
          <w:szCs w:val="24"/>
        </w:rPr>
        <w:t>Общо събрание на акционерите, под условие, че дружество</w:t>
      </w:r>
      <w:r w:rsidR="00901D3C">
        <w:rPr>
          <w:rFonts w:ascii="Times New Roman" w:hAnsi="Times New Roman" w:cs="Times New Roman"/>
          <w:sz w:val="24"/>
          <w:szCs w:val="24"/>
        </w:rPr>
        <w:t>то стане публично.</w:t>
      </w:r>
    </w:p>
    <w:p w:rsidR="00BE33A4" w:rsidRPr="00C367A0" w:rsidRDefault="00901D3C" w:rsidP="00BE33A4">
      <w:pPr>
        <w:pStyle w:val="a0"/>
        <w:numPr>
          <w:ilvl w:val="1"/>
          <w:numId w:val="47"/>
        </w:numPr>
        <w:shd w:val="clear" w:color="auto" w:fill="auto"/>
        <w:tabs>
          <w:tab w:val="left" w:pos="639"/>
        </w:tabs>
        <w:spacing w:before="0" w:after="115" w:line="278" w:lineRule="exact"/>
        <w:ind w:left="284" w:hanging="284"/>
        <w:rPr>
          <w:rFonts w:ascii="Times New Roman" w:hAnsi="Times New Roman" w:cs="Times New Roman"/>
          <w:sz w:val="24"/>
          <w:szCs w:val="24"/>
        </w:rPr>
      </w:pPr>
      <w:r w:rsidRPr="00C367A0">
        <w:rPr>
          <w:rFonts w:ascii="Times New Roman" w:hAnsi="Times New Roman" w:cs="Times New Roman"/>
          <w:sz w:val="24"/>
          <w:szCs w:val="24"/>
        </w:rPr>
        <w:t>Одитиран</w:t>
      </w:r>
      <w:r>
        <w:rPr>
          <w:rFonts w:ascii="Times New Roman" w:hAnsi="Times New Roman" w:cs="Times New Roman"/>
          <w:sz w:val="24"/>
          <w:szCs w:val="24"/>
        </w:rPr>
        <w:t>и</w:t>
      </w:r>
      <w:r w:rsidRPr="00C367A0">
        <w:rPr>
          <w:rFonts w:ascii="Times New Roman" w:hAnsi="Times New Roman" w:cs="Times New Roman"/>
          <w:sz w:val="24"/>
          <w:szCs w:val="24"/>
        </w:rPr>
        <w:t xml:space="preserve"> </w:t>
      </w:r>
      <w:r w:rsidR="00BE33A4" w:rsidRPr="00C367A0">
        <w:rPr>
          <w:rFonts w:ascii="Times New Roman" w:hAnsi="Times New Roman" w:cs="Times New Roman"/>
          <w:sz w:val="24"/>
          <w:szCs w:val="24"/>
        </w:rPr>
        <w:t>годишен</w:t>
      </w:r>
      <w:r w:rsidR="00BE33A4">
        <w:rPr>
          <w:rFonts w:ascii="Times New Roman" w:hAnsi="Times New Roman" w:cs="Times New Roman"/>
          <w:sz w:val="24"/>
          <w:szCs w:val="24"/>
        </w:rPr>
        <w:t>и</w:t>
      </w:r>
      <w:r w:rsidR="00BE33A4" w:rsidRPr="00C367A0">
        <w:rPr>
          <w:rFonts w:ascii="Times New Roman" w:hAnsi="Times New Roman" w:cs="Times New Roman"/>
          <w:sz w:val="24"/>
          <w:szCs w:val="24"/>
        </w:rPr>
        <w:t xml:space="preserve"> финансов</w:t>
      </w:r>
      <w:r w:rsidR="00BE33A4">
        <w:rPr>
          <w:rFonts w:ascii="Times New Roman" w:hAnsi="Times New Roman" w:cs="Times New Roman"/>
          <w:sz w:val="24"/>
          <w:szCs w:val="24"/>
        </w:rPr>
        <w:t>и</w:t>
      </w:r>
      <w:r w:rsidR="00BE33A4" w:rsidRPr="00C367A0">
        <w:rPr>
          <w:rFonts w:ascii="Times New Roman" w:hAnsi="Times New Roman" w:cs="Times New Roman"/>
          <w:sz w:val="24"/>
          <w:szCs w:val="24"/>
        </w:rPr>
        <w:t xml:space="preserve"> отчет</w:t>
      </w:r>
      <w:r w:rsidR="00BE33A4">
        <w:rPr>
          <w:rFonts w:ascii="Times New Roman" w:hAnsi="Times New Roman" w:cs="Times New Roman"/>
          <w:sz w:val="24"/>
          <w:szCs w:val="24"/>
        </w:rPr>
        <w:t>и за 2009 г., 2010 г. и</w:t>
      </w:r>
      <w:r w:rsidR="00BE33A4" w:rsidRPr="00C367A0">
        <w:rPr>
          <w:rFonts w:ascii="Times New Roman" w:hAnsi="Times New Roman" w:cs="Times New Roman"/>
          <w:sz w:val="24"/>
          <w:szCs w:val="24"/>
        </w:rPr>
        <w:t xml:space="preserve"> 20</w:t>
      </w:r>
      <w:r w:rsidR="00BE33A4">
        <w:rPr>
          <w:rFonts w:ascii="Times New Roman" w:hAnsi="Times New Roman" w:cs="Times New Roman"/>
          <w:sz w:val="24"/>
          <w:szCs w:val="24"/>
        </w:rPr>
        <w:t>11 г. (консолидиран и неконсолидиран), к</w:t>
      </w:r>
      <w:r w:rsidR="005B3501">
        <w:rPr>
          <w:rFonts w:ascii="Times New Roman" w:hAnsi="Times New Roman" w:cs="Times New Roman"/>
          <w:sz w:val="24"/>
          <w:szCs w:val="24"/>
        </w:rPr>
        <w:t>акто и неодотирани финансови от</w:t>
      </w:r>
      <w:r w:rsidR="00BE33A4">
        <w:rPr>
          <w:rFonts w:ascii="Times New Roman" w:hAnsi="Times New Roman" w:cs="Times New Roman"/>
          <w:sz w:val="24"/>
          <w:szCs w:val="24"/>
        </w:rPr>
        <w:t>чети за първо тримесечие на 2012 г. (консолидиран и неконсолидиран)</w:t>
      </w:r>
    </w:p>
    <w:p w:rsidR="00BE33A4" w:rsidRPr="00C367A0" w:rsidRDefault="00901D3C" w:rsidP="00BE33A4">
      <w:pPr>
        <w:pStyle w:val="a0"/>
        <w:numPr>
          <w:ilvl w:val="1"/>
          <w:numId w:val="47"/>
        </w:numPr>
        <w:shd w:val="clear" w:color="auto" w:fill="auto"/>
        <w:tabs>
          <w:tab w:val="left" w:pos="639"/>
        </w:tabs>
        <w:spacing w:before="0" w:after="83" w:line="210" w:lineRule="exact"/>
        <w:ind w:left="284" w:hanging="284"/>
        <w:rPr>
          <w:rFonts w:ascii="Times New Roman" w:hAnsi="Times New Roman" w:cs="Times New Roman"/>
          <w:sz w:val="24"/>
          <w:szCs w:val="24"/>
        </w:rPr>
      </w:pPr>
      <w:r w:rsidRPr="00C367A0">
        <w:rPr>
          <w:rFonts w:ascii="Times New Roman" w:hAnsi="Times New Roman" w:cs="Times New Roman"/>
          <w:sz w:val="24"/>
          <w:szCs w:val="24"/>
        </w:rPr>
        <w:t>Проспект</w:t>
      </w:r>
      <w:r w:rsidR="00BE33A4" w:rsidRPr="00C367A0">
        <w:rPr>
          <w:rFonts w:ascii="Times New Roman" w:hAnsi="Times New Roman" w:cs="Times New Roman"/>
          <w:sz w:val="24"/>
          <w:szCs w:val="24"/>
        </w:rPr>
        <w:t>;</w:t>
      </w:r>
    </w:p>
    <w:p w:rsidR="00BE33A4" w:rsidRPr="00C367A0" w:rsidRDefault="00901D3C" w:rsidP="00BE33A4">
      <w:pPr>
        <w:pStyle w:val="a0"/>
        <w:numPr>
          <w:ilvl w:val="1"/>
          <w:numId w:val="47"/>
        </w:numPr>
        <w:shd w:val="clear" w:color="auto" w:fill="auto"/>
        <w:tabs>
          <w:tab w:val="left" w:pos="649"/>
        </w:tabs>
        <w:spacing w:before="0" w:after="60" w:line="278" w:lineRule="exact"/>
        <w:ind w:left="284" w:hanging="284"/>
        <w:rPr>
          <w:rFonts w:ascii="Times New Roman" w:hAnsi="Times New Roman" w:cs="Times New Roman"/>
          <w:sz w:val="24"/>
          <w:szCs w:val="24"/>
        </w:rPr>
      </w:pPr>
      <w:r w:rsidRPr="00C367A0">
        <w:rPr>
          <w:rFonts w:ascii="Times New Roman" w:hAnsi="Times New Roman" w:cs="Times New Roman"/>
          <w:sz w:val="24"/>
          <w:szCs w:val="24"/>
        </w:rPr>
        <w:t xml:space="preserve">Декларации </w:t>
      </w:r>
      <w:r w:rsidR="00BE33A4" w:rsidRPr="00C367A0">
        <w:rPr>
          <w:rFonts w:ascii="Times New Roman" w:hAnsi="Times New Roman" w:cs="Times New Roman"/>
          <w:sz w:val="24"/>
          <w:szCs w:val="24"/>
        </w:rPr>
        <w:t>по чл. 81, ал. 5 от ЗППЦК и членовете на Съвета на директорите и съставителя на отчетите и одитора</w:t>
      </w:r>
    </w:p>
    <w:p w:rsidR="00BE33A4" w:rsidRDefault="00BE33A4" w:rsidP="00BE33A4">
      <w:pPr>
        <w:pStyle w:val="a0"/>
        <w:shd w:val="clear" w:color="auto" w:fill="auto"/>
        <w:spacing w:before="0" w:after="235" w:line="278" w:lineRule="exact"/>
        <w:ind w:left="20" w:firstLine="0"/>
        <w:rPr>
          <w:rFonts w:ascii="Times New Roman" w:hAnsi="Times New Roman" w:cs="Times New Roman"/>
          <w:sz w:val="24"/>
          <w:szCs w:val="24"/>
        </w:rPr>
      </w:pPr>
      <w:r w:rsidRPr="00C367A0">
        <w:rPr>
          <w:rFonts w:ascii="Times New Roman" w:hAnsi="Times New Roman" w:cs="Times New Roman"/>
          <w:sz w:val="24"/>
          <w:szCs w:val="24"/>
        </w:rPr>
        <w:t xml:space="preserve">Информация може да бъде получена от настоящи и потенциални инвеститори на адреса на управление на дружеството: </w:t>
      </w:r>
    </w:p>
    <w:p w:rsidR="00BE33A4" w:rsidRDefault="00BE33A4" w:rsidP="00BE33A4"/>
    <w:p w:rsidR="00901D3C" w:rsidRDefault="00901D3C" w:rsidP="00BE33A4"/>
    <w:p w:rsidR="00901D3C" w:rsidRPr="00046E3C" w:rsidRDefault="00901D3C" w:rsidP="00BE33A4">
      <w:pPr>
        <w:rPr>
          <w:rFonts w:eastAsia="Tahoma"/>
          <w:lang w:eastAsia="bg-BG"/>
        </w:rPr>
      </w:pPr>
    </w:p>
    <w:p w:rsidR="001953AE" w:rsidRPr="00046E3C" w:rsidRDefault="001953AE" w:rsidP="00C17E80">
      <w:pPr>
        <w:pStyle w:val="40"/>
        <w:shd w:val="clear" w:color="auto" w:fill="auto"/>
        <w:spacing w:before="0" w:after="0" w:line="200" w:lineRule="exact"/>
        <w:ind w:firstLine="0"/>
        <w:jc w:val="center"/>
        <w:rPr>
          <w:rFonts w:ascii="Times New Roman" w:hAnsi="Times New Roman" w:cs="Times New Roman"/>
          <w:sz w:val="24"/>
          <w:szCs w:val="24"/>
        </w:rPr>
      </w:pPr>
      <w:r w:rsidRPr="00046E3C">
        <w:rPr>
          <w:rFonts w:ascii="Times New Roman" w:hAnsi="Times New Roman" w:cs="Times New Roman"/>
          <w:sz w:val="24"/>
          <w:szCs w:val="24"/>
        </w:rPr>
        <w:t>Изготвили регистрационния документ:</w:t>
      </w:r>
    </w:p>
    <w:p w:rsidR="00C17E80" w:rsidRPr="00046E3C" w:rsidRDefault="00C17E80" w:rsidP="00046E3C">
      <w:pPr>
        <w:pStyle w:val="40"/>
        <w:shd w:val="clear" w:color="auto" w:fill="auto"/>
        <w:spacing w:before="0" w:after="60" w:line="200" w:lineRule="exact"/>
        <w:ind w:firstLine="0"/>
        <w:jc w:val="center"/>
        <w:rPr>
          <w:rFonts w:ascii="Times New Roman" w:hAnsi="Times New Roman" w:cs="Times New Roman"/>
          <w:sz w:val="24"/>
          <w:szCs w:val="24"/>
        </w:rPr>
      </w:pPr>
    </w:p>
    <w:p w:rsidR="00C17E80" w:rsidRDefault="00C17E80" w:rsidP="00046E3C">
      <w:pPr>
        <w:pStyle w:val="40"/>
        <w:shd w:val="clear" w:color="auto" w:fill="auto"/>
        <w:spacing w:before="0" w:after="60" w:line="200" w:lineRule="exact"/>
        <w:ind w:firstLine="0"/>
        <w:jc w:val="center"/>
        <w:rPr>
          <w:rFonts w:ascii="Times New Roman" w:hAnsi="Times New Roman" w:cs="Times New Roman"/>
          <w:sz w:val="24"/>
          <w:szCs w:val="24"/>
          <w:lang w:val="en-US"/>
        </w:rPr>
      </w:pPr>
    </w:p>
    <w:p w:rsidR="00046E3C" w:rsidRPr="00046E3C" w:rsidRDefault="00046E3C" w:rsidP="00046E3C">
      <w:pPr>
        <w:pStyle w:val="40"/>
        <w:shd w:val="clear" w:color="auto" w:fill="auto"/>
        <w:spacing w:before="0" w:after="60" w:line="200" w:lineRule="exact"/>
        <w:ind w:firstLine="0"/>
        <w:jc w:val="center"/>
        <w:rPr>
          <w:rFonts w:ascii="Times New Roman" w:hAnsi="Times New Roman" w:cs="Times New Roman"/>
          <w:sz w:val="24"/>
          <w:szCs w:val="24"/>
          <w:lang w:val="en-US"/>
        </w:rPr>
      </w:pPr>
    </w:p>
    <w:p w:rsidR="00C17E80" w:rsidRPr="00046E3C" w:rsidRDefault="00C17E80" w:rsidP="00046E3C">
      <w:pPr>
        <w:pStyle w:val="40"/>
        <w:shd w:val="clear" w:color="auto" w:fill="auto"/>
        <w:spacing w:before="0" w:after="60" w:line="200" w:lineRule="exact"/>
        <w:ind w:firstLine="0"/>
        <w:jc w:val="center"/>
        <w:rPr>
          <w:rFonts w:ascii="Times New Roman" w:hAnsi="Times New Roman" w:cs="Times New Roman"/>
          <w:sz w:val="24"/>
          <w:szCs w:val="24"/>
        </w:rPr>
      </w:pPr>
      <w:r w:rsidRPr="00046E3C">
        <w:rPr>
          <w:rFonts w:ascii="Times New Roman" w:hAnsi="Times New Roman" w:cs="Times New Roman"/>
          <w:sz w:val="24"/>
          <w:szCs w:val="24"/>
        </w:rPr>
        <w:t>_______________________________</w:t>
      </w:r>
    </w:p>
    <w:p w:rsidR="00C17E80" w:rsidRPr="00046E3C" w:rsidRDefault="00C17E80" w:rsidP="00046E3C">
      <w:pPr>
        <w:pStyle w:val="40"/>
        <w:shd w:val="clear" w:color="auto" w:fill="auto"/>
        <w:spacing w:before="0" w:after="60" w:line="200" w:lineRule="exact"/>
        <w:ind w:firstLine="0"/>
        <w:jc w:val="center"/>
        <w:rPr>
          <w:rFonts w:ascii="Times New Roman" w:hAnsi="Times New Roman" w:cs="Times New Roman"/>
          <w:sz w:val="24"/>
          <w:szCs w:val="24"/>
        </w:rPr>
      </w:pPr>
      <w:r w:rsidRPr="00046E3C">
        <w:rPr>
          <w:rFonts w:ascii="Times New Roman" w:hAnsi="Times New Roman" w:cs="Times New Roman"/>
          <w:sz w:val="24"/>
          <w:szCs w:val="24"/>
        </w:rPr>
        <w:t>/Красимир Тахчиев/</w:t>
      </w:r>
    </w:p>
    <w:p w:rsidR="00C17E80" w:rsidRPr="00046E3C" w:rsidRDefault="00C17E80" w:rsidP="00046E3C">
      <w:pPr>
        <w:pStyle w:val="40"/>
        <w:shd w:val="clear" w:color="auto" w:fill="auto"/>
        <w:spacing w:before="0" w:after="60" w:line="200" w:lineRule="exact"/>
        <w:ind w:firstLine="0"/>
        <w:jc w:val="center"/>
        <w:rPr>
          <w:rFonts w:ascii="Times New Roman" w:hAnsi="Times New Roman" w:cs="Times New Roman"/>
          <w:sz w:val="24"/>
          <w:szCs w:val="24"/>
        </w:rPr>
      </w:pPr>
    </w:p>
    <w:p w:rsidR="00046E3C" w:rsidRPr="00046E3C" w:rsidRDefault="00046E3C" w:rsidP="00046E3C">
      <w:pPr>
        <w:pStyle w:val="40"/>
        <w:shd w:val="clear" w:color="auto" w:fill="auto"/>
        <w:spacing w:before="0" w:after="60" w:line="200" w:lineRule="exact"/>
        <w:ind w:firstLine="0"/>
        <w:jc w:val="center"/>
        <w:rPr>
          <w:rFonts w:ascii="Times New Roman" w:hAnsi="Times New Roman" w:cs="Times New Roman"/>
          <w:sz w:val="24"/>
          <w:szCs w:val="24"/>
        </w:rPr>
      </w:pPr>
    </w:p>
    <w:p w:rsidR="00046E3C" w:rsidRDefault="00046E3C" w:rsidP="00046E3C">
      <w:pPr>
        <w:pStyle w:val="40"/>
        <w:shd w:val="clear" w:color="auto" w:fill="auto"/>
        <w:spacing w:before="0" w:after="60" w:line="200" w:lineRule="exact"/>
        <w:ind w:firstLine="0"/>
        <w:jc w:val="center"/>
        <w:rPr>
          <w:rFonts w:ascii="Times New Roman" w:hAnsi="Times New Roman" w:cs="Times New Roman"/>
          <w:sz w:val="24"/>
          <w:szCs w:val="24"/>
          <w:lang w:val="en-US"/>
        </w:rPr>
      </w:pPr>
    </w:p>
    <w:p w:rsidR="00046E3C" w:rsidRPr="00046E3C" w:rsidRDefault="00046E3C" w:rsidP="00046E3C">
      <w:pPr>
        <w:pStyle w:val="40"/>
        <w:shd w:val="clear" w:color="auto" w:fill="auto"/>
        <w:spacing w:before="0" w:after="60" w:line="200" w:lineRule="exact"/>
        <w:ind w:firstLine="0"/>
        <w:rPr>
          <w:rFonts w:ascii="Times New Roman" w:hAnsi="Times New Roman" w:cs="Times New Roman"/>
          <w:sz w:val="24"/>
          <w:szCs w:val="24"/>
          <w:lang w:val="en-US"/>
        </w:rPr>
      </w:pPr>
    </w:p>
    <w:p w:rsidR="00046E3C" w:rsidRPr="00046E3C" w:rsidRDefault="00046E3C" w:rsidP="00046E3C">
      <w:pPr>
        <w:pStyle w:val="40"/>
        <w:shd w:val="clear" w:color="auto" w:fill="auto"/>
        <w:spacing w:before="0" w:after="60" w:line="240" w:lineRule="auto"/>
        <w:ind w:firstLine="0"/>
        <w:jc w:val="center"/>
        <w:rPr>
          <w:rFonts w:ascii="Times New Roman" w:hAnsi="Times New Roman" w:cs="Times New Roman"/>
          <w:sz w:val="24"/>
          <w:szCs w:val="24"/>
          <w:lang w:val="en-US"/>
        </w:rPr>
      </w:pPr>
      <w:r w:rsidRPr="00046E3C">
        <w:rPr>
          <w:rFonts w:ascii="Times New Roman" w:hAnsi="Times New Roman" w:cs="Times New Roman"/>
          <w:sz w:val="24"/>
          <w:szCs w:val="24"/>
        </w:rPr>
        <w:t>_______________</w:t>
      </w:r>
      <w:r>
        <w:rPr>
          <w:rFonts w:ascii="Times New Roman" w:hAnsi="Times New Roman" w:cs="Times New Roman"/>
          <w:bCs/>
          <w:sz w:val="24"/>
          <w:szCs w:val="24"/>
        </w:rPr>
        <w:t>__________________</w:t>
      </w:r>
    </w:p>
    <w:p w:rsidR="00046E3C" w:rsidRPr="00046E3C" w:rsidRDefault="00046E3C" w:rsidP="00046E3C">
      <w:pPr>
        <w:pStyle w:val="40"/>
        <w:shd w:val="clear" w:color="auto" w:fill="auto"/>
        <w:spacing w:before="0" w:after="60" w:line="240" w:lineRule="auto"/>
        <w:ind w:firstLine="0"/>
        <w:jc w:val="center"/>
        <w:rPr>
          <w:rFonts w:ascii="Times New Roman" w:hAnsi="Times New Roman" w:cs="Times New Roman"/>
          <w:sz w:val="24"/>
          <w:szCs w:val="24"/>
        </w:rPr>
      </w:pPr>
      <w:r w:rsidRPr="00046E3C">
        <w:rPr>
          <w:rFonts w:ascii="Times New Roman" w:hAnsi="Times New Roman" w:cs="Times New Roman"/>
          <w:sz w:val="24"/>
          <w:szCs w:val="24"/>
        </w:rPr>
        <w:t>/Данаил Данаилов/</w:t>
      </w:r>
    </w:p>
    <w:p w:rsidR="00046E3C" w:rsidRPr="00046E3C" w:rsidRDefault="00046E3C" w:rsidP="00046E3C">
      <w:pPr>
        <w:pStyle w:val="40"/>
        <w:shd w:val="clear" w:color="auto" w:fill="auto"/>
        <w:spacing w:before="0" w:after="60" w:line="240" w:lineRule="auto"/>
        <w:ind w:firstLine="0"/>
        <w:jc w:val="center"/>
        <w:rPr>
          <w:rFonts w:ascii="Times New Roman" w:hAnsi="Times New Roman" w:cs="Times New Roman"/>
          <w:sz w:val="24"/>
          <w:szCs w:val="24"/>
        </w:rPr>
      </w:pPr>
    </w:p>
    <w:p w:rsidR="001953AE" w:rsidRPr="00046E3C" w:rsidRDefault="00EA2627" w:rsidP="00046E3C">
      <w:pPr>
        <w:pStyle w:val="21"/>
        <w:shd w:val="clear" w:color="auto" w:fill="auto"/>
        <w:spacing w:after="60" w:line="240" w:lineRule="auto"/>
        <w:ind w:firstLine="0"/>
        <w:jc w:val="both"/>
        <w:rPr>
          <w:rFonts w:ascii="Times New Roman" w:hAnsi="Times New Roman" w:cs="Times New Roman"/>
          <w:b w:val="0"/>
          <w:bCs w:val="0"/>
          <w:smallCaps w:val="0"/>
          <w:color w:val="auto"/>
          <w:sz w:val="24"/>
          <w:szCs w:val="24"/>
        </w:rPr>
      </w:pPr>
      <w:r>
        <w:rPr>
          <w:rFonts w:ascii="Times New Roman" w:hAnsi="Times New Roman" w:cs="Times New Roman"/>
          <w:b w:val="0"/>
          <w:bCs w:val="0"/>
          <w:smallCaps w:val="0"/>
          <w:color w:val="auto"/>
          <w:sz w:val="24"/>
          <w:szCs w:val="24"/>
        </w:rPr>
        <w:t>Долуподписаното лице</w:t>
      </w:r>
      <w:r w:rsidR="001953AE" w:rsidRPr="00046E3C">
        <w:rPr>
          <w:rFonts w:ascii="Times New Roman" w:hAnsi="Times New Roman" w:cs="Times New Roman"/>
          <w:b w:val="0"/>
          <w:bCs w:val="0"/>
          <w:smallCaps w:val="0"/>
          <w:color w:val="auto"/>
          <w:sz w:val="24"/>
          <w:szCs w:val="24"/>
        </w:rPr>
        <w:t>, в качеството си на представляващ</w:t>
      </w:r>
      <w:r w:rsidR="001953AE" w:rsidRPr="00046E3C">
        <w:rPr>
          <w:rFonts w:ascii="Times New Roman" w:hAnsi="Times New Roman" w:cs="Times New Roman"/>
          <w:bCs w:val="0"/>
          <w:sz w:val="24"/>
          <w:szCs w:val="24"/>
        </w:rPr>
        <w:t xml:space="preserve"> Д</w:t>
      </w:r>
      <w:r>
        <w:rPr>
          <w:rFonts w:ascii="Times New Roman" w:hAnsi="Times New Roman" w:cs="Times New Roman"/>
          <w:b w:val="0"/>
          <w:bCs w:val="0"/>
          <w:smallCaps w:val="0"/>
          <w:color w:val="auto"/>
          <w:sz w:val="24"/>
          <w:szCs w:val="24"/>
        </w:rPr>
        <w:t>ружеството, с подписа</w:t>
      </w:r>
      <w:r w:rsidR="001953AE" w:rsidRPr="00046E3C">
        <w:rPr>
          <w:rFonts w:ascii="Times New Roman" w:hAnsi="Times New Roman" w:cs="Times New Roman"/>
          <w:b w:val="0"/>
          <w:bCs w:val="0"/>
          <w:smallCaps w:val="0"/>
          <w:color w:val="auto"/>
          <w:sz w:val="24"/>
          <w:szCs w:val="24"/>
        </w:rPr>
        <w:t xml:space="preserve"> си, декларират, че</w:t>
      </w:r>
      <w:r w:rsidR="001953AE" w:rsidRPr="00046E3C">
        <w:rPr>
          <w:rFonts w:ascii="Times New Roman" w:hAnsi="Times New Roman" w:cs="Times New Roman"/>
          <w:bCs w:val="0"/>
          <w:sz w:val="24"/>
          <w:szCs w:val="24"/>
        </w:rPr>
        <w:t xml:space="preserve"> </w:t>
      </w:r>
      <w:r w:rsidRPr="00EA2627">
        <w:rPr>
          <w:rFonts w:ascii="Times New Roman" w:hAnsi="Times New Roman" w:cs="Times New Roman"/>
          <w:b w:val="0"/>
          <w:bCs w:val="0"/>
          <w:smallCaps w:val="0"/>
          <w:color w:val="auto"/>
          <w:sz w:val="24"/>
          <w:szCs w:val="24"/>
        </w:rPr>
        <w:t>Регистрационния документ</w:t>
      </w:r>
      <w:r>
        <w:rPr>
          <w:rFonts w:ascii="Times New Roman" w:hAnsi="Times New Roman" w:cs="Times New Roman"/>
          <w:bCs w:val="0"/>
          <w:sz w:val="24"/>
          <w:szCs w:val="24"/>
        </w:rPr>
        <w:t xml:space="preserve"> </w:t>
      </w:r>
      <w:r w:rsidR="001953AE" w:rsidRPr="00046E3C">
        <w:rPr>
          <w:rFonts w:ascii="Times New Roman" w:hAnsi="Times New Roman" w:cs="Times New Roman"/>
          <w:b w:val="0"/>
          <w:bCs w:val="0"/>
          <w:smallCaps w:val="0"/>
          <w:color w:val="auto"/>
          <w:sz w:val="24"/>
          <w:szCs w:val="24"/>
        </w:rPr>
        <w:t>отговаря на изискванията на закона.</w:t>
      </w:r>
    </w:p>
    <w:p w:rsidR="00C17E80" w:rsidRPr="00046E3C" w:rsidRDefault="00C17E80" w:rsidP="001953AE">
      <w:pPr>
        <w:pStyle w:val="21"/>
        <w:shd w:val="clear" w:color="auto" w:fill="auto"/>
        <w:spacing w:after="120" w:line="240" w:lineRule="auto"/>
        <w:ind w:firstLine="0"/>
        <w:jc w:val="both"/>
        <w:rPr>
          <w:rFonts w:ascii="Times New Roman" w:hAnsi="Times New Roman" w:cs="Times New Roman"/>
          <w:b w:val="0"/>
          <w:bCs w:val="0"/>
          <w:smallCaps w:val="0"/>
          <w:color w:val="auto"/>
          <w:sz w:val="24"/>
          <w:szCs w:val="24"/>
        </w:rPr>
      </w:pPr>
    </w:p>
    <w:p w:rsidR="00C17E80" w:rsidRPr="00046E3C" w:rsidRDefault="00C17E80" w:rsidP="001953AE">
      <w:pPr>
        <w:pStyle w:val="21"/>
        <w:shd w:val="clear" w:color="auto" w:fill="auto"/>
        <w:spacing w:after="120" w:line="240" w:lineRule="auto"/>
        <w:ind w:firstLine="0"/>
        <w:jc w:val="both"/>
        <w:rPr>
          <w:rFonts w:ascii="Times New Roman" w:hAnsi="Times New Roman" w:cs="Times New Roman"/>
          <w:b w:val="0"/>
          <w:bCs w:val="0"/>
          <w:smallCaps w:val="0"/>
          <w:color w:val="auto"/>
          <w:sz w:val="24"/>
          <w:szCs w:val="24"/>
        </w:rPr>
      </w:pPr>
    </w:p>
    <w:p w:rsidR="00C17E80" w:rsidRPr="00046E3C" w:rsidRDefault="00C17E80" w:rsidP="00EA2627">
      <w:pPr>
        <w:pStyle w:val="21"/>
        <w:shd w:val="clear" w:color="auto" w:fill="auto"/>
        <w:spacing w:after="120" w:line="240" w:lineRule="auto"/>
        <w:ind w:firstLine="0"/>
        <w:jc w:val="center"/>
        <w:rPr>
          <w:rFonts w:ascii="Times New Roman" w:hAnsi="Times New Roman" w:cs="Times New Roman"/>
          <w:b w:val="0"/>
          <w:bCs w:val="0"/>
          <w:smallCaps w:val="0"/>
          <w:color w:val="auto"/>
          <w:sz w:val="24"/>
          <w:szCs w:val="24"/>
        </w:rPr>
      </w:pPr>
      <w:r w:rsidRPr="00046E3C">
        <w:rPr>
          <w:rFonts w:ascii="Times New Roman" w:hAnsi="Times New Roman" w:cs="Times New Roman"/>
          <w:b w:val="0"/>
          <w:bCs w:val="0"/>
          <w:smallCaps w:val="0"/>
          <w:color w:val="auto"/>
          <w:sz w:val="24"/>
          <w:szCs w:val="24"/>
        </w:rPr>
        <w:t>_____________________</w:t>
      </w:r>
    </w:p>
    <w:p w:rsidR="00C17E80" w:rsidRPr="00046E3C" w:rsidRDefault="00C17E80" w:rsidP="00EA2627">
      <w:pPr>
        <w:pStyle w:val="21"/>
        <w:shd w:val="clear" w:color="auto" w:fill="auto"/>
        <w:spacing w:after="120" w:line="240" w:lineRule="auto"/>
        <w:ind w:firstLine="0"/>
        <w:jc w:val="center"/>
        <w:rPr>
          <w:rFonts w:ascii="Times New Roman" w:hAnsi="Times New Roman" w:cs="Times New Roman"/>
          <w:b w:val="0"/>
          <w:bCs w:val="0"/>
          <w:smallCaps w:val="0"/>
          <w:color w:val="auto"/>
          <w:sz w:val="24"/>
          <w:szCs w:val="24"/>
        </w:rPr>
      </w:pPr>
      <w:r w:rsidRPr="00046E3C">
        <w:rPr>
          <w:rFonts w:ascii="Times New Roman" w:hAnsi="Times New Roman" w:cs="Times New Roman"/>
          <w:b w:val="0"/>
          <w:bCs w:val="0"/>
          <w:smallCaps w:val="0"/>
          <w:color w:val="auto"/>
          <w:sz w:val="24"/>
          <w:szCs w:val="24"/>
        </w:rPr>
        <w:t>/Валери Мектупчиян/</w:t>
      </w:r>
    </w:p>
    <w:p w:rsidR="00E12D4B" w:rsidRPr="00046E3C" w:rsidRDefault="00E12D4B" w:rsidP="00EA2627">
      <w:pPr>
        <w:jc w:val="center"/>
        <w:rPr>
          <w:rFonts w:eastAsia="Tahoma"/>
          <w:lang w:eastAsia="bg-BG"/>
        </w:rPr>
      </w:pPr>
      <w:bookmarkStart w:id="262" w:name="_GoBack"/>
      <w:bookmarkEnd w:id="262"/>
    </w:p>
    <w:sectPr w:rsidR="00E12D4B" w:rsidRPr="00046E3C" w:rsidSect="005D03EF">
      <w:headerReference w:type="default" r:id="rId18"/>
      <w:footerReference w:type="default" r:id="rId19"/>
      <w:footnotePr>
        <w:numRestart w:val="eachPage"/>
      </w:footnotePr>
      <w:pgSz w:w="12240" w:h="15840"/>
      <w:pgMar w:top="1417" w:right="1041" w:bottom="993" w:left="1418" w:header="454"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0C" w:rsidRDefault="00234A0C" w:rsidP="00187EFA">
      <w:pPr>
        <w:spacing w:after="0"/>
      </w:pPr>
      <w:r>
        <w:separator/>
      </w:r>
    </w:p>
  </w:endnote>
  <w:endnote w:type="continuationSeparator" w:id="0">
    <w:p w:rsidR="00234A0C" w:rsidRDefault="00234A0C" w:rsidP="00187E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atangChe">
    <w:panose1 w:val="02030609000101010101"/>
    <w:charset w:val="81"/>
    <w:family w:val="modern"/>
    <w:pitch w:val="fixed"/>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Tahoma-Bold">
    <w:altName w:val="Arial"/>
    <w:panose1 w:val="00000000000000000000"/>
    <w:charset w:val="00"/>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FC" w:rsidRDefault="003D3056">
    <w:pPr>
      <w:pStyle w:val="Footer"/>
      <w:jc w:val="center"/>
    </w:pPr>
    <w:r>
      <w:pict>
        <v:shapetype id="_x0000_t110" coordsize="21600,21600" o:spt="110" path="m10800,l,10800,10800,21600,21600,10800xe">
          <v:stroke joinstyle="miter"/>
          <v:path gradientshapeok="t" o:connecttype="rect" textboxrect="5400,5400,16200,16200"/>
        </v:shapetype>
        <v:shape id="_x0000_s2056" type="#_x0000_t110" style="width:488.3pt;height:3.55pt;flip: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EE70FC" w:rsidRDefault="001E7C80">
    <w:pPr>
      <w:pStyle w:val="Footer"/>
      <w:jc w:val="center"/>
    </w:pPr>
    <w:fldSimple w:instr=" PAGE    \* MERGEFORMAT ">
      <w:r w:rsidR="00234A0C">
        <w:rPr>
          <w:noProof/>
        </w:rPr>
        <w:t>1</w:t>
      </w:r>
    </w:fldSimple>
  </w:p>
  <w:p w:rsidR="00EE70FC" w:rsidRDefault="00EE7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0C" w:rsidRDefault="00234A0C" w:rsidP="00187EFA">
      <w:pPr>
        <w:spacing w:after="0"/>
      </w:pPr>
      <w:r>
        <w:separator/>
      </w:r>
    </w:p>
  </w:footnote>
  <w:footnote w:type="continuationSeparator" w:id="0">
    <w:p w:rsidR="00234A0C" w:rsidRDefault="00234A0C" w:rsidP="00187EFA">
      <w:pPr>
        <w:spacing w:after="0"/>
      </w:pPr>
      <w:r>
        <w:continuationSeparator/>
      </w:r>
    </w:p>
  </w:footnote>
  <w:footnote w:id="1">
    <w:p w:rsidR="00EE70FC" w:rsidRDefault="00EE70FC">
      <w:pPr>
        <w:pStyle w:val="FootnoteText"/>
      </w:pPr>
      <w:r w:rsidRPr="00BB55D2">
        <w:rPr>
          <w:rStyle w:val="FootnoteReference"/>
        </w:rPr>
        <w:sym w:font="Symbol" w:char="F02A"/>
      </w:r>
      <w:r>
        <w:t xml:space="preserve"> Последните актуални данни от КРС са за 2010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FC" w:rsidRDefault="001E7C80" w:rsidP="00D17B54">
    <w:pPr>
      <w:pStyle w:val="Header"/>
      <w:tabs>
        <w:tab w:val="clear" w:pos="4536"/>
        <w:tab w:val="clear" w:pos="9072"/>
        <w:tab w:val="center" w:pos="4819"/>
      </w:tabs>
      <w:ind w:right="-284"/>
      <w:jc w:val="right"/>
    </w:pPr>
    <w:r w:rsidRPr="001E7C80">
      <w:rPr>
        <w:noProof/>
        <w:lang w:val="en-US" w:eastAsia="zh-TW"/>
      </w:rPr>
      <w:pict>
        <v:shapetype id="_x0000_t202" coordsize="21600,21600" o:spt="202" path="m,l,21600r21600,l21600,xe">
          <v:stroke joinstyle="miter"/>
          <v:path gradientshapeok="t" o:connecttype="rect"/>
        </v:shapetype>
        <v:shape id="_x0000_s2055" type="#_x0000_t202" style="position:absolute;left:0;text-align:left;margin-left:70.9pt;margin-top:29.45pt;width:489.05pt;height:13.8pt;z-index:251661312;mso-width-percent:1000;mso-position-horizontal-relative:page;mso-position-vertical-relative:page;mso-width-percent:1000;mso-width-relative:margin;v-text-anchor:middle" o:allowincell="f" filled="f" stroked="f">
          <v:textbox style="mso-next-textbox:#_x0000_s2055;mso-fit-shape-to-text:t" inset=",0,,0">
            <w:txbxContent>
              <w:p w:rsidR="00EE70FC" w:rsidRPr="00EE4BD1" w:rsidRDefault="00EE70FC">
                <w:pPr>
                  <w:spacing w:after="0"/>
                  <w:rPr>
                    <w:color w:val="1F497D" w:themeColor="text2"/>
                  </w:rPr>
                </w:pPr>
                <w:r w:rsidRPr="00EE4BD1">
                  <w:rPr>
                    <w:color w:val="1F497D" w:themeColor="text2"/>
                  </w:rPr>
                  <w:t>РЕГИСТРАЦИОНЕН ДОКУМЕНТ</w:t>
                </w:r>
              </w:p>
            </w:txbxContent>
          </v:textbox>
          <w10:wrap anchorx="margin" anchory="margin"/>
        </v:shape>
      </w:pict>
    </w:r>
    <w:r w:rsidR="00EE70FC">
      <w:rPr>
        <w:noProof/>
        <w:lang w:eastAsia="bg-BG"/>
      </w:rPr>
      <w:drawing>
        <wp:inline distT="0" distB="0" distL="0" distR="0">
          <wp:extent cx="1913890" cy="35115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srcRect/>
                  <a:stretch>
                    <a:fillRect/>
                  </a:stretch>
                </pic:blipFill>
                <pic:spPr bwMode="auto">
                  <a:xfrm>
                    <a:off x="0" y="0"/>
                    <a:ext cx="1913890" cy="351155"/>
                  </a:xfrm>
                  <a:prstGeom prst="rect">
                    <a:avLst/>
                  </a:prstGeom>
                  <a:noFill/>
                  <a:ln w="9525">
                    <a:noFill/>
                    <a:miter lim="800000"/>
                    <a:headEnd/>
                    <a:tailEnd/>
                  </a:ln>
                </pic:spPr>
              </pic:pic>
            </a:graphicData>
          </a:graphic>
        </wp:inline>
      </w:drawing>
    </w:r>
    <w:r w:rsidRPr="001E7C80">
      <w:rPr>
        <w:noProof/>
        <w:lang w:val="en-US" w:eastAsia="zh-TW"/>
      </w:rPr>
      <w:pict>
        <v:shape id="_x0000_s2054" type="#_x0000_t202" style="position:absolute;left:0;text-align:left;margin-left:0;margin-top:28.5pt;width:70.55pt;height:13.8pt;z-index:251660288;mso-width-percent:1000;mso-position-horizontal-relative:page;mso-position-vertical-relative:page;mso-width-percent:1000;mso-width-relative:left-margin-area;v-text-anchor:middle" o:allowincell="f" fillcolor="#4f81bd" stroked="f">
          <v:textbox style="mso-next-textbox:#_x0000_s2054;mso-fit-shape-to-text:t" inset=",0,,0">
            <w:txbxContent>
              <w:p w:rsidR="00EE70FC" w:rsidRPr="00D17B54" w:rsidRDefault="00EE70FC">
                <w:pPr>
                  <w:spacing w:after="0"/>
                  <w:jc w:val="right"/>
                  <w:rPr>
                    <w:color w:val="FFFFFF"/>
                  </w:rPr>
                </w:pPr>
              </w:p>
            </w:txbxContent>
          </v:textbox>
          <w10:wrap anchorx="page" anchory="margin"/>
        </v:shape>
      </w:pict>
    </w:r>
  </w:p>
  <w:p w:rsidR="00EE70FC" w:rsidRDefault="003D3056" w:rsidP="00584321">
    <w:pPr>
      <w:pStyle w:val="Header"/>
      <w:tabs>
        <w:tab w:val="clear" w:pos="4536"/>
        <w:tab w:val="clear" w:pos="9072"/>
        <w:tab w:val="center" w:pos="4819"/>
      </w:tabs>
      <w:ind w:right="-284"/>
      <w:jc w:val="center"/>
    </w:pPr>
    <w:r>
      <w:pict>
        <v:shapetype id="_x0000_t110" coordsize="21600,21600" o:spt="110" path="m10800,l,10800,10800,21600,21600,10800xe">
          <v:stroke joinstyle="miter"/>
          <v:path gradientshapeok="t" o:connecttype="rect" textboxrect="5400,5400,16200,16200"/>
        </v:shapetype>
        <v:shape id="_x0000_s2057" type="#_x0000_t110" style="width:488.3pt;height:3.55pt;flip:y;mso-width-percent:1000;mso-position-horizontal-relative:char;mso-position-vertical-relative:line;mso-width-percent:1000;mso-width-relative:margin" fillcolor="black" stroked="f">
          <v:fill r:id="rId2" o:title="Light horizontal" type="pattern"/>
          <w10:wrap type="none" anchorx="margin"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4"/>
      </v:shape>
    </w:pict>
  </w:numPicBullet>
  <w:abstractNum w:abstractNumId="0">
    <w:nsid w:val="9027C236"/>
    <w:multiLevelType w:val="hybridMultilevel"/>
    <w:tmpl w:val="91EFB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6026A"/>
    <w:multiLevelType w:val="hybridMultilevel"/>
    <w:tmpl w:val="9BEE7AD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19C73BF"/>
    <w:multiLevelType w:val="hybridMultilevel"/>
    <w:tmpl w:val="4AFE46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0565237F"/>
    <w:multiLevelType w:val="hybridMultilevel"/>
    <w:tmpl w:val="83DAD1C2"/>
    <w:lvl w:ilvl="0" w:tplc="C11A957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8FC6828"/>
    <w:multiLevelType w:val="hybridMultilevel"/>
    <w:tmpl w:val="1B4EE3C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420CF8"/>
    <w:multiLevelType w:val="hybridMultilevel"/>
    <w:tmpl w:val="91726D82"/>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0F3935B4"/>
    <w:multiLevelType w:val="multilevel"/>
    <w:tmpl w:val="B7E2D28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DB131D"/>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B03A0E"/>
    <w:multiLevelType w:val="multilevel"/>
    <w:tmpl w:val="DB3E5A74"/>
    <w:lvl w:ilvl="0">
      <w:start w:val="1"/>
      <w:numFmt w:val="bullet"/>
      <w:lvlText w:val=""/>
      <w:lvlPicBulletId w:val="0"/>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D1090"/>
    <w:multiLevelType w:val="multilevel"/>
    <w:tmpl w:val="23724ADE"/>
    <w:lvl w:ilvl="0">
      <w:start w:val="1"/>
      <w:numFmt w:val="upperRoman"/>
      <w:lvlText w:val="%1."/>
      <w:lvlJc w:val="left"/>
      <w:pPr>
        <w:ind w:left="720" w:hanging="360"/>
      </w:pPr>
      <w:rPr>
        <w:rFonts w:hint="default"/>
      </w:rPr>
    </w:lvl>
    <w:lvl w:ilvl="1">
      <w:start w:val="1"/>
      <w:numFmt w:val="decimal"/>
      <w:isLgl/>
      <w:lvlText w:val="I.%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266B11"/>
    <w:multiLevelType w:val="multilevel"/>
    <w:tmpl w:val="9BD4A248"/>
    <w:lvl w:ilvl="0">
      <w:start w:val="1"/>
      <w:numFmt w:val="decimal"/>
      <w:lvlText w:val="%1."/>
      <w:lvlJc w:val="left"/>
      <w:pPr>
        <w:ind w:left="360" w:hanging="360"/>
      </w:pPr>
      <w:rPr>
        <w:rFonts w:hint="default"/>
      </w:rPr>
    </w:lvl>
    <w:lvl w:ilvl="1">
      <w:start w:val="1"/>
      <w:numFmt w:val="decimal"/>
      <w:lvlText w:val="I.%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C8268C"/>
    <w:multiLevelType w:val="hybridMultilevel"/>
    <w:tmpl w:val="EBEEA0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E572E13"/>
    <w:multiLevelType w:val="hybridMultilevel"/>
    <w:tmpl w:val="A4D2778E"/>
    <w:lvl w:ilvl="0" w:tplc="04020007">
      <w:start w:val="1"/>
      <w:numFmt w:val="bullet"/>
      <w:lvlText w:val=""/>
      <w:lvlPicBulletId w:val="0"/>
      <w:lvlJc w:val="left"/>
      <w:pPr>
        <w:ind w:left="1100" w:hanging="360"/>
      </w:pPr>
      <w:rPr>
        <w:rFonts w:ascii="Symbol" w:hAnsi="Symbol" w:hint="default"/>
      </w:rPr>
    </w:lvl>
    <w:lvl w:ilvl="1" w:tplc="04020003" w:tentative="1">
      <w:start w:val="1"/>
      <w:numFmt w:val="bullet"/>
      <w:lvlText w:val="o"/>
      <w:lvlJc w:val="left"/>
      <w:pPr>
        <w:ind w:left="1820" w:hanging="360"/>
      </w:pPr>
      <w:rPr>
        <w:rFonts w:ascii="Courier New" w:hAnsi="Courier New" w:cs="Courier New" w:hint="default"/>
      </w:rPr>
    </w:lvl>
    <w:lvl w:ilvl="2" w:tplc="04020005" w:tentative="1">
      <w:start w:val="1"/>
      <w:numFmt w:val="bullet"/>
      <w:lvlText w:val=""/>
      <w:lvlJc w:val="left"/>
      <w:pPr>
        <w:ind w:left="2540" w:hanging="360"/>
      </w:pPr>
      <w:rPr>
        <w:rFonts w:ascii="Wingdings" w:hAnsi="Wingdings" w:hint="default"/>
      </w:rPr>
    </w:lvl>
    <w:lvl w:ilvl="3" w:tplc="04020001" w:tentative="1">
      <w:start w:val="1"/>
      <w:numFmt w:val="bullet"/>
      <w:lvlText w:val=""/>
      <w:lvlJc w:val="left"/>
      <w:pPr>
        <w:ind w:left="3260" w:hanging="360"/>
      </w:pPr>
      <w:rPr>
        <w:rFonts w:ascii="Symbol" w:hAnsi="Symbol" w:hint="default"/>
      </w:rPr>
    </w:lvl>
    <w:lvl w:ilvl="4" w:tplc="04020003" w:tentative="1">
      <w:start w:val="1"/>
      <w:numFmt w:val="bullet"/>
      <w:lvlText w:val="o"/>
      <w:lvlJc w:val="left"/>
      <w:pPr>
        <w:ind w:left="3980" w:hanging="360"/>
      </w:pPr>
      <w:rPr>
        <w:rFonts w:ascii="Courier New" w:hAnsi="Courier New" w:cs="Courier New" w:hint="default"/>
      </w:rPr>
    </w:lvl>
    <w:lvl w:ilvl="5" w:tplc="04020005" w:tentative="1">
      <w:start w:val="1"/>
      <w:numFmt w:val="bullet"/>
      <w:lvlText w:val=""/>
      <w:lvlJc w:val="left"/>
      <w:pPr>
        <w:ind w:left="4700" w:hanging="360"/>
      </w:pPr>
      <w:rPr>
        <w:rFonts w:ascii="Wingdings" w:hAnsi="Wingdings" w:hint="default"/>
      </w:rPr>
    </w:lvl>
    <w:lvl w:ilvl="6" w:tplc="04020001" w:tentative="1">
      <w:start w:val="1"/>
      <w:numFmt w:val="bullet"/>
      <w:lvlText w:val=""/>
      <w:lvlJc w:val="left"/>
      <w:pPr>
        <w:ind w:left="5420" w:hanging="360"/>
      </w:pPr>
      <w:rPr>
        <w:rFonts w:ascii="Symbol" w:hAnsi="Symbol" w:hint="default"/>
      </w:rPr>
    </w:lvl>
    <w:lvl w:ilvl="7" w:tplc="04020003" w:tentative="1">
      <w:start w:val="1"/>
      <w:numFmt w:val="bullet"/>
      <w:lvlText w:val="o"/>
      <w:lvlJc w:val="left"/>
      <w:pPr>
        <w:ind w:left="6140" w:hanging="360"/>
      </w:pPr>
      <w:rPr>
        <w:rFonts w:ascii="Courier New" w:hAnsi="Courier New" w:cs="Courier New" w:hint="default"/>
      </w:rPr>
    </w:lvl>
    <w:lvl w:ilvl="8" w:tplc="04020005" w:tentative="1">
      <w:start w:val="1"/>
      <w:numFmt w:val="bullet"/>
      <w:lvlText w:val=""/>
      <w:lvlJc w:val="left"/>
      <w:pPr>
        <w:ind w:left="6860" w:hanging="360"/>
      </w:pPr>
      <w:rPr>
        <w:rFonts w:ascii="Wingdings" w:hAnsi="Wingdings" w:hint="default"/>
      </w:rPr>
    </w:lvl>
  </w:abstractNum>
  <w:abstractNum w:abstractNumId="13">
    <w:nsid w:val="2BFF0AFF"/>
    <w:multiLevelType w:val="hybridMultilevel"/>
    <w:tmpl w:val="39FA7906"/>
    <w:lvl w:ilvl="0" w:tplc="5D3AF010">
      <w:start w:val="6"/>
      <w:numFmt w:val="bullet"/>
      <w:lvlText w:val="-"/>
      <w:lvlJc w:val="left"/>
      <w:pPr>
        <w:ind w:left="1069" w:hanging="360"/>
      </w:pPr>
      <w:rPr>
        <w:rFonts w:ascii="TimesNewRoman" w:eastAsiaTheme="minorHAnsi" w:hAnsi="TimesNewRoman" w:cs="TimesNew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2C723B3A"/>
    <w:multiLevelType w:val="hybridMultilevel"/>
    <w:tmpl w:val="CBEEE484"/>
    <w:lvl w:ilvl="0" w:tplc="04020001">
      <w:start w:val="1"/>
      <w:numFmt w:val="bullet"/>
      <w:lvlText w:val=""/>
      <w:lvlJc w:val="left"/>
      <w:pPr>
        <w:ind w:left="761" w:hanging="360"/>
      </w:pPr>
      <w:rPr>
        <w:rFonts w:ascii="Symbol" w:hAnsi="Symbol" w:hint="default"/>
      </w:rPr>
    </w:lvl>
    <w:lvl w:ilvl="1" w:tplc="04020003">
      <w:start w:val="1"/>
      <w:numFmt w:val="bullet"/>
      <w:lvlText w:val="o"/>
      <w:lvlJc w:val="left"/>
      <w:pPr>
        <w:ind w:left="1481" w:hanging="360"/>
      </w:pPr>
      <w:rPr>
        <w:rFonts w:ascii="Courier New" w:hAnsi="Courier New" w:cs="Courier New"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15">
    <w:nsid w:val="2DD20B31"/>
    <w:multiLevelType w:val="hybridMultilevel"/>
    <w:tmpl w:val="237A79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1DD023"/>
    <w:multiLevelType w:val="hybridMultilevel"/>
    <w:tmpl w:val="82BAD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ACC5EA9"/>
    <w:multiLevelType w:val="multilevel"/>
    <w:tmpl w:val="65B64F3C"/>
    <w:lvl w:ilvl="0">
      <w:start w:val="6"/>
      <w:numFmt w:val="decimal"/>
      <w:lvlText w:val="2.%1"/>
      <w:lvlJc w:val="left"/>
      <w:rPr>
        <w:rFonts w:ascii="Tahoma" w:eastAsia="Tahoma" w:hAnsi="Tahoma" w:cs="Tahoma"/>
        <w:b/>
        <w:bCs/>
        <w:i w:val="0"/>
        <w:iCs w:val="0"/>
        <w:smallCaps w:val="0"/>
        <w:strike w:val="0"/>
        <w:color w:val="000000"/>
        <w:spacing w:val="0"/>
        <w:w w:val="100"/>
        <w:position w:val="0"/>
        <w:sz w:val="21"/>
        <w:szCs w:val="21"/>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21"/>
        <w:szCs w:val="21"/>
        <w:u w:val="none"/>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21"/>
        <w:szCs w:val="21"/>
        <w:u w:val="none"/>
      </w:rPr>
    </w:lvl>
    <w:lvl w:ilvl="6">
      <w:start w:val="1"/>
      <w:numFmt w:val="decimal"/>
      <w:lvlText w:val="%7."/>
      <w:lvlJc w:val="left"/>
      <w:rPr>
        <w:rFonts w:ascii="Tahoma" w:eastAsia="Tahoma" w:hAnsi="Tahoma" w:cs="Tahoma"/>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8">
    <w:nsid w:val="3E713D3D"/>
    <w:multiLevelType w:val="multilevel"/>
    <w:tmpl w:val="9BD4A248"/>
    <w:lvl w:ilvl="0">
      <w:start w:val="1"/>
      <w:numFmt w:val="decimal"/>
      <w:lvlText w:val="%1."/>
      <w:lvlJc w:val="left"/>
      <w:pPr>
        <w:ind w:left="360" w:hanging="360"/>
      </w:pPr>
      <w:rPr>
        <w:rFonts w:hint="default"/>
      </w:rPr>
    </w:lvl>
    <w:lvl w:ilvl="1">
      <w:start w:val="1"/>
      <w:numFmt w:val="decimal"/>
      <w:lvlText w:val="I.%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0390873"/>
    <w:multiLevelType w:val="multilevel"/>
    <w:tmpl w:val="B7E2D288"/>
    <w:lvl w:ilvl="0">
      <w:start w:val="1"/>
      <w:numFmt w:val="bullet"/>
      <w:lvlText w:val="*"/>
      <w:lvlJc w:val="left"/>
      <w:rPr>
        <w:rFonts w:ascii="Tahoma" w:eastAsia="Tahoma" w:hAnsi="Tahoma" w:cs="Tahoma"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hint="default"/>
        <w:b w:val="0"/>
        <w:bCs w:val="0"/>
        <w:i w:val="0"/>
        <w:iCs w:val="0"/>
        <w:smallCaps w:val="0"/>
        <w:strike w:val="0"/>
        <w:color w:val="000000"/>
        <w:spacing w:val="0"/>
        <w:w w:val="100"/>
        <w:position w:val="0"/>
        <w:sz w:val="21"/>
        <w:szCs w:val="21"/>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nsid w:val="421C5C08"/>
    <w:multiLevelType w:val="hybridMultilevel"/>
    <w:tmpl w:val="0D06E660"/>
    <w:lvl w:ilvl="0" w:tplc="7B40DB6A">
      <w:start w:val="4"/>
      <w:numFmt w:val="upperRoman"/>
      <w:lvlText w:val="%1."/>
      <w:lvlJc w:val="left"/>
      <w:pPr>
        <w:ind w:left="1080" w:hanging="720"/>
      </w:pPr>
      <w:rPr>
        <w:rFonts w:ascii="Tahoma" w:hAnsi="Tahoma" w:cs="Tahoma" w:hint="default"/>
        <w:i w:val="0"/>
        <w:sz w:val="22"/>
        <w:szCs w:val="22"/>
      </w:rPr>
    </w:lvl>
    <w:lvl w:ilvl="1" w:tplc="0402000F">
      <w:start w:val="1"/>
      <w:numFmt w:val="decimal"/>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27D09FD"/>
    <w:multiLevelType w:val="hybridMultilevel"/>
    <w:tmpl w:val="C3483C18"/>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436E1C8C"/>
    <w:multiLevelType w:val="multilevel"/>
    <w:tmpl w:val="ACE69F2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7D559D"/>
    <w:multiLevelType w:val="hybridMultilevel"/>
    <w:tmpl w:val="5ADE6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6C66C2B"/>
    <w:multiLevelType w:val="hybridMultilevel"/>
    <w:tmpl w:val="F7D4083E"/>
    <w:lvl w:ilvl="0" w:tplc="04020007">
      <w:start w:val="1"/>
      <w:numFmt w:val="bullet"/>
      <w:lvlText w:val=""/>
      <w:lvlPicBulletId w:val="0"/>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25">
    <w:nsid w:val="49306FE6"/>
    <w:multiLevelType w:val="hybridMultilevel"/>
    <w:tmpl w:val="4EBCF4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B792BD9"/>
    <w:multiLevelType w:val="multilevel"/>
    <w:tmpl w:val="B7E2D28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EA2110"/>
    <w:multiLevelType w:val="hybridMultilevel"/>
    <w:tmpl w:val="97DC712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BFC3E30"/>
    <w:multiLevelType w:val="hybridMultilevel"/>
    <w:tmpl w:val="DABAB4F8"/>
    <w:lvl w:ilvl="0" w:tplc="04020001">
      <w:start w:val="1"/>
      <w:numFmt w:val="bullet"/>
      <w:lvlText w:val=""/>
      <w:lvlJc w:val="left"/>
      <w:pPr>
        <w:ind w:left="761" w:hanging="360"/>
      </w:pPr>
      <w:rPr>
        <w:rFonts w:ascii="Symbol" w:hAnsi="Symbol" w:hint="default"/>
      </w:rPr>
    </w:lvl>
    <w:lvl w:ilvl="1" w:tplc="0402000D">
      <w:start w:val="1"/>
      <w:numFmt w:val="bullet"/>
      <w:lvlText w:val=""/>
      <w:lvlJc w:val="left"/>
      <w:pPr>
        <w:ind w:left="1481" w:hanging="360"/>
      </w:pPr>
      <w:rPr>
        <w:rFonts w:ascii="Wingdings" w:hAnsi="Wingdings"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29">
    <w:nsid w:val="4E28180B"/>
    <w:multiLevelType w:val="hybridMultilevel"/>
    <w:tmpl w:val="434A00AA"/>
    <w:lvl w:ilvl="0" w:tplc="EA0E99C6">
      <w:start w:val="1"/>
      <w:numFmt w:val="bullet"/>
      <w:lvlText w:val=""/>
      <w:lvlJc w:val="left"/>
      <w:pPr>
        <w:tabs>
          <w:tab w:val="num" w:pos="720"/>
        </w:tabs>
        <w:ind w:left="720" w:hanging="360"/>
      </w:pPr>
      <w:rPr>
        <w:rFonts w:ascii="Wingdings" w:hAnsi="Wingdings" w:hint="default"/>
      </w:rPr>
    </w:lvl>
    <w:lvl w:ilvl="1" w:tplc="DA0ED51A" w:tentative="1">
      <w:start w:val="1"/>
      <w:numFmt w:val="bullet"/>
      <w:lvlText w:val=""/>
      <w:lvlJc w:val="left"/>
      <w:pPr>
        <w:tabs>
          <w:tab w:val="num" w:pos="1440"/>
        </w:tabs>
        <w:ind w:left="1440" w:hanging="360"/>
      </w:pPr>
      <w:rPr>
        <w:rFonts w:ascii="Wingdings" w:hAnsi="Wingdings" w:hint="default"/>
      </w:rPr>
    </w:lvl>
    <w:lvl w:ilvl="2" w:tplc="019C0D0C" w:tentative="1">
      <w:start w:val="1"/>
      <w:numFmt w:val="bullet"/>
      <w:lvlText w:val=""/>
      <w:lvlJc w:val="left"/>
      <w:pPr>
        <w:tabs>
          <w:tab w:val="num" w:pos="2160"/>
        </w:tabs>
        <w:ind w:left="2160" w:hanging="360"/>
      </w:pPr>
      <w:rPr>
        <w:rFonts w:ascii="Wingdings" w:hAnsi="Wingdings" w:hint="default"/>
      </w:rPr>
    </w:lvl>
    <w:lvl w:ilvl="3" w:tplc="D988DD02" w:tentative="1">
      <w:start w:val="1"/>
      <w:numFmt w:val="bullet"/>
      <w:lvlText w:val=""/>
      <w:lvlJc w:val="left"/>
      <w:pPr>
        <w:tabs>
          <w:tab w:val="num" w:pos="2880"/>
        </w:tabs>
        <w:ind w:left="2880" w:hanging="360"/>
      </w:pPr>
      <w:rPr>
        <w:rFonts w:ascii="Wingdings" w:hAnsi="Wingdings" w:hint="default"/>
      </w:rPr>
    </w:lvl>
    <w:lvl w:ilvl="4" w:tplc="1A28CEFE" w:tentative="1">
      <w:start w:val="1"/>
      <w:numFmt w:val="bullet"/>
      <w:lvlText w:val=""/>
      <w:lvlJc w:val="left"/>
      <w:pPr>
        <w:tabs>
          <w:tab w:val="num" w:pos="3600"/>
        </w:tabs>
        <w:ind w:left="3600" w:hanging="360"/>
      </w:pPr>
      <w:rPr>
        <w:rFonts w:ascii="Wingdings" w:hAnsi="Wingdings" w:hint="default"/>
      </w:rPr>
    </w:lvl>
    <w:lvl w:ilvl="5" w:tplc="72C44678" w:tentative="1">
      <w:start w:val="1"/>
      <w:numFmt w:val="bullet"/>
      <w:lvlText w:val=""/>
      <w:lvlJc w:val="left"/>
      <w:pPr>
        <w:tabs>
          <w:tab w:val="num" w:pos="4320"/>
        </w:tabs>
        <w:ind w:left="4320" w:hanging="360"/>
      </w:pPr>
      <w:rPr>
        <w:rFonts w:ascii="Wingdings" w:hAnsi="Wingdings" w:hint="default"/>
      </w:rPr>
    </w:lvl>
    <w:lvl w:ilvl="6" w:tplc="B9104036" w:tentative="1">
      <w:start w:val="1"/>
      <w:numFmt w:val="bullet"/>
      <w:lvlText w:val=""/>
      <w:lvlJc w:val="left"/>
      <w:pPr>
        <w:tabs>
          <w:tab w:val="num" w:pos="5040"/>
        </w:tabs>
        <w:ind w:left="5040" w:hanging="360"/>
      </w:pPr>
      <w:rPr>
        <w:rFonts w:ascii="Wingdings" w:hAnsi="Wingdings" w:hint="default"/>
      </w:rPr>
    </w:lvl>
    <w:lvl w:ilvl="7" w:tplc="D4DA6A44" w:tentative="1">
      <w:start w:val="1"/>
      <w:numFmt w:val="bullet"/>
      <w:lvlText w:val=""/>
      <w:lvlJc w:val="left"/>
      <w:pPr>
        <w:tabs>
          <w:tab w:val="num" w:pos="5760"/>
        </w:tabs>
        <w:ind w:left="5760" w:hanging="360"/>
      </w:pPr>
      <w:rPr>
        <w:rFonts w:ascii="Wingdings" w:hAnsi="Wingdings" w:hint="default"/>
      </w:rPr>
    </w:lvl>
    <w:lvl w:ilvl="8" w:tplc="4D3EBFAC">
      <w:start w:val="1"/>
      <w:numFmt w:val="bullet"/>
      <w:lvlText w:val=""/>
      <w:lvlJc w:val="left"/>
      <w:pPr>
        <w:tabs>
          <w:tab w:val="num" w:pos="6480"/>
        </w:tabs>
        <w:ind w:left="6480" w:hanging="360"/>
      </w:pPr>
      <w:rPr>
        <w:rFonts w:ascii="Wingdings" w:hAnsi="Wingdings" w:hint="default"/>
      </w:rPr>
    </w:lvl>
  </w:abstractNum>
  <w:abstractNum w:abstractNumId="30">
    <w:nsid w:val="4E5D0FE7"/>
    <w:multiLevelType w:val="multilevel"/>
    <w:tmpl w:val="65F2707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296E07"/>
    <w:multiLevelType w:val="multilevel"/>
    <w:tmpl w:val="9B5A3652"/>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rPr>
    </w:lvl>
    <w:lvl w:ilvl="1">
      <w:start w:val="1"/>
      <w:numFmt w:val="decimal"/>
      <w:lvlText w:val="%2."/>
      <w:lvlJc w:val="left"/>
      <w:rPr>
        <w:rFonts w:ascii="Tahoma" w:eastAsia="Tahoma" w:hAnsi="Tahoma" w:cs="Tahoma"/>
        <w:b/>
        <w:bCs/>
        <w:i w:val="0"/>
        <w:iCs w:val="0"/>
        <w:smallCaps w:val="0"/>
        <w:strike w:val="0"/>
        <w:color w:val="000000"/>
        <w:spacing w:val="0"/>
        <w:w w:val="100"/>
        <w:position w:val="0"/>
        <w:sz w:val="21"/>
        <w:szCs w:val="21"/>
        <w:u w:val="none"/>
      </w:rPr>
    </w:lvl>
    <w:lvl w:ilvl="2">
      <w:start w:val="1"/>
      <w:numFmt w:val="decimal"/>
      <w:lvlText w:val="%2.%3."/>
      <w:lvlJc w:val="left"/>
      <w:rPr>
        <w:rFonts w:ascii="Tahoma" w:eastAsia="Tahoma" w:hAnsi="Tahoma" w:cs="Tahoma"/>
        <w:b/>
        <w:bCs/>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bCs/>
        <w:i w:val="0"/>
        <w:iCs w:val="0"/>
        <w:smallCaps w:val="0"/>
        <w:strike w:val="0"/>
        <w:color w:val="000000"/>
        <w:spacing w:val="0"/>
        <w:w w:val="100"/>
        <w:position w:val="0"/>
        <w:sz w:val="21"/>
        <w:szCs w:val="21"/>
        <w:u w:val="none"/>
      </w:rPr>
    </w:lvl>
    <w:lvl w:ilvl="4">
      <w:start w:val="1"/>
      <w:numFmt w:val="decimal"/>
      <w:lvlText w:val="%5."/>
      <w:lvlJc w:val="left"/>
      <w:rPr>
        <w:rFonts w:ascii="Tahoma" w:eastAsia="Tahoma" w:hAnsi="Tahoma" w:cs="Tahoma"/>
        <w:b/>
        <w:bCs/>
        <w:i w:val="0"/>
        <w:iCs w:val="0"/>
        <w:smallCaps w:val="0"/>
        <w:strike w:val="0"/>
        <w:color w:val="000000"/>
        <w:spacing w:val="0"/>
        <w:w w:val="100"/>
        <w:position w:val="0"/>
        <w:sz w:val="21"/>
        <w:szCs w:val="21"/>
        <w:u w:val="none"/>
      </w:rPr>
    </w:lvl>
    <w:lvl w:ilvl="5">
      <w:start w:val="1"/>
      <w:numFmt w:val="decimal"/>
      <w:lvlText w:val="%6)"/>
      <w:lvlJc w:val="left"/>
      <w:rPr>
        <w:rFonts w:ascii="Tahoma" w:eastAsia="Tahoma" w:hAnsi="Tahoma" w:cs="Tahoma"/>
        <w:b/>
        <w:bCs/>
        <w:i w:val="0"/>
        <w:iCs w:val="0"/>
        <w:smallCaps w:val="0"/>
        <w:strike w:val="0"/>
        <w:color w:val="000000"/>
        <w:spacing w:val="0"/>
        <w:w w:val="100"/>
        <w:position w:val="0"/>
        <w:sz w:val="21"/>
        <w:szCs w:val="21"/>
        <w:u w:val="none"/>
      </w:rPr>
    </w:lvl>
    <w:lvl w:ilvl="6">
      <w:start w:val="8"/>
      <w:numFmt w:val="upperLetter"/>
      <w:lvlText w:val="%7."/>
      <w:lvlJc w:val="left"/>
      <w:rPr>
        <w:rFonts w:ascii="Tahoma" w:eastAsia="Tahoma" w:hAnsi="Tahoma" w:cs="Tahoma"/>
        <w:b/>
        <w:bCs/>
        <w:i w:val="0"/>
        <w:iCs w:val="0"/>
        <w:smallCaps w:val="0"/>
        <w:strike w:val="0"/>
        <w:color w:val="000000"/>
        <w:spacing w:val="0"/>
        <w:w w:val="100"/>
        <w:position w:val="0"/>
        <w:sz w:val="21"/>
        <w:szCs w:val="21"/>
        <w:u w:val="none"/>
      </w:rPr>
    </w:lvl>
    <w:lvl w:ilvl="7">
      <w:start w:val="1"/>
      <w:numFmt w:val="decimal"/>
      <w:lvlText w:val="%8."/>
      <w:lvlJc w:val="left"/>
      <w:rPr>
        <w:rFonts w:ascii="Tahoma" w:eastAsia="Tahoma" w:hAnsi="Tahoma" w:cs="Tahoma"/>
        <w:b/>
        <w:bCs/>
        <w:i w:val="0"/>
        <w:iCs w:val="0"/>
        <w:smallCaps w:val="0"/>
        <w:strike w:val="0"/>
        <w:color w:val="000000"/>
        <w:spacing w:val="0"/>
        <w:w w:val="100"/>
        <w:position w:val="0"/>
        <w:sz w:val="21"/>
        <w:szCs w:val="21"/>
        <w:u w:val="none"/>
      </w:rPr>
    </w:lvl>
    <w:lvl w:ilvl="8">
      <w:start w:val="1"/>
      <w:numFmt w:val="decimal"/>
      <w:lvlText w:val="%9."/>
      <w:lvlJc w:val="left"/>
      <w:rPr>
        <w:rFonts w:ascii="Tahoma" w:eastAsia="Tahoma" w:hAnsi="Tahoma" w:cs="Tahoma"/>
        <w:b w:val="0"/>
        <w:bCs w:val="0"/>
        <w:i w:val="0"/>
        <w:iCs w:val="0"/>
        <w:smallCaps w:val="0"/>
        <w:strike w:val="0"/>
        <w:color w:val="000000"/>
        <w:spacing w:val="0"/>
        <w:w w:val="100"/>
        <w:position w:val="0"/>
        <w:sz w:val="21"/>
        <w:szCs w:val="21"/>
        <w:u w:val="none"/>
      </w:rPr>
    </w:lvl>
  </w:abstractNum>
  <w:abstractNum w:abstractNumId="32">
    <w:nsid w:val="51921FC7"/>
    <w:multiLevelType w:val="hybridMultilevel"/>
    <w:tmpl w:val="781EB8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55E47D4"/>
    <w:multiLevelType w:val="hybridMultilevel"/>
    <w:tmpl w:val="789A2800"/>
    <w:lvl w:ilvl="0" w:tplc="22E074DC">
      <w:start w:val="1"/>
      <w:numFmt w:val="upperLetter"/>
      <w:lvlText w:val="%1)"/>
      <w:lvlJc w:val="left"/>
      <w:pPr>
        <w:ind w:left="1080" w:hanging="360"/>
      </w:pPr>
      <w:rPr>
        <w:rFonts w:ascii="Times New Roman" w:hAnsi="Times New Roman" w:cs="Times New Roman" w:hint="default"/>
        <w:color w:val="auto"/>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5D6F22C1"/>
    <w:multiLevelType w:val="hybridMultilevel"/>
    <w:tmpl w:val="FA148D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EE075BF"/>
    <w:multiLevelType w:val="hybridMultilevel"/>
    <w:tmpl w:val="DE7CFDB6"/>
    <w:lvl w:ilvl="0" w:tplc="04020007">
      <w:start w:val="1"/>
      <w:numFmt w:val="bullet"/>
      <w:lvlText w:val=""/>
      <w:lvlPicBulletId w:val="0"/>
      <w:lvlJc w:val="left"/>
      <w:pPr>
        <w:ind w:left="720" w:hanging="360"/>
      </w:pPr>
      <w:rPr>
        <w:rFonts w:ascii="Symbol" w:hAnsi="Symbol" w:hint="default"/>
      </w:rPr>
    </w:lvl>
    <w:lvl w:ilvl="1" w:tplc="04020007">
      <w:start w:val="1"/>
      <w:numFmt w:val="bullet"/>
      <w:lvlText w:val=""/>
      <w:lvlPicBulletId w:val="0"/>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12769AD"/>
    <w:multiLevelType w:val="hybridMultilevel"/>
    <w:tmpl w:val="D34817A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nsid w:val="663126DF"/>
    <w:multiLevelType w:val="multilevel"/>
    <w:tmpl w:val="CF6C1DEC"/>
    <w:lvl w:ilvl="0">
      <w:start w:val="2"/>
      <w:numFmt w:val="decimal"/>
      <w:lvlText w:val="2.3.%1"/>
      <w:lvlJc w:val="left"/>
      <w:rPr>
        <w:rFonts w:ascii="Tahoma" w:eastAsia="Tahoma" w:hAnsi="Tahoma" w:cs="Tahom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4656E7"/>
    <w:multiLevelType w:val="multilevel"/>
    <w:tmpl w:val="23724ADE"/>
    <w:lvl w:ilvl="0">
      <w:start w:val="1"/>
      <w:numFmt w:val="upperRoman"/>
      <w:lvlText w:val="%1."/>
      <w:lvlJc w:val="left"/>
      <w:pPr>
        <w:ind w:left="720" w:hanging="360"/>
      </w:pPr>
      <w:rPr>
        <w:rFonts w:hint="default"/>
      </w:rPr>
    </w:lvl>
    <w:lvl w:ilvl="1">
      <w:start w:val="1"/>
      <w:numFmt w:val="decimal"/>
      <w:isLgl/>
      <w:lvlText w:val="I.%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AF04169"/>
    <w:multiLevelType w:val="multilevel"/>
    <w:tmpl w:val="25128A2E"/>
    <w:lvl w:ilvl="0">
      <w:start w:val="1"/>
      <w:numFmt w:val="decimal"/>
      <w:lvlText w:val="1.%1"/>
      <w:lvlJc w:val="left"/>
      <w:rPr>
        <w:rFonts w:ascii="Tahoma" w:eastAsia="Tahoma" w:hAnsi="Tahoma" w:cs="Tahom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220915"/>
    <w:multiLevelType w:val="hybridMultilevel"/>
    <w:tmpl w:val="0898293C"/>
    <w:lvl w:ilvl="0" w:tplc="5E347B8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DE827F4"/>
    <w:multiLevelType w:val="multilevel"/>
    <w:tmpl w:val="D1E84BAC"/>
    <w:lvl w:ilvl="0">
      <w:start w:val="1"/>
      <w:numFmt w:val="bullet"/>
      <w:lvlText w:val=""/>
      <w:lvlPicBulletId w:val="0"/>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352EC1"/>
    <w:multiLevelType w:val="multilevel"/>
    <w:tmpl w:val="B7E2D28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841862"/>
    <w:multiLevelType w:val="multilevel"/>
    <w:tmpl w:val="54D2662E"/>
    <w:lvl w:ilvl="0">
      <w:start w:val="1"/>
      <w:numFmt w:val="decimal"/>
      <w:lvlText w:val="%1."/>
      <w:lvlJc w:val="left"/>
      <w:rPr>
        <w:rFonts w:ascii="Tahoma" w:eastAsia="Tahoma" w:hAnsi="Tahoma" w:cs="Tahoma"/>
        <w:b/>
        <w:bCs/>
        <w:i w:val="0"/>
        <w:iCs w:val="0"/>
        <w:smallCaps/>
        <w:strike w:val="0"/>
        <w:color w:val="000000"/>
        <w:spacing w:val="0"/>
        <w:w w:val="100"/>
        <w:position w:val="0"/>
        <w:sz w:val="21"/>
        <w:szCs w:val="21"/>
        <w:u w:val="none"/>
      </w:rPr>
    </w:lvl>
    <w:lvl w:ilvl="1">
      <w:start w:val="16"/>
      <w:numFmt w:val="upperRoman"/>
      <w:lvlText w:val="%2."/>
      <w:lvlJc w:val="left"/>
      <w:rPr>
        <w:rFonts w:ascii="Tahoma" w:eastAsia="Tahoma" w:hAnsi="Tahoma" w:cs="Tahoma"/>
        <w:b/>
        <w:bCs/>
        <w:i w:val="0"/>
        <w:iCs w:val="0"/>
        <w:smallCaps w:val="0"/>
        <w:strike w:val="0"/>
        <w:color w:val="000000"/>
        <w:spacing w:val="0"/>
        <w:w w:val="100"/>
        <w:position w:val="0"/>
        <w:sz w:val="21"/>
        <w:szCs w:val="21"/>
        <w:u w:val="single"/>
      </w:rPr>
    </w:lvl>
    <w:lvl w:ilvl="2">
      <w:start w:val="1"/>
      <w:numFmt w:val="decimal"/>
      <w:lvlText w:val="%3."/>
      <w:lvlJc w:val="left"/>
      <w:rPr>
        <w:rFonts w:ascii="Tahoma" w:eastAsia="Tahoma" w:hAnsi="Tahoma" w:cs="Tahoma"/>
        <w:b/>
        <w:bCs/>
        <w:i w:val="0"/>
        <w:iCs w:val="0"/>
        <w:smallCaps/>
        <w:strike w:val="0"/>
        <w:color w:val="000000"/>
        <w:spacing w:val="0"/>
        <w:w w:val="100"/>
        <w:position w:val="0"/>
        <w:sz w:val="21"/>
        <w:szCs w:val="21"/>
        <w:u w:val="none"/>
      </w:rPr>
    </w:lvl>
    <w:lvl w:ilvl="3">
      <w:start w:val="4"/>
      <w:numFmt w:val="decimal"/>
      <w:lvlText w:val="%4."/>
      <w:lvlJc w:val="left"/>
      <w:rPr>
        <w:rFonts w:ascii="Tahoma" w:eastAsia="Tahoma" w:hAnsi="Tahoma" w:cs="Tahoma"/>
        <w:b/>
        <w:bCs/>
        <w:i w:val="0"/>
        <w:iCs w:val="0"/>
        <w:smallCaps/>
        <w:strike w:val="0"/>
        <w:color w:val="000000"/>
        <w:spacing w:val="0"/>
        <w:w w:val="100"/>
        <w:position w:val="0"/>
        <w:sz w:val="21"/>
        <w:szCs w:val="21"/>
        <w:u w:val="none"/>
      </w:rPr>
    </w:lvl>
    <w:lvl w:ilvl="4">
      <w:start w:val="19"/>
      <w:numFmt w:val="upperRoman"/>
      <w:lvlText w:val="%5."/>
      <w:lvlJc w:val="left"/>
      <w:rPr>
        <w:rFonts w:ascii="Tahoma" w:eastAsia="Tahoma" w:hAnsi="Tahoma" w:cs="Tahoma"/>
        <w:b/>
        <w:bCs/>
        <w:i w:val="0"/>
        <w:iCs w:val="0"/>
        <w:smallCaps w:val="0"/>
        <w:strike w:val="0"/>
        <w:color w:val="000000"/>
        <w:spacing w:val="0"/>
        <w:w w:val="100"/>
        <w:position w:val="0"/>
        <w:sz w:val="21"/>
        <w:szCs w:val="21"/>
        <w:u w:val="single"/>
      </w:rPr>
    </w:lvl>
    <w:lvl w:ilvl="5">
      <w:start w:val="1"/>
      <w:numFmt w:val="decimal"/>
      <w:lvlText w:val="%6."/>
      <w:lvlJc w:val="left"/>
      <w:rPr>
        <w:rFonts w:ascii="Tahoma" w:eastAsia="Tahoma" w:hAnsi="Tahoma" w:cs="Tahoma"/>
        <w:b/>
        <w:bCs/>
        <w:i w:val="0"/>
        <w:iCs w:val="0"/>
        <w:smallCaps/>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44">
    <w:nsid w:val="79087EB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F90CC7"/>
    <w:multiLevelType w:val="hybridMultilevel"/>
    <w:tmpl w:val="BE94D6DC"/>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46">
    <w:nsid w:val="7A9032CA"/>
    <w:multiLevelType w:val="hybridMultilevel"/>
    <w:tmpl w:val="667410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DA2749A"/>
    <w:multiLevelType w:val="multilevel"/>
    <w:tmpl w:val="197CFE0C"/>
    <w:lvl w:ilvl="0">
      <w:start w:val="1"/>
      <w:numFmt w:val="decimal"/>
      <w:lvlText w:val="3.%1."/>
      <w:lvlJc w:val="left"/>
      <w:rPr>
        <w:rFonts w:ascii="Tahoma" w:eastAsia="Tahoma" w:hAnsi="Tahoma" w:cs="Tahoma"/>
        <w:b/>
        <w:bCs/>
        <w:i w:val="0"/>
        <w:iCs w:val="0"/>
        <w:smallCaps w:val="0"/>
        <w:strike w:val="0"/>
        <w:color w:val="000000"/>
        <w:spacing w:val="0"/>
        <w:w w:val="100"/>
        <w:position w:val="0"/>
        <w:sz w:val="21"/>
        <w:szCs w:val="21"/>
        <w:u w:val="none"/>
      </w:rPr>
    </w:lvl>
    <w:lvl w:ilvl="1">
      <w:start w:val="4"/>
      <w:numFmt w:val="decimal"/>
      <w:lvlText w:val="%2."/>
      <w:lvlJc w:val="left"/>
      <w:rPr>
        <w:rFonts w:ascii="Tahoma" w:eastAsia="Tahoma" w:hAnsi="Tahoma" w:cs="Tahoma"/>
        <w:b/>
        <w:bCs/>
        <w:i w:val="0"/>
        <w:iCs w:val="0"/>
        <w:smallCaps w:val="0"/>
        <w:strike w:val="0"/>
        <w:color w:val="000000"/>
        <w:spacing w:val="0"/>
        <w:w w:val="100"/>
        <w:position w:val="0"/>
        <w:sz w:val="21"/>
        <w:szCs w:val="21"/>
        <w:u w:val="none"/>
      </w:rPr>
    </w:lvl>
    <w:lvl w:ilvl="2">
      <w:start w:val="1"/>
      <w:numFmt w:val="lowerRoman"/>
      <w:lvlText w:val="(%3)"/>
      <w:lvlJc w:val="left"/>
      <w:rPr>
        <w:rFonts w:ascii="Tahoma" w:eastAsia="Tahoma" w:hAnsi="Tahoma" w:cs="Tahoma"/>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001A34"/>
    <w:multiLevelType w:val="hybridMultilevel"/>
    <w:tmpl w:val="CA0850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7"/>
  </w:num>
  <w:num w:numId="4">
    <w:abstractNumId w:val="15"/>
  </w:num>
  <w:num w:numId="5">
    <w:abstractNumId w:val="7"/>
  </w:num>
  <w:num w:numId="6">
    <w:abstractNumId w:val="40"/>
  </w:num>
  <w:num w:numId="7">
    <w:abstractNumId w:val="10"/>
  </w:num>
  <w:num w:numId="8">
    <w:abstractNumId w:val="18"/>
  </w:num>
  <w:num w:numId="9">
    <w:abstractNumId w:val="9"/>
  </w:num>
  <w:num w:numId="10">
    <w:abstractNumId w:val="38"/>
  </w:num>
  <w:num w:numId="11">
    <w:abstractNumId w:val="44"/>
  </w:num>
  <w:num w:numId="12">
    <w:abstractNumId w:val="14"/>
  </w:num>
  <w:num w:numId="13">
    <w:abstractNumId w:val="28"/>
  </w:num>
  <w:num w:numId="14">
    <w:abstractNumId w:val="19"/>
  </w:num>
  <w:num w:numId="15">
    <w:abstractNumId w:val="21"/>
  </w:num>
  <w:num w:numId="16">
    <w:abstractNumId w:val="29"/>
  </w:num>
  <w:num w:numId="17">
    <w:abstractNumId w:val="36"/>
  </w:num>
  <w:num w:numId="18">
    <w:abstractNumId w:val="13"/>
  </w:num>
  <w:num w:numId="19">
    <w:abstractNumId w:val="0"/>
  </w:num>
  <w:num w:numId="20">
    <w:abstractNumId w:val="16"/>
  </w:num>
  <w:num w:numId="21">
    <w:abstractNumId w:val="5"/>
  </w:num>
  <w:num w:numId="22">
    <w:abstractNumId w:val="32"/>
  </w:num>
  <w:num w:numId="23">
    <w:abstractNumId w:val="48"/>
  </w:num>
  <w:num w:numId="24">
    <w:abstractNumId w:val="2"/>
  </w:num>
  <w:num w:numId="25">
    <w:abstractNumId w:val="1"/>
  </w:num>
  <w:num w:numId="26">
    <w:abstractNumId w:val="43"/>
  </w:num>
  <w:num w:numId="27">
    <w:abstractNumId w:val="33"/>
  </w:num>
  <w:num w:numId="28">
    <w:abstractNumId w:val="31"/>
  </w:num>
  <w:num w:numId="29">
    <w:abstractNumId w:val="11"/>
  </w:num>
  <w:num w:numId="30">
    <w:abstractNumId w:val="20"/>
  </w:num>
  <w:num w:numId="31">
    <w:abstractNumId w:val="47"/>
  </w:num>
  <w:num w:numId="32">
    <w:abstractNumId w:val="39"/>
  </w:num>
  <w:num w:numId="33">
    <w:abstractNumId w:val="8"/>
  </w:num>
  <w:num w:numId="34">
    <w:abstractNumId w:val="25"/>
  </w:num>
  <w:num w:numId="35">
    <w:abstractNumId w:val="22"/>
  </w:num>
  <w:num w:numId="36">
    <w:abstractNumId w:val="37"/>
  </w:num>
  <w:num w:numId="37">
    <w:abstractNumId w:val="30"/>
  </w:num>
  <w:num w:numId="38">
    <w:abstractNumId w:val="17"/>
  </w:num>
  <w:num w:numId="39">
    <w:abstractNumId w:val="41"/>
  </w:num>
  <w:num w:numId="40">
    <w:abstractNumId w:val="35"/>
  </w:num>
  <w:num w:numId="41">
    <w:abstractNumId w:val="4"/>
  </w:num>
  <w:num w:numId="42">
    <w:abstractNumId w:val="24"/>
  </w:num>
  <w:num w:numId="43">
    <w:abstractNumId w:val="12"/>
  </w:num>
  <w:num w:numId="44">
    <w:abstractNumId w:val="45"/>
  </w:num>
  <w:num w:numId="45">
    <w:abstractNumId w:val="42"/>
  </w:num>
  <w:num w:numId="46">
    <w:abstractNumId w:val="26"/>
  </w:num>
  <w:num w:numId="47">
    <w:abstractNumId w:val="6"/>
  </w:num>
  <w:num w:numId="48">
    <w:abstractNumId w:val="46"/>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120"/>
  <w:displayHorizontalDrawingGridEvery w:val="2"/>
  <w:characterSpacingControl w:val="doNotCompress"/>
  <w:savePreviewPicture/>
  <w:hdrShapeDefaults>
    <o:shapedefaults v:ext="edit" spidmax="15362"/>
    <o:shapelayout v:ext="edit">
      <o:idmap v:ext="edit" data="2"/>
    </o:shapelayout>
  </w:hdrShapeDefaults>
  <w:footnotePr>
    <w:numRestart w:val="eachPage"/>
    <w:footnote w:id="-1"/>
    <w:footnote w:id="0"/>
  </w:footnotePr>
  <w:endnotePr>
    <w:endnote w:id="-1"/>
    <w:endnote w:id="0"/>
  </w:endnotePr>
  <w:compat/>
  <w:rsids>
    <w:rsidRoot w:val="00FC3657"/>
    <w:rsid w:val="00000CF5"/>
    <w:rsid w:val="00001FEF"/>
    <w:rsid w:val="000033E6"/>
    <w:rsid w:val="00007471"/>
    <w:rsid w:val="0001081C"/>
    <w:rsid w:val="000151B5"/>
    <w:rsid w:val="00016DA3"/>
    <w:rsid w:val="00022CEC"/>
    <w:rsid w:val="0002412A"/>
    <w:rsid w:val="000246DE"/>
    <w:rsid w:val="000253AB"/>
    <w:rsid w:val="00030ECB"/>
    <w:rsid w:val="00032877"/>
    <w:rsid w:val="00032C26"/>
    <w:rsid w:val="00032F48"/>
    <w:rsid w:val="00034CC5"/>
    <w:rsid w:val="00037421"/>
    <w:rsid w:val="00040DCF"/>
    <w:rsid w:val="00041894"/>
    <w:rsid w:val="00041D7A"/>
    <w:rsid w:val="000438AC"/>
    <w:rsid w:val="000443A4"/>
    <w:rsid w:val="00046975"/>
    <w:rsid w:val="00046E3C"/>
    <w:rsid w:val="0004737E"/>
    <w:rsid w:val="00051FFC"/>
    <w:rsid w:val="0006033A"/>
    <w:rsid w:val="000608F3"/>
    <w:rsid w:val="000636F6"/>
    <w:rsid w:val="0006383D"/>
    <w:rsid w:val="000639CB"/>
    <w:rsid w:val="00063E87"/>
    <w:rsid w:val="00066E89"/>
    <w:rsid w:val="00067E15"/>
    <w:rsid w:val="000731C4"/>
    <w:rsid w:val="000758FD"/>
    <w:rsid w:val="00076903"/>
    <w:rsid w:val="000778D4"/>
    <w:rsid w:val="00077B5B"/>
    <w:rsid w:val="0008177D"/>
    <w:rsid w:val="00081BEF"/>
    <w:rsid w:val="000837A9"/>
    <w:rsid w:val="00085F05"/>
    <w:rsid w:val="000962A2"/>
    <w:rsid w:val="00096CB1"/>
    <w:rsid w:val="000A0FF1"/>
    <w:rsid w:val="000A3469"/>
    <w:rsid w:val="000A4933"/>
    <w:rsid w:val="000A5EB0"/>
    <w:rsid w:val="000A60D1"/>
    <w:rsid w:val="000B1B17"/>
    <w:rsid w:val="000B53D5"/>
    <w:rsid w:val="000B5E87"/>
    <w:rsid w:val="000C0208"/>
    <w:rsid w:val="000C61B0"/>
    <w:rsid w:val="000D13DC"/>
    <w:rsid w:val="000D252A"/>
    <w:rsid w:val="000D372F"/>
    <w:rsid w:val="000D3F14"/>
    <w:rsid w:val="000E1572"/>
    <w:rsid w:val="000E17AB"/>
    <w:rsid w:val="000E1E1A"/>
    <w:rsid w:val="000E6D77"/>
    <w:rsid w:val="000F6E2C"/>
    <w:rsid w:val="000F6F3E"/>
    <w:rsid w:val="000F7FD8"/>
    <w:rsid w:val="00100E65"/>
    <w:rsid w:val="00100FBB"/>
    <w:rsid w:val="0010403B"/>
    <w:rsid w:val="00105FCA"/>
    <w:rsid w:val="00106205"/>
    <w:rsid w:val="00112B19"/>
    <w:rsid w:val="00120EA1"/>
    <w:rsid w:val="00121073"/>
    <w:rsid w:val="00122743"/>
    <w:rsid w:val="001237E2"/>
    <w:rsid w:val="001302C7"/>
    <w:rsid w:val="00130C5A"/>
    <w:rsid w:val="00132672"/>
    <w:rsid w:val="00133157"/>
    <w:rsid w:val="00133767"/>
    <w:rsid w:val="0013383D"/>
    <w:rsid w:val="0013785D"/>
    <w:rsid w:val="0014052E"/>
    <w:rsid w:val="0014069E"/>
    <w:rsid w:val="00140765"/>
    <w:rsid w:val="0014084E"/>
    <w:rsid w:val="0014269B"/>
    <w:rsid w:val="0014272A"/>
    <w:rsid w:val="00143097"/>
    <w:rsid w:val="00146FDE"/>
    <w:rsid w:val="001506F2"/>
    <w:rsid w:val="00151329"/>
    <w:rsid w:val="001536CB"/>
    <w:rsid w:val="00154FAB"/>
    <w:rsid w:val="00155C29"/>
    <w:rsid w:val="0016095B"/>
    <w:rsid w:val="00160C08"/>
    <w:rsid w:val="001646BE"/>
    <w:rsid w:val="001667D2"/>
    <w:rsid w:val="0016761E"/>
    <w:rsid w:val="001735B4"/>
    <w:rsid w:val="0017544A"/>
    <w:rsid w:val="00175671"/>
    <w:rsid w:val="00181991"/>
    <w:rsid w:val="00182AE4"/>
    <w:rsid w:val="001836D0"/>
    <w:rsid w:val="00184638"/>
    <w:rsid w:val="0018549D"/>
    <w:rsid w:val="00187EFA"/>
    <w:rsid w:val="001912BD"/>
    <w:rsid w:val="00191D7F"/>
    <w:rsid w:val="00192084"/>
    <w:rsid w:val="001924B3"/>
    <w:rsid w:val="0019270C"/>
    <w:rsid w:val="001953AE"/>
    <w:rsid w:val="00197DCF"/>
    <w:rsid w:val="001A039E"/>
    <w:rsid w:val="001A12B6"/>
    <w:rsid w:val="001A2799"/>
    <w:rsid w:val="001A72B9"/>
    <w:rsid w:val="001B1D1E"/>
    <w:rsid w:val="001B5086"/>
    <w:rsid w:val="001B7B1C"/>
    <w:rsid w:val="001C1329"/>
    <w:rsid w:val="001C4F5F"/>
    <w:rsid w:val="001C6EA4"/>
    <w:rsid w:val="001C7299"/>
    <w:rsid w:val="001D2E88"/>
    <w:rsid w:val="001D4548"/>
    <w:rsid w:val="001D66A8"/>
    <w:rsid w:val="001D6911"/>
    <w:rsid w:val="001D6E4B"/>
    <w:rsid w:val="001E2544"/>
    <w:rsid w:val="001E2C1D"/>
    <w:rsid w:val="001E3A65"/>
    <w:rsid w:val="001E52FA"/>
    <w:rsid w:val="001E783A"/>
    <w:rsid w:val="001E7C80"/>
    <w:rsid w:val="001F0FA2"/>
    <w:rsid w:val="001F1752"/>
    <w:rsid w:val="001F54CF"/>
    <w:rsid w:val="001F5F90"/>
    <w:rsid w:val="001F6814"/>
    <w:rsid w:val="001F7A16"/>
    <w:rsid w:val="001F7CBC"/>
    <w:rsid w:val="00202242"/>
    <w:rsid w:val="00205363"/>
    <w:rsid w:val="00206E31"/>
    <w:rsid w:val="00210112"/>
    <w:rsid w:val="00210C28"/>
    <w:rsid w:val="00212245"/>
    <w:rsid w:val="00212F52"/>
    <w:rsid w:val="002144DE"/>
    <w:rsid w:val="00217674"/>
    <w:rsid w:val="002226FD"/>
    <w:rsid w:val="00222E76"/>
    <w:rsid w:val="0022420C"/>
    <w:rsid w:val="00227FCB"/>
    <w:rsid w:val="00230E60"/>
    <w:rsid w:val="00231E14"/>
    <w:rsid w:val="00234A0C"/>
    <w:rsid w:val="00240F8C"/>
    <w:rsid w:val="00242C7D"/>
    <w:rsid w:val="00243AE0"/>
    <w:rsid w:val="00244DD5"/>
    <w:rsid w:val="002466B5"/>
    <w:rsid w:val="002573DC"/>
    <w:rsid w:val="002637CF"/>
    <w:rsid w:val="00263AF0"/>
    <w:rsid w:val="0026440C"/>
    <w:rsid w:val="00265B00"/>
    <w:rsid w:val="00276EAA"/>
    <w:rsid w:val="00276FA8"/>
    <w:rsid w:val="00277252"/>
    <w:rsid w:val="00280B17"/>
    <w:rsid w:val="00287D51"/>
    <w:rsid w:val="00294A5A"/>
    <w:rsid w:val="00295ACE"/>
    <w:rsid w:val="00297D2C"/>
    <w:rsid w:val="002A211D"/>
    <w:rsid w:val="002A493E"/>
    <w:rsid w:val="002A5012"/>
    <w:rsid w:val="002A56FF"/>
    <w:rsid w:val="002A5D91"/>
    <w:rsid w:val="002B1513"/>
    <w:rsid w:val="002B26FE"/>
    <w:rsid w:val="002B4913"/>
    <w:rsid w:val="002B7CDF"/>
    <w:rsid w:val="002C1835"/>
    <w:rsid w:val="002C1A91"/>
    <w:rsid w:val="002C42CB"/>
    <w:rsid w:val="002C47D5"/>
    <w:rsid w:val="002C5220"/>
    <w:rsid w:val="002C552F"/>
    <w:rsid w:val="002C59C1"/>
    <w:rsid w:val="002C7828"/>
    <w:rsid w:val="002D11A7"/>
    <w:rsid w:val="002D5744"/>
    <w:rsid w:val="002D63F9"/>
    <w:rsid w:val="002D7F51"/>
    <w:rsid w:val="002E2A94"/>
    <w:rsid w:val="002E3D63"/>
    <w:rsid w:val="002E5290"/>
    <w:rsid w:val="002E63C8"/>
    <w:rsid w:val="002E77CB"/>
    <w:rsid w:val="002E79AE"/>
    <w:rsid w:val="002E79D8"/>
    <w:rsid w:val="002F0257"/>
    <w:rsid w:val="002F0B31"/>
    <w:rsid w:val="002F0D08"/>
    <w:rsid w:val="002F1E86"/>
    <w:rsid w:val="002F58DE"/>
    <w:rsid w:val="002F6F64"/>
    <w:rsid w:val="002F751A"/>
    <w:rsid w:val="00302C85"/>
    <w:rsid w:val="00303210"/>
    <w:rsid w:val="003037A5"/>
    <w:rsid w:val="00320126"/>
    <w:rsid w:val="00320989"/>
    <w:rsid w:val="003220EA"/>
    <w:rsid w:val="00323BF6"/>
    <w:rsid w:val="00324A8F"/>
    <w:rsid w:val="00324E5A"/>
    <w:rsid w:val="00326949"/>
    <w:rsid w:val="00326A38"/>
    <w:rsid w:val="00330288"/>
    <w:rsid w:val="00332913"/>
    <w:rsid w:val="003368B3"/>
    <w:rsid w:val="003401BB"/>
    <w:rsid w:val="00343841"/>
    <w:rsid w:val="00343C59"/>
    <w:rsid w:val="0034411F"/>
    <w:rsid w:val="00350562"/>
    <w:rsid w:val="003508CF"/>
    <w:rsid w:val="003509E3"/>
    <w:rsid w:val="00351853"/>
    <w:rsid w:val="00351A08"/>
    <w:rsid w:val="0035380B"/>
    <w:rsid w:val="00356D51"/>
    <w:rsid w:val="0036442A"/>
    <w:rsid w:val="0036453B"/>
    <w:rsid w:val="00371915"/>
    <w:rsid w:val="00372CAF"/>
    <w:rsid w:val="00382ED4"/>
    <w:rsid w:val="0038478E"/>
    <w:rsid w:val="00384A8C"/>
    <w:rsid w:val="00392D6C"/>
    <w:rsid w:val="00393A33"/>
    <w:rsid w:val="00394B64"/>
    <w:rsid w:val="00395567"/>
    <w:rsid w:val="003959AF"/>
    <w:rsid w:val="00396FBA"/>
    <w:rsid w:val="003A2628"/>
    <w:rsid w:val="003A34C7"/>
    <w:rsid w:val="003A5C1D"/>
    <w:rsid w:val="003A775C"/>
    <w:rsid w:val="003B0B45"/>
    <w:rsid w:val="003B1FB0"/>
    <w:rsid w:val="003B2C1E"/>
    <w:rsid w:val="003B37A1"/>
    <w:rsid w:val="003B3E5B"/>
    <w:rsid w:val="003B78E1"/>
    <w:rsid w:val="003C5B61"/>
    <w:rsid w:val="003C7A5C"/>
    <w:rsid w:val="003D3056"/>
    <w:rsid w:val="003D45E7"/>
    <w:rsid w:val="003D6FB9"/>
    <w:rsid w:val="003E05C5"/>
    <w:rsid w:val="003E09F7"/>
    <w:rsid w:val="003E6B84"/>
    <w:rsid w:val="003F0294"/>
    <w:rsid w:val="003F0428"/>
    <w:rsid w:val="003F068F"/>
    <w:rsid w:val="003F3587"/>
    <w:rsid w:val="003F5C88"/>
    <w:rsid w:val="0040038C"/>
    <w:rsid w:val="004013E1"/>
    <w:rsid w:val="00401C90"/>
    <w:rsid w:val="00402B28"/>
    <w:rsid w:val="00407192"/>
    <w:rsid w:val="00410596"/>
    <w:rsid w:val="004110F9"/>
    <w:rsid w:val="004111EF"/>
    <w:rsid w:val="00411610"/>
    <w:rsid w:val="004120A6"/>
    <w:rsid w:val="0041268B"/>
    <w:rsid w:val="0041300B"/>
    <w:rsid w:val="0041333B"/>
    <w:rsid w:val="0041369D"/>
    <w:rsid w:val="0041659F"/>
    <w:rsid w:val="004200B4"/>
    <w:rsid w:val="00422EDE"/>
    <w:rsid w:val="00423FAF"/>
    <w:rsid w:val="004259D8"/>
    <w:rsid w:val="00426E2F"/>
    <w:rsid w:val="00430E0F"/>
    <w:rsid w:val="00430FF3"/>
    <w:rsid w:val="004325F3"/>
    <w:rsid w:val="00432FA0"/>
    <w:rsid w:val="00433909"/>
    <w:rsid w:val="00436FE2"/>
    <w:rsid w:val="00440C9F"/>
    <w:rsid w:val="00441775"/>
    <w:rsid w:val="0044404C"/>
    <w:rsid w:val="004450B1"/>
    <w:rsid w:val="00447DBD"/>
    <w:rsid w:val="00452737"/>
    <w:rsid w:val="00453050"/>
    <w:rsid w:val="004534E6"/>
    <w:rsid w:val="0045485D"/>
    <w:rsid w:val="004555C1"/>
    <w:rsid w:val="00461219"/>
    <w:rsid w:val="00462136"/>
    <w:rsid w:val="00465436"/>
    <w:rsid w:val="00466FE7"/>
    <w:rsid w:val="004717C3"/>
    <w:rsid w:val="004748D8"/>
    <w:rsid w:val="00476B5F"/>
    <w:rsid w:val="004771EF"/>
    <w:rsid w:val="0048448E"/>
    <w:rsid w:val="00484B0A"/>
    <w:rsid w:val="004868A9"/>
    <w:rsid w:val="004902B8"/>
    <w:rsid w:val="00496E6B"/>
    <w:rsid w:val="004A0B2B"/>
    <w:rsid w:val="004A363A"/>
    <w:rsid w:val="004A6DAF"/>
    <w:rsid w:val="004A75EB"/>
    <w:rsid w:val="004B0137"/>
    <w:rsid w:val="004B0783"/>
    <w:rsid w:val="004B1411"/>
    <w:rsid w:val="004B2354"/>
    <w:rsid w:val="004B2890"/>
    <w:rsid w:val="004B2963"/>
    <w:rsid w:val="004B687D"/>
    <w:rsid w:val="004B6F3E"/>
    <w:rsid w:val="004C095A"/>
    <w:rsid w:val="004C25F8"/>
    <w:rsid w:val="004C2C64"/>
    <w:rsid w:val="004C4168"/>
    <w:rsid w:val="004C51B9"/>
    <w:rsid w:val="004D07A0"/>
    <w:rsid w:val="004D224A"/>
    <w:rsid w:val="004E0D9A"/>
    <w:rsid w:val="004E217C"/>
    <w:rsid w:val="004E43BE"/>
    <w:rsid w:val="004E4B66"/>
    <w:rsid w:val="004E51BF"/>
    <w:rsid w:val="004E5760"/>
    <w:rsid w:val="004E5D75"/>
    <w:rsid w:val="004F0042"/>
    <w:rsid w:val="004F10EA"/>
    <w:rsid w:val="004F116A"/>
    <w:rsid w:val="004F6845"/>
    <w:rsid w:val="00500C5E"/>
    <w:rsid w:val="005025F5"/>
    <w:rsid w:val="00502677"/>
    <w:rsid w:val="00502B5A"/>
    <w:rsid w:val="00504EC0"/>
    <w:rsid w:val="00510B8D"/>
    <w:rsid w:val="00514220"/>
    <w:rsid w:val="005150CE"/>
    <w:rsid w:val="005169C4"/>
    <w:rsid w:val="00516F75"/>
    <w:rsid w:val="005209AA"/>
    <w:rsid w:val="00521AFF"/>
    <w:rsid w:val="0053041D"/>
    <w:rsid w:val="005310D9"/>
    <w:rsid w:val="005312CA"/>
    <w:rsid w:val="005341EF"/>
    <w:rsid w:val="00534BDD"/>
    <w:rsid w:val="005406AE"/>
    <w:rsid w:val="00540963"/>
    <w:rsid w:val="00543F46"/>
    <w:rsid w:val="00544ECB"/>
    <w:rsid w:val="00545D26"/>
    <w:rsid w:val="005460F7"/>
    <w:rsid w:val="00546414"/>
    <w:rsid w:val="005504B7"/>
    <w:rsid w:val="00550A49"/>
    <w:rsid w:val="0055120F"/>
    <w:rsid w:val="0055138C"/>
    <w:rsid w:val="005516B8"/>
    <w:rsid w:val="00551C80"/>
    <w:rsid w:val="005524FE"/>
    <w:rsid w:val="00552630"/>
    <w:rsid w:val="00553013"/>
    <w:rsid w:val="005550BE"/>
    <w:rsid w:val="0055699A"/>
    <w:rsid w:val="005569C1"/>
    <w:rsid w:val="00557F6C"/>
    <w:rsid w:val="00561385"/>
    <w:rsid w:val="0056161A"/>
    <w:rsid w:val="00561FFD"/>
    <w:rsid w:val="0056249E"/>
    <w:rsid w:val="00564A0D"/>
    <w:rsid w:val="005653F2"/>
    <w:rsid w:val="00565BF6"/>
    <w:rsid w:val="00566AEE"/>
    <w:rsid w:val="005723A8"/>
    <w:rsid w:val="00574F94"/>
    <w:rsid w:val="00575F9C"/>
    <w:rsid w:val="005806E3"/>
    <w:rsid w:val="00584321"/>
    <w:rsid w:val="0059021D"/>
    <w:rsid w:val="005931B6"/>
    <w:rsid w:val="00593C6F"/>
    <w:rsid w:val="00594873"/>
    <w:rsid w:val="00594E2B"/>
    <w:rsid w:val="00596273"/>
    <w:rsid w:val="00596C4A"/>
    <w:rsid w:val="00597523"/>
    <w:rsid w:val="005A37C9"/>
    <w:rsid w:val="005A4A04"/>
    <w:rsid w:val="005A56A5"/>
    <w:rsid w:val="005A6D82"/>
    <w:rsid w:val="005B0664"/>
    <w:rsid w:val="005B0AC1"/>
    <w:rsid w:val="005B0FA8"/>
    <w:rsid w:val="005B28EC"/>
    <w:rsid w:val="005B3501"/>
    <w:rsid w:val="005B6844"/>
    <w:rsid w:val="005B712E"/>
    <w:rsid w:val="005B7283"/>
    <w:rsid w:val="005C29C0"/>
    <w:rsid w:val="005C4BC1"/>
    <w:rsid w:val="005C6FD7"/>
    <w:rsid w:val="005C7B3F"/>
    <w:rsid w:val="005D03EF"/>
    <w:rsid w:val="005D56E4"/>
    <w:rsid w:val="005E1BDC"/>
    <w:rsid w:val="005E1EFA"/>
    <w:rsid w:val="005E2362"/>
    <w:rsid w:val="005E6910"/>
    <w:rsid w:val="005E74AA"/>
    <w:rsid w:val="005E74AC"/>
    <w:rsid w:val="005E7797"/>
    <w:rsid w:val="005E7A63"/>
    <w:rsid w:val="005E7E32"/>
    <w:rsid w:val="005F552D"/>
    <w:rsid w:val="005F6BD2"/>
    <w:rsid w:val="005F72EA"/>
    <w:rsid w:val="006005D2"/>
    <w:rsid w:val="006020AA"/>
    <w:rsid w:val="00605B6F"/>
    <w:rsid w:val="0060652A"/>
    <w:rsid w:val="0061131B"/>
    <w:rsid w:val="00612C12"/>
    <w:rsid w:val="0061424E"/>
    <w:rsid w:val="006151BC"/>
    <w:rsid w:val="00616DAD"/>
    <w:rsid w:val="00617A8E"/>
    <w:rsid w:val="0062111B"/>
    <w:rsid w:val="0062463A"/>
    <w:rsid w:val="00633051"/>
    <w:rsid w:val="0063412D"/>
    <w:rsid w:val="006343E2"/>
    <w:rsid w:val="00635903"/>
    <w:rsid w:val="006361DA"/>
    <w:rsid w:val="00640A93"/>
    <w:rsid w:val="00643882"/>
    <w:rsid w:val="00645C5E"/>
    <w:rsid w:val="00652698"/>
    <w:rsid w:val="00654D89"/>
    <w:rsid w:val="00666888"/>
    <w:rsid w:val="00667678"/>
    <w:rsid w:val="006713D6"/>
    <w:rsid w:val="00671479"/>
    <w:rsid w:val="00675F84"/>
    <w:rsid w:val="0067709A"/>
    <w:rsid w:val="0067733F"/>
    <w:rsid w:val="00683641"/>
    <w:rsid w:val="00684C22"/>
    <w:rsid w:val="006A0EAB"/>
    <w:rsid w:val="006A11EA"/>
    <w:rsid w:val="006A3003"/>
    <w:rsid w:val="006A3924"/>
    <w:rsid w:val="006A4403"/>
    <w:rsid w:val="006A5578"/>
    <w:rsid w:val="006A5A28"/>
    <w:rsid w:val="006A7C7E"/>
    <w:rsid w:val="006B0329"/>
    <w:rsid w:val="006B5941"/>
    <w:rsid w:val="006B6D65"/>
    <w:rsid w:val="006B79A1"/>
    <w:rsid w:val="006C230C"/>
    <w:rsid w:val="006C2D8F"/>
    <w:rsid w:val="006C63BC"/>
    <w:rsid w:val="006C76E1"/>
    <w:rsid w:val="006D053C"/>
    <w:rsid w:val="006D1960"/>
    <w:rsid w:val="006D2F1C"/>
    <w:rsid w:val="006D3814"/>
    <w:rsid w:val="006D3DF6"/>
    <w:rsid w:val="006D4407"/>
    <w:rsid w:val="006D5553"/>
    <w:rsid w:val="006D67A0"/>
    <w:rsid w:val="006D79DF"/>
    <w:rsid w:val="006E4092"/>
    <w:rsid w:val="006E43AF"/>
    <w:rsid w:val="006E50C1"/>
    <w:rsid w:val="006E5807"/>
    <w:rsid w:val="006E74CE"/>
    <w:rsid w:val="006E7C16"/>
    <w:rsid w:val="006E7DE6"/>
    <w:rsid w:val="006F17A7"/>
    <w:rsid w:val="006F57ED"/>
    <w:rsid w:val="00701511"/>
    <w:rsid w:val="00702DDD"/>
    <w:rsid w:val="00704768"/>
    <w:rsid w:val="00706883"/>
    <w:rsid w:val="00707C45"/>
    <w:rsid w:val="00710935"/>
    <w:rsid w:val="007115DE"/>
    <w:rsid w:val="0071258F"/>
    <w:rsid w:val="00714F1C"/>
    <w:rsid w:val="00715299"/>
    <w:rsid w:val="00721007"/>
    <w:rsid w:val="00722730"/>
    <w:rsid w:val="00726A3B"/>
    <w:rsid w:val="00727D90"/>
    <w:rsid w:val="00733FB8"/>
    <w:rsid w:val="007352A1"/>
    <w:rsid w:val="00735311"/>
    <w:rsid w:val="00736DDA"/>
    <w:rsid w:val="00736EB0"/>
    <w:rsid w:val="00740C8A"/>
    <w:rsid w:val="00752177"/>
    <w:rsid w:val="00755EAE"/>
    <w:rsid w:val="00756C47"/>
    <w:rsid w:val="00756F99"/>
    <w:rsid w:val="007576AA"/>
    <w:rsid w:val="007631C5"/>
    <w:rsid w:val="00763608"/>
    <w:rsid w:val="007666B6"/>
    <w:rsid w:val="00771584"/>
    <w:rsid w:val="00773AE6"/>
    <w:rsid w:val="00777C60"/>
    <w:rsid w:val="00777E7F"/>
    <w:rsid w:val="007803DC"/>
    <w:rsid w:val="007817E4"/>
    <w:rsid w:val="00781933"/>
    <w:rsid w:val="00784211"/>
    <w:rsid w:val="00784508"/>
    <w:rsid w:val="00784A8D"/>
    <w:rsid w:val="00785D74"/>
    <w:rsid w:val="007863F8"/>
    <w:rsid w:val="00786802"/>
    <w:rsid w:val="00793B36"/>
    <w:rsid w:val="00794AA3"/>
    <w:rsid w:val="007965C5"/>
    <w:rsid w:val="007A4FD7"/>
    <w:rsid w:val="007A679F"/>
    <w:rsid w:val="007B0F87"/>
    <w:rsid w:val="007B6D39"/>
    <w:rsid w:val="007C017A"/>
    <w:rsid w:val="007C485C"/>
    <w:rsid w:val="007C760D"/>
    <w:rsid w:val="007D4DAD"/>
    <w:rsid w:val="007D521B"/>
    <w:rsid w:val="007D5307"/>
    <w:rsid w:val="007E093E"/>
    <w:rsid w:val="007E2961"/>
    <w:rsid w:val="007E39CC"/>
    <w:rsid w:val="007F0641"/>
    <w:rsid w:val="007F06D0"/>
    <w:rsid w:val="007F7992"/>
    <w:rsid w:val="00800C7B"/>
    <w:rsid w:val="008057DA"/>
    <w:rsid w:val="00806307"/>
    <w:rsid w:val="0080674A"/>
    <w:rsid w:val="00806B9F"/>
    <w:rsid w:val="008076DA"/>
    <w:rsid w:val="00810AC8"/>
    <w:rsid w:val="008125B4"/>
    <w:rsid w:val="00814EFD"/>
    <w:rsid w:val="0081617A"/>
    <w:rsid w:val="00820057"/>
    <w:rsid w:val="008229E1"/>
    <w:rsid w:val="00822BD0"/>
    <w:rsid w:val="00833663"/>
    <w:rsid w:val="00837E61"/>
    <w:rsid w:val="00842CDC"/>
    <w:rsid w:val="00843ACB"/>
    <w:rsid w:val="008452C4"/>
    <w:rsid w:val="00845950"/>
    <w:rsid w:val="008478F2"/>
    <w:rsid w:val="00851958"/>
    <w:rsid w:val="008538DB"/>
    <w:rsid w:val="0085495E"/>
    <w:rsid w:val="00855166"/>
    <w:rsid w:val="0086051B"/>
    <w:rsid w:val="00864738"/>
    <w:rsid w:val="008671CC"/>
    <w:rsid w:val="008732ED"/>
    <w:rsid w:val="0087394D"/>
    <w:rsid w:val="0088005B"/>
    <w:rsid w:val="00880420"/>
    <w:rsid w:val="00883872"/>
    <w:rsid w:val="008850BF"/>
    <w:rsid w:val="00890E8C"/>
    <w:rsid w:val="008948DE"/>
    <w:rsid w:val="00897F56"/>
    <w:rsid w:val="008A1B3C"/>
    <w:rsid w:val="008A4CDF"/>
    <w:rsid w:val="008A6351"/>
    <w:rsid w:val="008B640C"/>
    <w:rsid w:val="008B6AB3"/>
    <w:rsid w:val="008B73D3"/>
    <w:rsid w:val="008C0F11"/>
    <w:rsid w:val="008C4812"/>
    <w:rsid w:val="008C4EF4"/>
    <w:rsid w:val="008C6724"/>
    <w:rsid w:val="008C72BA"/>
    <w:rsid w:val="008C75A7"/>
    <w:rsid w:val="008D1755"/>
    <w:rsid w:val="008D1EA1"/>
    <w:rsid w:val="008D34FA"/>
    <w:rsid w:val="008D4680"/>
    <w:rsid w:val="008D52E6"/>
    <w:rsid w:val="008D6F74"/>
    <w:rsid w:val="008E0B4E"/>
    <w:rsid w:val="008E0EF4"/>
    <w:rsid w:val="008E2B3D"/>
    <w:rsid w:val="008E2ED8"/>
    <w:rsid w:val="008E438C"/>
    <w:rsid w:val="008E48D8"/>
    <w:rsid w:val="008E5AFD"/>
    <w:rsid w:val="008E7222"/>
    <w:rsid w:val="008E73A5"/>
    <w:rsid w:val="008F04CF"/>
    <w:rsid w:val="008F13F9"/>
    <w:rsid w:val="008F4880"/>
    <w:rsid w:val="008F77AA"/>
    <w:rsid w:val="008F7AFB"/>
    <w:rsid w:val="00901D3C"/>
    <w:rsid w:val="00906549"/>
    <w:rsid w:val="00910FC1"/>
    <w:rsid w:val="00911E11"/>
    <w:rsid w:val="0091248A"/>
    <w:rsid w:val="00913780"/>
    <w:rsid w:val="0091571B"/>
    <w:rsid w:val="00916E19"/>
    <w:rsid w:val="00921943"/>
    <w:rsid w:val="00922B34"/>
    <w:rsid w:val="00922E1A"/>
    <w:rsid w:val="00923B8C"/>
    <w:rsid w:val="00925142"/>
    <w:rsid w:val="00932494"/>
    <w:rsid w:val="00932A1D"/>
    <w:rsid w:val="00932B3D"/>
    <w:rsid w:val="00932B58"/>
    <w:rsid w:val="00935444"/>
    <w:rsid w:val="00941DDD"/>
    <w:rsid w:val="00942CE6"/>
    <w:rsid w:val="009432CE"/>
    <w:rsid w:val="009464D0"/>
    <w:rsid w:val="00946ECF"/>
    <w:rsid w:val="00947CFD"/>
    <w:rsid w:val="00955A9F"/>
    <w:rsid w:val="00957869"/>
    <w:rsid w:val="00960342"/>
    <w:rsid w:val="0096272A"/>
    <w:rsid w:val="009647F9"/>
    <w:rsid w:val="009649C5"/>
    <w:rsid w:val="00966FDF"/>
    <w:rsid w:val="00972594"/>
    <w:rsid w:val="00973179"/>
    <w:rsid w:val="00973C04"/>
    <w:rsid w:val="009753EC"/>
    <w:rsid w:val="00975825"/>
    <w:rsid w:val="00982690"/>
    <w:rsid w:val="00982851"/>
    <w:rsid w:val="0098431F"/>
    <w:rsid w:val="009A08D2"/>
    <w:rsid w:val="009A10D0"/>
    <w:rsid w:val="009A2455"/>
    <w:rsid w:val="009A6A5E"/>
    <w:rsid w:val="009B11F0"/>
    <w:rsid w:val="009B3A05"/>
    <w:rsid w:val="009B5128"/>
    <w:rsid w:val="009B6CC2"/>
    <w:rsid w:val="009B76D2"/>
    <w:rsid w:val="009C03CD"/>
    <w:rsid w:val="009D49A0"/>
    <w:rsid w:val="009D52FC"/>
    <w:rsid w:val="009E1CF1"/>
    <w:rsid w:val="009E1F2C"/>
    <w:rsid w:val="009E4572"/>
    <w:rsid w:val="009E4F95"/>
    <w:rsid w:val="009E5BDB"/>
    <w:rsid w:val="009E6002"/>
    <w:rsid w:val="009F3575"/>
    <w:rsid w:val="009F39F5"/>
    <w:rsid w:val="009F3E56"/>
    <w:rsid w:val="009F7349"/>
    <w:rsid w:val="00A01224"/>
    <w:rsid w:val="00A03BA2"/>
    <w:rsid w:val="00A05087"/>
    <w:rsid w:val="00A05ED2"/>
    <w:rsid w:val="00A06C35"/>
    <w:rsid w:val="00A107DB"/>
    <w:rsid w:val="00A11BF4"/>
    <w:rsid w:val="00A1436E"/>
    <w:rsid w:val="00A15034"/>
    <w:rsid w:val="00A22A05"/>
    <w:rsid w:val="00A27644"/>
    <w:rsid w:val="00A31EC5"/>
    <w:rsid w:val="00A3328C"/>
    <w:rsid w:val="00A33E26"/>
    <w:rsid w:val="00A34047"/>
    <w:rsid w:val="00A363D6"/>
    <w:rsid w:val="00A37D25"/>
    <w:rsid w:val="00A4154B"/>
    <w:rsid w:val="00A44306"/>
    <w:rsid w:val="00A44C4C"/>
    <w:rsid w:val="00A45AE3"/>
    <w:rsid w:val="00A50D7A"/>
    <w:rsid w:val="00A50D82"/>
    <w:rsid w:val="00A52886"/>
    <w:rsid w:val="00A54BA3"/>
    <w:rsid w:val="00A556C6"/>
    <w:rsid w:val="00A56C26"/>
    <w:rsid w:val="00A57E72"/>
    <w:rsid w:val="00A60E1F"/>
    <w:rsid w:val="00A640D8"/>
    <w:rsid w:val="00A721A6"/>
    <w:rsid w:val="00A740D2"/>
    <w:rsid w:val="00A77B71"/>
    <w:rsid w:val="00A77CC8"/>
    <w:rsid w:val="00A818D5"/>
    <w:rsid w:val="00A81D5F"/>
    <w:rsid w:val="00A8320B"/>
    <w:rsid w:val="00A84F12"/>
    <w:rsid w:val="00A904E3"/>
    <w:rsid w:val="00A904F3"/>
    <w:rsid w:val="00A9280F"/>
    <w:rsid w:val="00A935DB"/>
    <w:rsid w:val="00A95D71"/>
    <w:rsid w:val="00A968B5"/>
    <w:rsid w:val="00AA008E"/>
    <w:rsid w:val="00AA18C1"/>
    <w:rsid w:val="00AA371B"/>
    <w:rsid w:val="00AA3B76"/>
    <w:rsid w:val="00AA42A2"/>
    <w:rsid w:val="00AA5412"/>
    <w:rsid w:val="00AA55B8"/>
    <w:rsid w:val="00AA6176"/>
    <w:rsid w:val="00AB10F1"/>
    <w:rsid w:val="00AB3B54"/>
    <w:rsid w:val="00AB3FF9"/>
    <w:rsid w:val="00AB4949"/>
    <w:rsid w:val="00AC4FE7"/>
    <w:rsid w:val="00AC5142"/>
    <w:rsid w:val="00AD1D03"/>
    <w:rsid w:val="00AD1EF6"/>
    <w:rsid w:val="00AD4405"/>
    <w:rsid w:val="00AD4617"/>
    <w:rsid w:val="00AE2359"/>
    <w:rsid w:val="00AE586E"/>
    <w:rsid w:val="00AE605B"/>
    <w:rsid w:val="00AE6BB3"/>
    <w:rsid w:val="00AE6BFA"/>
    <w:rsid w:val="00AF0269"/>
    <w:rsid w:val="00AF0602"/>
    <w:rsid w:val="00AF3DB7"/>
    <w:rsid w:val="00AF4596"/>
    <w:rsid w:val="00AF6ACC"/>
    <w:rsid w:val="00AF7F18"/>
    <w:rsid w:val="00B0219C"/>
    <w:rsid w:val="00B0601B"/>
    <w:rsid w:val="00B12D4A"/>
    <w:rsid w:val="00B13C10"/>
    <w:rsid w:val="00B1518E"/>
    <w:rsid w:val="00B17B42"/>
    <w:rsid w:val="00B22BDE"/>
    <w:rsid w:val="00B23CF1"/>
    <w:rsid w:val="00B24BD6"/>
    <w:rsid w:val="00B25C5D"/>
    <w:rsid w:val="00B25FFF"/>
    <w:rsid w:val="00B30963"/>
    <w:rsid w:val="00B30E63"/>
    <w:rsid w:val="00B32474"/>
    <w:rsid w:val="00B36160"/>
    <w:rsid w:val="00B367FA"/>
    <w:rsid w:val="00B3779B"/>
    <w:rsid w:val="00B4017E"/>
    <w:rsid w:val="00B446A2"/>
    <w:rsid w:val="00B4521F"/>
    <w:rsid w:val="00B46F32"/>
    <w:rsid w:val="00B472B8"/>
    <w:rsid w:val="00B47A1A"/>
    <w:rsid w:val="00B50016"/>
    <w:rsid w:val="00B516B7"/>
    <w:rsid w:val="00B5302C"/>
    <w:rsid w:val="00B53541"/>
    <w:rsid w:val="00B555C1"/>
    <w:rsid w:val="00B5709D"/>
    <w:rsid w:val="00B651BE"/>
    <w:rsid w:val="00B67E1A"/>
    <w:rsid w:val="00B7007F"/>
    <w:rsid w:val="00B73FF1"/>
    <w:rsid w:val="00B76834"/>
    <w:rsid w:val="00B77AF9"/>
    <w:rsid w:val="00B852D4"/>
    <w:rsid w:val="00B8737F"/>
    <w:rsid w:val="00B91D10"/>
    <w:rsid w:val="00B9611D"/>
    <w:rsid w:val="00B96B3A"/>
    <w:rsid w:val="00B96CEA"/>
    <w:rsid w:val="00BA0B5B"/>
    <w:rsid w:val="00BA3FCA"/>
    <w:rsid w:val="00BA4021"/>
    <w:rsid w:val="00BA4394"/>
    <w:rsid w:val="00BA4EAF"/>
    <w:rsid w:val="00BA541E"/>
    <w:rsid w:val="00BA5A18"/>
    <w:rsid w:val="00BA6817"/>
    <w:rsid w:val="00BB23DC"/>
    <w:rsid w:val="00BB3DC5"/>
    <w:rsid w:val="00BB55D2"/>
    <w:rsid w:val="00BB6A56"/>
    <w:rsid w:val="00BB740F"/>
    <w:rsid w:val="00BB770D"/>
    <w:rsid w:val="00BC1EFD"/>
    <w:rsid w:val="00BC25BC"/>
    <w:rsid w:val="00BC3C3F"/>
    <w:rsid w:val="00BC3EFA"/>
    <w:rsid w:val="00BD056C"/>
    <w:rsid w:val="00BD1F8F"/>
    <w:rsid w:val="00BE01AE"/>
    <w:rsid w:val="00BE0C31"/>
    <w:rsid w:val="00BE2765"/>
    <w:rsid w:val="00BE280E"/>
    <w:rsid w:val="00BE33A4"/>
    <w:rsid w:val="00BE4276"/>
    <w:rsid w:val="00BE502A"/>
    <w:rsid w:val="00BE56D6"/>
    <w:rsid w:val="00BE78BC"/>
    <w:rsid w:val="00BE7967"/>
    <w:rsid w:val="00BF1B76"/>
    <w:rsid w:val="00BF5868"/>
    <w:rsid w:val="00C01468"/>
    <w:rsid w:val="00C014B9"/>
    <w:rsid w:val="00C016ED"/>
    <w:rsid w:val="00C046CF"/>
    <w:rsid w:val="00C054C0"/>
    <w:rsid w:val="00C06510"/>
    <w:rsid w:val="00C07D46"/>
    <w:rsid w:val="00C164AA"/>
    <w:rsid w:val="00C17E80"/>
    <w:rsid w:val="00C2268A"/>
    <w:rsid w:val="00C2593D"/>
    <w:rsid w:val="00C27321"/>
    <w:rsid w:val="00C27ABE"/>
    <w:rsid w:val="00C40414"/>
    <w:rsid w:val="00C41ADF"/>
    <w:rsid w:val="00C41E66"/>
    <w:rsid w:val="00C52C0D"/>
    <w:rsid w:val="00C5324C"/>
    <w:rsid w:val="00C60817"/>
    <w:rsid w:val="00C62535"/>
    <w:rsid w:val="00C63F56"/>
    <w:rsid w:val="00C6449B"/>
    <w:rsid w:val="00C6459A"/>
    <w:rsid w:val="00C64A0D"/>
    <w:rsid w:val="00C64E91"/>
    <w:rsid w:val="00C65B27"/>
    <w:rsid w:val="00C65C03"/>
    <w:rsid w:val="00C74537"/>
    <w:rsid w:val="00C856AE"/>
    <w:rsid w:val="00C90FA1"/>
    <w:rsid w:val="00C953E3"/>
    <w:rsid w:val="00C96374"/>
    <w:rsid w:val="00CA0547"/>
    <w:rsid w:val="00CA2BBE"/>
    <w:rsid w:val="00CA5B84"/>
    <w:rsid w:val="00CA6F1F"/>
    <w:rsid w:val="00CB0BF8"/>
    <w:rsid w:val="00CB5A26"/>
    <w:rsid w:val="00CB7967"/>
    <w:rsid w:val="00CC02D2"/>
    <w:rsid w:val="00CC1B1A"/>
    <w:rsid w:val="00CC6BE7"/>
    <w:rsid w:val="00CD00D9"/>
    <w:rsid w:val="00CD0B06"/>
    <w:rsid w:val="00CD631C"/>
    <w:rsid w:val="00CD66D7"/>
    <w:rsid w:val="00CD7CF5"/>
    <w:rsid w:val="00CE3007"/>
    <w:rsid w:val="00CF09BE"/>
    <w:rsid w:val="00CF0F02"/>
    <w:rsid w:val="00CF508B"/>
    <w:rsid w:val="00CF5530"/>
    <w:rsid w:val="00D0339A"/>
    <w:rsid w:val="00D07436"/>
    <w:rsid w:val="00D16132"/>
    <w:rsid w:val="00D16D0C"/>
    <w:rsid w:val="00D17B54"/>
    <w:rsid w:val="00D210EA"/>
    <w:rsid w:val="00D2142E"/>
    <w:rsid w:val="00D22220"/>
    <w:rsid w:val="00D2229E"/>
    <w:rsid w:val="00D22796"/>
    <w:rsid w:val="00D22C6F"/>
    <w:rsid w:val="00D30DD2"/>
    <w:rsid w:val="00D33D7C"/>
    <w:rsid w:val="00D342E8"/>
    <w:rsid w:val="00D34A01"/>
    <w:rsid w:val="00D36790"/>
    <w:rsid w:val="00D36EAB"/>
    <w:rsid w:val="00D373AE"/>
    <w:rsid w:val="00D37609"/>
    <w:rsid w:val="00D4102F"/>
    <w:rsid w:val="00D4667B"/>
    <w:rsid w:val="00D466EF"/>
    <w:rsid w:val="00D47BCE"/>
    <w:rsid w:val="00D51AF1"/>
    <w:rsid w:val="00D51F25"/>
    <w:rsid w:val="00D567F6"/>
    <w:rsid w:val="00D56943"/>
    <w:rsid w:val="00D56DF3"/>
    <w:rsid w:val="00D57FF7"/>
    <w:rsid w:val="00D62189"/>
    <w:rsid w:val="00D6273F"/>
    <w:rsid w:val="00D647C9"/>
    <w:rsid w:val="00D70BF4"/>
    <w:rsid w:val="00D76E21"/>
    <w:rsid w:val="00D81F2F"/>
    <w:rsid w:val="00D85A05"/>
    <w:rsid w:val="00D85FAC"/>
    <w:rsid w:val="00D90A69"/>
    <w:rsid w:val="00D9184C"/>
    <w:rsid w:val="00D92CD1"/>
    <w:rsid w:val="00D92D37"/>
    <w:rsid w:val="00D9348E"/>
    <w:rsid w:val="00D96F56"/>
    <w:rsid w:val="00D96FB4"/>
    <w:rsid w:val="00DA6344"/>
    <w:rsid w:val="00DB0648"/>
    <w:rsid w:val="00DB10DC"/>
    <w:rsid w:val="00DB2482"/>
    <w:rsid w:val="00DB33C5"/>
    <w:rsid w:val="00DB4DEC"/>
    <w:rsid w:val="00DB5A48"/>
    <w:rsid w:val="00DB65BC"/>
    <w:rsid w:val="00DC16D4"/>
    <w:rsid w:val="00DC1FF4"/>
    <w:rsid w:val="00DC2493"/>
    <w:rsid w:val="00DC372C"/>
    <w:rsid w:val="00DC7FF1"/>
    <w:rsid w:val="00DD0301"/>
    <w:rsid w:val="00DD1A79"/>
    <w:rsid w:val="00DE0820"/>
    <w:rsid w:val="00DE0C2D"/>
    <w:rsid w:val="00DE1DE5"/>
    <w:rsid w:val="00DE2CA0"/>
    <w:rsid w:val="00DE4053"/>
    <w:rsid w:val="00DE4DFC"/>
    <w:rsid w:val="00DF2195"/>
    <w:rsid w:val="00DF240A"/>
    <w:rsid w:val="00DF338F"/>
    <w:rsid w:val="00DF5F5D"/>
    <w:rsid w:val="00DF5F61"/>
    <w:rsid w:val="00DF7CF2"/>
    <w:rsid w:val="00E0297D"/>
    <w:rsid w:val="00E032E5"/>
    <w:rsid w:val="00E03F84"/>
    <w:rsid w:val="00E066E2"/>
    <w:rsid w:val="00E102A3"/>
    <w:rsid w:val="00E12D4B"/>
    <w:rsid w:val="00E12D98"/>
    <w:rsid w:val="00E12E48"/>
    <w:rsid w:val="00E16AC8"/>
    <w:rsid w:val="00E16FB2"/>
    <w:rsid w:val="00E17E1C"/>
    <w:rsid w:val="00E238DF"/>
    <w:rsid w:val="00E23FCF"/>
    <w:rsid w:val="00E24444"/>
    <w:rsid w:val="00E25AF5"/>
    <w:rsid w:val="00E316CE"/>
    <w:rsid w:val="00E3259D"/>
    <w:rsid w:val="00E32BEE"/>
    <w:rsid w:val="00E359DA"/>
    <w:rsid w:val="00E42393"/>
    <w:rsid w:val="00E44077"/>
    <w:rsid w:val="00E44379"/>
    <w:rsid w:val="00E45EB8"/>
    <w:rsid w:val="00E47843"/>
    <w:rsid w:val="00E47D37"/>
    <w:rsid w:val="00E503B4"/>
    <w:rsid w:val="00E50F97"/>
    <w:rsid w:val="00E62D5F"/>
    <w:rsid w:val="00E64AA6"/>
    <w:rsid w:val="00E72C65"/>
    <w:rsid w:val="00E72D08"/>
    <w:rsid w:val="00E74758"/>
    <w:rsid w:val="00E7654B"/>
    <w:rsid w:val="00E802DD"/>
    <w:rsid w:val="00E80658"/>
    <w:rsid w:val="00E81FE8"/>
    <w:rsid w:val="00E84E09"/>
    <w:rsid w:val="00E86B3B"/>
    <w:rsid w:val="00E86BB6"/>
    <w:rsid w:val="00E907B9"/>
    <w:rsid w:val="00E9122F"/>
    <w:rsid w:val="00E917A0"/>
    <w:rsid w:val="00E921E5"/>
    <w:rsid w:val="00E94973"/>
    <w:rsid w:val="00E95B26"/>
    <w:rsid w:val="00E964BD"/>
    <w:rsid w:val="00EA03CD"/>
    <w:rsid w:val="00EA03D5"/>
    <w:rsid w:val="00EA1CC6"/>
    <w:rsid w:val="00EA2627"/>
    <w:rsid w:val="00EA2F6D"/>
    <w:rsid w:val="00EA5C72"/>
    <w:rsid w:val="00EA7465"/>
    <w:rsid w:val="00EB214D"/>
    <w:rsid w:val="00EB51F2"/>
    <w:rsid w:val="00EB6007"/>
    <w:rsid w:val="00EB6FF0"/>
    <w:rsid w:val="00EB7534"/>
    <w:rsid w:val="00EC305F"/>
    <w:rsid w:val="00EC53F4"/>
    <w:rsid w:val="00EC581A"/>
    <w:rsid w:val="00ED0D9E"/>
    <w:rsid w:val="00ED1F3E"/>
    <w:rsid w:val="00ED444E"/>
    <w:rsid w:val="00ED5B3F"/>
    <w:rsid w:val="00ED69BE"/>
    <w:rsid w:val="00ED6E58"/>
    <w:rsid w:val="00ED7381"/>
    <w:rsid w:val="00EE0B9E"/>
    <w:rsid w:val="00EE3AAC"/>
    <w:rsid w:val="00EE4BD1"/>
    <w:rsid w:val="00EE5039"/>
    <w:rsid w:val="00EE70FC"/>
    <w:rsid w:val="00EF54AF"/>
    <w:rsid w:val="00EF66F6"/>
    <w:rsid w:val="00F04420"/>
    <w:rsid w:val="00F05848"/>
    <w:rsid w:val="00F05A3A"/>
    <w:rsid w:val="00F06188"/>
    <w:rsid w:val="00F07DC3"/>
    <w:rsid w:val="00F1171A"/>
    <w:rsid w:val="00F1181F"/>
    <w:rsid w:val="00F1196E"/>
    <w:rsid w:val="00F128DF"/>
    <w:rsid w:val="00F12EC8"/>
    <w:rsid w:val="00F13BA7"/>
    <w:rsid w:val="00F16271"/>
    <w:rsid w:val="00F2011F"/>
    <w:rsid w:val="00F23120"/>
    <w:rsid w:val="00F2401E"/>
    <w:rsid w:val="00F243FA"/>
    <w:rsid w:val="00F24690"/>
    <w:rsid w:val="00F24FDA"/>
    <w:rsid w:val="00F26542"/>
    <w:rsid w:val="00F30CD3"/>
    <w:rsid w:val="00F31D77"/>
    <w:rsid w:val="00F32AD4"/>
    <w:rsid w:val="00F349A8"/>
    <w:rsid w:val="00F35C5F"/>
    <w:rsid w:val="00F35CDD"/>
    <w:rsid w:val="00F43A3D"/>
    <w:rsid w:val="00F46BF0"/>
    <w:rsid w:val="00F46F1A"/>
    <w:rsid w:val="00F46FD4"/>
    <w:rsid w:val="00F54A4B"/>
    <w:rsid w:val="00F56098"/>
    <w:rsid w:val="00F57078"/>
    <w:rsid w:val="00F60959"/>
    <w:rsid w:val="00F60ED5"/>
    <w:rsid w:val="00F6124D"/>
    <w:rsid w:val="00F615C1"/>
    <w:rsid w:val="00F6218F"/>
    <w:rsid w:val="00F6274E"/>
    <w:rsid w:val="00F64027"/>
    <w:rsid w:val="00F667BD"/>
    <w:rsid w:val="00F67964"/>
    <w:rsid w:val="00F738B9"/>
    <w:rsid w:val="00F74067"/>
    <w:rsid w:val="00F75D3E"/>
    <w:rsid w:val="00F77EE5"/>
    <w:rsid w:val="00F803DB"/>
    <w:rsid w:val="00F82CCC"/>
    <w:rsid w:val="00F833CF"/>
    <w:rsid w:val="00F86DC5"/>
    <w:rsid w:val="00F87268"/>
    <w:rsid w:val="00F9184F"/>
    <w:rsid w:val="00F93A53"/>
    <w:rsid w:val="00F9412E"/>
    <w:rsid w:val="00F94C90"/>
    <w:rsid w:val="00F968B5"/>
    <w:rsid w:val="00F97477"/>
    <w:rsid w:val="00FA1FA4"/>
    <w:rsid w:val="00FA209C"/>
    <w:rsid w:val="00FA2BAE"/>
    <w:rsid w:val="00FA45DE"/>
    <w:rsid w:val="00FA4B7C"/>
    <w:rsid w:val="00FA6A5C"/>
    <w:rsid w:val="00FB0838"/>
    <w:rsid w:val="00FB1B2D"/>
    <w:rsid w:val="00FB3D0E"/>
    <w:rsid w:val="00FC0C73"/>
    <w:rsid w:val="00FC191B"/>
    <w:rsid w:val="00FC2C97"/>
    <w:rsid w:val="00FC3657"/>
    <w:rsid w:val="00FC59FE"/>
    <w:rsid w:val="00FD0FB2"/>
    <w:rsid w:val="00FD13F0"/>
    <w:rsid w:val="00FD280C"/>
    <w:rsid w:val="00FD7C04"/>
    <w:rsid w:val="00FE0145"/>
    <w:rsid w:val="00FE1452"/>
    <w:rsid w:val="00FE4C65"/>
    <w:rsid w:val="00FE721E"/>
    <w:rsid w:val="00FF1959"/>
    <w:rsid w:val="00FF2764"/>
    <w:rsid w:val="00FF4ACD"/>
    <w:rsid w:val="00FF619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CE6"/>
    <w:pPr>
      <w:autoSpaceDE w:val="0"/>
      <w:autoSpaceDN w:val="0"/>
      <w:adjustRightInd w:val="0"/>
      <w:spacing w:after="60"/>
      <w:jc w:val="both"/>
    </w:pPr>
    <w:rPr>
      <w:sz w:val="24"/>
      <w:szCs w:val="24"/>
      <w:lang w:eastAsia="en-US"/>
    </w:rPr>
  </w:style>
  <w:style w:type="paragraph" w:styleId="Heading1">
    <w:name w:val="heading 1"/>
    <w:basedOn w:val="Normal"/>
    <w:next w:val="Normal"/>
    <w:link w:val="Heading1Char"/>
    <w:qFormat/>
    <w:rsid w:val="00212245"/>
    <w:pPr>
      <w:keepNext/>
      <w:spacing w:before="24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053C"/>
    <w:rPr>
      <w:color w:val="0000FF"/>
      <w:u w:val="single"/>
    </w:rPr>
  </w:style>
  <w:style w:type="table" w:styleId="TableGrid">
    <w:name w:val="Table Grid"/>
    <w:basedOn w:val="TableNormal"/>
    <w:rsid w:val="00634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BE28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uiPriority w:val="20"/>
    <w:qFormat/>
    <w:rsid w:val="007D4DAD"/>
    <w:rPr>
      <w:b/>
      <w:bCs/>
      <w:i w:val="0"/>
      <w:iCs w:val="0"/>
    </w:rPr>
  </w:style>
  <w:style w:type="paragraph" w:styleId="ListParagraph">
    <w:name w:val="List Paragraph"/>
    <w:basedOn w:val="Normal"/>
    <w:uiPriority w:val="34"/>
    <w:qFormat/>
    <w:rsid w:val="00FE721E"/>
    <w:pPr>
      <w:ind w:left="708"/>
    </w:pPr>
  </w:style>
  <w:style w:type="character" w:customStyle="1" w:styleId="Heading1Char">
    <w:name w:val="Heading 1 Char"/>
    <w:basedOn w:val="DefaultParagraphFont"/>
    <w:link w:val="Heading1"/>
    <w:rsid w:val="00212245"/>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2B1513"/>
    <w:rPr>
      <w:b/>
      <w:bCs/>
    </w:rPr>
  </w:style>
  <w:style w:type="paragraph" w:styleId="NoSpacing">
    <w:name w:val="No Spacing"/>
    <w:link w:val="NoSpacingChar"/>
    <w:uiPriority w:val="1"/>
    <w:qFormat/>
    <w:rsid w:val="005653F2"/>
    <w:rPr>
      <w:rFonts w:ascii="Calibri" w:hAnsi="Calibri"/>
      <w:sz w:val="22"/>
      <w:szCs w:val="22"/>
      <w:lang w:val="en-US" w:eastAsia="en-US"/>
    </w:rPr>
  </w:style>
  <w:style w:type="character" w:customStyle="1" w:styleId="NoSpacingChar">
    <w:name w:val="No Spacing Char"/>
    <w:basedOn w:val="DefaultParagraphFont"/>
    <w:link w:val="NoSpacing"/>
    <w:uiPriority w:val="1"/>
    <w:rsid w:val="005653F2"/>
    <w:rPr>
      <w:rFonts w:ascii="Calibri" w:hAnsi="Calibri"/>
      <w:sz w:val="22"/>
      <w:szCs w:val="22"/>
      <w:lang w:val="en-US" w:eastAsia="en-US" w:bidi="ar-SA"/>
    </w:rPr>
  </w:style>
  <w:style w:type="paragraph" w:styleId="Header">
    <w:name w:val="header"/>
    <w:basedOn w:val="Normal"/>
    <w:link w:val="HeaderChar"/>
    <w:rsid w:val="00187EFA"/>
    <w:pPr>
      <w:tabs>
        <w:tab w:val="center" w:pos="4536"/>
        <w:tab w:val="right" w:pos="9072"/>
      </w:tabs>
    </w:pPr>
  </w:style>
  <w:style w:type="character" w:customStyle="1" w:styleId="HeaderChar">
    <w:name w:val="Header Char"/>
    <w:basedOn w:val="DefaultParagraphFont"/>
    <w:link w:val="Header"/>
    <w:rsid w:val="00187EFA"/>
    <w:rPr>
      <w:sz w:val="24"/>
      <w:szCs w:val="24"/>
      <w:lang w:eastAsia="en-US"/>
    </w:rPr>
  </w:style>
  <w:style w:type="paragraph" w:styleId="Footer">
    <w:name w:val="footer"/>
    <w:basedOn w:val="Normal"/>
    <w:link w:val="FooterChar"/>
    <w:uiPriority w:val="99"/>
    <w:rsid w:val="00187EFA"/>
    <w:pPr>
      <w:tabs>
        <w:tab w:val="center" w:pos="4536"/>
        <w:tab w:val="right" w:pos="9072"/>
      </w:tabs>
    </w:pPr>
  </w:style>
  <w:style w:type="character" w:customStyle="1" w:styleId="FooterChar">
    <w:name w:val="Footer Char"/>
    <w:basedOn w:val="DefaultParagraphFont"/>
    <w:link w:val="Footer"/>
    <w:uiPriority w:val="99"/>
    <w:rsid w:val="00187EFA"/>
    <w:rPr>
      <w:sz w:val="24"/>
      <w:szCs w:val="24"/>
      <w:lang w:eastAsia="en-US"/>
    </w:rPr>
  </w:style>
  <w:style w:type="paragraph" w:customStyle="1" w:styleId="Default">
    <w:name w:val="Default"/>
    <w:rsid w:val="00436FE2"/>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436FE2"/>
    <w:rPr>
      <w:color w:val="auto"/>
    </w:rPr>
  </w:style>
  <w:style w:type="character" w:styleId="PlaceholderText">
    <w:name w:val="Placeholder Text"/>
    <w:basedOn w:val="DefaultParagraphFont"/>
    <w:uiPriority w:val="99"/>
    <w:semiHidden/>
    <w:rsid w:val="00BB55D2"/>
    <w:rPr>
      <w:color w:val="808080"/>
    </w:rPr>
  </w:style>
  <w:style w:type="paragraph" w:styleId="FootnoteText">
    <w:name w:val="footnote text"/>
    <w:basedOn w:val="Normal"/>
    <w:link w:val="FootnoteTextChar"/>
    <w:rsid w:val="00BB55D2"/>
    <w:pPr>
      <w:spacing w:after="0"/>
    </w:pPr>
    <w:rPr>
      <w:sz w:val="20"/>
      <w:szCs w:val="20"/>
    </w:rPr>
  </w:style>
  <w:style w:type="character" w:customStyle="1" w:styleId="FootnoteTextChar">
    <w:name w:val="Footnote Text Char"/>
    <w:basedOn w:val="DefaultParagraphFont"/>
    <w:link w:val="FootnoteText"/>
    <w:rsid w:val="00BB55D2"/>
    <w:rPr>
      <w:lang w:eastAsia="en-US"/>
    </w:rPr>
  </w:style>
  <w:style w:type="character" w:styleId="FootnoteReference">
    <w:name w:val="footnote reference"/>
    <w:basedOn w:val="DefaultParagraphFont"/>
    <w:rsid w:val="00BB55D2"/>
    <w:rPr>
      <w:vertAlign w:val="superscript"/>
    </w:rPr>
  </w:style>
  <w:style w:type="table" w:styleId="TableList3">
    <w:name w:val="Table List 3"/>
    <w:basedOn w:val="TableNormal"/>
    <w:rsid w:val="00B555C1"/>
    <w:pPr>
      <w:autoSpaceDE w:val="0"/>
      <w:autoSpaceDN w:val="0"/>
      <w:adjustRightInd w:val="0"/>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5516B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5516B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unhideWhenUsed/>
    <w:qFormat/>
    <w:rsid w:val="0010403B"/>
    <w:pPr>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qFormat/>
    <w:rsid w:val="0010403B"/>
    <w:pPr>
      <w:spacing w:after="100"/>
    </w:pPr>
  </w:style>
  <w:style w:type="character" w:customStyle="1" w:styleId="a">
    <w:name w:val="Основен текст_"/>
    <w:basedOn w:val="DefaultParagraphFont"/>
    <w:link w:val="a0"/>
    <w:rsid w:val="00C90FA1"/>
    <w:rPr>
      <w:rFonts w:ascii="Tahoma" w:eastAsia="Tahoma" w:hAnsi="Tahoma" w:cs="Tahoma"/>
      <w:sz w:val="21"/>
      <w:szCs w:val="21"/>
      <w:shd w:val="clear" w:color="auto" w:fill="FFFFFF"/>
    </w:rPr>
  </w:style>
  <w:style w:type="paragraph" w:customStyle="1" w:styleId="a0">
    <w:name w:val="Основен текст"/>
    <w:basedOn w:val="Normal"/>
    <w:link w:val="a"/>
    <w:rsid w:val="00C90FA1"/>
    <w:pPr>
      <w:shd w:val="clear" w:color="auto" w:fill="FFFFFF"/>
      <w:autoSpaceDE/>
      <w:autoSpaceDN/>
      <w:adjustRightInd/>
      <w:spacing w:before="120" w:after="120" w:line="283" w:lineRule="exact"/>
      <w:ind w:hanging="540"/>
    </w:pPr>
    <w:rPr>
      <w:rFonts w:ascii="Tahoma" w:eastAsia="Tahoma" w:hAnsi="Tahoma" w:cs="Tahoma"/>
      <w:sz w:val="21"/>
      <w:szCs w:val="21"/>
      <w:lang w:eastAsia="bg-BG"/>
    </w:rPr>
  </w:style>
  <w:style w:type="character" w:customStyle="1" w:styleId="4">
    <w:name w:val="Основен текст (4)_"/>
    <w:basedOn w:val="DefaultParagraphFont"/>
    <w:link w:val="40"/>
    <w:rsid w:val="005569C1"/>
    <w:rPr>
      <w:rFonts w:ascii="Tahoma" w:eastAsia="Tahoma" w:hAnsi="Tahoma" w:cs="Tahoma"/>
      <w:shd w:val="clear" w:color="auto" w:fill="FFFFFF"/>
    </w:rPr>
  </w:style>
  <w:style w:type="paragraph" w:customStyle="1" w:styleId="40">
    <w:name w:val="Основен текст (4)"/>
    <w:basedOn w:val="Normal"/>
    <w:link w:val="4"/>
    <w:rsid w:val="005569C1"/>
    <w:pPr>
      <w:shd w:val="clear" w:color="auto" w:fill="FFFFFF"/>
      <w:autoSpaceDE/>
      <w:autoSpaceDN/>
      <w:adjustRightInd/>
      <w:spacing w:before="480" w:after="480" w:line="317" w:lineRule="exact"/>
      <w:ind w:hanging="420"/>
    </w:pPr>
    <w:rPr>
      <w:rFonts w:ascii="Tahoma" w:eastAsia="Tahoma" w:hAnsi="Tahoma" w:cs="Tahoma"/>
      <w:sz w:val="20"/>
      <w:szCs w:val="20"/>
      <w:lang w:eastAsia="bg-BG"/>
    </w:rPr>
  </w:style>
  <w:style w:type="character" w:customStyle="1" w:styleId="4105pt">
    <w:name w:val="Основен текст (4) + 10.5 pt;Само главни букви"/>
    <w:basedOn w:val="4"/>
    <w:rsid w:val="00702DDD"/>
    <w:rPr>
      <w:rFonts w:ascii="Tahoma" w:eastAsia="Tahoma" w:hAnsi="Tahoma" w:cs="Tahoma"/>
      <w:smallCaps/>
      <w:sz w:val="21"/>
      <w:szCs w:val="21"/>
      <w:shd w:val="clear" w:color="auto" w:fill="FFFFFF"/>
    </w:rPr>
  </w:style>
  <w:style w:type="character" w:customStyle="1" w:styleId="a1">
    <w:name w:val="Основен текст + Удебелен"/>
    <w:basedOn w:val="a"/>
    <w:rsid w:val="007965C5"/>
    <w:rPr>
      <w:rFonts w:ascii="Tahoma" w:eastAsia="Tahoma" w:hAnsi="Tahoma" w:cs="Tahoma"/>
      <w:b/>
      <w:bCs/>
      <w:i w:val="0"/>
      <w:iCs w:val="0"/>
      <w:smallCaps w:val="0"/>
      <w:strike w:val="0"/>
      <w:spacing w:val="0"/>
      <w:sz w:val="21"/>
      <w:szCs w:val="21"/>
      <w:shd w:val="clear" w:color="auto" w:fill="FFFFFF"/>
    </w:rPr>
  </w:style>
  <w:style w:type="character" w:customStyle="1" w:styleId="41">
    <w:name w:val="Заглавие #4_"/>
    <w:basedOn w:val="DefaultParagraphFont"/>
    <w:link w:val="42"/>
    <w:rsid w:val="006E5807"/>
    <w:rPr>
      <w:rFonts w:ascii="Tahoma" w:eastAsia="Tahoma" w:hAnsi="Tahoma" w:cs="Tahoma"/>
      <w:shd w:val="clear" w:color="auto" w:fill="FFFFFF"/>
    </w:rPr>
  </w:style>
  <w:style w:type="paragraph" w:customStyle="1" w:styleId="42">
    <w:name w:val="Заглавие #4"/>
    <w:basedOn w:val="Normal"/>
    <w:link w:val="41"/>
    <w:rsid w:val="006E5807"/>
    <w:pPr>
      <w:shd w:val="clear" w:color="auto" w:fill="FFFFFF"/>
      <w:autoSpaceDE/>
      <w:autoSpaceDN/>
      <w:adjustRightInd/>
      <w:spacing w:before="1740" w:after="0" w:line="0" w:lineRule="atLeast"/>
      <w:jc w:val="center"/>
      <w:outlineLvl w:val="3"/>
    </w:pPr>
    <w:rPr>
      <w:rFonts w:ascii="Tahoma" w:eastAsia="Tahoma" w:hAnsi="Tahoma" w:cs="Tahoma"/>
      <w:sz w:val="20"/>
      <w:szCs w:val="20"/>
      <w:lang w:eastAsia="bg-BG"/>
    </w:rPr>
  </w:style>
  <w:style w:type="character" w:customStyle="1" w:styleId="2">
    <w:name w:val="Основен текст (2)_"/>
    <w:basedOn w:val="DefaultParagraphFont"/>
    <w:link w:val="20"/>
    <w:rsid w:val="006E5807"/>
    <w:rPr>
      <w:rFonts w:ascii="Tahoma" w:eastAsia="Tahoma" w:hAnsi="Tahoma" w:cs="Tahoma"/>
      <w:sz w:val="21"/>
      <w:szCs w:val="21"/>
      <w:shd w:val="clear" w:color="auto" w:fill="FFFFFF"/>
    </w:rPr>
  </w:style>
  <w:style w:type="paragraph" w:customStyle="1" w:styleId="20">
    <w:name w:val="Основен текст (2)"/>
    <w:basedOn w:val="Normal"/>
    <w:link w:val="2"/>
    <w:rsid w:val="006E5807"/>
    <w:pPr>
      <w:shd w:val="clear" w:color="auto" w:fill="FFFFFF"/>
      <w:autoSpaceDE/>
      <w:autoSpaceDN/>
      <w:adjustRightInd/>
      <w:spacing w:before="3180" w:after="0" w:line="480" w:lineRule="exact"/>
      <w:jc w:val="center"/>
    </w:pPr>
    <w:rPr>
      <w:rFonts w:ascii="Tahoma" w:eastAsia="Tahoma" w:hAnsi="Tahoma" w:cs="Tahoma"/>
      <w:sz w:val="21"/>
      <w:szCs w:val="21"/>
      <w:lang w:eastAsia="bg-BG"/>
    </w:rPr>
  </w:style>
  <w:style w:type="character" w:customStyle="1" w:styleId="4105pt0">
    <w:name w:val="Заглавие #4 + 10.5 pt;Само главни букви"/>
    <w:basedOn w:val="41"/>
    <w:rsid w:val="00E921E5"/>
    <w:rPr>
      <w:rFonts w:ascii="Tahoma" w:eastAsia="Tahoma" w:hAnsi="Tahoma" w:cs="Tahoma"/>
      <w:smallCaps/>
      <w:sz w:val="21"/>
      <w:szCs w:val="21"/>
      <w:shd w:val="clear" w:color="auto" w:fill="FFFFFF"/>
    </w:rPr>
  </w:style>
  <w:style w:type="character" w:customStyle="1" w:styleId="2105pt1">
    <w:name w:val="Основен текст (2) + 10.5 pt;Само главни букви1"/>
    <w:basedOn w:val="2"/>
    <w:rsid w:val="001953AE"/>
    <w:rPr>
      <w:rFonts w:ascii="Tahoma" w:eastAsia="Tahoma" w:hAnsi="Tahoma" w:cs="Tahoma"/>
      <w:b w:val="0"/>
      <w:bCs w:val="0"/>
      <w:i w:val="0"/>
      <w:iCs w:val="0"/>
      <w:smallCaps/>
      <w:strike w:val="0"/>
      <w:spacing w:val="0"/>
      <w:sz w:val="21"/>
      <w:szCs w:val="21"/>
      <w:shd w:val="clear" w:color="auto" w:fill="FFFFFF"/>
    </w:rPr>
  </w:style>
  <w:style w:type="paragraph" w:customStyle="1" w:styleId="21">
    <w:name w:val="Основен текст (2)1"/>
    <w:basedOn w:val="Normal"/>
    <w:rsid w:val="001953AE"/>
    <w:pPr>
      <w:shd w:val="clear" w:color="auto" w:fill="FFFFFF"/>
      <w:autoSpaceDE/>
      <w:autoSpaceDN/>
      <w:adjustRightInd/>
      <w:spacing w:after="0" w:line="0" w:lineRule="atLeast"/>
      <w:ind w:hanging="360"/>
      <w:jc w:val="left"/>
    </w:pPr>
    <w:rPr>
      <w:rFonts w:ascii="Tahoma" w:eastAsia="Tahoma" w:hAnsi="Tahoma" w:cs="Tahoma"/>
      <w:b/>
      <w:bCs/>
      <w:smallCaps/>
      <w:color w:val="000000"/>
      <w:sz w:val="22"/>
      <w:szCs w:val="22"/>
      <w:lang w:eastAsia="bg-BG"/>
    </w:rPr>
  </w:style>
  <w:style w:type="paragraph" w:styleId="TOC2">
    <w:name w:val="toc 2"/>
    <w:basedOn w:val="Normal"/>
    <w:next w:val="Normal"/>
    <w:autoRedefine/>
    <w:uiPriority w:val="39"/>
    <w:unhideWhenUsed/>
    <w:qFormat/>
    <w:rsid w:val="00F349A8"/>
    <w:pPr>
      <w:autoSpaceDE/>
      <w:autoSpaceDN/>
      <w:adjustRightInd/>
      <w:spacing w:after="100" w:line="276" w:lineRule="auto"/>
      <w:ind w:left="220"/>
      <w:jc w:val="left"/>
    </w:pPr>
    <w:rPr>
      <w:rFonts w:asciiTheme="minorHAnsi" w:eastAsiaTheme="minorEastAsia" w:hAnsiTheme="minorHAnsi" w:cstheme="minorBidi"/>
      <w:sz w:val="22"/>
      <w:szCs w:val="22"/>
      <w:lang w:eastAsia="bg-BG"/>
    </w:rPr>
  </w:style>
  <w:style w:type="paragraph" w:styleId="TOC3">
    <w:name w:val="toc 3"/>
    <w:basedOn w:val="Normal"/>
    <w:next w:val="Normal"/>
    <w:autoRedefine/>
    <w:uiPriority w:val="39"/>
    <w:unhideWhenUsed/>
    <w:qFormat/>
    <w:rsid w:val="00F349A8"/>
    <w:pPr>
      <w:autoSpaceDE/>
      <w:autoSpaceDN/>
      <w:adjustRightInd/>
      <w:spacing w:after="100" w:line="276" w:lineRule="auto"/>
      <w:ind w:left="440"/>
      <w:jc w:val="left"/>
    </w:pPr>
    <w:rPr>
      <w:rFonts w:asciiTheme="minorHAnsi" w:eastAsiaTheme="minorEastAsia" w:hAnsiTheme="minorHAnsi" w:cstheme="minorBidi"/>
      <w:sz w:val="22"/>
      <w:szCs w:val="22"/>
      <w:lang w:eastAsia="bg-BG"/>
    </w:rPr>
  </w:style>
  <w:style w:type="paragraph" w:styleId="TOC4">
    <w:name w:val="toc 4"/>
    <w:basedOn w:val="Normal"/>
    <w:next w:val="Normal"/>
    <w:autoRedefine/>
    <w:uiPriority w:val="39"/>
    <w:unhideWhenUsed/>
    <w:rsid w:val="00F349A8"/>
    <w:pPr>
      <w:autoSpaceDE/>
      <w:autoSpaceDN/>
      <w:adjustRightInd/>
      <w:spacing w:after="100" w:line="276" w:lineRule="auto"/>
      <w:ind w:left="660"/>
      <w:jc w:val="left"/>
    </w:pPr>
    <w:rPr>
      <w:rFonts w:asciiTheme="minorHAnsi" w:eastAsiaTheme="minorEastAsia" w:hAnsiTheme="minorHAnsi" w:cstheme="minorBidi"/>
      <w:sz w:val="22"/>
      <w:szCs w:val="22"/>
      <w:lang w:eastAsia="bg-BG"/>
    </w:rPr>
  </w:style>
  <w:style w:type="paragraph" w:styleId="TOC5">
    <w:name w:val="toc 5"/>
    <w:basedOn w:val="Normal"/>
    <w:next w:val="Normal"/>
    <w:autoRedefine/>
    <w:uiPriority w:val="39"/>
    <w:unhideWhenUsed/>
    <w:rsid w:val="00F349A8"/>
    <w:pPr>
      <w:autoSpaceDE/>
      <w:autoSpaceDN/>
      <w:adjustRightInd/>
      <w:spacing w:after="100" w:line="276" w:lineRule="auto"/>
      <w:ind w:left="880"/>
      <w:jc w:val="left"/>
    </w:pPr>
    <w:rPr>
      <w:rFonts w:asciiTheme="minorHAnsi" w:eastAsiaTheme="minorEastAsia" w:hAnsiTheme="minorHAnsi" w:cstheme="minorBidi"/>
      <w:sz w:val="22"/>
      <w:szCs w:val="22"/>
      <w:lang w:eastAsia="bg-BG"/>
    </w:rPr>
  </w:style>
  <w:style w:type="paragraph" w:styleId="TOC6">
    <w:name w:val="toc 6"/>
    <w:basedOn w:val="Normal"/>
    <w:next w:val="Normal"/>
    <w:autoRedefine/>
    <w:uiPriority w:val="39"/>
    <w:unhideWhenUsed/>
    <w:rsid w:val="00F349A8"/>
    <w:pPr>
      <w:autoSpaceDE/>
      <w:autoSpaceDN/>
      <w:adjustRightInd/>
      <w:spacing w:after="100" w:line="276" w:lineRule="auto"/>
      <w:ind w:left="1100"/>
      <w:jc w:val="left"/>
    </w:pPr>
    <w:rPr>
      <w:rFonts w:asciiTheme="minorHAnsi" w:eastAsiaTheme="minorEastAsia" w:hAnsiTheme="minorHAnsi" w:cstheme="minorBidi"/>
      <w:sz w:val="22"/>
      <w:szCs w:val="22"/>
      <w:lang w:eastAsia="bg-BG"/>
    </w:rPr>
  </w:style>
  <w:style w:type="paragraph" w:styleId="TOC7">
    <w:name w:val="toc 7"/>
    <w:basedOn w:val="Normal"/>
    <w:next w:val="Normal"/>
    <w:autoRedefine/>
    <w:uiPriority w:val="39"/>
    <w:unhideWhenUsed/>
    <w:rsid w:val="00F349A8"/>
    <w:pPr>
      <w:autoSpaceDE/>
      <w:autoSpaceDN/>
      <w:adjustRightInd/>
      <w:spacing w:after="100" w:line="276" w:lineRule="auto"/>
      <w:ind w:left="1320"/>
      <w:jc w:val="left"/>
    </w:pPr>
    <w:rPr>
      <w:rFonts w:asciiTheme="minorHAnsi" w:eastAsiaTheme="minorEastAsia" w:hAnsiTheme="minorHAnsi" w:cstheme="minorBidi"/>
      <w:sz w:val="22"/>
      <w:szCs w:val="22"/>
      <w:lang w:eastAsia="bg-BG"/>
    </w:rPr>
  </w:style>
  <w:style w:type="paragraph" w:styleId="TOC8">
    <w:name w:val="toc 8"/>
    <w:basedOn w:val="Normal"/>
    <w:next w:val="Normal"/>
    <w:autoRedefine/>
    <w:uiPriority w:val="39"/>
    <w:unhideWhenUsed/>
    <w:rsid w:val="00F349A8"/>
    <w:pPr>
      <w:autoSpaceDE/>
      <w:autoSpaceDN/>
      <w:adjustRightInd/>
      <w:spacing w:after="100" w:line="276" w:lineRule="auto"/>
      <w:ind w:left="1540"/>
      <w:jc w:val="left"/>
    </w:pPr>
    <w:rPr>
      <w:rFonts w:asciiTheme="minorHAnsi" w:eastAsiaTheme="minorEastAsia" w:hAnsiTheme="minorHAnsi" w:cstheme="minorBidi"/>
      <w:sz w:val="22"/>
      <w:szCs w:val="22"/>
      <w:lang w:eastAsia="bg-BG"/>
    </w:rPr>
  </w:style>
  <w:style w:type="paragraph" w:styleId="TOC9">
    <w:name w:val="toc 9"/>
    <w:basedOn w:val="Normal"/>
    <w:next w:val="Normal"/>
    <w:autoRedefine/>
    <w:uiPriority w:val="39"/>
    <w:unhideWhenUsed/>
    <w:rsid w:val="00F349A8"/>
    <w:pPr>
      <w:autoSpaceDE/>
      <w:autoSpaceDN/>
      <w:adjustRightInd/>
      <w:spacing w:after="100" w:line="276" w:lineRule="auto"/>
      <w:ind w:left="1760"/>
      <w:jc w:val="left"/>
    </w:pPr>
    <w:rPr>
      <w:rFonts w:asciiTheme="minorHAnsi" w:eastAsiaTheme="minorEastAsia" w:hAnsiTheme="minorHAnsi" w:cstheme="minorBidi"/>
      <w:sz w:val="22"/>
      <w:szCs w:val="22"/>
      <w:lang w:eastAsia="bg-BG"/>
    </w:rPr>
  </w:style>
  <w:style w:type="paragraph" w:styleId="BalloonText">
    <w:name w:val="Balloon Text"/>
    <w:basedOn w:val="Normal"/>
    <w:link w:val="BalloonTextChar"/>
    <w:rsid w:val="00046E3C"/>
    <w:pPr>
      <w:spacing w:after="0"/>
    </w:pPr>
    <w:rPr>
      <w:rFonts w:ascii="Tahoma" w:hAnsi="Tahoma" w:cs="Tahoma"/>
      <w:sz w:val="16"/>
      <w:szCs w:val="16"/>
    </w:rPr>
  </w:style>
  <w:style w:type="character" w:customStyle="1" w:styleId="BalloonTextChar">
    <w:name w:val="Balloon Text Char"/>
    <w:basedOn w:val="DefaultParagraphFont"/>
    <w:link w:val="BalloonText"/>
    <w:rsid w:val="00046E3C"/>
    <w:rPr>
      <w:rFonts w:ascii="Tahoma" w:hAnsi="Tahoma" w:cs="Tahoma"/>
      <w:sz w:val="16"/>
      <w:szCs w:val="16"/>
      <w:lang w:eastAsia="en-US"/>
    </w:rPr>
  </w:style>
  <w:style w:type="character" w:customStyle="1" w:styleId="31">
    <w:name w:val="Основен текст (3) + Само главни букви1"/>
    <w:basedOn w:val="DefaultParagraphFont"/>
    <w:rsid w:val="009A10D0"/>
    <w:rPr>
      <w:rFonts w:ascii="Tahoma" w:eastAsia="Tahoma" w:hAnsi="Tahoma" w:cs="Tahoma"/>
      <w:b w:val="0"/>
      <w:bCs w:val="0"/>
      <w:i w:val="0"/>
      <w:iCs w:val="0"/>
      <w:smallCaps/>
      <w:strike w:val="0"/>
      <w:spacing w:val="0"/>
      <w:sz w:val="21"/>
      <w:szCs w:val="21"/>
    </w:rPr>
  </w:style>
</w:styles>
</file>

<file path=word/webSettings.xml><?xml version="1.0" encoding="utf-8"?>
<w:webSettings xmlns:r="http://schemas.openxmlformats.org/officeDocument/2006/relationships" xmlns:w="http://schemas.openxmlformats.org/wordprocessingml/2006/main">
  <w:divs>
    <w:div w:id="45494011">
      <w:bodyDiv w:val="1"/>
      <w:marLeft w:val="0"/>
      <w:marRight w:val="0"/>
      <w:marTop w:val="0"/>
      <w:marBottom w:val="0"/>
      <w:divBdr>
        <w:top w:val="none" w:sz="0" w:space="0" w:color="auto"/>
        <w:left w:val="none" w:sz="0" w:space="0" w:color="auto"/>
        <w:bottom w:val="none" w:sz="0" w:space="0" w:color="auto"/>
        <w:right w:val="none" w:sz="0" w:space="0" w:color="auto"/>
      </w:divBdr>
    </w:div>
    <w:div w:id="141385046">
      <w:bodyDiv w:val="1"/>
      <w:marLeft w:val="0"/>
      <w:marRight w:val="0"/>
      <w:marTop w:val="0"/>
      <w:marBottom w:val="0"/>
      <w:divBdr>
        <w:top w:val="none" w:sz="0" w:space="0" w:color="auto"/>
        <w:left w:val="none" w:sz="0" w:space="0" w:color="auto"/>
        <w:bottom w:val="none" w:sz="0" w:space="0" w:color="auto"/>
        <w:right w:val="none" w:sz="0" w:space="0" w:color="auto"/>
      </w:divBdr>
    </w:div>
    <w:div w:id="182984767">
      <w:bodyDiv w:val="1"/>
      <w:marLeft w:val="0"/>
      <w:marRight w:val="0"/>
      <w:marTop w:val="0"/>
      <w:marBottom w:val="0"/>
      <w:divBdr>
        <w:top w:val="none" w:sz="0" w:space="0" w:color="auto"/>
        <w:left w:val="none" w:sz="0" w:space="0" w:color="auto"/>
        <w:bottom w:val="none" w:sz="0" w:space="0" w:color="auto"/>
        <w:right w:val="none" w:sz="0" w:space="0" w:color="auto"/>
      </w:divBdr>
    </w:div>
    <w:div w:id="348991424">
      <w:bodyDiv w:val="1"/>
      <w:marLeft w:val="0"/>
      <w:marRight w:val="0"/>
      <w:marTop w:val="0"/>
      <w:marBottom w:val="0"/>
      <w:divBdr>
        <w:top w:val="none" w:sz="0" w:space="0" w:color="auto"/>
        <w:left w:val="none" w:sz="0" w:space="0" w:color="auto"/>
        <w:bottom w:val="none" w:sz="0" w:space="0" w:color="auto"/>
        <w:right w:val="none" w:sz="0" w:space="0" w:color="auto"/>
      </w:divBdr>
    </w:div>
    <w:div w:id="435905705">
      <w:bodyDiv w:val="1"/>
      <w:marLeft w:val="0"/>
      <w:marRight w:val="0"/>
      <w:marTop w:val="0"/>
      <w:marBottom w:val="0"/>
      <w:divBdr>
        <w:top w:val="none" w:sz="0" w:space="0" w:color="auto"/>
        <w:left w:val="none" w:sz="0" w:space="0" w:color="auto"/>
        <w:bottom w:val="none" w:sz="0" w:space="0" w:color="auto"/>
        <w:right w:val="none" w:sz="0" w:space="0" w:color="auto"/>
      </w:divBdr>
    </w:div>
    <w:div w:id="555630948">
      <w:bodyDiv w:val="1"/>
      <w:marLeft w:val="0"/>
      <w:marRight w:val="0"/>
      <w:marTop w:val="0"/>
      <w:marBottom w:val="0"/>
      <w:divBdr>
        <w:top w:val="none" w:sz="0" w:space="0" w:color="auto"/>
        <w:left w:val="none" w:sz="0" w:space="0" w:color="auto"/>
        <w:bottom w:val="none" w:sz="0" w:space="0" w:color="auto"/>
        <w:right w:val="none" w:sz="0" w:space="0" w:color="auto"/>
      </w:divBdr>
    </w:div>
    <w:div w:id="620888775">
      <w:bodyDiv w:val="1"/>
      <w:marLeft w:val="0"/>
      <w:marRight w:val="0"/>
      <w:marTop w:val="0"/>
      <w:marBottom w:val="0"/>
      <w:divBdr>
        <w:top w:val="none" w:sz="0" w:space="0" w:color="auto"/>
        <w:left w:val="none" w:sz="0" w:space="0" w:color="auto"/>
        <w:bottom w:val="none" w:sz="0" w:space="0" w:color="auto"/>
        <w:right w:val="none" w:sz="0" w:space="0" w:color="auto"/>
      </w:divBdr>
    </w:div>
    <w:div w:id="679047944">
      <w:bodyDiv w:val="1"/>
      <w:marLeft w:val="0"/>
      <w:marRight w:val="0"/>
      <w:marTop w:val="0"/>
      <w:marBottom w:val="0"/>
      <w:divBdr>
        <w:top w:val="none" w:sz="0" w:space="0" w:color="auto"/>
        <w:left w:val="none" w:sz="0" w:space="0" w:color="auto"/>
        <w:bottom w:val="none" w:sz="0" w:space="0" w:color="auto"/>
        <w:right w:val="none" w:sz="0" w:space="0" w:color="auto"/>
      </w:divBdr>
    </w:div>
    <w:div w:id="707416254">
      <w:bodyDiv w:val="1"/>
      <w:marLeft w:val="0"/>
      <w:marRight w:val="0"/>
      <w:marTop w:val="0"/>
      <w:marBottom w:val="0"/>
      <w:divBdr>
        <w:top w:val="none" w:sz="0" w:space="0" w:color="auto"/>
        <w:left w:val="none" w:sz="0" w:space="0" w:color="auto"/>
        <w:bottom w:val="none" w:sz="0" w:space="0" w:color="auto"/>
        <w:right w:val="none" w:sz="0" w:space="0" w:color="auto"/>
      </w:divBdr>
    </w:div>
    <w:div w:id="746998900">
      <w:bodyDiv w:val="1"/>
      <w:marLeft w:val="0"/>
      <w:marRight w:val="0"/>
      <w:marTop w:val="0"/>
      <w:marBottom w:val="0"/>
      <w:divBdr>
        <w:top w:val="none" w:sz="0" w:space="0" w:color="auto"/>
        <w:left w:val="none" w:sz="0" w:space="0" w:color="auto"/>
        <w:bottom w:val="none" w:sz="0" w:space="0" w:color="auto"/>
        <w:right w:val="none" w:sz="0" w:space="0" w:color="auto"/>
      </w:divBdr>
    </w:div>
    <w:div w:id="787553011">
      <w:bodyDiv w:val="1"/>
      <w:marLeft w:val="0"/>
      <w:marRight w:val="0"/>
      <w:marTop w:val="0"/>
      <w:marBottom w:val="0"/>
      <w:divBdr>
        <w:top w:val="none" w:sz="0" w:space="0" w:color="auto"/>
        <w:left w:val="none" w:sz="0" w:space="0" w:color="auto"/>
        <w:bottom w:val="none" w:sz="0" w:space="0" w:color="auto"/>
        <w:right w:val="none" w:sz="0" w:space="0" w:color="auto"/>
      </w:divBdr>
    </w:div>
    <w:div w:id="821774364">
      <w:bodyDiv w:val="1"/>
      <w:marLeft w:val="0"/>
      <w:marRight w:val="0"/>
      <w:marTop w:val="0"/>
      <w:marBottom w:val="0"/>
      <w:divBdr>
        <w:top w:val="none" w:sz="0" w:space="0" w:color="auto"/>
        <w:left w:val="none" w:sz="0" w:space="0" w:color="auto"/>
        <w:bottom w:val="none" w:sz="0" w:space="0" w:color="auto"/>
        <w:right w:val="none" w:sz="0" w:space="0" w:color="auto"/>
      </w:divBdr>
    </w:div>
    <w:div w:id="918098749">
      <w:bodyDiv w:val="1"/>
      <w:marLeft w:val="0"/>
      <w:marRight w:val="0"/>
      <w:marTop w:val="0"/>
      <w:marBottom w:val="0"/>
      <w:divBdr>
        <w:top w:val="none" w:sz="0" w:space="0" w:color="auto"/>
        <w:left w:val="none" w:sz="0" w:space="0" w:color="auto"/>
        <w:bottom w:val="none" w:sz="0" w:space="0" w:color="auto"/>
        <w:right w:val="none" w:sz="0" w:space="0" w:color="auto"/>
      </w:divBdr>
    </w:div>
    <w:div w:id="919749682">
      <w:bodyDiv w:val="1"/>
      <w:marLeft w:val="0"/>
      <w:marRight w:val="0"/>
      <w:marTop w:val="0"/>
      <w:marBottom w:val="0"/>
      <w:divBdr>
        <w:top w:val="none" w:sz="0" w:space="0" w:color="auto"/>
        <w:left w:val="none" w:sz="0" w:space="0" w:color="auto"/>
        <w:bottom w:val="none" w:sz="0" w:space="0" w:color="auto"/>
        <w:right w:val="none" w:sz="0" w:space="0" w:color="auto"/>
      </w:divBdr>
    </w:div>
    <w:div w:id="920792120">
      <w:bodyDiv w:val="1"/>
      <w:marLeft w:val="86"/>
      <w:marRight w:val="86"/>
      <w:marTop w:val="86"/>
      <w:marBottom w:val="86"/>
      <w:divBdr>
        <w:top w:val="none" w:sz="0" w:space="0" w:color="auto"/>
        <w:left w:val="none" w:sz="0" w:space="0" w:color="auto"/>
        <w:bottom w:val="none" w:sz="0" w:space="0" w:color="auto"/>
        <w:right w:val="none" w:sz="0" w:space="0" w:color="auto"/>
      </w:divBdr>
      <w:divsChild>
        <w:div w:id="210191306">
          <w:marLeft w:val="0"/>
          <w:marRight w:val="0"/>
          <w:marTop w:val="0"/>
          <w:marBottom w:val="0"/>
          <w:divBdr>
            <w:top w:val="none" w:sz="0" w:space="0" w:color="auto"/>
            <w:left w:val="none" w:sz="0" w:space="0" w:color="auto"/>
            <w:bottom w:val="none" w:sz="0" w:space="0" w:color="auto"/>
            <w:right w:val="none" w:sz="0" w:space="0" w:color="auto"/>
          </w:divBdr>
        </w:div>
        <w:div w:id="727461228">
          <w:marLeft w:val="0"/>
          <w:marRight w:val="0"/>
          <w:marTop w:val="0"/>
          <w:marBottom w:val="0"/>
          <w:divBdr>
            <w:top w:val="none" w:sz="0" w:space="0" w:color="auto"/>
            <w:left w:val="none" w:sz="0" w:space="0" w:color="auto"/>
            <w:bottom w:val="none" w:sz="0" w:space="0" w:color="auto"/>
            <w:right w:val="none" w:sz="0" w:space="0" w:color="auto"/>
          </w:divBdr>
        </w:div>
        <w:div w:id="759108354">
          <w:marLeft w:val="0"/>
          <w:marRight w:val="0"/>
          <w:marTop w:val="0"/>
          <w:marBottom w:val="0"/>
          <w:divBdr>
            <w:top w:val="none" w:sz="0" w:space="0" w:color="auto"/>
            <w:left w:val="none" w:sz="0" w:space="0" w:color="auto"/>
            <w:bottom w:val="none" w:sz="0" w:space="0" w:color="auto"/>
            <w:right w:val="none" w:sz="0" w:space="0" w:color="auto"/>
          </w:divBdr>
        </w:div>
        <w:div w:id="910966626">
          <w:marLeft w:val="0"/>
          <w:marRight w:val="0"/>
          <w:marTop w:val="0"/>
          <w:marBottom w:val="0"/>
          <w:divBdr>
            <w:top w:val="none" w:sz="0" w:space="0" w:color="auto"/>
            <w:left w:val="none" w:sz="0" w:space="0" w:color="auto"/>
            <w:bottom w:val="none" w:sz="0" w:space="0" w:color="auto"/>
            <w:right w:val="none" w:sz="0" w:space="0" w:color="auto"/>
          </w:divBdr>
        </w:div>
        <w:div w:id="1010060173">
          <w:marLeft w:val="0"/>
          <w:marRight w:val="0"/>
          <w:marTop w:val="0"/>
          <w:marBottom w:val="0"/>
          <w:divBdr>
            <w:top w:val="none" w:sz="0" w:space="0" w:color="auto"/>
            <w:left w:val="none" w:sz="0" w:space="0" w:color="auto"/>
            <w:bottom w:val="none" w:sz="0" w:space="0" w:color="auto"/>
            <w:right w:val="none" w:sz="0" w:space="0" w:color="auto"/>
          </w:divBdr>
        </w:div>
      </w:divsChild>
    </w:div>
    <w:div w:id="945187877">
      <w:bodyDiv w:val="1"/>
      <w:marLeft w:val="0"/>
      <w:marRight w:val="0"/>
      <w:marTop w:val="0"/>
      <w:marBottom w:val="0"/>
      <w:divBdr>
        <w:top w:val="none" w:sz="0" w:space="0" w:color="auto"/>
        <w:left w:val="none" w:sz="0" w:space="0" w:color="auto"/>
        <w:bottom w:val="none" w:sz="0" w:space="0" w:color="auto"/>
        <w:right w:val="none" w:sz="0" w:space="0" w:color="auto"/>
      </w:divBdr>
    </w:div>
    <w:div w:id="1065562855">
      <w:bodyDiv w:val="1"/>
      <w:marLeft w:val="0"/>
      <w:marRight w:val="0"/>
      <w:marTop w:val="0"/>
      <w:marBottom w:val="0"/>
      <w:divBdr>
        <w:top w:val="none" w:sz="0" w:space="0" w:color="auto"/>
        <w:left w:val="none" w:sz="0" w:space="0" w:color="auto"/>
        <w:bottom w:val="none" w:sz="0" w:space="0" w:color="auto"/>
        <w:right w:val="none" w:sz="0" w:space="0" w:color="auto"/>
      </w:divBdr>
    </w:div>
    <w:div w:id="1081217176">
      <w:bodyDiv w:val="1"/>
      <w:marLeft w:val="0"/>
      <w:marRight w:val="0"/>
      <w:marTop w:val="0"/>
      <w:marBottom w:val="0"/>
      <w:divBdr>
        <w:top w:val="none" w:sz="0" w:space="0" w:color="auto"/>
        <w:left w:val="none" w:sz="0" w:space="0" w:color="auto"/>
        <w:bottom w:val="none" w:sz="0" w:space="0" w:color="auto"/>
        <w:right w:val="none" w:sz="0" w:space="0" w:color="auto"/>
      </w:divBdr>
    </w:div>
    <w:div w:id="1111168276">
      <w:bodyDiv w:val="1"/>
      <w:marLeft w:val="0"/>
      <w:marRight w:val="0"/>
      <w:marTop w:val="0"/>
      <w:marBottom w:val="0"/>
      <w:divBdr>
        <w:top w:val="none" w:sz="0" w:space="0" w:color="auto"/>
        <w:left w:val="none" w:sz="0" w:space="0" w:color="auto"/>
        <w:bottom w:val="none" w:sz="0" w:space="0" w:color="auto"/>
        <w:right w:val="none" w:sz="0" w:space="0" w:color="auto"/>
      </w:divBdr>
    </w:div>
    <w:div w:id="1125196407">
      <w:bodyDiv w:val="1"/>
      <w:marLeft w:val="0"/>
      <w:marRight w:val="0"/>
      <w:marTop w:val="0"/>
      <w:marBottom w:val="0"/>
      <w:divBdr>
        <w:top w:val="none" w:sz="0" w:space="0" w:color="auto"/>
        <w:left w:val="none" w:sz="0" w:space="0" w:color="auto"/>
        <w:bottom w:val="none" w:sz="0" w:space="0" w:color="auto"/>
        <w:right w:val="none" w:sz="0" w:space="0" w:color="auto"/>
      </w:divBdr>
    </w:div>
    <w:div w:id="1130323377">
      <w:bodyDiv w:val="1"/>
      <w:marLeft w:val="0"/>
      <w:marRight w:val="0"/>
      <w:marTop w:val="0"/>
      <w:marBottom w:val="0"/>
      <w:divBdr>
        <w:top w:val="none" w:sz="0" w:space="0" w:color="auto"/>
        <w:left w:val="none" w:sz="0" w:space="0" w:color="auto"/>
        <w:bottom w:val="none" w:sz="0" w:space="0" w:color="auto"/>
        <w:right w:val="none" w:sz="0" w:space="0" w:color="auto"/>
      </w:divBdr>
    </w:div>
    <w:div w:id="1281303509">
      <w:bodyDiv w:val="1"/>
      <w:marLeft w:val="0"/>
      <w:marRight w:val="0"/>
      <w:marTop w:val="0"/>
      <w:marBottom w:val="0"/>
      <w:divBdr>
        <w:top w:val="none" w:sz="0" w:space="0" w:color="auto"/>
        <w:left w:val="none" w:sz="0" w:space="0" w:color="auto"/>
        <w:bottom w:val="none" w:sz="0" w:space="0" w:color="auto"/>
        <w:right w:val="none" w:sz="0" w:space="0" w:color="auto"/>
      </w:divBdr>
    </w:div>
    <w:div w:id="1425809194">
      <w:bodyDiv w:val="1"/>
      <w:marLeft w:val="0"/>
      <w:marRight w:val="0"/>
      <w:marTop w:val="0"/>
      <w:marBottom w:val="0"/>
      <w:divBdr>
        <w:top w:val="none" w:sz="0" w:space="0" w:color="auto"/>
        <w:left w:val="none" w:sz="0" w:space="0" w:color="auto"/>
        <w:bottom w:val="none" w:sz="0" w:space="0" w:color="auto"/>
        <w:right w:val="none" w:sz="0" w:space="0" w:color="auto"/>
      </w:divBdr>
    </w:div>
    <w:div w:id="1481732494">
      <w:bodyDiv w:val="1"/>
      <w:marLeft w:val="0"/>
      <w:marRight w:val="0"/>
      <w:marTop w:val="0"/>
      <w:marBottom w:val="0"/>
      <w:divBdr>
        <w:top w:val="none" w:sz="0" w:space="0" w:color="auto"/>
        <w:left w:val="none" w:sz="0" w:space="0" w:color="auto"/>
        <w:bottom w:val="none" w:sz="0" w:space="0" w:color="auto"/>
        <w:right w:val="none" w:sz="0" w:space="0" w:color="auto"/>
      </w:divBdr>
    </w:div>
    <w:div w:id="1504737927">
      <w:bodyDiv w:val="1"/>
      <w:marLeft w:val="0"/>
      <w:marRight w:val="0"/>
      <w:marTop w:val="0"/>
      <w:marBottom w:val="0"/>
      <w:divBdr>
        <w:top w:val="none" w:sz="0" w:space="0" w:color="auto"/>
        <w:left w:val="none" w:sz="0" w:space="0" w:color="auto"/>
        <w:bottom w:val="none" w:sz="0" w:space="0" w:color="auto"/>
        <w:right w:val="none" w:sz="0" w:space="0" w:color="auto"/>
      </w:divBdr>
    </w:div>
    <w:div w:id="1517621645">
      <w:bodyDiv w:val="1"/>
      <w:marLeft w:val="0"/>
      <w:marRight w:val="0"/>
      <w:marTop w:val="0"/>
      <w:marBottom w:val="0"/>
      <w:divBdr>
        <w:top w:val="none" w:sz="0" w:space="0" w:color="auto"/>
        <w:left w:val="none" w:sz="0" w:space="0" w:color="auto"/>
        <w:bottom w:val="none" w:sz="0" w:space="0" w:color="auto"/>
        <w:right w:val="none" w:sz="0" w:space="0" w:color="auto"/>
      </w:divBdr>
    </w:div>
    <w:div w:id="1627005153">
      <w:bodyDiv w:val="1"/>
      <w:marLeft w:val="0"/>
      <w:marRight w:val="0"/>
      <w:marTop w:val="0"/>
      <w:marBottom w:val="0"/>
      <w:divBdr>
        <w:top w:val="none" w:sz="0" w:space="0" w:color="auto"/>
        <w:left w:val="none" w:sz="0" w:space="0" w:color="auto"/>
        <w:bottom w:val="none" w:sz="0" w:space="0" w:color="auto"/>
        <w:right w:val="none" w:sz="0" w:space="0" w:color="auto"/>
      </w:divBdr>
    </w:div>
    <w:div w:id="1647274884">
      <w:bodyDiv w:val="1"/>
      <w:marLeft w:val="0"/>
      <w:marRight w:val="0"/>
      <w:marTop w:val="0"/>
      <w:marBottom w:val="0"/>
      <w:divBdr>
        <w:top w:val="none" w:sz="0" w:space="0" w:color="auto"/>
        <w:left w:val="none" w:sz="0" w:space="0" w:color="auto"/>
        <w:bottom w:val="none" w:sz="0" w:space="0" w:color="auto"/>
        <w:right w:val="none" w:sz="0" w:space="0" w:color="auto"/>
      </w:divBdr>
    </w:div>
    <w:div w:id="1772967128">
      <w:bodyDiv w:val="1"/>
      <w:marLeft w:val="0"/>
      <w:marRight w:val="0"/>
      <w:marTop w:val="0"/>
      <w:marBottom w:val="0"/>
      <w:divBdr>
        <w:top w:val="none" w:sz="0" w:space="0" w:color="auto"/>
        <w:left w:val="none" w:sz="0" w:space="0" w:color="auto"/>
        <w:bottom w:val="none" w:sz="0" w:space="0" w:color="auto"/>
        <w:right w:val="none" w:sz="0" w:space="0" w:color="auto"/>
      </w:divBdr>
    </w:div>
    <w:div w:id="1790077507">
      <w:bodyDiv w:val="1"/>
      <w:marLeft w:val="0"/>
      <w:marRight w:val="0"/>
      <w:marTop w:val="0"/>
      <w:marBottom w:val="0"/>
      <w:divBdr>
        <w:top w:val="none" w:sz="0" w:space="0" w:color="auto"/>
        <w:left w:val="none" w:sz="0" w:space="0" w:color="auto"/>
        <w:bottom w:val="none" w:sz="0" w:space="0" w:color="auto"/>
        <w:right w:val="none" w:sz="0" w:space="0" w:color="auto"/>
      </w:divBdr>
    </w:div>
    <w:div w:id="1805736519">
      <w:bodyDiv w:val="1"/>
      <w:marLeft w:val="0"/>
      <w:marRight w:val="0"/>
      <w:marTop w:val="0"/>
      <w:marBottom w:val="0"/>
      <w:divBdr>
        <w:top w:val="none" w:sz="0" w:space="0" w:color="auto"/>
        <w:left w:val="none" w:sz="0" w:space="0" w:color="auto"/>
        <w:bottom w:val="none" w:sz="0" w:space="0" w:color="auto"/>
        <w:right w:val="none" w:sz="0" w:space="0" w:color="auto"/>
      </w:divBdr>
      <w:divsChild>
        <w:div w:id="1616711040">
          <w:marLeft w:val="418"/>
          <w:marRight w:val="0"/>
          <w:marTop w:val="0"/>
          <w:marBottom w:val="240"/>
          <w:divBdr>
            <w:top w:val="none" w:sz="0" w:space="0" w:color="auto"/>
            <w:left w:val="none" w:sz="0" w:space="0" w:color="auto"/>
            <w:bottom w:val="none" w:sz="0" w:space="0" w:color="auto"/>
            <w:right w:val="none" w:sz="0" w:space="0" w:color="auto"/>
          </w:divBdr>
        </w:div>
      </w:divsChild>
    </w:div>
    <w:div w:id="1832018111">
      <w:bodyDiv w:val="1"/>
      <w:marLeft w:val="0"/>
      <w:marRight w:val="0"/>
      <w:marTop w:val="0"/>
      <w:marBottom w:val="0"/>
      <w:divBdr>
        <w:top w:val="none" w:sz="0" w:space="0" w:color="auto"/>
        <w:left w:val="none" w:sz="0" w:space="0" w:color="auto"/>
        <w:bottom w:val="none" w:sz="0" w:space="0" w:color="auto"/>
        <w:right w:val="none" w:sz="0" w:space="0" w:color="auto"/>
      </w:divBdr>
    </w:div>
    <w:div w:id="1929465259">
      <w:bodyDiv w:val="1"/>
      <w:marLeft w:val="0"/>
      <w:marRight w:val="0"/>
      <w:marTop w:val="0"/>
      <w:marBottom w:val="0"/>
      <w:divBdr>
        <w:top w:val="none" w:sz="0" w:space="0" w:color="auto"/>
        <w:left w:val="none" w:sz="0" w:space="0" w:color="auto"/>
        <w:bottom w:val="none" w:sz="0" w:space="0" w:color="auto"/>
        <w:right w:val="none" w:sz="0" w:space="0" w:color="auto"/>
      </w:divBdr>
    </w:div>
    <w:div w:id="1937205833">
      <w:bodyDiv w:val="1"/>
      <w:marLeft w:val="0"/>
      <w:marRight w:val="0"/>
      <w:marTop w:val="0"/>
      <w:marBottom w:val="0"/>
      <w:divBdr>
        <w:top w:val="none" w:sz="0" w:space="0" w:color="auto"/>
        <w:left w:val="none" w:sz="0" w:space="0" w:color="auto"/>
        <w:bottom w:val="none" w:sz="0" w:space="0" w:color="auto"/>
        <w:right w:val="none" w:sz="0" w:space="0" w:color="auto"/>
      </w:divBdr>
    </w:div>
    <w:div w:id="1952711261">
      <w:bodyDiv w:val="1"/>
      <w:marLeft w:val="0"/>
      <w:marRight w:val="0"/>
      <w:marTop w:val="0"/>
      <w:marBottom w:val="0"/>
      <w:divBdr>
        <w:top w:val="none" w:sz="0" w:space="0" w:color="auto"/>
        <w:left w:val="none" w:sz="0" w:space="0" w:color="auto"/>
        <w:bottom w:val="none" w:sz="0" w:space="0" w:color="auto"/>
        <w:right w:val="none" w:sz="0" w:space="0" w:color="auto"/>
      </w:divBdr>
    </w:div>
    <w:div w:id="1980915565">
      <w:bodyDiv w:val="1"/>
      <w:marLeft w:val="0"/>
      <w:marRight w:val="0"/>
      <w:marTop w:val="0"/>
      <w:marBottom w:val="0"/>
      <w:divBdr>
        <w:top w:val="none" w:sz="0" w:space="0" w:color="auto"/>
        <w:left w:val="none" w:sz="0" w:space="0" w:color="auto"/>
        <w:bottom w:val="none" w:sz="0" w:space="0" w:color="auto"/>
        <w:right w:val="none" w:sz="0" w:space="0" w:color="auto"/>
      </w:divBdr>
    </w:div>
    <w:div w:id="1989702897">
      <w:bodyDiv w:val="1"/>
      <w:marLeft w:val="0"/>
      <w:marRight w:val="0"/>
      <w:marTop w:val="0"/>
      <w:marBottom w:val="0"/>
      <w:divBdr>
        <w:top w:val="none" w:sz="0" w:space="0" w:color="auto"/>
        <w:left w:val="none" w:sz="0" w:space="0" w:color="auto"/>
        <w:bottom w:val="none" w:sz="0" w:space="0" w:color="auto"/>
        <w:right w:val="none" w:sz="0" w:space="0" w:color="auto"/>
      </w:divBdr>
    </w:div>
    <w:div w:id="19989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public.brra.bg/CheckUps/Verifications/ActiveCondition.ra?guid=62799c10fcf04bf5a73233e207a7706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lic.brra.bg/CheckUps/Verifications/ActiveCondition.ra?guid=fdee22ca35304b73a6318e2152279f85" TargetMode="External"/><Relationship Id="rId17" Type="http://schemas.openxmlformats.org/officeDocument/2006/relationships/hyperlink" Target="http://www.bse-sofia.bg" TargetMode="External"/><Relationship Id="rId2" Type="http://schemas.openxmlformats.org/officeDocument/2006/relationships/numbering" Target="numbering.xml"/><Relationship Id="rId16" Type="http://schemas.openxmlformats.org/officeDocument/2006/relationships/hyperlink" Target="http://www.fsc.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public.brra.bg/CheckUps/Verifications/ActiveCondition.ra?guid=62799c10fcf04bf5a73233e207a7706e" TargetMode="External"/><Relationship Id="rId10" Type="http://schemas.openxmlformats.org/officeDocument/2006/relationships/hyperlink" Target="http://www.speedy.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a.boneva@speedy.bg" TargetMode="External"/><Relationship Id="rId14" Type="http://schemas.openxmlformats.org/officeDocument/2006/relationships/hyperlink" Target="https://public.brra.bg/CheckUps/Verifications/ActiveCondition.ra?guid=fdee22ca35304b73a6318e2152279f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Speedy\Fin%20Statements\GFO%202008%202009%202010%20SPEEDY%20GRUOP%20consolidat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800" b="1" i="0" u="none" strike="noStrike" baseline="0">
                <a:solidFill>
                  <a:srgbClr val="000000"/>
                </a:solidFill>
                <a:latin typeface="Arial"/>
                <a:ea typeface="Arial"/>
                <a:cs typeface="Arial"/>
              </a:defRPr>
            </a:pPr>
            <a:r>
              <a:rPr lang="bg-BG"/>
              <a:t>Структура на приходите от пощенски услуги</a:t>
            </a:r>
          </a:p>
        </c:rich>
      </c:tx>
      <c:layout>
        <c:manualLayout>
          <c:xMode val="edge"/>
          <c:yMode val="edge"/>
          <c:x val="0.19761954755655572"/>
          <c:y val="2.0746887966804992E-2"/>
        </c:manualLayout>
      </c:layout>
      <c:spPr>
        <a:noFill/>
        <a:ln w="25400">
          <a:noFill/>
        </a:ln>
      </c:spPr>
    </c:title>
    <c:view3D>
      <c:hPercent val="213"/>
      <c:rotY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3333527096184648E-2"/>
          <c:y val="0.10788403600726953"/>
          <c:w val="0.90714496638990005"/>
          <c:h val="0.71784377804837973"/>
        </c:manualLayout>
      </c:layout>
      <c:bar3DChart>
        <c:barDir val="bar"/>
        <c:grouping val="percentStacked"/>
        <c:ser>
          <c:idx val="0"/>
          <c:order val="0"/>
          <c:tx>
            <c:strRef>
              <c:f>Market!$J$24</c:f>
              <c:strCache>
                <c:ptCount val="1"/>
                <c:pt idx="0">
                  <c:v>Куриерски услуги</c:v>
                </c:pt>
              </c:strCache>
            </c:strRef>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bg-BG"/>
              </a:p>
            </c:txPr>
            <c:showVal val="1"/>
          </c:dLbls>
          <c:cat>
            <c:numRef>
              <c:f>Market!$K$23:$O$23</c:f>
              <c:numCache>
                <c:formatCode>General</c:formatCode>
                <c:ptCount val="5"/>
                <c:pt idx="0">
                  <c:v>2006</c:v>
                </c:pt>
                <c:pt idx="1">
                  <c:v>2007</c:v>
                </c:pt>
                <c:pt idx="2">
                  <c:v>2008</c:v>
                </c:pt>
                <c:pt idx="3">
                  <c:v>2009</c:v>
                </c:pt>
                <c:pt idx="4">
                  <c:v>2010</c:v>
                </c:pt>
              </c:numCache>
            </c:numRef>
          </c:cat>
          <c:val>
            <c:numRef>
              <c:f>Market!$K$24:$O$24</c:f>
              <c:numCache>
                <c:formatCode>0.0%</c:formatCode>
                <c:ptCount val="5"/>
                <c:pt idx="0">
                  <c:v>0.55000000000000004</c:v>
                </c:pt>
                <c:pt idx="1">
                  <c:v>0.57099999999999995</c:v>
                </c:pt>
                <c:pt idx="2">
                  <c:v>0.61600000000000465</c:v>
                </c:pt>
                <c:pt idx="3">
                  <c:v>0.60000000000000064</c:v>
                </c:pt>
                <c:pt idx="4">
                  <c:v>0.62000000000000566</c:v>
                </c:pt>
              </c:numCache>
            </c:numRef>
          </c:val>
        </c:ser>
        <c:ser>
          <c:idx val="1"/>
          <c:order val="1"/>
          <c:tx>
            <c:strRef>
              <c:f>Market!$J$25</c:f>
              <c:strCache>
                <c:ptCount val="1"/>
                <c:pt idx="0">
                  <c:v>Хибридна поща</c:v>
                </c:pt>
              </c:strCache>
            </c:strRef>
          </c:tx>
          <c:spPr>
            <a:solidFill>
              <a:srgbClr val="993366"/>
            </a:solidFill>
            <a:ln w="12700">
              <a:solidFill>
                <a:srgbClr val="000000"/>
              </a:solidFill>
              <a:prstDash val="solid"/>
            </a:ln>
          </c:spPr>
          <c:dLbls>
            <c:dLbl>
              <c:idx val="0"/>
              <c:tx>
                <c:rich>
                  <a:bodyPr/>
                  <a:lstStyle/>
                  <a:p>
                    <a:r>
                      <a:rPr lang="bg-BG"/>
                      <a:t>12,0%</a:t>
                    </a:r>
                  </a:p>
                </c:rich>
              </c:tx>
            </c:dLbl>
            <c:spPr>
              <a:noFill/>
              <a:ln w="25400">
                <a:noFill/>
              </a:ln>
            </c:spPr>
            <c:txPr>
              <a:bodyPr/>
              <a:lstStyle/>
              <a:p>
                <a:pPr>
                  <a:defRPr sz="800" b="0" i="0" u="none" strike="noStrike" baseline="0">
                    <a:solidFill>
                      <a:srgbClr val="FFFFFF"/>
                    </a:solidFill>
                    <a:latin typeface="Arial"/>
                    <a:ea typeface="Arial"/>
                    <a:cs typeface="Arial"/>
                  </a:defRPr>
                </a:pPr>
                <a:endParaRPr lang="bg-BG"/>
              </a:p>
            </c:txPr>
            <c:showVal val="1"/>
          </c:dLbls>
          <c:cat>
            <c:numRef>
              <c:f>Market!$K$23:$O$23</c:f>
              <c:numCache>
                <c:formatCode>General</c:formatCode>
                <c:ptCount val="5"/>
                <c:pt idx="0">
                  <c:v>2006</c:v>
                </c:pt>
                <c:pt idx="1">
                  <c:v>2007</c:v>
                </c:pt>
                <c:pt idx="2">
                  <c:v>2008</c:v>
                </c:pt>
                <c:pt idx="3">
                  <c:v>2009</c:v>
                </c:pt>
                <c:pt idx="4">
                  <c:v>2010</c:v>
                </c:pt>
              </c:numCache>
            </c:numRef>
          </c:cat>
          <c:val>
            <c:numRef>
              <c:f>Market!$K$25:$O$25</c:f>
              <c:numCache>
                <c:formatCode>0.0%</c:formatCode>
                <c:ptCount val="5"/>
                <c:pt idx="0">
                  <c:v>0.12000000000000002</c:v>
                </c:pt>
                <c:pt idx="1">
                  <c:v>0.11100000000000014</c:v>
                </c:pt>
                <c:pt idx="2">
                  <c:v>0.10600000000000002</c:v>
                </c:pt>
                <c:pt idx="3">
                  <c:v>0.13900000000000001</c:v>
                </c:pt>
                <c:pt idx="4">
                  <c:v>0.15000000000000024</c:v>
                </c:pt>
              </c:numCache>
            </c:numRef>
          </c:val>
        </c:ser>
        <c:ser>
          <c:idx val="2"/>
          <c:order val="2"/>
          <c:tx>
            <c:strRef>
              <c:f>Market!$J$26</c:f>
              <c:strCache>
                <c:ptCount val="1"/>
                <c:pt idx="0">
                  <c:v>Резервиран сектор</c:v>
                </c:pt>
              </c:strCache>
            </c:strRef>
          </c:tx>
          <c:spPr>
            <a:solidFill>
              <a:srgbClr val="FFCC00"/>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bg-BG"/>
              </a:p>
            </c:txPr>
            <c:showVal val="1"/>
          </c:dLbls>
          <c:cat>
            <c:numRef>
              <c:f>Market!$K$23:$O$23</c:f>
              <c:numCache>
                <c:formatCode>General</c:formatCode>
                <c:ptCount val="5"/>
                <c:pt idx="0">
                  <c:v>2006</c:v>
                </c:pt>
                <c:pt idx="1">
                  <c:v>2007</c:v>
                </c:pt>
                <c:pt idx="2">
                  <c:v>2008</c:v>
                </c:pt>
                <c:pt idx="3">
                  <c:v>2009</c:v>
                </c:pt>
                <c:pt idx="4">
                  <c:v>2010</c:v>
                </c:pt>
              </c:numCache>
            </c:numRef>
          </c:cat>
          <c:val>
            <c:numRef>
              <c:f>Market!$K$26:$O$26</c:f>
              <c:numCache>
                <c:formatCode>0.0%</c:formatCode>
                <c:ptCount val="5"/>
                <c:pt idx="0">
                  <c:v>0.21000000000000021</c:v>
                </c:pt>
                <c:pt idx="1">
                  <c:v>0.17400000000000004</c:v>
                </c:pt>
                <c:pt idx="2">
                  <c:v>0.14800000000000021</c:v>
                </c:pt>
                <c:pt idx="3">
                  <c:v>0.13600000000000001</c:v>
                </c:pt>
                <c:pt idx="4">
                  <c:v>0.13300000000000001</c:v>
                </c:pt>
              </c:numCache>
            </c:numRef>
          </c:val>
        </c:ser>
        <c:ser>
          <c:idx val="3"/>
          <c:order val="3"/>
          <c:tx>
            <c:strRef>
              <c:f>Market!$J$27</c:f>
              <c:strCache>
                <c:ptCount val="1"/>
                <c:pt idx="0">
                  <c:v>УПУ, без РС</c:v>
                </c:pt>
              </c:strCache>
            </c:strRef>
          </c:tx>
          <c:spPr>
            <a:solidFill>
              <a:srgbClr val="008080"/>
            </a:solidFill>
            <a:ln w="12700">
              <a:solidFill>
                <a:srgbClr val="000000"/>
              </a:solidFill>
              <a:prstDash val="solid"/>
            </a:ln>
          </c:spPr>
          <c:dLbls>
            <c:spPr>
              <a:noFill/>
              <a:ln w="25400">
                <a:noFill/>
              </a:ln>
            </c:spPr>
            <c:txPr>
              <a:bodyPr/>
              <a:lstStyle/>
              <a:p>
                <a:pPr>
                  <a:defRPr sz="800" b="0" i="0" u="none" strike="noStrike" baseline="0">
                    <a:solidFill>
                      <a:srgbClr val="FFFFFF"/>
                    </a:solidFill>
                    <a:latin typeface="Arial"/>
                    <a:ea typeface="Arial"/>
                    <a:cs typeface="Arial"/>
                  </a:defRPr>
                </a:pPr>
                <a:endParaRPr lang="bg-BG"/>
              </a:p>
            </c:txPr>
            <c:showVal val="1"/>
          </c:dLbls>
          <c:cat>
            <c:numRef>
              <c:f>Market!$K$23:$O$23</c:f>
              <c:numCache>
                <c:formatCode>General</c:formatCode>
                <c:ptCount val="5"/>
                <c:pt idx="0">
                  <c:v>2006</c:v>
                </c:pt>
                <c:pt idx="1">
                  <c:v>2007</c:v>
                </c:pt>
                <c:pt idx="2">
                  <c:v>2008</c:v>
                </c:pt>
                <c:pt idx="3">
                  <c:v>2009</c:v>
                </c:pt>
                <c:pt idx="4">
                  <c:v>2010</c:v>
                </c:pt>
              </c:numCache>
            </c:numRef>
          </c:cat>
          <c:val>
            <c:numRef>
              <c:f>Market!$K$27:$O$27</c:f>
              <c:numCache>
                <c:formatCode>0.0%</c:formatCode>
                <c:ptCount val="5"/>
                <c:pt idx="0">
                  <c:v>0.12000000000000002</c:v>
                </c:pt>
                <c:pt idx="1">
                  <c:v>0.14200000000000004</c:v>
                </c:pt>
                <c:pt idx="2">
                  <c:v>0.129</c:v>
                </c:pt>
                <c:pt idx="3">
                  <c:v>0.125</c:v>
                </c:pt>
                <c:pt idx="4">
                  <c:v>9.7000000000000045E-2</c:v>
                </c:pt>
              </c:numCache>
            </c:numRef>
          </c:val>
        </c:ser>
        <c:dLbls>
          <c:showVal val="1"/>
        </c:dLbls>
        <c:shape val="box"/>
        <c:axId val="199037312"/>
        <c:axId val="199038848"/>
        <c:axId val="0"/>
      </c:bar3DChart>
      <c:catAx>
        <c:axId val="199037312"/>
        <c:scaling>
          <c:orientation val="minMax"/>
        </c:scaling>
        <c:axPos val="l"/>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199038848"/>
        <c:crosses val="autoZero"/>
        <c:auto val="1"/>
        <c:lblAlgn val="ctr"/>
        <c:lblOffset val="100"/>
        <c:tickLblSkip val="1"/>
        <c:tickMarkSkip val="1"/>
      </c:catAx>
      <c:valAx>
        <c:axId val="199038848"/>
        <c:scaling>
          <c:orientation val="minMax"/>
        </c:scaling>
        <c:axPos val="b"/>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199037312"/>
        <c:crosses val="autoZero"/>
        <c:crossBetween val="between"/>
      </c:valAx>
      <c:spPr>
        <a:noFill/>
        <a:ln w="25400">
          <a:noFill/>
        </a:ln>
      </c:spPr>
    </c:plotArea>
    <c:legend>
      <c:legendPos val="r"/>
      <c:layout>
        <c:manualLayout>
          <c:xMode val="edge"/>
          <c:yMode val="edge"/>
          <c:x val="1.1904761904761967E-2"/>
          <c:y val="0.90456605787347111"/>
          <c:w val="0.92857367829021376"/>
          <c:h val="8.2987551867219955E-2"/>
        </c:manualLayout>
      </c:layout>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bg-BG"/>
        </a:p>
      </c:txPr>
    </c:legend>
    <c:plotVisOnly val="1"/>
    <c:dispBlanksAs val="gap"/>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bg-BG"/>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E5FE0-B45C-41D6-80B3-A9246D36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4176</TotalTime>
  <Pages>71</Pages>
  <Words>23931</Words>
  <Characters>136407</Characters>
  <Application>Microsoft Office Word</Application>
  <DocSecurity>0</DocSecurity>
  <Lines>1136</Lines>
  <Paragraphs>320</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        &lt;</vt:lpstr>
      <vt:lpstr>&gt;</vt:lpstr>
      <vt:lpstr>Данни за членовете на управителните и на контролните органи, прокуристите, конс</vt:lpstr>
      <vt:lpstr>Данни за членовете на Съвета на директорите на Дружеството</vt:lpstr>
      <vt:lpstr>Основните банки, инвестиционни посредници, партньори и консултанти.</vt:lpstr>
      <vt:lpstr>Лица, отговорни за изготвянето на регистрационния документ</vt:lpstr>
      <vt:lpstr>Oдитори.</vt:lpstr>
      <vt:lpstr>Систематизирана финансова информация</vt:lpstr>
      <vt:lpstr>Рискови фактори</vt:lpstr>
      <vt:lpstr>Макроикономически риск</vt:lpstr>
      <vt:lpstr>Световната финансова криза</vt:lpstr>
      <vt:lpstr>Регулаторен риск</vt:lpstr>
      <vt:lpstr>Лихвен и кредитен риск</vt:lpstr>
      <vt:lpstr>Инфлационен риск</vt:lpstr>
      <vt:lpstr>Валутен риск</vt:lpstr>
      <vt:lpstr>Форсмажорни обстоятелства</vt:lpstr>
      <vt:lpstr>Риск от неизпълнение на насрещната страна</vt:lpstr>
      <vt:lpstr>Изменение в цената на горивата</vt:lpstr>
      <vt:lpstr>Оперативен риск</vt:lpstr>
      <vt:lpstr>Риск от повишение на наемите</vt:lpstr>
      <vt:lpstr>Риск от сделки между свързани лица при непазарни условия</vt:lpstr>
      <vt:lpstr>Ликвиден риск</vt:lpstr>
      <vt:lpstr>Информация за емитента</vt:lpstr>
      <vt:lpstr>Данни за емитента.</vt:lpstr>
      <vt:lpstr>Важни събития в развитието на емитента</vt:lpstr>
      <vt:lpstr>Преглед на направените инвестиции</vt:lpstr>
      <vt:lpstr>Описание и размер на инвестициите.</vt:lpstr>
      <vt:lpstr>Описание на инвестициите извършвани в момента.</vt:lpstr>
      <vt:lpstr>Поети ангажименти от страна на мениджмънта за извършване на инвестиции.</vt:lpstr>
      <vt:lpstr>Преглед на дейността</vt:lpstr>
      <vt:lpstr>Основни сфери на дейност</vt:lpstr>
      <vt:lpstr>Основни пазари на емитента.</vt:lpstr>
      <vt:lpstr>Пазарът на пощенски услуги в България</vt:lpstr>
      <vt:lpstr>Основания, на базата на които емитента е направил изявление във връзка с конкуре</vt:lpstr>
      <vt:lpstr>Извънредни фактори и събития, повлияли върху дейността на емитента.</vt:lpstr>
      <vt:lpstr>Зависимост от патенти, лицензи, индустриални, търговски или финансови договори и</vt:lpstr>
      <vt:lpstr>Организационна структура:</vt:lpstr>
      <vt:lpstr>Описание на групата и на позицията на емитента в нея.</vt:lpstr>
      <vt:lpstr>Данни за дъщерните дружества на емитента</vt:lpstr>
      <vt:lpstr>Имущество, производствени единици и оборудване:</vt:lpstr>
      <vt:lpstr>Обем, структура и динамика на дълготрайните материални активи.</vt:lpstr>
      <vt:lpstr>Производствен капацитет и степен на използване</vt:lpstr>
      <vt:lpstr>Оборудване на лизинг и тежести върху активите;</vt:lpstr>
      <vt:lpstr>Екологични въпроси</vt:lpstr>
      <vt:lpstr>Резултати от дейността, финансово състояние и перспективи</vt:lpstr>
      <vt:lpstr>Резултати от дейността.</vt:lpstr>
      <vt:lpstr>Динамика на приходите и фактори повлияли върху тяхното изменение.</vt:lpstr>
      <vt:lpstr>Динамика на разходите и фактори повлияли върху тяхното изменение.</vt:lpstr>
      <vt:lpstr>Финансовата позиция на емитента.</vt:lpstr>
      <vt:lpstr>Влияние на инфлацията и промените във валутния курс.</vt:lpstr>
      <vt:lpstr>Информация за правителствени, икономически, данъчни, монетарни или политически ф</vt:lpstr>
      <vt:lpstr>Капиталови ресурси</vt:lpstr>
      <vt:lpstr>Източници на финансиране</vt:lpstr>
      <vt:lpstr>Описание на паричните потоци;</vt:lpstr>
      <vt:lpstr>Условията за заемане на средства и структурата на финансирането.</vt:lpstr>
      <vt:lpstr>Ангажименти за извършване на инвестиции. Източници за финансиране.</vt:lpstr>
      <vt:lpstr>R&amp;D дейност за последните 3 години</vt:lpstr>
      <vt:lpstr>Основни тенденции</vt:lpstr>
      <vt:lpstr>Членове на управителните органи, висш ръководен състав и служители</vt:lpstr>
      <vt:lpstr>Информация за членовете на управителните и на контролните органи, прокуристите,</vt:lpstr>
    </vt:vector>
  </TitlesOfParts>
  <Company/>
  <LinksUpToDate>false</LinksUpToDate>
  <CharactersWithSpaces>160018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ПРОСПЕКТ ЗА ДОПУСКАНЕ ДО ТЪРГОВИЯ НА РЕГУЛИРАН ПАЗАР НА ЕМИСИЯ АКЦИИ</dc:subject>
  <dc:creator>Красимир Тахчиев</dc:creator>
  <cp:keywords/>
  <dc:description/>
  <cp:lastModifiedBy>Kris</cp:lastModifiedBy>
  <cp:revision>71</cp:revision>
  <dcterms:created xsi:type="dcterms:W3CDTF">2012-05-14T06:54:00Z</dcterms:created>
  <dcterms:modified xsi:type="dcterms:W3CDTF">2012-09-29T08:30:00Z</dcterms:modified>
</cp:coreProperties>
</file>