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F8FE" w14:textId="77777777" w:rsidR="002311AC" w:rsidRPr="00E36286" w:rsidRDefault="00B066D6" w:rsidP="006E7FD5">
      <w:pPr>
        <w:rPr>
          <w:rFonts w:ascii="Arial" w:hAnsi="Arial" w:cs="Arial"/>
          <w:b/>
          <w:sz w:val="22"/>
          <w:szCs w:val="22"/>
          <w:lang w:val="bg-BG"/>
        </w:rPr>
      </w:pPr>
      <w:r>
        <w:rPr>
          <w:rFonts w:ascii="Arial" w:hAnsi="Arial" w:cs="Arial"/>
          <w:b/>
          <w:sz w:val="22"/>
          <w:szCs w:val="22"/>
        </w:rPr>
        <w:tab/>
      </w:r>
      <w:r w:rsidR="00571FD6" w:rsidRPr="00E36286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5866FE" w:rsidRPr="00E36286">
        <w:rPr>
          <w:rFonts w:ascii="Arial" w:hAnsi="Arial" w:cs="Arial"/>
          <w:b/>
          <w:sz w:val="22"/>
          <w:szCs w:val="22"/>
        </w:rPr>
        <w:tab/>
      </w:r>
      <w:r w:rsidR="002311AC" w:rsidRPr="00E36286">
        <w:rPr>
          <w:rFonts w:ascii="Arial" w:hAnsi="Arial" w:cs="Arial"/>
          <w:b/>
          <w:sz w:val="22"/>
          <w:szCs w:val="22"/>
          <w:lang w:val="bg-BG"/>
        </w:rPr>
        <w:tab/>
      </w:r>
    </w:p>
    <w:p w14:paraId="05B8FB5F" w14:textId="77777777" w:rsidR="00D9764F" w:rsidRPr="00E36286" w:rsidRDefault="00D9764F" w:rsidP="00D9764F">
      <w:pPr>
        <w:jc w:val="center"/>
        <w:rPr>
          <w:rFonts w:ascii="Arial" w:hAnsi="Arial" w:cs="Arial"/>
          <w:b/>
          <w:sz w:val="22"/>
          <w:szCs w:val="22"/>
        </w:rPr>
      </w:pPr>
      <w:r w:rsidRPr="00E36286">
        <w:rPr>
          <w:rFonts w:ascii="Arial" w:hAnsi="Arial" w:cs="Arial"/>
          <w:b/>
          <w:sz w:val="22"/>
          <w:szCs w:val="22"/>
        </w:rPr>
        <w:t>Доклад</w:t>
      </w:r>
    </w:p>
    <w:p w14:paraId="24902FD9" w14:textId="77777777" w:rsidR="00D9764F" w:rsidRPr="00E36286" w:rsidRDefault="00A65AD0" w:rsidP="00D9764F">
      <w:pPr>
        <w:jc w:val="center"/>
        <w:rPr>
          <w:rFonts w:ascii="Arial" w:hAnsi="Arial" w:cs="Arial"/>
          <w:b/>
          <w:sz w:val="22"/>
          <w:szCs w:val="22"/>
        </w:rPr>
      </w:pPr>
      <w:r w:rsidRPr="00E36286">
        <w:rPr>
          <w:rFonts w:ascii="Arial" w:hAnsi="Arial" w:cs="Arial"/>
          <w:b/>
          <w:sz w:val="22"/>
          <w:szCs w:val="22"/>
          <w:lang w:val="bg-BG"/>
        </w:rPr>
        <w:t>от</w:t>
      </w:r>
      <w:r w:rsidR="00D9764F" w:rsidRPr="00E36286">
        <w:rPr>
          <w:rFonts w:ascii="Arial" w:hAnsi="Arial" w:cs="Arial"/>
          <w:b/>
          <w:sz w:val="22"/>
          <w:szCs w:val="22"/>
        </w:rPr>
        <w:t xml:space="preserve"> Де Ново ЕАД</w:t>
      </w:r>
    </w:p>
    <w:p w14:paraId="4A88647C" w14:textId="77777777" w:rsidR="00E36286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E36286">
        <w:rPr>
          <w:rFonts w:ascii="Arial" w:hAnsi="Arial" w:cs="Arial"/>
          <w:b/>
          <w:sz w:val="22"/>
          <w:szCs w:val="22"/>
        </w:rPr>
        <w:t xml:space="preserve">в качеството </w:t>
      </w:r>
      <w:r w:rsidRPr="00E36286">
        <w:rPr>
          <w:rFonts w:ascii="Arial" w:hAnsi="Arial" w:cs="Arial"/>
          <w:b/>
          <w:sz w:val="22"/>
          <w:szCs w:val="22"/>
          <w:lang w:val="bg-BG"/>
        </w:rPr>
        <w:t>му</w:t>
      </w:r>
      <w:r w:rsidRPr="00E36286">
        <w:rPr>
          <w:rFonts w:ascii="Arial" w:hAnsi="Arial" w:cs="Arial"/>
          <w:b/>
          <w:sz w:val="22"/>
          <w:szCs w:val="22"/>
        </w:rPr>
        <w:t xml:space="preserve"> на Довереник на облигационерите</w:t>
      </w:r>
    </w:p>
    <w:p w14:paraId="6D83BBEA" w14:textId="77777777" w:rsidR="00D9764F" w:rsidRPr="00800B73" w:rsidRDefault="00A65AD0" w:rsidP="00D9764F">
      <w:pPr>
        <w:jc w:val="center"/>
        <w:rPr>
          <w:rFonts w:ascii="Arial" w:hAnsi="Arial" w:cs="Arial"/>
          <w:b/>
          <w:sz w:val="22"/>
          <w:szCs w:val="22"/>
        </w:rPr>
      </w:pPr>
      <w:r w:rsidRPr="00020416">
        <w:rPr>
          <w:rFonts w:ascii="Arial" w:hAnsi="Arial" w:cs="Arial"/>
          <w:b/>
          <w:sz w:val="22"/>
          <w:szCs w:val="22"/>
          <w:lang w:val="bg-BG"/>
        </w:rPr>
        <w:t xml:space="preserve"> по </w:t>
      </w:r>
      <w:r w:rsidRPr="00800B73">
        <w:rPr>
          <w:rFonts w:ascii="Arial" w:hAnsi="Arial" w:cs="Arial"/>
          <w:b/>
          <w:sz w:val="22"/>
          <w:szCs w:val="22"/>
          <w:lang w:val="bg-BG"/>
        </w:rPr>
        <w:t>емисия корпоративни облигации с емитент</w:t>
      </w:r>
      <w:r w:rsidR="00D9764F" w:rsidRPr="00800B73">
        <w:rPr>
          <w:rFonts w:ascii="Arial" w:hAnsi="Arial" w:cs="Arial"/>
          <w:b/>
          <w:sz w:val="22"/>
          <w:szCs w:val="22"/>
        </w:rPr>
        <w:t xml:space="preserve"> </w:t>
      </w:r>
      <w:r w:rsidR="0095096E">
        <w:rPr>
          <w:rFonts w:ascii="Arial" w:hAnsi="Arial" w:cs="Arial"/>
          <w:b/>
          <w:sz w:val="22"/>
          <w:szCs w:val="22"/>
        </w:rPr>
        <w:t>АЛТЕРОН АДСИЦ</w:t>
      </w:r>
      <w:r w:rsidRPr="00800B73">
        <w:rPr>
          <w:rFonts w:ascii="Arial" w:hAnsi="Arial" w:cs="Arial"/>
          <w:b/>
          <w:sz w:val="22"/>
          <w:szCs w:val="22"/>
          <w:lang w:val="bg-BG"/>
        </w:rPr>
        <w:t xml:space="preserve">, </w:t>
      </w:r>
      <w:r w:rsidR="00D9764F" w:rsidRPr="00800B73">
        <w:rPr>
          <w:rFonts w:ascii="Arial" w:hAnsi="Arial" w:cs="Arial"/>
          <w:b/>
          <w:sz w:val="22"/>
          <w:szCs w:val="22"/>
        </w:rPr>
        <w:t>ISIN:</w:t>
      </w:r>
      <w:r w:rsidR="0095096E">
        <w:rPr>
          <w:rFonts w:ascii="Arial" w:hAnsi="Arial" w:cs="Arial"/>
          <w:b/>
          <w:sz w:val="22"/>
          <w:szCs w:val="22"/>
        </w:rPr>
        <w:t>BG2100030175</w:t>
      </w:r>
      <w:r w:rsidRPr="00800B73">
        <w:rPr>
          <w:rFonts w:ascii="Arial" w:hAnsi="Arial" w:cs="Arial"/>
          <w:b/>
          <w:sz w:val="22"/>
          <w:szCs w:val="22"/>
          <w:lang w:val="bg-BG"/>
        </w:rPr>
        <w:t xml:space="preserve">, </w:t>
      </w:r>
      <w:r w:rsidR="005B3E71" w:rsidRPr="00800B73">
        <w:rPr>
          <w:rFonts w:ascii="Arial" w:hAnsi="Arial" w:cs="Arial"/>
          <w:b/>
          <w:sz w:val="22"/>
          <w:szCs w:val="22"/>
          <w:lang w:val="bg-BG"/>
        </w:rPr>
        <w:t>б</w:t>
      </w:r>
      <w:r w:rsidR="00D9764F" w:rsidRPr="00800B73">
        <w:rPr>
          <w:rFonts w:ascii="Arial" w:hAnsi="Arial" w:cs="Arial"/>
          <w:b/>
          <w:sz w:val="22"/>
          <w:szCs w:val="22"/>
        </w:rPr>
        <w:t>орсов код:</w:t>
      </w:r>
      <w:r w:rsidR="00C21580">
        <w:rPr>
          <w:rFonts w:ascii="Arial" w:hAnsi="Arial" w:cs="Arial"/>
          <w:b/>
          <w:sz w:val="22"/>
          <w:szCs w:val="22"/>
        </w:rPr>
        <w:t>2AL2</w:t>
      </w:r>
    </w:p>
    <w:p w14:paraId="71CCFC29" w14:textId="77777777" w:rsidR="00D9764F" w:rsidRPr="0080717E" w:rsidRDefault="00D9764F" w:rsidP="00D9764F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E36286">
        <w:rPr>
          <w:rFonts w:ascii="Arial" w:hAnsi="Arial" w:cs="Arial"/>
          <w:b/>
          <w:sz w:val="22"/>
          <w:szCs w:val="22"/>
        </w:rPr>
        <w:t>Период: 01.</w:t>
      </w:r>
      <w:r w:rsidR="00EF5392">
        <w:rPr>
          <w:rFonts w:ascii="Arial" w:hAnsi="Arial" w:cs="Arial"/>
          <w:b/>
          <w:sz w:val="22"/>
          <w:szCs w:val="22"/>
        </w:rPr>
        <w:t>01</w:t>
      </w:r>
      <w:r w:rsidRPr="00E36286">
        <w:rPr>
          <w:rFonts w:ascii="Arial" w:hAnsi="Arial" w:cs="Arial"/>
          <w:b/>
          <w:sz w:val="22"/>
          <w:szCs w:val="22"/>
        </w:rPr>
        <w:t>.20</w:t>
      </w:r>
      <w:r w:rsidR="009D6ACC">
        <w:rPr>
          <w:rFonts w:ascii="Arial" w:hAnsi="Arial" w:cs="Arial"/>
          <w:b/>
          <w:sz w:val="22"/>
          <w:szCs w:val="22"/>
        </w:rPr>
        <w:t>2</w:t>
      </w:r>
      <w:r w:rsidR="00EF5392">
        <w:rPr>
          <w:rFonts w:ascii="Arial" w:hAnsi="Arial" w:cs="Arial"/>
          <w:b/>
          <w:sz w:val="22"/>
          <w:szCs w:val="22"/>
        </w:rPr>
        <w:t>5</w:t>
      </w:r>
      <w:r w:rsidR="006F1A57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Pr="00E36286">
        <w:rPr>
          <w:rFonts w:ascii="Arial" w:hAnsi="Arial" w:cs="Arial"/>
          <w:b/>
          <w:sz w:val="22"/>
          <w:szCs w:val="22"/>
        </w:rPr>
        <w:t>г</w:t>
      </w:r>
      <w:r w:rsidR="005A471C">
        <w:rPr>
          <w:rFonts w:ascii="Arial" w:hAnsi="Arial" w:cs="Arial"/>
          <w:b/>
          <w:sz w:val="22"/>
          <w:szCs w:val="22"/>
        </w:rPr>
        <w:t>.</w:t>
      </w:r>
      <w:r w:rsidRPr="00E36286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Pr="00E36286">
        <w:rPr>
          <w:rFonts w:ascii="Arial" w:hAnsi="Arial" w:cs="Arial"/>
          <w:b/>
          <w:sz w:val="22"/>
          <w:szCs w:val="22"/>
        </w:rPr>
        <w:t>- 3</w:t>
      </w:r>
      <w:r w:rsidR="00B66830">
        <w:rPr>
          <w:rFonts w:ascii="Arial" w:hAnsi="Arial" w:cs="Arial"/>
          <w:b/>
          <w:sz w:val="22"/>
          <w:szCs w:val="22"/>
        </w:rPr>
        <w:t>1</w:t>
      </w:r>
      <w:r w:rsidRPr="00E36286">
        <w:rPr>
          <w:rFonts w:ascii="Arial" w:hAnsi="Arial" w:cs="Arial"/>
          <w:b/>
          <w:sz w:val="22"/>
          <w:szCs w:val="22"/>
        </w:rPr>
        <w:t>.</w:t>
      </w:r>
      <w:r w:rsidR="00EF5392">
        <w:rPr>
          <w:rFonts w:ascii="Arial" w:hAnsi="Arial" w:cs="Arial"/>
          <w:b/>
          <w:sz w:val="22"/>
          <w:szCs w:val="22"/>
        </w:rPr>
        <w:t>03</w:t>
      </w:r>
      <w:r w:rsidRPr="00E36286">
        <w:rPr>
          <w:rFonts w:ascii="Arial" w:hAnsi="Arial" w:cs="Arial"/>
          <w:b/>
          <w:sz w:val="22"/>
          <w:szCs w:val="22"/>
        </w:rPr>
        <w:t>.20</w:t>
      </w:r>
      <w:r w:rsidR="009D6ACC">
        <w:rPr>
          <w:rFonts w:ascii="Arial" w:hAnsi="Arial" w:cs="Arial"/>
          <w:b/>
          <w:sz w:val="22"/>
          <w:szCs w:val="22"/>
        </w:rPr>
        <w:t>2</w:t>
      </w:r>
      <w:r w:rsidR="00EF5392">
        <w:rPr>
          <w:rFonts w:ascii="Arial" w:hAnsi="Arial" w:cs="Arial"/>
          <w:b/>
          <w:sz w:val="22"/>
          <w:szCs w:val="22"/>
        </w:rPr>
        <w:t>5</w:t>
      </w:r>
      <w:r w:rsidR="006F1A57">
        <w:rPr>
          <w:rFonts w:ascii="Arial" w:hAnsi="Arial" w:cs="Arial"/>
          <w:b/>
          <w:sz w:val="22"/>
          <w:szCs w:val="22"/>
          <w:lang w:val="bg-BG"/>
        </w:rPr>
        <w:t xml:space="preserve"> </w:t>
      </w:r>
      <w:r w:rsidR="00A77C74">
        <w:rPr>
          <w:rFonts w:ascii="Arial" w:hAnsi="Arial" w:cs="Arial"/>
          <w:b/>
          <w:sz w:val="22"/>
          <w:szCs w:val="22"/>
        </w:rPr>
        <w:t>г</w:t>
      </w:r>
      <w:r w:rsidR="008E528B">
        <w:rPr>
          <w:rFonts w:ascii="Arial" w:hAnsi="Arial" w:cs="Arial"/>
          <w:b/>
          <w:sz w:val="22"/>
          <w:szCs w:val="22"/>
        </w:rPr>
        <w:t>.</w:t>
      </w:r>
    </w:p>
    <w:p w14:paraId="5FF2B059" w14:textId="77777777" w:rsidR="00D9764F" w:rsidRDefault="00D9764F" w:rsidP="00D9764F">
      <w:pPr>
        <w:jc w:val="center"/>
        <w:rPr>
          <w:rFonts w:ascii="Arial" w:hAnsi="Arial" w:cs="Arial"/>
          <w:b/>
          <w:sz w:val="22"/>
          <w:szCs w:val="22"/>
        </w:rPr>
      </w:pPr>
    </w:p>
    <w:p w14:paraId="7C641F1E" w14:textId="77777777" w:rsidR="001E6384" w:rsidRPr="001E6384" w:rsidRDefault="001E6384" w:rsidP="00D9764F">
      <w:pPr>
        <w:jc w:val="center"/>
        <w:rPr>
          <w:rFonts w:ascii="Arial" w:hAnsi="Arial" w:cs="Arial"/>
          <w:b/>
          <w:sz w:val="22"/>
          <w:szCs w:val="22"/>
        </w:rPr>
      </w:pPr>
    </w:p>
    <w:p w14:paraId="280ACB78" w14:textId="77777777" w:rsidR="00E36286" w:rsidRPr="000C4B03" w:rsidRDefault="00E36286" w:rsidP="000C4B03">
      <w:pPr>
        <w:rPr>
          <w:rFonts w:ascii="Arial" w:hAnsi="Arial" w:cs="Arial"/>
          <w:b/>
          <w:sz w:val="22"/>
          <w:szCs w:val="22"/>
        </w:rPr>
      </w:pPr>
    </w:p>
    <w:p w14:paraId="412C80F4" w14:textId="77777777" w:rsidR="00D9764F" w:rsidRPr="00E36286" w:rsidRDefault="00D9764F" w:rsidP="00A65AD0">
      <w:pPr>
        <w:jc w:val="both"/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>Настоящия</w:t>
      </w:r>
      <w:r w:rsidR="00BE512E" w:rsidRPr="00E36286">
        <w:rPr>
          <w:rFonts w:ascii="Arial" w:hAnsi="Arial" w:cs="Arial"/>
          <w:sz w:val="22"/>
          <w:szCs w:val="22"/>
          <w:lang w:val="bg-BG"/>
        </w:rPr>
        <w:t>т</w:t>
      </w:r>
      <w:r w:rsidRPr="00E36286">
        <w:rPr>
          <w:rFonts w:ascii="Arial" w:hAnsi="Arial" w:cs="Arial"/>
          <w:sz w:val="22"/>
          <w:szCs w:val="22"/>
        </w:rPr>
        <w:t xml:space="preserve"> доклад е изготвен в съответствие </w:t>
      </w:r>
      <w:r w:rsidR="00BE512E" w:rsidRPr="00E36286">
        <w:rPr>
          <w:rFonts w:ascii="Arial" w:hAnsi="Arial" w:cs="Arial"/>
          <w:sz w:val="22"/>
          <w:szCs w:val="22"/>
        </w:rPr>
        <w:t>с изискванията на чл. 100ж, ал.</w:t>
      </w:r>
      <w:r w:rsidRPr="00E36286">
        <w:rPr>
          <w:rFonts w:ascii="Arial" w:hAnsi="Arial" w:cs="Arial"/>
          <w:sz w:val="22"/>
          <w:szCs w:val="22"/>
        </w:rPr>
        <w:t>1, т.</w:t>
      </w:r>
      <w:r w:rsidRPr="00E36286">
        <w:rPr>
          <w:rFonts w:ascii="Arial" w:hAnsi="Arial" w:cs="Arial"/>
          <w:sz w:val="22"/>
          <w:szCs w:val="22"/>
          <w:lang w:val="ru-RU"/>
        </w:rPr>
        <w:t>3</w:t>
      </w:r>
      <w:r w:rsidRPr="00E36286">
        <w:rPr>
          <w:rFonts w:ascii="Arial" w:hAnsi="Arial" w:cs="Arial"/>
          <w:sz w:val="22"/>
          <w:szCs w:val="22"/>
        </w:rPr>
        <w:t xml:space="preserve"> от Закона за публично</w:t>
      </w:r>
      <w:r w:rsidR="00B9139C">
        <w:rPr>
          <w:rFonts w:ascii="Arial" w:hAnsi="Arial" w:cs="Arial"/>
          <w:sz w:val="22"/>
          <w:szCs w:val="22"/>
          <w:lang w:val="bg-BG"/>
        </w:rPr>
        <w:t>то</w:t>
      </w:r>
      <w:r w:rsidRPr="00E36286">
        <w:rPr>
          <w:rFonts w:ascii="Arial" w:hAnsi="Arial" w:cs="Arial"/>
          <w:sz w:val="22"/>
          <w:szCs w:val="22"/>
        </w:rPr>
        <w:t xml:space="preserve"> предлагане на ценни книжа </w:t>
      </w:r>
      <w:r w:rsidR="00DC70E5">
        <w:rPr>
          <w:rFonts w:ascii="Arial" w:hAnsi="Arial" w:cs="Arial"/>
          <w:sz w:val="22"/>
          <w:szCs w:val="22"/>
          <w:lang w:val="bg-BG"/>
        </w:rPr>
        <w:t>/</w:t>
      </w:r>
      <w:r w:rsidRPr="00E36286">
        <w:rPr>
          <w:rFonts w:ascii="Arial" w:hAnsi="Arial" w:cs="Arial"/>
          <w:sz w:val="22"/>
          <w:szCs w:val="22"/>
        </w:rPr>
        <w:t>ЗППЦК</w:t>
      </w:r>
      <w:r w:rsidR="00DC70E5">
        <w:rPr>
          <w:rFonts w:ascii="Arial" w:hAnsi="Arial" w:cs="Arial"/>
          <w:sz w:val="22"/>
          <w:szCs w:val="22"/>
          <w:lang w:val="bg-BG"/>
        </w:rPr>
        <w:t>/</w:t>
      </w:r>
      <w:r w:rsidRPr="00E36286">
        <w:rPr>
          <w:rFonts w:ascii="Arial" w:hAnsi="Arial" w:cs="Arial"/>
          <w:sz w:val="22"/>
          <w:szCs w:val="22"/>
        </w:rPr>
        <w:t xml:space="preserve">, в изпълнение на задълженията на Де Ново ЕАД в качеството </w:t>
      </w:r>
      <w:r w:rsidR="000846F9" w:rsidRPr="00E36286">
        <w:rPr>
          <w:rFonts w:ascii="Arial" w:hAnsi="Arial" w:cs="Arial"/>
          <w:sz w:val="22"/>
          <w:szCs w:val="22"/>
          <w:lang w:val="bg-BG"/>
        </w:rPr>
        <w:t>му</w:t>
      </w:r>
      <w:r w:rsidRPr="00E36286">
        <w:rPr>
          <w:rFonts w:ascii="Arial" w:hAnsi="Arial" w:cs="Arial"/>
          <w:sz w:val="22"/>
          <w:szCs w:val="22"/>
        </w:rPr>
        <w:t xml:space="preserve"> на Довереник на облигационерите по емисия корпоративни облигации</w:t>
      </w:r>
      <w:r w:rsidR="00DC70E5" w:rsidRPr="00DC70E5">
        <w:rPr>
          <w:rFonts w:ascii="Arial" w:hAnsi="Arial" w:cs="Arial"/>
          <w:sz w:val="22"/>
          <w:szCs w:val="22"/>
        </w:rPr>
        <w:t xml:space="preserve"> </w:t>
      </w:r>
      <w:r w:rsidR="00DC70E5" w:rsidRPr="00E36286">
        <w:rPr>
          <w:rFonts w:ascii="Arial" w:hAnsi="Arial" w:cs="Arial"/>
          <w:sz w:val="22"/>
          <w:szCs w:val="22"/>
        </w:rPr>
        <w:t>ISIN:</w:t>
      </w:r>
      <w:r w:rsidR="0095096E" w:rsidRPr="0024076C">
        <w:rPr>
          <w:rFonts w:ascii="Arial" w:hAnsi="Arial" w:cs="Arial"/>
          <w:sz w:val="22"/>
          <w:szCs w:val="22"/>
        </w:rPr>
        <w:t>BG2100030175</w:t>
      </w:r>
      <w:r w:rsidRPr="00E36286">
        <w:rPr>
          <w:rFonts w:ascii="Arial" w:hAnsi="Arial" w:cs="Arial"/>
          <w:sz w:val="22"/>
          <w:szCs w:val="22"/>
        </w:rPr>
        <w:t>, емитирани от</w:t>
      </w:r>
      <w:r w:rsidR="00DC70E5" w:rsidRPr="00DC70E5">
        <w:rPr>
          <w:rFonts w:ascii="Arial" w:hAnsi="Arial" w:cs="Arial"/>
          <w:sz w:val="22"/>
          <w:szCs w:val="22"/>
          <w:lang w:val="bg-BG"/>
        </w:rPr>
        <w:t xml:space="preserve"> </w:t>
      </w:r>
      <w:r w:rsidR="0095096E">
        <w:rPr>
          <w:rFonts w:ascii="Arial" w:hAnsi="Arial" w:cs="Arial"/>
          <w:sz w:val="22"/>
          <w:szCs w:val="22"/>
        </w:rPr>
        <w:t>АЛТЕРОН АДСИЦ</w:t>
      </w:r>
      <w:r w:rsidRPr="00E36286">
        <w:rPr>
          <w:rFonts w:ascii="Arial" w:hAnsi="Arial" w:cs="Arial"/>
          <w:sz w:val="22"/>
          <w:szCs w:val="22"/>
        </w:rPr>
        <w:t xml:space="preserve"> на </w:t>
      </w:r>
      <w:r w:rsidR="00800B73">
        <w:rPr>
          <w:rFonts w:ascii="Arial" w:hAnsi="Arial" w:cs="Arial"/>
          <w:sz w:val="22"/>
          <w:szCs w:val="22"/>
          <w:lang w:val="bg-BG"/>
        </w:rPr>
        <w:t>2</w:t>
      </w:r>
      <w:r w:rsidR="001D5F28">
        <w:rPr>
          <w:rFonts w:ascii="Arial" w:hAnsi="Arial" w:cs="Arial"/>
          <w:sz w:val="22"/>
          <w:szCs w:val="22"/>
        </w:rPr>
        <w:t>8</w:t>
      </w:r>
      <w:r w:rsidRPr="00E36286">
        <w:rPr>
          <w:rFonts w:ascii="Arial" w:hAnsi="Arial" w:cs="Arial"/>
          <w:sz w:val="22"/>
          <w:szCs w:val="22"/>
        </w:rPr>
        <w:t>.</w:t>
      </w:r>
      <w:r w:rsidR="00800B73">
        <w:rPr>
          <w:rFonts w:ascii="Arial" w:hAnsi="Arial" w:cs="Arial"/>
          <w:sz w:val="22"/>
          <w:szCs w:val="22"/>
          <w:lang w:val="bg-BG"/>
        </w:rPr>
        <w:t>1</w:t>
      </w:r>
      <w:r w:rsidR="001D5F28">
        <w:rPr>
          <w:rFonts w:ascii="Arial" w:hAnsi="Arial" w:cs="Arial"/>
          <w:sz w:val="22"/>
          <w:szCs w:val="22"/>
        </w:rPr>
        <w:t>2</w:t>
      </w:r>
      <w:r w:rsidRPr="00E36286">
        <w:rPr>
          <w:rFonts w:ascii="Arial" w:hAnsi="Arial" w:cs="Arial"/>
          <w:sz w:val="22"/>
          <w:szCs w:val="22"/>
        </w:rPr>
        <w:t>.2017</w:t>
      </w:r>
      <w:r w:rsidR="00823C3B">
        <w:rPr>
          <w:rFonts w:ascii="Arial" w:hAnsi="Arial" w:cs="Arial"/>
          <w:sz w:val="22"/>
          <w:szCs w:val="22"/>
          <w:lang w:val="bg-BG"/>
        </w:rPr>
        <w:t xml:space="preserve"> </w:t>
      </w:r>
      <w:r w:rsidRPr="00E36286">
        <w:rPr>
          <w:rFonts w:ascii="Arial" w:hAnsi="Arial" w:cs="Arial"/>
          <w:sz w:val="22"/>
          <w:szCs w:val="22"/>
        </w:rPr>
        <w:t>г.</w:t>
      </w:r>
    </w:p>
    <w:p w14:paraId="635BD99E" w14:textId="77777777" w:rsidR="00E36286" w:rsidRPr="00E36286" w:rsidRDefault="00E36286" w:rsidP="00A65AD0">
      <w:pPr>
        <w:jc w:val="both"/>
        <w:rPr>
          <w:rFonts w:ascii="Arial" w:hAnsi="Arial" w:cs="Arial"/>
          <w:sz w:val="22"/>
          <w:szCs w:val="22"/>
        </w:rPr>
      </w:pPr>
    </w:p>
    <w:p w14:paraId="55B87F74" w14:textId="77777777" w:rsidR="00E36286" w:rsidRPr="00E36286" w:rsidRDefault="00E36286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E36286">
        <w:rPr>
          <w:rFonts w:ascii="Arial" w:hAnsi="Arial" w:cs="Arial"/>
          <w:sz w:val="22"/>
          <w:szCs w:val="22"/>
        </w:rPr>
        <w:t xml:space="preserve">Де Ново ЕАД 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изпълнява </w:t>
      </w:r>
      <w:r w:rsidRPr="00E36286">
        <w:rPr>
          <w:rFonts w:ascii="Arial" w:hAnsi="Arial" w:cs="Arial"/>
          <w:sz w:val="22"/>
          <w:szCs w:val="22"/>
        </w:rPr>
        <w:t>функциите на довереник на облигационерите по емисия  ISIN:</w:t>
      </w:r>
      <w:r w:rsidR="0095096E">
        <w:rPr>
          <w:rFonts w:ascii="Arial" w:hAnsi="Arial" w:cs="Arial"/>
          <w:sz w:val="22"/>
          <w:szCs w:val="22"/>
        </w:rPr>
        <w:t>BG2100030175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въз основа </w:t>
      </w:r>
      <w:r w:rsidRPr="00E36286">
        <w:rPr>
          <w:rFonts w:ascii="Arial" w:hAnsi="Arial" w:cs="Arial"/>
          <w:sz w:val="22"/>
          <w:szCs w:val="22"/>
        </w:rPr>
        <w:t>на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договор </w:t>
      </w:r>
      <w:r w:rsidR="00001E46" w:rsidRPr="00E36286">
        <w:rPr>
          <w:rFonts w:ascii="Arial" w:hAnsi="Arial" w:cs="Arial"/>
          <w:sz w:val="22"/>
          <w:szCs w:val="22"/>
          <w:lang w:val="bg-BG"/>
        </w:rPr>
        <w:t>от 20.</w:t>
      </w:r>
      <w:r w:rsidR="00001E46">
        <w:rPr>
          <w:rFonts w:ascii="Arial" w:hAnsi="Arial" w:cs="Arial"/>
          <w:sz w:val="22"/>
          <w:szCs w:val="22"/>
          <w:lang w:val="bg-BG"/>
        </w:rPr>
        <w:t>12</w:t>
      </w:r>
      <w:r w:rsidR="00001E46" w:rsidRPr="00E36286">
        <w:rPr>
          <w:rFonts w:ascii="Arial" w:hAnsi="Arial" w:cs="Arial"/>
          <w:sz w:val="22"/>
          <w:szCs w:val="22"/>
          <w:lang w:val="bg-BG"/>
        </w:rPr>
        <w:t>.201</w:t>
      </w:r>
      <w:r w:rsidR="00001E46">
        <w:rPr>
          <w:rFonts w:ascii="Arial" w:hAnsi="Arial" w:cs="Arial"/>
          <w:sz w:val="22"/>
          <w:szCs w:val="22"/>
          <w:lang w:val="bg-BG"/>
        </w:rPr>
        <w:t>7</w:t>
      </w:r>
      <w:r w:rsidR="00823C3B">
        <w:rPr>
          <w:rFonts w:ascii="Arial" w:hAnsi="Arial" w:cs="Arial"/>
          <w:sz w:val="22"/>
          <w:szCs w:val="22"/>
          <w:lang w:val="bg-BG"/>
        </w:rPr>
        <w:t xml:space="preserve"> </w:t>
      </w:r>
      <w:r w:rsidR="00001E46" w:rsidRPr="00E36286">
        <w:rPr>
          <w:rFonts w:ascii="Arial" w:hAnsi="Arial" w:cs="Arial"/>
          <w:sz w:val="22"/>
          <w:szCs w:val="22"/>
          <w:lang w:val="bg-BG"/>
        </w:rPr>
        <w:t xml:space="preserve">г. 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сключен с емитента </w:t>
      </w:r>
      <w:r w:rsidR="0095096E">
        <w:rPr>
          <w:rFonts w:ascii="Arial" w:hAnsi="Arial" w:cs="Arial"/>
          <w:sz w:val="22"/>
          <w:szCs w:val="22"/>
          <w:lang w:val="bg-BG"/>
        </w:rPr>
        <w:t>АЛТЕРОН АДСИЦ</w:t>
      </w:r>
      <w:r w:rsidRPr="00E36286">
        <w:rPr>
          <w:rFonts w:ascii="Arial" w:hAnsi="Arial" w:cs="Arial"/>
          <w:sz w:val="22"/>
          <w:szCs w:val="22"/>
        </w:rPr>
        <w:t>.</w:t>
      </w:r>
    </w:p>
    <w:p w14:paraId="21FE650D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37776A62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С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Решение №</w:t>
      </w:r>
      <w:r w:rsidR="00C21580">
        <w:rPr>
          <w:rFonts w:ascii="Arial" w:hAnsi="Arial" w:cs="Arial"/>
          <w:color w:val="000000"/>
          <w:sz w:val="22"/>
          <w:szCs w:val="22"/>
          <w:shd w:val="clear" w:color="auto" w:fill="FFFFFF"/>
        </w:rPr>
        <w:t>563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-Е от </w:t>
      </w:r>
      <w:r w:rsidR="00C21580">
        <w:rPr>
          <w:rFonts w:ascii="Arial" w:hAnsi="Arial" w:cs="Arial"/>
          <w:color w:val="000000"/>
          <w:sz w:val="22"/>
          <w:szCs w:val="22"/>
          <w:shd w:val="clear" w:color="auto" w:fill="FFFFFF"/>
        </w:rPr>
        <w:t>06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.0</w:t>
      </w:r>
      <w:r w:rsidR="00C21580">
        <w:rPr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.2018</w:t>
      </w:r>
      <w:r w:rsidR="00823C3B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г.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, Комисията за финансов надзор /КФН/ потвърждава Проспект за допускане до търговия на регулиран пазар на емисията облигации </w:t>
      </w:r>
      <w:r w:rsidRPr="00E36286">
        <w:rPr>
          <w:rFonts w:ascii="Arial" w:hAnsi="Arial" w:cs="Arial"/>
          <w:sz w:val="22"/>
          <w:szCs w:val="22"/>
        </w:rPr>
        <w:t>ISIN:</w:t>
      </w:r>
      <w:r w:rsidR="0095096E">
        <w:rPr>
          <w:rFonts w:ascii="Arial" w:hAnsi="Arial" w:cs="Arial"/>
          <w:sz w:val="22"/>
          <w:szCs w:val="22"/>
        </w:rPr>
        <w:t>BG2100030175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с емитент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="0095096E">
        <w:rPr>
          <w:rFonts w:ascii="Arial" w:hAnsi="Arial" w:cs="Arial"/>
          <w:sz w:val="22"/>
          <w:szCs w:val="22"/>
          <w:lang w:val="bg-BG"/>
        </w:rPr>
        <w:t>АЛТЕРОН АДСИЦ</w:t>
      </w:r>
      <w:r w:rsidRPr="00E36286">
        <w:rPr>
          <w:rFonts w:ascii="Arial" w:hAnsi="Arial" w:cs="Arial"/>
          <w:sz w:val="22"/>
          <w:szCs w:val="22"/>
          <w:lang w:val="bg-BG"/>
        </w:rPr>
        <w:t>.</w:t>
      </w:r>
    </w:p>
    <w:p w14:paraId="7B38F017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525F8EED" w14:textId="77777777" w:rsidR="00EE419A" w:rsidRPr="00E36286" w:rsidRDefault="00EE419A" w:rsidP="00A65AD0">
      <w:pPr>
        <w:jc w:val="both"/>
        <w:rPr>
          <w:rFonts w:ascii="Arial" w:hAnsi="Arial" w:cs="Arial"/>
          <w:sz w:val="22"/>
          <w:szCs w:val="22"/>
          <w:lang w:val="bg-BG"/>
        </w:rPr>
      </w:pP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С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Решение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на Съвета на директорите на Българска фондова борса АД /БФБ/ по Протокол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№</w:t>
      </w:r>
      <w:r w:rsidR="00C21580">
        <w:rPr>
          <w:rFonts w:ascii="Arial" w:hAnsi="Arial" w:cs="Arial"/>
          <w:color w:val="000000"/>
          <w:sz w:val="22"/>
          <w:szCs w:val="22"/>
          <w:shd w:val="clear" w:color="auto" w:fill="FFFFFF"/>
        </w:rPr>
        <w:t>41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от </w:t>
      </w:r>
      <w:r w:rsidR="00C21580">
        <w:rPr>
          <w:rFonts w:ascii="Arial" w:hAnsi="Arial" w:cs="Arial"/>
          <w:color w:val="000000"/>
          <w:sz w:val="22"/>
          <w:szCs w:val="22"/>
          <w:shd w:val="clear" w:color="auto" w:fill="FFFFFF"/>
        </w:rPr>
        <w:t>14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.0</w:t>
      </w:r>
      <w:r w:rsidR="00C21580">
        <w:rPr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.2018</w:t>
      </w:r>
      <w:r w:rsidR="00823C3B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>г.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, БФБ допуска до търговия на основен пазар</w:t>
      </w:r>
      <w:r w:rsidR="00261E04" w:rsidRPr="00E362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BSE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, </w:t>
      </w:r>
      <w:r w:rsidR="00261E04"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Сегмент за облигации,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 xml:space="preserve"> емисията облигации </w:t>
      </w:r>
      <w:r w:rsidRPr="00E36286">
        <w:rPr>
          <w:rFonts w:ascii="Arial" w:hAnsi="Arial" w:cs="Arial"/>
          <w:sz w:val="22"/>
          <w:szCs w:val="22"/>
        </w:rPr>
        <w:t>ISIN:</w:t>
      </w:r>
      <w:r w:rsidR="0095096E">
        <w:rPr>
          <w:rFonts w:ascii="Arial" w:hAnsi="Arial" w:cs="Arial"/>
          <w:sz w:val="22"/>
          <w:szCs w:val="22"/>
        </w:rPr>
        <w:t>BG2100030175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, </w:t>
      </w:r>
      <w:r w:rsidRPr="00E36286">
        <w:rPr>
          <w:rFonts w:ascii="Arial" w:hAnsi="Arial" w:cs="Arial"/>
          <w:color w:val="000000"/>
          <w:sz w:val="22"/>
          <w:szCs w:val="22"/>
          <w:shd w:val="clear" w:color="auto" w:fill="FFFFFF"/>
          <w:lang w:val="bg-BG"/>
        </w:rPr>
        <w:t>с емитент</w:t>
      </w:r>
      <w:r w:rsidRPr="00E36286">
        <w:rPr>
          <w:rFonts w:ascii="Arial" w:hAnsi="Arial" w:cs="Arial"/>
          <w:sz w:val="22"/>
          <w:szCs w:val="22"/>
          <w:lang w:val="bg-BG"/>
        </w:rPr>
        <w:t xml:space="preserve"> </w:t>
      </w:r>
      <w:r w:rsidR="0095096E">
        <w:rPr>
          <w:rFonts w:ascii="Arial" w:hAnsi="Arial" w:cs="Arial"/>
          <w:sz w:val="22"/>
          <w:szCs w:val="22"/>
          <w:lang w:val="bg-BG"/>
        </w:rPr>
        <w:t>АЛТЕРОН АДСИЦ</w:t>
      </w:r>
      <w:r w:rsidR="00261E04" w:rsidRPr="00E36286">
        <w:rPr>
          <w:rFonts w:ascii="Arial" w:hAnsi="Arial" w:cs="Arial"/>
          <w:sz w:val="22"/>
          <w:szCs w:val="22"/>
          <w:lang w:val="bg-BG"/>
        </w:rPr>
        <w:t xml:space="preserve">, борсов код </w:t>
      </w:r>
      <w:r w:rsidR="00C21580">
        <w:rPr>
          <w:rFonts w:ascii="Arial" w:hAnsi="Arial" w:cs="Arial"/>
          <w:sz w:val="22"/>
          <w:szCs w:val="22"/>
        </w:rPr>
        <w:t>2AL2</w:t>
      </w:r>
      <w:r w:rsidR="00C21580">
        <w:rPr>
          <w:rFonts w:ascii="Arial" w:hAnsi="Arial" w:cs="Arial"/>
          <w:sz w:val="22"/>
          <w:szCs w:val="22"/>
          <w:lang w:val="bg-BG"/>
        </w:rPr>
        <w:t>, с начална дата за търговия 21.06.2018</w:t>
      </w:r>
      <w:r w:rsidR="00823C3B">
        <w:rPr>
          <w:rFonts w:ascii="Arial" w:hAnsi="Arial" w:cs="Arial"/>
          <w:sz w:val="22"/>
          <w:szCs w:val="22"/>
          <w:lang w:val="bg-BG"/>
        </w:rPr>
        <w:t xml:space="preserve"> </w:t>
      </w:r>
      <w:r w:rsidR="00C21580">
        <w:rPr>
          <w:rFonts w:ascii="Arial" w:hAnsi="Arial" w:cs="Arial"/>
          <w:sz w:val="22"/>
          <w:szCs w:val="22"/>
          <w:lang w:val="bg-BG"/>
        </w:rPr>
        <w:t>г</w:t>
      </w:r>
      <w:r w:rsidR="00261E04" w:rsidRPr="00E36286">
        <w:rPr>
          <w:rFonts w:ascii="Arial" w:hAnsi="Arial" w:cs="Arial"/>
          <w:sz w:val="22"/>
          <w:szCs w:val="22"/>
          <w:lang w:val="bg-BG"/>
        </w:rPr>
        <w:t>.</w:t>
      </w:r>
    </w:p>
    <w:p w14:paraId="36FAFB95" w14:textId="77777777" w:rsidR="00D9764F" w:rsidRDefault="00D9764F" w:rsidP="00D9764F">
      <w:pPr>
        <w:ind w:firstLine="540"/>
        <w:jc w:val="both"/>
        <w:rPr>
          <w:rFonts w:ascii="Arial" w:hAnsi="Arial" w:cs="Arial"/>
          <w:sz w:val="22"/>
          <w:szCs w:val="22"/>
          <w:lang w:val="bg-BG"/>
        </w:rPr>
      </w:pPr>
    </w:p>
    <w:p w14:paraId="559242AB" w14:textId="77777777" w:rsidR="00FB5EB6" w:rsidRPr="00FB5EB6" w:rsidRDefault="00FB5EB6" w:rsidP="00D9764F">
      <w:pPr>
        <w:ind w:firstLine="540"/>
        <w:jc w:val="both"/>
        <w:rPr>
          <w:rFonts w:ascii="Arial" w:hAnsi="Arial" w:cs="Arial"/>
          <w:sz w:val="22"/>
          <w:szCs w:val="22"/>
          <w:lang w:val="bg-BG"/>
        </w:rPr>
      </w:pPr>
    </w:p>
    <w:p w14:paraId="67147528" w14:textId="77777777" w:rsidR="00D9764F" w:rsidRPr="00E36286" w:rsidRDefault="00D9764F" w:rsidP="00D9764F">
      <w:pPr>
        <w:pStyle w:val="1"/>
        <w:numPr>
          <w:ilvl w:val="0"/>
          <w:numId w:val="1"/>
        </w:numPr>
        <w:spacing w:before="0" w:line="240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Финансово състояние на емитента на облигациите.</w:t>
      </w:r>
    </w:p>
    <w:p w14:paraId="16DF73F9" w14:textId="77777777" w:rsidR="00E36286" w:rsidRDefault="00E36286" w:rsidP="00A65AD0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1570D547" w14:textId="77777777" w:rsidR="00D9764F" w:rsidRDefault="0095096E" w:rsidP="00A65AD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АЛТЕРОН АДСИЦ</w:t>
      </w:r>
      <w:r w:rsidR="00D9764F" w:rsidRPr="00E36286">
        <w:rPr>
          <w:rFonts w:ascii="Arial" w:hAnsi="Arial" w:cs="Arial"/>
        </w:rPr>
        <w:t xml:space="preserve"> </w:t>
      </w:r>
      <w:r w:rsidR="008A0F80">
        <w:rPr>
          <w:rFonts w:ascii="Arial" w:hAnsi="Arial" w:cs="Arial"/>
          <w:lang w:val="en-US"/>
        </w:rPr>
        <w:t xml:space="preserve"> </w:t>
      </w:r>
      <w:r w:rsidR="008A0F80">
        <w:rPr>
          <w:rFonts w:ascii="Arial" w:hAnsi="Arial" w:cs="Arial"/>
        </w:rPr>
        <w:t>е акционерно дружество със специална инвестиционна цел за секюритизация на недвижими имоти</w:t>
      </w:r>
      <w:r w:rsidR="000200FE" w:rsidRPr="00E36286">
        <w:rPr>
          <w:rFonts w:ascii="Arial" w:hAnsi="Arial" w:cs="Arial"/>
        </w:rPr>
        <w:t>.</w:t>
      </w:r>
      <w:r w:rsidR="008A0F80">
        <w:rPr>
          <w:rFonts w:ascii="Arial" w:hAnsi="Arial" w:cs="Arial"/>
        </w:rPr>
        <w:t xml:space="preserve"> Дружеството е вписано в регистъра на търговските дружества при Варненски окръжен съд с решение от 29 октомври 2007г. по фирмено дело №9409/2007, ЕИК 148146418. Акциите на дружеството се търгуват на БФБ, сегмент за дружествата със специална инвестиционна цел.</w:t>
      </w:r>
    </w:p>
    <w:p w14:paraId="24B2B2A7" w14:textId="77777777" w:rsidR="001D6466" w:rsidRDefault="001D6466" w:rsidP="00A65AD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767C6A6F" w14:textId="77777777" w:rsidR="00C0305C" w:rsidRDefault="001D6466" w:rsidP="00C0305C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На 23.03.2020</w:t>
      </w:r>
      <w:r w:rsidR="00F7365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г., </w:t>
      </w:r>
      <w:r w:rsidRPr="001D6466">
        <w:rPr>
          <w:rFonts w:ascii="Arial" w:hAnsi="Arial" w:cs="Arial"/>
          <w:lang w:val="en-US"/>
        </w:rPr>
        <w:t>АЛТЕРОН АДСИЦ</w:t>
      </w:r>
      <w:r>
        <w:rPr>
          <w:rFonts w:ascii="Arial" w:hAnsi="Arial" w:cs="Arial"/>
          <w:lang w:val="en-US"/>
        </w:rPr>
        <w:t xml:space="preserve"> успешно е извършило увеличение на акционерния капитал чрез публично предлагане на 899 998 обикновени, поименни, безналични акции с право на глас, всяка с номинална стойност 1 лев и емисионна стойност от 20 лева на акция. Обстоятелството е вписано в Търговския регистър на 27.03.2020</w:t>
      </w:r>
      <w:r w:rsidR="00823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г. и към 3</w:t>
      </w:r>
      <w:r w:rsidR="006D275C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="006A5B98">
        <w:rPr>
          <w:rFonts w:ascii="Arial" w:hAnsi="Arial" w:cs="Arial"/>
          <w:lang w:val="en-US"/>
        </w:rPr>
        <w:t>03</w:t>
      </w:r>
      <w:r>
        <w:rPr>
          <w:rFonts w:ascii="Arial" w:hAnsi="Arial" w:cs="Arial"/>
          <w:lang w:val="en-US"/>
        </w:rPr>
        <w:t>.202</w:t>
      </w:r>
      <w:r w:rsidR="006A5B98">
        <w:rPr>
          <w:rFonts w:ascii="Arial" w:hAnsi="Arial" w:cs="Arial"/>
          <w:lang w:val="en-US"/>
        </w:rPr>
        <w:t>5</w:t>
      </w:r>
      <w:r w:rsidR="00823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г.</w:t>
      </w:r>
      <w:r w:rsidR="00C0305C">
        <w:rPr>
          <w:rFonts w:ascii="Arial" w:hAnsi="Arial" w:cs="Arial"/>
          <w:lang w:val="en-US"/>
        </w:rPr>
        <w:t xml:space="preserve"> </w:t>
      </w:r>
      <w:r w:rsidR="000B141F">
        <w:rPr>
          <w:rFonts w:ascii="Arial" w:hAnsi="Arial" w:cs="Arial"/>
          <w:lang w:val="en-US"/>
        </w:rPr>
        <w:t>основен акционер е</w:t>
      </w:r>
      <w:r w:rsidR="000B141F" w:rsidRPr="000B141F">
        <w:rPr>
          <w:rFonts w:ascii="Arial" w:hAnsi="Arial" w:cs="Arial"/>
          <w:lang w:val="en-US"/>
        </w:rPr>
        <w:t xml:space="preserve"> Индъстри </w:t>
      </w:r>
      <w:r w:rsidR="000B141F" w:rsidRPr="000B141F">
        <w:rPr>
          <w:rFonts w:ascii="Arial" w:hAnsi="Arial" w:cs="Arial"/>
        </w:rPr>
        <w:t>Д</w:t>
      </w:r>
      <w:r w:rsidR="000B141F" w:rsidRPr="000B141F">
        <w:rPr>
          <w:rFonts w:ascii="Arial" w:hAnsi="Arial" w:cs="Arial"/>
          <w:lang w:val="en-US"/>
        </w:rPr>
        <w:t xml:space="preserve">ивелъпмънт </w:t>
      </w:r>
      <w:r w:rsidR="000B141F" w:rsidRPr="000B141F">
        <w:rPr>
          <w:rFonts w:ascii="Arial" w:hAnsi="Arial" w:cs="Arial"/>
        </w:rPr>
        <w:t>Х</w:t>
      </w:r>
      <w:r w:rsidR="000B141F" w:rsidRPr="000B141F">
        <w:rPr>
          <w:rFonts w:ascii="Arial" w:hAnsi="Arial" w:cs="Arial"/>
          <w:lang w:val="en-US"/>
        </w:rPr>
        <w:t xml:space="preserve">олдинг АД, притежаващо 51% от капитала на </w:t>
      </w:r>
      <w:r w:rsidR="0075396D" w:rsidRPr="000B141F">
        <w:rPr>
          <w:rFonts w:ascii="Arial" w:hAnsi="Arial" w:cs="Arial"/>
          <w:lang w:val="en-US"/>
        </w:rPr>
        <w:t>АЛТЕРОН</w:t>
      </w:r>
      <w:r w:rsidR="000B141F" w:rsidRPr="000B141F">
        <w:rPr>
          <w:rFonts w:ascii="Arial" w:hAnsi="Arial" w:cs="Arial"/>
          <w:lang w:val="en-US"/>
        </w:rPr>
        <w:t xml:space="preserve"> АДСИЦ</w:t>
      </w:r>
      <w:r w:rsidR="000B141F">
        <w:rPr>
          <w:rFonts w:ascii="Arial" w:hAnsi="Arial" w:cs="Arial"/>
          <w:lang w:val="en-US"/>
        </w:rPr>
        <w:t>.</w:t>
      </w:r>
    </w:p>
    <w:p w14:paraId="1E0C2641" w14:textId="77777777" w:rsidR="006B0251" w:rsidRDefault="006B0251" w:rsidP="00C0305C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53243DE4" w14:textId="77777777" w:rsidR="006B0251" w:rsidRDefault="006B0251" w:rsidP="00C0305C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Продължаващата и към 3</w:t>
      </w:r>
      <w:r w:rsidR="00871AA6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="006A5B98">
        <w:rPr>
          <w:rFonts w:ascii="Arial" w:hAnsi="Arial" w:cs="Arial"/>
          <w:lang w:val="en-US"/>
        </w:rPr>
        <w:t>03</w:t>
      </w:r>
      <w:r>
        <w:rPr>
          <w:rFonts w:ascii="Arial" w:hAnsi="Arial" w:cs="Arial"/>
          <w:lang w:val="en-US"/>
        </w:rPr>
        <w:t>.202</w:t>
      </w:r>
      <w:r w:rsidR="006A5B98">
        <w:rPr>
          <w:rFonts w:ascii="Arial" w:hAnsi="Arial" w:cs="Arial"/>
          <w:lang w:val="en-US"/>
        </w:rPr>
        <w:t>5</w:t>
      </w:r>
      <w:r w:rsidR="00823C3B">
        <w:rPr>
          <w:rFonts w:ascii="Arial" w:hAnsi="Arial" w:cs="Arial"/>
        </w:rPr>
        <w:t xml:space="preserve"> </w:t>
      </w:r>
      <w:r w:rsidRPr="006B0251">
        <w:rPr>
          <w:rFonts w:ascii="Arial" w:hAnsi="Arial" w:cs="Arial"/>
          <w:lang w:val="en-US"/>
        </w:rPr>
        <w:t xml:space="preserve">г. </w:t>
      </w:r>
      <w:r w:rsidR="00AA0B20">
        <w:rPr>
          <w:rFonts w:ascii="Arial" w:hAnsi="Arial" w:cs="Arial"/>
        </w:rPr>
        <w:t>р</w:t>
      </w:r>
      <w:r w:rsidRPr="006B0251">
        <w:rPr>
          <w:rFonts w:ascii="Arial" w:hAnsi="Arial" w:cs="Arial"/>
          <w:lang w:val="en-US"/>
        </w:rPr>
        <w:t xml:space="preserve">уска агресия в Украйна води до нарастващо геополитическо напрежение и несигурност в икономическата обстановка. Наложени бяха поредица от пакети санкции срещу Руската Федерация и руски субекти. Извън общия негативен ефект върху макроикономическите условия в страната и в Европа, </w:t>
      </w:r>
      <w:r w:rsidR="00C50704">
        <w:rPr>
          <w:rFonts w:ascii="Arial" w:hAnsi="Arial" w:cs="Arial"/>
          <w:lang w:val="en-US"/>
        </w:rPr>
        <w:t>АЛТЕРОН АДСИЦ</w:t>
      </w:r>
      <w:r w:rsidRPr="006B0251">
        <w:rPr>
          <w:rFonts w:ascii="Arial" w:hAnsi="Arial" w:cs="Arial"/>
          <w:lang w:val="en-US"/>
        </w:rPr>
        <w:t xml:space="preserve"> не регистрира конкретно негативно влияние от войната в Украйна върху своята дейност.</w:t>
      </w:r>
    </w:p>
    <w:p w14:paraId="30672919" w14:textId="77777777" w:rsidR="000729DE" w:rsidRDefault="000729DE" w:rsidP="00A65AD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0A072B0" w14:textId="77777777" w:rsidR="00FA5BC5" w:rsidRDefault="00FA5BC5" w:rsidP="00A65AD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265C6BCF" w14:textId="77777777" w:rsidR="00FA5BC5" w:rsidRPr="001D6466" w:rsidRDefault="00FA5BC5" w:rsidP="00A65AD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42A09B93" w14:textId="77777777" w:rsidR="00D9764F" w:rsidRPr="00E36286" w:rsidRDefault="00D9764F" w:rsidP="00D9764F">
      <w:pPr>
        <w:pStyle w:val="2"/>
        <w:keepLines/>
        <w:numPr>
          <w:ilvl w:val="1"/>
          <w:numId w:val="1"/>
        </w:numPr>
        <w:spacing w:before="200" w:line="276" w:lineRule="auto"/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 xml:space="preserve">Анализ на активите на </w:t>
      </w:r>
      <w:r w:rsidR="0095096E">
        <w:rPr>
          <w:rFonts w:ascii="Arial" w:hAnsi="Arial" w:cs="Arial"/>
          <w:sz w:val="22"/>
          <w:szCs w:val="22"/>
        </w:rPr>
        <w:t>АЛТЕРОН АДСИЦ</w:t>
      </w:r>
    </w:p>
    <w:p w14:paraId="267D1E4C" w14:textId="77777777" w:rsidR="00C0305C" w:rsidRDefault="00C0305C" w:rsidP="00A65AD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29001B22" w14:textId="77777777" w:rsidR="005B534C" w:rsidRDefault="00805589" w:rsidP="00E36286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Към</w:t>
      </w:r>
      <w:r w:rsidR="00375B14">
        <w:rPr>
          <w:rFonts w:ascii="Arial" w:hAnsi="Arial" w:cs="Arial"/>
          <w:lang w:val="en-US"/>
        </w:rPr>
        <w:t xml:space="preserve"> </w:t>
      </w:r>
      <w:r w:rsidR="00DB647E">
        <w:rPr>
          <w:rFonts w:ascii="Arial" w:hAnsi="Arial" w:cs="Arial"/>
          <w:lang w:val="en-US"/>
        </w:rPr>
        <w:t xml:space="preserve">края на първото тримесечие на </w:t>
      </w:r>
      <w:r w:rsidR="00375B14">
        <w:rPr>
          <w:rFonts w:ascii="Arial" w:hAnsi="Arial" w:cs="Arial"/>
          <w:lang w:val="en-US"/>
        </w:rPr>
        <w:t>202</w:t>
      </w:r>
      <w:r w:rsidR="00DB647E">
        <w:rPr>
          <w:rFonts w:ascii="Arial" w:hAnsi="Arial" w:cs="Arial"/>
          <w:lang w:val="en-US"/>
        </w:rPr>
        <w:t>5</w:t>
      </w:r>
      <w:r w:rsidR="0083122C">
        <w:rPr>
          <w:rFonts w:ascii="Arial" w:hAnsi="Arial" w:cs="Arial"/>
          <w:lang w:val="en-US"/>
        </w:rPr>
        <w:t xml:space="preserve"> </w:t>
      </w:r>
      <w:r w:rsidR="00375B14">
        <w:rPr>
          <w:rFonts w:ascii="Arial" w:hAnsi="Arial" w:cs="Arial"/>
          <w:lang w:val="en-US"/>
        </w:rPr>
        <w:t>г.</w:t>
      </w:r>
      <w:r w:rsidR="00D6634E">
        <w:rPr>
          <w:rFonts w:ascii="Arial" w:hAnsi="Arial" w:cs="Arial"/>
          <w:lang w:val="en-US"/>
        </w:rPr>
        <w:t>,</w:t>
      </w:r>
      <w:r w:rsidR="00C60899">
        <w:rPr>
          <w:rFonts w:ascii="Arial" w:hAnsi="Arial" w:cs="Arial"/>
          <w:lang w:val="en-US"/>
        </w:rPr>
        <w:t xml:space="preserve"> </w:t>
      </w:r>
      <w:r w:rsidR="00D6634E">
        <w:rPr>
          <w:rFonts w:ascii="Arial" w:hAnsi="Arial" w:cs="Arial"/>
          <w:lang w:val="en-US"/>
        </w:rPr>
        <w:t>активите</w:t>
      </w:r>
      <w:r w:rsidR="00D6634E">
        <w:rPr>
          <w:rFonts w:ascii="Arial" w:hAnsi="Arial" w:cs="Arial"/>
        </w:rPr>
        <w:t xml:space="preserve"> </w:t>
      </w:r>
      <w:r w:rsidR="00D6634E" w:rsidRPr="00E36286">
        <w:rPr>
          <w:rFonts w:ascii="Arial" w:hAnsi="Arial" w:cs="Arial"/>
        </w:rPr>
        <w:t xml:space="preserve">на </w:t>
      </w:r>
      <w:r w:rsidR="00D6634E">
        <w:rPr>
          <w:rFonts w:ascii="Arial" w:hAnsi="Arial" w:cs="Arial"/>
        </w:rPr>
        <w:t>АЛТЕРОН АДСИЦ</w:t>
      </w:r>
      <w:r w:rsidR="00D6634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са на </w:t>
      </w:r>
      <w:r w:rsidR="00D6634E">
        <w:rPr>
          <w:rFonts w:ascii="Arial" w:hAnsi="Arial" w:cs="Arial"/>
          <w:lang w:val="en-US"/>
        </w:rPr>
        <w:t>ниво от 9</w:t>
      </w:r>
      <w:r w:rsidR="00906E33">
        <w:rPr>
          <w:rFonts w:ascii="Arial" w:hAnsi="Arial" w:cs="Arial"/>
          <w:lang w:val="en-US"/>
        </w:rPr>
        <w:t>3</w:t>
      </w:r>
      <w:r w:rsidR="00DF2295">
        <w:rPr>
          <w:rFonts w:ascii="Arial" w:hAnsi="Arial" w:cs="Arial"/>
          <w:lang w:val="en-US"/>
        </w:rPr>
        <w:t>,</w:t>
      </w:r>
      <w:r w:rsidR="00DB647E">
        <w:rPr>
          <w:rFonts w:ascii="Arial" w:hAnsi="Arial" w:cs="Arial"/>
          <w:lang w:val="en-US"/>
        </w:rPr>
        <w:t>3</w:t>
      </w:r>
      <w:r w:rsidR="00FA5BC5">
        <w:rPr>
          <w:rFonts w:ascii="Arial" w:hAnsi="Arial" w:cs="Arial"/>
          <w:lang w:val="en-US"/>
        </w:rPr>
        <w:t>5</w:t>
      </w:r>
      <w:r w:rsidR="00DB647E">
        <w:rPr>
          <w:rFonts w:ascii="Arial" w:hAnsi="Arial" w:cs="Arial"/>
          <w:lang w:val="en-US"/>
        </w:rPr>
        <w:t>5</w:t>
      </w:r>
      <w:r w:rsidR="00DF2295">
        <w:rPr>
          <w:rFonts w:ascii="Arial" w:hAnsi="Arial" w:cs="Arial"/>
          <w:lang w:val="en-US"/>
        </w:rPr>
        <w:t xml:space="preserve"> </w:t>
      </w:r>
      <w:r w:rsidR="00C929F1">
        <w:rPr>
          <w:rFonts w:ascii="Arial" w:hAnsi="Arial" w:cs="Arial"/>
        </w:rPr>
        <w:t>млн. лева</w:t>
      </w:r>
      <w:r w:rsidR="0058140D">
        <w:rPr>
          <w:rFonts w:ascii="Arial" w:hAnsi="Arial" w:cs="Arial"/>
          <w:lang w:val="en-US"/>
        </w:rPr>
        <w:t>,</w:t>
      </w:r>
      <w:r w:rsidR="00C60899">
        <w:rPr>
          <w:rFonts w:ascii="Arial" w:hAnsi="Arial" w:cs="Arial"/>
          <w:lang w:val="en-US"/>
        </w:rPr>
        <w:t xml:space="preserve"> </w:t>
      </w:r>
      <w:r w:rsidR="00A826BB">
        <w:rPr>
          <w:rFonts w:ascii="Arial" w:hAnsi="Arial" w:cs="Arial"/>
          <w:lang w:val="en-US"/>
        </w:rPr>
        <w:t xml:space="preserve">като спадат с </w:t>
      </w:r>
      <w:r w:rsidR="00DB647E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>.</w:t>
      </w:r>
      <w:r w:rsidR="00DB647E">
        <w:rPr>
          <w:rFonts w:ascii="Arial" w:hAnsi="Arial" w:cs="Arial"/>
          <w:lang w:val="en-US"/>
        </w:rPr>
        <w:t>33</w:t>
      </w:r>
      <w:r>
        <w:rPr>
          <w:rFonts w:ascii="Arial" w:hAnsi="Arial" w:cs="Arial"/>
          <w:lang w:val="en-US"/>
        </w:rPr>
        <w:t>%</w:t>
      </w:r>
      <w:r w:rsidR="009A05D7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="00D6634E">
        <w:rPr>
          <w:rFonts w:ascii="Arial" w:hAnsi="Arial" w:cs="Arial"/>
        </w:rPr>
        <w:t>спрямо</w:t>
      </w:r>
      <w:r w:rsidR="00E113A3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9</w:t>
      </w:r>
      <w:r w:rsidR="00DB647E">
        <w:rPr>
          <w:rFonts w:ascii="Arial" w:hAnsi="Arial" w:cs="Arial"/>
          <w:lang w:val="en-US"/>
        </w:rPr>
        <w:t>3</w:t>
      </w:r>
      <w:r w:rsidR="00DF2295">
        <w:rPr>
          <w:rFonts w:ascii="Arial" w:hAnsi="Arial" w:cs="Arial"/>
          <w:lang w:val="en-US"/>
        </w:rPr>
        <w:t>,</w:t>
      </w:r>
      <w:r w:rsidR="00DB647E">
        <w:rPr>
          <w:rFonts w:ascii="Arial" w:hAnsi="Arial" w:cs="Arial"/>
          <w:lang w:val="en-US"/>
        </w:rPr>
        <w:t>66</w:t>
      </w:r>
      <w:r w:rsidR="00906E33">
        <w:rPr>
          <w:rFonts w:ascii="Arial" w:hAnsi="Arial" w:cs="Arial"/>
          <w:lang w:val="en-US"/>
        </w:rPr>
        <w:t>3</w:t>
      </w:r>
      <w:r w:rsidR="00DF2295">
        <w:rPr>
          <w:rFonts w:ascii="Arial" w:hAnsi="Arial" w:cs="Arial"/>
          <w:lang w:val="en-US"/>
        </w:rPr>
        <w:t xml:space="preserve"> </w:t>
      </w:r>
      <w:r w:rsidR="00E113A3">
        <w:rPr>
          <w:rFonts w:ascii="Arial" w:hAnsi="Arial" w:cs="Arial"/>
        </w:rPr>
        <w:t>млн. лева</w:t>
      </w:r>
      <w:r w:rsidR="003C7AFD">
        <w:rPr>
          <w:rFonts w:ascii="Arial" w:hAnsi="Arial" w:cs="Arial"/>
          <w:lang w:val="en-US"/>
        </w:rPr>
        <w:t xml:space="preserve"> </w:t>
      </w:r>
      <w:r w:rsidR="00375B14">
        <w:rPr>
          <w:rFonts w:ascii="Arial" w:hAnsi="Arial" w:cs="Arial"/>
          <w:lang w:val="en-US"/>
        </w:rPr>
        <w:t>към</w:t>
      </w:r>
      <w:r w:rsidR="00694F9D">
        <w:rPr>
          <w:rFonts w:ascii="Arial" w:hAnsi="Arial" w:cs="Arial"/>
          <w:lang w:val="en-US"/>
        </w:rPr>
        <w:t xml:space="preserve"> </w:t>
      </w:r>
      <w:r w:rsidR="00375B14">
        <w:rPr>
          <w:rFonts w:ascii="Arial" w:hAnsi="Arial" w:cs="Arial"/>
          <w:lang w:val="en-US"/>
        </w:rPr>
        <w:t xml:space="preserve">края </w:t>
      </w:r>
      <w:r w:rsidR="00EA3B29">
        <w:rPr>
          <w:rFonts w:ascii="Arial" w:hAnsi="Arial" w:cs="Arial"/>
          <w:lang w:val="en-US"/>
        </w:rPr>
        <w:t>на</w:t>
      </w:r>
      <w:r w:rsidR="00375B14">
        <w:rPr>
          <w:rFonts w:ascii="Arial" w:hAnsi="Arial" w:cs="Arial"/>
          <w:lang w:val="en-US"/>
        </w:rPr>
        <w:t xml:space="preserve"> 202</w:t>
      </w:r>
      <w:r w:rsidR="00EA3B29">
        <w:rPr>
          <w:rFonts w:ascii="Arial" w:hAnsi="Arial" w:cs="Arial"/>
          <w:lang w:val="en-US"/>
        </w:rPr>
        <w:t>4</w:t>
      </w:r>
      <w:r w:rsidR="000555B9">
        <w:rPr>
          <w:rFonts w:ascii="Arial" w:hAnsi="Arial" w:cs="Arial"/>
          <w:lang w:val="en-US"/>
        </w:rPr>
        <w:t xml:space="preserve"> г</w:t>
      </w:r>
      <w:r w:rsidR="00375B14">
        <w:rPr>
          <w:rFonts w:ascii="Arial" w:hAnsi="Arial" w:cs="Arial"/>
          <w:lang w:val="en-US"/>
        </w:rPr>
        <w:t>.</w:t>
      </w:r>
    </w:p>
    <w:p w14:paraId="041DB2CF" w14:textId="77777777" w:rsidR="005B534C" w:rsidRDefault="005B534C" w:rsidP="00E36286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2615F4F" w14:textId="77777777" w:rsidR="005A5F3D" w:rsidRDefault="005A5F3D" w:rsidP="001B6128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При дългосрочните активи</w:t>
      </w:r>
      <w:r w:rsidR="00DB647E">
        <w:rPr>
          <w:rFonts w:ascii="Arial" w:hAnsi="Arial" w:cs="Arial"/>
          <w:lang w:val="en-US"/>
        </w:rPr>
        <w:t xml:space="preserve"> не регистрираме промяна</w:t>
      </w:r>
      <w:r>
        <w:rPr>
          <w:rFonts w:ascii="Arial" w:hAnsi="Arial" w:cs="Arial"/>
          <w:lang w:val="en-US"/>
        </w:rPr>
        <w:t>,</w:t>
      </w:r>
      <w:r w:rsidR="00DB647E">
        <w:rPr>
          <w:rFonts w:ascii="Arial" w:hAnsi="Arial" w:cs="Arial"/>
          <w:lang w:val="en-US"/>
        </w:rPr>
        <w:t xml:space="preserve"> като</w:t>
      </w:r>
      <w:r>
        <w:rPr>
          <w:rFonts w:ascii="Arial" w:hAnsi="Arial" w:cs="Arial"/>
          <w:lang w:val="en-US"/>
        </w:rPr>
        <w:t xml:space="preserve"> п</w:t>
      </w:r>
      <w:r w:rsidRPr="001B6128">
        <w:rPr>
          <w:rFonts w:ascii="Arial" w:hAnsi="Arial" w:cs="Arial"/>
          <w:lang w:val="en-US"/>
        </w:rPr>
        <w:t>озицията “Инвестиционни имоти”</w:t>
      </w:r>
      <w:r>
        <w:rPr>
          <w:rFonts w:ascii="Arial" w:hAnsi="Arial" w:cs="Arial"/>
          <w:lang w:val="en-US"/>
        </w:rPr>
        <w:t xml:space="preserve"> продължава да е най-голямата позиция в активната част на баланса на дружеството с дял от 46.</w:t>
      </w:r>
      <w:r w:rsidR="00DB647E">
        <w:rPr>
          <w:rFonts w:ascii="Arial" w:hAnsi="Arial" w:cs="Arial"/>
          <w:lang w:val="en-US"/>
        </w:rPr>
        <w:t>95</w:t>
      </w:r>
      <w:r>
        <w:rPr>
          <w:rFonts w:ascii="Arial" w:hAnsi="Arial" w:cs="Arial"/>
          <w:lang w:val="en-US"/>
        </w:rPr>
        <w:t xml:space="preserve">% от всички активи. </w:t>
      </w:r>
    </w:p>
    <w:p w14:paraId="6C91FE56" w14:textId="77777777" w:rsidR="005A5F3D" w:rsidRDefault="005A5F3D" w:rsidP="001B6128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14:paraId="37D722A1" w14:textId="77777777" w:rsidR="00BB7ABC" w:rsidRPr="00BB7ABC" w:rsidRDefault="00CB0611" w:rsidP="001B6128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CB0611">
        <w:rPr>
          <w:rFonts w:ascii="Arial" w:hAnsi="Arial" w:cs="Arial"/>
          <w:lang w:val="en-US"/>
        </w:rPr>
        <w:t>При краткосрочните активи</w:t>
      </w:r>
      <w:r w:rsidR="00BB7ABC" w:rsidRPr="00CB0611">
        <w:rPr>
          <w:rFonts w:ascii="Arial" w:hAnsi="Arial" w:cs="Arial"/>
          <w:color w:val="000000"/>
          <w:lang w:val="en-US"/>
        </w:rPr>
        <w:t xml:space="preserve">, </w:t>
      </w:r>
      <w:r w:rsidR="00DB647E">
        <w:rPr>
          <w:rFonts w:ascii="Arial" w:hAnsi="Arial" w:cs="Arial"/>
          <w:color w:val="000000"/>
          <w:lang w:val="en-US"/>
        </w:rPr>
        <w:t xml:space="preserve">данните за отделните </w:t>
      </w:r>
      <w:r w:rsidRPr="00CB0611">
        <w:rPr>
          <w:rFonts w:ascii="Arial" w:hAnsi="Arial" w:cs="Arial"/>
          <w:color w:val="000000"/>
          <w:lang w:val="en-US"/>
        </w:rPr>
        <w:t>позици</w:t>
      </w:r>
      <w:r w:rsidR="00DB647E">
        <w:rPr>
          <w:rFonts w:ascii="Arial" w:hAnsi="Arial" w:cs="Arial"/>
          <w:color w:val="000000"/>
          <w:lang w:val="en-US"/>
        </w:rPr>
        <w:t>и са консистентни с тези от края на 2024</w:t>
      </w:r>
      <w:r w:rsidR="00C1434B">
        <w:rPr>
          <w:rFonts w:ascii="Arial" w:hAnsi="Arial" w:cs="Arial"/>
          <w:color w:val="000000"/>
          <w:lang w:val="en-US"/>
        </w:rPr>
        <w:t xml:space="preserve"> </w:t>
      </w:r>
      <w:r w:rsidR="00DB647E">
        <w:rPr>
          <w:rFonts w:ascii="Arial" w:hAnsi="Arial" w:cs="Arial"/>
          <w:color w:val="000000"/>
          <w:lang w:val="en-US"/>
        </w:rPr>
        <w:t>г., като позицията</w:t>
      </w:r>
      <w:r w:rsidRPr="00CB0611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“</w:t>
      </w:r>
      <w:r w:rsidR="00DB647E">
        <w:rPr>
          <w:rFonts w:ascii="Arial" w:hAnsi="Arial" w:cs="Arial"/>
          <w:bCs/>
          <w:color w:val="000000"/>
          <w:lang w:val="en-US"/>
        </w:rPr>
        <w:t>Пари и парични еквиваленти</w:t>
      </w:r>
      <w:r>
        <w:rPr>
          <w:rFonts w:ascii="Arial" w:hAnsi="Arial" w:cs="Arial"/>
          <w:bCs/>
          <w:color w:val="000000"/>
          <w:lang w:val="en-US"/>
        </w:rPr>
        <w:t>”</w:t>
      </w:r>
      <w:r w:rsidRPr="00CB0611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нараства</w:t>
      </w:r>
      <w:r w:rsidR="00BB7ABC" w:rsidRPr="00CB0611">
        <w:rPr>
          <w:rFonts w:ascii="Arial" w:hAnsi="Arial" w:cs="Arial"/>
          <w:color w:val="000000"/>
          <w:lang w:val="en-US"/>
        </w:rPr>
        <w:t xml:space="preserve"> </w:t>
      </w:r>
      <w:r w:rsidR="00BB7ABC">
        <w:rPr>
          <w:rFonts w:ascii="Arial" w:hAnsi="Arial" w:cs="Arial"/>
          <w:color w:val="000000"/>
          <w:lang w:val="en-US"/>
        </w:rPr>
        <w:t xml:space="preserve">до ниво от </w:t>
      </w:r>
      <w:r w:rsidR="005A5F3D">
        <w:rPr>
          <w:rFonts w:ascii="Arial" w:hAnsi="Arial" w:cs="Arial"/>
          <w:color w:val="000000"/>
          <w:lang w:val="en-US"/>
        </w:rPr>
        <w:t>5</w:t>
      </w:r>
      <w:r w:rsidR="00DB647E">
        <w:rPr>
          <w:rFonts w:ascii="Arial" w:hAnsi="Arial" w:cs="Arial"/>
          <w:color w:val="000000"/>
          <w:lang w:val="en-US"/>
        </w:rPr>
        <w:t>45</w:t>
      </w:r>
      <w:r w:rsidR="00BB7ABC">
        <w:rPr>
          <w:rFonts w:ascii="Arial" w:hAnsi="Arial" w:cs="Arial"/>
          <w:color w:val="000000"/>
          <w:lang w:val="en-US"/>
        </w:rPr>
        <w:t xml:space="preserve"> </w:t>
      </w:r>
      <w:r w:rsidR="00DB647E">
        <w:rPr>
          <w:rFonts w:ascii="Arial" w:hAnsi="Arial" w:cs="Arial"/>
          <w:color w:val="000000"/>
          <w:lang w:val="en-US"/>
        </w:rPr>
        <w:t>хиляди</w:t>
      </w:r>
      <w:r w:rsidR="00BB7ABC">
        <w:rPr>
          <w:rFonts w:ascii="Arial" w:hAnsi="Arial" w:cs="Arial"/>
          <w:color w:val="000000"/>
          <w:lang w:val="en-US"/>
        </w:rPr>
        <w:t xml:space="preserve"> лева</w:t>
      </w:r>
      <w:r w:rsidR="00DB647E">
        <w:rPr>
          <w:rFonts w:ascii="Arial" w:hAnsi="Arial" w:cs="Arial"/>
          <w:color w:val="000000"/>
          <w:lang w:val="en-US"/>
        </w:rPr>
        <w:t>, което ще благоприятства точното изпълнение на предстоящите през месец юни 2025</w:t>
      </w:r>
      <w:r w:rsidR="00C1434B">
        <w:rPr>
          <w:rFonts w:ascii="Arial" w:hAnsi="Arial" w:cs="Arial"/>
          <w:color w:val="000000"/>
          <w:lang w:val="en-US"/>
        </w:rPr>
        <w:t xml:space="preserve"> </w:t>
      </w:r>
      <w:r w:rsidR="00DB647E">
        <w:rPr>
          <w:rFonts w:ascii="Arial" w:hAnsi="Arial" w:cs="Arial"/>
          <w:color w:val="000000"/>
          <w:lang w:val="en-US"/>
        </w:rPr>
        <w:t>г. плащания по облигационната емисия</w:t>
      </w:r>
      <w:r w:rsidR="00BB7ABC">
        <w:rPr>
          <w:rFonts w:ascii="Arial" w:hAnsi="Arial" w:cs="Arial"/>
          <w:color w:val="000000"/>
          <w:lang w:val="en-US"/>
        </w:rPr>
        <w:t>.</w:t>
      </w:r>
    </w:p>
    <w:p w14:paraId="53584EEE" w14:textId="77777777" w:rsidR="00CB0611" w:rsidRDefault="00CB0611" w:rsidP="001B6128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14:paraId="7DD8F57F" w14:textId="77777777" w:rsidR="00F51D91" w:rsidRPr="00BB7ABC" w:rsidRDefault="00DB647E" w:rsidP="001B6128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С</w:t>
      </w:r>
      <w:r w:rsidR="00F51D91">
        <w:rPr>
          <w:rFonts w:ascii="Arial" w:hAnsi="Arial" w:cs="Arial"/>
          <w:lang w:val="en-US"/>
        </w:rPr>
        <w:t xml:space="preserve">труктурата на активите </w:t>
      </w:r>
      <w:r>
        <w:rPr>
          <w:rFonts w:ascii="Arial" w:hAnsi="Arial" w:cs="Arial"/>
          <w:lang w:val="en-US"/>
        </w:rPr>
        <w:t>също е без съществена промяна,</w:t>
      </w:r>
      <w:r w:rsidR="00CB0611">
        <w:rPr>
          <w:rFonts w:ascii="Arial" w:hAnsi="Arial" w:cs="Arial"/>
          <w:lang w:val="en-US"/>
        </w:rPr>
        <w:t xml:space="preserve"> като д</w:t>
      </w:r>
      <w:r w:rsidR="00FA5BC5">
        <w:rPr>
          <w:rFonts w:ascii="Arial" w:hAnsi="Arial" w:cs="Arial"/>
          <w:lang w:val="en-US"/>
        </w:rPr>
        <w:t>елът на</w:t>
      </w:r>
      <w:r w:rsidR="00CB061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краткосрочните</w:t>
      </w:r>
      <w:r>
        <w:rPr>
          <w:rFonts w:ascii="Arial" w:hAnsi="Arial" w:cs="Arial"/>
          <w:lang w:val="en-US"/>
        </w:rPr>
        <w:t xml:space="preserve"> активи </w:t>
      </w:r>
      <w:r w:rsidR="00F51D91">
        <w:rPr>
          <w:rFonts w:ascii="Arial" w:hAnsi="Arial" w:cs="Arial"/>
          <w:lang w:val="en-US"/>
        </w:rPr>
        <w:t xml:space="preserve">е </w:t>
      </w:r>
      <w:r w:rsidR="00CB0611">
        <w:rPr>
          <w:rFonts w:ascii="Arial" w:hAnsi="Arial" w:cs="Arial"/>
          <w:lang w:val="en-US"/>
        </w:rPr>
        <w:t>53</w:t>
      </w:r>
      <w:r w:rsidR="00F51D91">
        <w:rPr>
          <w:rFonts w:ascii="Arial" w:hAnsi="Arial" w:cs="Arial"/>
          <w:lang w:val="en-US"/>
        </w:rPr>
        <w:t>.</w:t>
      </w:r>
      <w:r w:rsidR="00FA5BC5">
        <w:rPr>
          <w:rFonts w:ascii="Arial" w:hAnsi="Arial" w:cs="Arial"/>
          <w:lang w:val="en-US"/>
        </w:rPr>
        <w:t>04</w:t>
      </w:r>
      <w:r w:rsidR="00F51D91">
        <w:rPr>
          <w:rFonts w:ascii="Arial" w:hAnsi="Arial" w:cs="Arial"/>
          <w:lang w:val="en-US"/>
        </w:rPr>
        <w:t xml:space="preserve">% спрямо </w:t>
      </w:r>
      <w:r w:rsidR="00FA5BC5">
        <w:rPr>
          <w:rFonts w:ascii="Arial" w:hAnsi="Arial" w:cs="Arial"/>
          <w:lang w:val="en-US"/>
        </w:rPr>
        <w:t>53</w:t>
      </w:r>
      <w:r w:rsidR="00F51D91">
        <w:rPr>
          <w:rFonts w:ascii="Arial" w:hAnsi="Arial" w:cs="Arial"/>
          <w:lang w:val="en-US"/>
        </w:rPr>
        <w:t>.</w:t>
      </w:r>
      <w:r w:rsidR="00FA5BC5">
        <w:rPr>
          <w:rFonts w:ascii="Arial" w:hAnsi="Arial" w:cs="Arial"/>
          <w:lang w:val="en-US"/>
        </w:rPr>
        <w:t>20</w:t>
      </w:r>
      <w:r w:rsidR="00F51D91">
        <w:rPr>
          <w:rFonts w:ascii="Arial" w:hAnsi="Arial" w:cs="Arial"/>
          <w:lang w:val="en-US"/>
        </w:rPr>
        <w:t>% към 3</w:t>
      </w:r>
      <w:r w:rsidR="00FA5BC5">
        <w:rPr>
          <w:rFonts w:ascii="Arial" w:hAnsi="Arial" w:cs="Arial"/>
          <w:lang w:val="en-US"/>
        </w:rPr>
        <w:t>1</w:t>
      </w:r>
      <w:r w:rsidR="00F51D91">
        <w:rPr>
          <w:rFonts w:ascii="Arial" w:hAnsi="Arial" w:cs="Arial"/>
          <w:lang w:val="en-US"/>
        </w:rPr>
        <w:t>.</w:t>
      </w:r>
      <w:r w:rsidR="00FA5BC5">
        <w:rPr>
          <w:rFonts w:ascii="Arial" w:hAnsi="Arial" w:cs="Arial"/>
          <w:lang w:val="en-US"/>
        </w:rPr>
        <w:t>12</w:t>
      </w:r>
      <w:r w:rsidR="00F51D91">
        <w:rPr>
          <w:rFonts w:ascii="Arial" w:hAnsi="Arial" w:cs="Arial"/>
          <w:lang w:val="en-US"/>
        </w:rPr>
        <w:t>.202</w:t>
      </w:r>
      <w:r w:rsidR="00EA3B29">
        <w:rPr>
          <w:rFonts w:ascii="Arial" w:hAnsi="Arial" w:cs="Arial"/>
          <w:lang w:val="en-US"/>
        </w:rPr>
        <w:t>4</w:t>
      </w:r>
      <w:r w:rsidR="00F51D91">
        <w:rPr>
          <w:rFonts w:ascii="Arial" w:hAnsi="Arial" w:cs="Arial"/>
          <w:lang w:val="en-US"/>
        </w:rPr>
        <w:t xml:space="preserve"> г., </w:t>
      </w:r>
      <w:r w:rsidR="00F51D91">
        <w:rPr>
          <w:rFonts w:ascii="Arial" w:hAnsi="Arial" w:cs="Arial"/>
        </w:rPr>
        <w:t xml:space="preserve">докато </w:t>
      </w:r>
      <w:r w:rsidR="00F51D91">
        <w:rPr>
          <w:rFonts w:ascii="Arial" w:hAnsi="Arial" w:cs="Arial"/>
          <w:lang w:val="en-US"/>
        </w:rPr>
        <w:t xml:space="preserve">нетекущите активи имат дял от </w:t>
      </w:r>
      <w:r w:rsidR="00CB0611">
        <w:rPr>
          <w:rFonts w:ascii="Arial" w:hAnsi="Arial" w:cs="Arial"/>
          <w:lang w:val="en-US"/>
        </w:rPr>
        <w:t>46</w:t>
      </w:r>
      <w:r w:rsidR="00F51D91">
        <w:rPr>
          <w:rFonts w:ascii="Arial" w:hAnsi="Arial" w:cs="Arial"/>
          <w:lang w:val="en-US"/>
        </w:rPr>
        <w:t>.</w:t>
      </w:r>
      <w:r w:rsidR="00FA5BC5">
        <w:rPr>
          <w:rFonts w:ascii="Arial" w:hAnsi="Arial" w:cs="Arial"/>
          <w:lang w:val="en-US"/>
        </w:rPr>
        <w:t>96</w:t>
      </w:r>
      <w:r w:rsidR="00F51D91">
        <w:rPr>
          <w:rFonts w:ascii="Arial" w:hAnsi="Arial" w:cs="Arial"/>
          <w:lang w:val="en-US"/>
        </w:rPr>
        <w:t xml:space="preserve">% спрямо </w:t>
      </w:r>
      <w:r w:rsidR="00FA5BC5">
        <w:rPr>
          <w:rFonts w:ascii="Arial" w:hAnsi="Arial" w:cs="Arial"/>
          <w:lang w:val="en-US"/>
        </w:rPr>
        <w:t>46</w:t>
      </w:r>
      <w:r w:rsidR="00F51D91">
        <w:rPr>
          <w:rFonts w:ascii="Arial" w:hAnsi="Arial" w:cs="Arial"/>
          <w:lang w:val="en-US"/>
        </w:rPr>
        <w:t>.</w:t>
      </w:r>
      <w:r w:rsidR="00FA5BC5">
        <w:rPr>
          <w:rFonts w:ascii="Arial" w:hAnsi="Arial" w:cs="Arial"/>
          <w:lang w:val="en-US"/>
        </w:rPr>
        <w:t>80</w:t>
      </w:r>
      <w:r w:rsidR="00F51D91">
        <w:rPr>
          <w:rFonts w:ascii="Arial" w:hAnsi="Arial" w:cs="Arial"/>
          <w:lang w:val="en-US"/>
        </w:rPr>
        <w:t>% от всички активи на емитента към 3</w:t>
      </w:r>
      <w:r w:rsidR="00FA5BC5">
        <w:rPr>
          <w:rFonts w:ascii="Arial" w:hAnsi="Arial" w:cs="Arial"/>
          <w:lang w:val="en-US"/>
        </w:rPr>
        <w:t>1</w:t>
      </w:r>
      <w:r w:rsidR="00F51D91">
        <w:rPr>
          <w:rFonts w:ascii="Arial" w:hAnsi="Arial" w:cs="Arial"/>
          <w:lang w:val="en-US"/>
        </w:rPr>
        <w:t>.</w:t>
      </w:r>
      <w:r w:rsidR="00FA5BC5">
        <w:rPr>
          <w:rFonts w:ascii="Arial" w:hAnsi="Arial" w:cs="Arial"/>
          <w:lang w:val="en-US"/>
        </w:rPr>
        <w:t>12</w:t>
      </w:r>
      <w:r w:rsidR="00F51D91">
        <w:rPr>
          <w:rFonts w:ascii="Arial" w:hAnsi="Arial" w:cs="Arial"/>
          <w:lang w:val="en-US"/>
        </w:rPr>
        <w:t>.202</w:t>
      </w:r>
      <w:r w:rsidR="00EA3B29">
        <w:rPr>
          <w:rFonts w:ascii="Arial" w:hAnsi="Arial" w:cs="Arial"/>
          <w:lang w:val="en-US"/>
        </w:rPr>
        <w:t>4</w:t>
      </w:r>
      <w:r w:rsidR="00F51D91">
        <w:rPr>
          <w:rFonts w:ascii="Arial" w:hAnsi="Arial" w:cs="Arial"/>
          <w:lang w:val="en-US"/>
        </w:rPr>
        <w:t xml:space="preserve"> г.</w:t>
      </w:r>
    </w:p>
    <w:p w14:paraId="074EFEB4" w14:textId="77777777" w:rsidR="00D9764F" w:rsidRPr="002153ED" w:rsidRDefault="00D9764F" w:rsidP="000555B9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16"/>
        <w:gridCol w:w="953"/>
        <w:gridCol w:w="953"/>
        <w:gridCol w:w="1330"/>
        <w:gridCol w:w="1528"/>
      </w:tblGrid>
      <w:tr w:rsidR="008D351D" w:rsidRPr="00E36286" w14:paraId="4D0BF902" w14:textId="77777777" w:rsidTr="002F7411">
        <w:trPr>
          <w:trHeight w:val="415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DF2B7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sz w:val="20"/>
                <w:szCs w:val="20"/>
              </w:rPr>
              <w:t>Активи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4094" w14:textId="77777777" w:rsidR="008D351D" w:rsidRPr="00E36286" w:rsidRDefault="008D351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4F66" w14:textId="77777777" w:rsidR="008D351D" w:rsidRPr="00DC6FBA" w:rsidRDefault="008D351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3911C99B" w14:textId="77777777" w:rsidR="008D351D" w:rsidRPr="00E36286" w:rsidRDefault="008D351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7A701912" w14:textId="77777777" w:rsidR="008D351D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  <w:p w14:paraId="397EB89B" w14:textId="77777777" w:rsidR="008D351D" w:rsidRPr="00AE2042" w:rsidRDefault="008D351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CEFE5" w14:textId="77777777" w:rsidR="008D351D" w:rsidRPr="00E36286" w:rsidRDefault="008D351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от активите към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8D351D" w:rsidRPr="00E36286" w14:paraId="179184FA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CB33E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5327C" w14:textId="77777777" w:rsidR="008D351D" w:rsidRPr="00E36286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E742C" w14:textId="77777777" w:rsidR="008D351D" w:rsidRPr="00E36286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8D83" w14:textId="77777777" w:rsidR="008D351D" w:rsidRPr="00E36286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96AF" w14:textId="77777777" w:rsidR="008D351D" w:rsidRPr="00E36286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351D" w:rsidRPr="00E36286" w14:paraId="73CDC1F4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736A6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активи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85140" w14:textId="77777777" w:rsidR="008D351D" w:rsidRPr="00E36286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1E103" w14:textId="77777777" w:rsidR="008D351D" w:rsidRPr="00E36286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04FB" w14:textId="77777777" w:rsidR="008D351D" w:rsidRPr="00E36286" w:rsidRDefault="008D351D" w:rsidP="002F7411">
            <w:pPr>
              <w:rPr>
                <w:rFonts w:ascii="Arial" w:hAnsi="Arial" w:cs="Arial"/>
                <w:sz w:val="20"/>
                <w:szCs w:val="20"/>
              </w:rPr>
            </w:pPr>
            <w:r w:rsidRPr="00E36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09AB" w14:textId="77777777" w:rsidR="008D351D" w:rsidRPr="00E36286" w:rsidRDefault="008D351D" w:rsidP="002F7411">
            <w:pPr>
              <w:rPr>
                <w:rFonts w:ascii="Arial" w:hAnsi="Arial" w:cs="Arial"/>
                <w:sz w:val="20"/>
                <w:szCs w:val="20"/>
              </w:rPr>
            </w:pPr>
            <w:r w:rsidRPr="00E36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51D" w:rsidRPr="00E36286" w14:paraId="2C604330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6AFDE" w14:textId="77777777" w:rsidR="008D351D" w:rsidRPr="000555B9" w:rsidRDefault="008D351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Инвестиционни имоти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A5CD" w14:textId="77777777" w:rsidR="008D351D" w:rsidRPr="00987716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43827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66E42" w14:textId="77777777" w:rsidR="008D351D" w:rsidRPr="00987716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43827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AA13" w14:textId="77777777" w:rsidR="008D351D" w:rsidRPr="00181D22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7B69" w14:textId="77777777" w:rsidR="008D351D" w:rsidRPr="00181D22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46.95</w:t>
            </w:r>
          </w:p>
        </w:tc>
      </w:tr>
      <w:tr w:rsidR="008D351D" w:rsidRPr="00E36286" w14:paraId="56408126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E4C54" w14:textId="77777777" w:rsidR="008D351D" w:rsidRPr="000555B9" w:rsidRDefault="008D351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Търговски и други финансови вземания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2D55B" w14:textId="77777777" w:rsidR="008D351D" w:rsidRPr="00987716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FEFA8" w14:textId="77777777" w:rsidR="008D351D" w:rsidRPr="00987716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D394" w14:textId="77777777" w:rsidR="008D351D" w:rsidRPr="0022216A" w:rsidRDefault="00AD0B30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69C8C" w14:textId="77777777" w:rsidR="008D351D" w:rsidRPr="002A641E" w:rsidRDefault="00AD0B30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8D351D" w:rsidRPr="00E36286" w14:paraId="642F6A86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763ED" w14:textId="77777777" w:rsidR="008D351D" w:rsidRPr="000555B9" w:rsidRDefault="008D351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Репутация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3BC3" w14:textId="77777777" w:rsidR="008D351D" w:rsidRPr="00FB7C6F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E784F" w14:textId="77777777" w:rsidR="008D351D" w:rsidRPr="00FB7C6F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20C" w14:textId="77777777" w:rsidR="008D351D" w:rsidRPr="007616F5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203C" w14:textId="77777777" w:rsidR="008D351D" w:rsidRPr="00181D22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8D351D" w:rsidRPr="00E36286" w14:paraId="6E29CC22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67086" w14:textId="77777777" w:rsidR="008D351D" w:rsidRPr="000555B9" w:rsidRDefault="008D351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76FFE" w14:textId="77777777" w:rsidR="008D351D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0164C" w14:textId="77777777" w:rsidR="008D351D" w:rsidRDefault="008D351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45634" w14:textId="77777777" w:rsidR="008D351D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BAE48" w14:textId="77777777" w:rsidR="008D351D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51D" w:rsidRPr="00E36286" w14:paraId="79285CCF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89153C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 активи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A007365" w14:textId="77777777" w:rsidR="008D351D" w:rsidRPr="00FB7C6F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43832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E579FF0" w14:textId="77777777" w:rsidR="008D351D" w:rsidRPr="00FB7C6F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43832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29FA782" w14:textId="77777777" w:rsidR="008D351D" w:rsidRPr="0016107E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1EA00AB" w14:textId="77777777" w:rsidR="008D351D" w:rsidRPr="002A641E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46.96</w:t>
            </w:r>
          </w:p>
        </w:tc>
      </w:tr>
      <w:tr w:rsidR="008D351D" w:rsidRPr="00E36286" w14:paraId="48C5ACB4" w14:textId="77777777" w:rsidTr="002F7411">
        <w:trPr>
          <w:trHeight w:val="33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D7659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 активи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205A2" w14:textId="77777777" w:rsidR="008D351D" w:rsidRPr="00E36286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ECE66" w14:textId="77777777" w:rsidR="008D351D" w:rsidRPr="00E36286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01E2" w14:textId="77777777" w:rsidR="008D351D" w:rsidRPr="00E36286" w:rsidRDefault="008D351D" w:rsidP="002F7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22B59" w14:textId="77777777" w:rsidR="008D351D" w:rsidRPr="00E36286" w:rsidRDefault="008D351D" w:rsidP="002F7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51D" w:rsidRPr="00E36286" w14:paraId="080ABC7F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F5825" w14:textId="77777777" w:rsidR="008D351D" w:rsidRPr="000555B9" w:rsidRDefault="008D351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Търговски и други финансови вземания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56CB7" w14:textId="77777777" w:rsidR="008D351D" w:rsidRPr="00612D42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88A30" w14:textId="77777777" w:rsidR="008D351D" w:rsidRPr="00612D42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A27E2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97.83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8D7C6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18.35</w:t>
            </w:r>
          </w:p>
        </w:tc>
      </w:tr>
      <w:tr w:rsidR="008D351D" w:rsidRPr="00E36286" w14:paraId="7DD384A1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E0764" w14:textId="77777777" w:rsidR="008D351D" w:rsidRPr="000555B9" w:rsidRDefault="008D351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Материални запаси (Незавършено строителство)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E4419" w14:textId="77777777" w:rsidR="008D351D" w:rsidRPr="00D461F7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73279" w14:textId="77777777" w:rsidR="008D351D" w:rsidRPr="00D461F7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12814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190E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104.21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62AC5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</w:tr>
      <w:tr w:rsidR="008D351D" w:rsidRPr="00E36286" w14:paraId="11CBBED5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4161D" w14:textId="77777777" w:rsidR="008D351D" w:rsidRPr="000555B9" w:rsidRDefault="008D351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Предплащания и други активи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139AA" w14:textId="77777777" w:rsidR="008D351D" w:rsidRPr="00612D42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E1483" w14:textId="77777777" w:rsidR="008D351D" w:rsidRPr="00612D42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5954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5B2B2" w14:textId="77777777" w:rsidR="008D351D" w:rsidRPr="0016107E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85.84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5069E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5.47</w:t>
            </w:r>
          </w:p>
        </w:tc>
      </w:tr>
      <w:tr w:rsidR="008D351D" w:rsidRPr="00E36286" w14:paraId="3B0A5F20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4A647" w14:textId="77777777" w:rsidR="008D351D" w:rsidRPr="000555B9" w:rsidRDefault="008D351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0555B9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Пари и парични еквиваленти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BD4C6" w14:textId="77777777" w:rsidR="008D351D" w:rsidRPr="00612D42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E87BF" w14:textId="77777777" w:rsidR="008D351D" w:rsidRPr="00612D42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7FBA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324.40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FE80" w14:textId="77777777" w:rsidR="008D351D" w:rsidRPr="006671B7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</w:tr>
      <w:tr w:rsidR="008D351D" w:rsidRPr="00E36286" w14:paraId="08D68158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01450" w14:textId="77777777" w:rsidR="008D351D" w:rsidRPr="000555B9" w:rsidRDefault="008D351D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55B9">
              <w:rPr>
                <w:rFonts w:ascii="Arial" w:hAnsi="Arial" w:cs="Arial"/>
                <w:color w:val="000000"/>
                <w:sz w:val="20"/>
                <w:szCs w:val="20"/>
              </w:rPr>
              <w:t>Активи, държани за продажба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7F1B0" w14:textId="77777777" w:rsidR="008D351D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FE8B9" w14:textId="77777777" w:rsidR="008D351D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13385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FB761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EA97" w14:textId="77777777" w:rsidR="008D351D" w:rsidRPr="006C77DF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14.34</w:t>
            </w:r>
          </w:p>
        </w:tc>
      </w:tr>
      <w:tr w:rsidR="008D351D" w:rsidRPr="00E36286" w14:paraId="3D993F13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2CC252" w14:textId="77777777" w:rsidR="008D351D" w:rsidRPr="000555B9" w:rsidRDefault="008D351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783DA" w14:textId="77777777" w:rsidR="008D351D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A27A5" w14:textId="77777777" w:rsidR="008D351D" w:rsidRDefault="008D351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FE2E5" w14:textId="77777777" w:rsidR="008D351D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05212" w14:textId="77777777" w:rsidR="008D351D" w:rsidRDefault="008D351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51D" w:rsidRPr="00E36286" w14:paraId="6C2AD7AE" w14:textId="77777777" w:rsidTr="002F7411">
        <w:trPr>
          <w:trHeight w:val="300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B15A122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 активи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7D3580A" w14:textId="77777777" w:rsidR="008D351D" w:rsidRPr="006B2F9B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49523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1E54470" w14:textId="77777777" w:rsidR="008D351D" w:rsidRPr="006B2F9B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49831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37F3722" w14:textId="77777777" w:rsidR="008D351D" w:rsidRPr="00D16030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99.38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272E0E7" w14:textId="77777777" w:rsidR="008D351D" w:rsidRPr="00D16030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53.04</w:t>
            </w:r>
          </w:p>
        </w:tc>
      </w:tr>
      <w:tr w:rsidR="008D351D" w:rsidRPr="00E36286" w14:paraId="46A5D168" w14:textId="77777777" w:rsidTr="002F7411">
        <w:trPr>
          <w:trHeight w:val="315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2A11F47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A39C461" w14:textId="77777777" w:rsidR="008D351D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52F920E" w14:textId="77777777" w:rsidR="008D351D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D03149B" w14:textId="77777777" w:rsidR="008D351D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A3A38E8" w14:textId="77777777" w:rsidR="008D351D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351D" w:rsidRPr="00E36286" w14:paraId="42F1495F" w14:textId="77777777" w:rsidTr="002F7411">
        <w:trPr>
          <w:trHeight w:val="315"/>
        </w:trPr>
        <w:tc>
          <w:tcPr>
            <w:tcW w:w="2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25F544D" w14:textId="77777777" w:rsidR="008D351D" w:rsidRPr="000555B9" w:rsidRDefault="008D351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5B9">
              <w:rPr>
                <w:rFonts w:ascii="Arial" w:hAnsi="Arial" w:cs="Arial"/>
                <w:b/>
                <w:bCs/>
                <w:sz w:val="20"/>
                <w:szCs w:val="20"/>
              </w:rPr>
              <w:t>Общо активи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E31FFC9" w14:textId="77777777" w:rsidR="008D351D" w:rsidRPr="006B2F9B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93355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F2EBED9" w14:textId="77777777" w:rsidR="008D351D" w:rsidRPr="006B2F9B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93663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F5C7C5A" w14:textId="77777777" w:rsidR="008D351D" w:rsidRPr="0083041D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99.67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A1B434A" w14:textId="77777777" w:rsidR="008D351D" w:rsidRPr="00E36286" w:rsidRDefault="008D351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</w:t>
            </w:r>
          </w:p>
        </w:tc>
      </w:tr>
    </w:tbl>
    <w:p w14:paraId="3D989309" w14:textId="77777777" w:rsidR="007F2CDD" w:rsidRDefault="007F2CDD" w:rsidP="00340352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214D8BB9" w14:textId="77777777" w:rsidR="00EA3B29" w:rsidRDefault="00EA3B29" w:rsidP="00340352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36F60EAD" w14:textId="77777777" w:rsidR="00FA5BC5" w:rsidRDefault="00FA5BC5" w:rsidP="00340352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189DCDDB" w14:textId="77777777" w:rsidR="00EA3B29" w:rsidRPr="00694F9D" w:rsidRDefault="00EA3B29" w:rsidP="00340352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lang w:val="en-US"/>
        </w:rPr>
      </w:pPr>
    </w:p>
    <w:p w14:paraId="78EEF736" w14:textId="77777777" w:rsidR="00D9764F" w:rsidRPr="00E36286" w:rsidRDefault="00D9764F" w:rsidP="00D9764F">
      <w:pPr>
        <w:pStyle w:val="2"/>
        <w:keepLines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lastRenderedPageBreak/>
        <w:t xml:space="preserve">Анализ на собствения капитал и пасивите на </w:t>
      </w:r>
      <w:r w:rsidR="0095096E">
        <w:rPr>
          <w:rFonts w:ascii="Arial" w:hAnsi="Arial" w:cs="Arial"/>
          <w:sz w:val="22"/>
          <w:szCs w:val="22"/>
        </w:rPr>
        <w:t>АЛТЕРОН АДСИЦ</w:t>
      </w:r>
    </w:p>
    <w:p w14:paraId="028EDCB7" w14:textId="77777777" w:rsidR="00246E46" w:rsidRDefault="00246E46" w:rsidP="00251E3D">
      <w:pPr>
        <w:jc w:val="both"/>
        <w:rPr>
          <w:rFonts w:ascii="Arial" w:hAnsi="Arial" w:cs="Arial"/>
          <w:sz w:val="22"/>
          <w:szCs w:val="22"/>
        </w:rPr>
      </w:pPr>
    </w:p>
    <w:p w14:paraId="3DB602F7" w14:textId="77777777" w:rsidR="005B534C" w:rsidRDefault="005B534C" w:rsidP="00251E3D">
      <w:pPr>
        <w:jc w:val="both"/>
        <w:rPr>
          <w:rFonts w:ascii="Arial" w:hAnsi="Arial" w:cs="Arial"/>
          <w:sz w:val="22"/>
          <w:szCs w:val="22"/>
        </w:rPr>
      </w:pPr>
      <w:r w:rsidRPr="005B534C">
        <w:rPr>
          <w:rFonts w:ascii="Arial" w:hAnsi="Arial" w:cs="Arial"/>
          <w:sz w:val="22"/>
          <w:szCs w:val="22"/>
        </w:rPr>
        <w:t xml:space="preserve">Към </w:t>
      </w:r>
      <w:r w:rsidR="00536E02">
        <w:rPr>
          <w:rFonts w:ascii="Arial" w:hAnsi="Arial" w:cs="Arial"/>
          <w:sz w:val="22"/>
          <w:szCs w:val="22"/>
        </w:rPr>
        <w:t>31.</w:t>
      </w:r>
      <w:r w:rsidR="00FA5BC5">
        <w:rPr>
          <w:rFonts w:ascii="Arial" w:hAnsi="Arial" w:cs="Arial"/>
          <w:sz w:val="22"/>
          <w:szCs w:val="22"/>
        </w:rPr>
        <w:t>03</w:t>
      </w:r>
      <w:r w:rsidR="00536E02">
        <w:rPr>
          <w:rFonts w:ascii="Arial" w:hAnsi="Arial" w:cs="Arial"/>
          <w:sz w:val="22"/>
          <w:szCs w:val="22"/>
        </w:rPr>
        <w:t>.202</w:t>
      </w:r>
      <w:r w:rsidR="00FA5BC5">
        <w:rPr>
          <w:rFonts w:ascii="Arial" w:hAnsi="Arial" w:cs="Arial"/>
          <w:sz w:val="22"/>
          <w:szCs w:val="22"/>
        </w:rPr>
        <w:t>5</w:t>
      </w:r>
      <w:r w:rsidR="00536E02">
        <w:rPr>
          <w:rFonts w:ascii="Arial" w:hAnsi="Arial" w:cs="Arial"/>
          <w:sz w:val="22"/>
          <w:szCs w:val="22"/>
        </w:rPr>
        <w:t xml:space="preserve"> година</w:t>
      </w:r>
      <w:r w:rsidRPr="005B534C">
        <w:rPr>
          <w:rFonts w:ascii="Arial" w:hAnsi="Arial" w:cs="Arial"/>
          <w:sz w:val="22"/>
          <w:szCs w:val="22"/>
        </w:rPr>
        <w:t xml:space="preserve">, балансовото число на </w:t>
      </w:r>
      <w:r w:rsidR="00FA5BC5">
        <w:rPr>
          <w:rFonts w:ascii="Arial" w:hAnsi="Arial" w:cs="Arial"/>
          <w:sz w:val="22"/>
          <w:szCs w:val="22"/>
        </w:rPr>
        <w:t>АЛТЕРОН АДСИЦ</w:t>
      </w:r>
      <w:r w:rsidRPr="005B534C">
        <w:rPr>
          <w:rFonts w:ascii="Arial" w:hAnsi="Arial" w:cs="Arial"/>
          <w:sz w:val="22"/>
          <w:szCs w:val="22"/>
        </w:rPr>
        <w:t xml:space="preserve"> </w:t>
      </w:r>
      <w:r w:rsidR="00F15532">
        <w:rPr>
          <w:rFonts w:ascii="Arial" w:hAnsi="Arial" w:cs="Arial"/>
          <w:sz w:val="22"/>
          <w:szCs w:val="22"/>
        </w:rPr>
        <w:t>се по</w:t>
      </w:r>
      <w:r w:rsidR="00BB7ABC">
        <w:rPr>
          <w:rFonts w:ascii="Arial" w:hAnsi="Arial" w:cs="Arial"/>
          <w:sz w:val="22"/>
          <w:szCs w:val="22"/>
        </w:rPr>
        <w:t>нижава</w:t>
      </w:r>
      <w:r w:rsidR="00F15532">
        <w:rPr>
          <w:rFonts w:ascii="Arial" w:hAnsi="Arial" w:cs="Arial"/>
          <w:sz w:val="22"/>
          <w:szCs w:val="22"/>
        </w:rPr>
        <w:t xml:space="preserve"> </w:t>
      </w:r>
      <w:r w:rsidR="00FA5BC5">
        <w:rPr>
          <w:rFonts w:ascii="Arial" w:hAnsi="Arial" w:cs="Arial"/>
          <w:sz w:val="22"/>
          <w:szCs w:val="22"/>
        </w:rPr>
        <w:t xml:space="preserve">незначително, </w:t>
      </w:r>
      <w:r w:rsidR="00F15532">
        <w:rPr>
          <w:rFonts w:ascii="Arial" w:hAnsi="Arial" w:cs="Arial"/>
          <w:sz w:val="22"/>
          <w:szCs w:val="22"/>
        </w:rPr>
        <w:t>до</w:t>
      </w:r>
      <w:r w:rsidR="0000173D">
        <w:rPr>
          <w:rFonts w:ascii="Arial" w:hAnsi="Arial" w:cs="Arial"/>
          <w:sz w:val="22"/>
          <w:szCs w:val="22"/>
          <w:lang w:val="bg-BG"/>
        </w:rPr>
        <w:t xml:space="preserve"> ниво от</w:t>
      </w:r>
      <w:r w:rsidR="00087473" w:rsidRPr="00087473">
        <w:rPr>
          <w:rFonts w:ascii="Arial" w:hAnsi="Arial" w:cs="Arial"/>
          <w:sz w:val="22"/>
          <w:szCs w:val="22"/>
        </w:rPr>
        <w:t xml:space="preserve"> 9</w:t>
      </w:r>
      <w:r w:rsidR="00536E02">
        <w:rPr>
          <w:rFonts w:ascii="Arial" w:hAnsi="Arial" w:cs="Arial"/>
          <w:sz w:val="22"/>
          <w:szCs w:val="22"/>
        </w:rPr>
        <w:t>3</w:t>
      </w:r>
      <w:r w:rsidR="00087473" w:rsidRPr="00087473">
        <w:rPr>
          <w:rFonts w:ascii="Arial" w:hAnsi="Arial" w:cs="Arial"/>
          <w:sz w:val="22"/>
          <w:szCs w:val="22"/>
        </w:rPr>
        <w:t>,</w:t>
      </w:r>
      <w:r w:rsidR="00FA5BC5">
        <w:rPr>
          <w:rFonts w:ascii="Arial" w:hAnsi="Arial" w:cs="Arial"/>
          <w:sz w:val="22"/>
          <w:szCs w:val="22"/>
        </w:rPr>
        <w:t>355</w:t>
      </w:r>
      <w:r w:rsidR="00087473" w:rsidRPr="00087473">
        <w:rPr>
          <w:rFonts w:ascii="Arial" w:hAnsi="Arial" w:cs="Arial"/>
          <w:sz w:val="22"/>
          <w:szCs w:val="22"/>
        </w:rPr>
        <w:t xml:space="preserve"> млн. лева /</w:t>
      </w:r>
      <w:r w:rsidR="00BB7ABC">
        <w:rPr>
          <w:rFonts w:ascii="Arial" w:hAnsi="Arial" w:cs="Arial"/>
          <w:sz w:val="22"/>
          <w:szCs w:val="22"/>
        </w:rPr>
        <w:t>-</w:t>
      </w:r>
      <w:r w:rsidR="00FA5BC5">
        <w:rPr>
          <w:rFonts w:ascii="Arial" w:hAnsi="Arial" w:cs="Arial"/>
          <w:sz w:val="22"/>
          <w:szCs w:val="22"/>
        </w:rPr>
        <w:t>0</w:t>
      </w:r>
      <w:r w:rsidR="00087473" w:rsidRPr="00087473">
        <w:rPr>
          <w:rFonts w:ascii="Arial" w:hAnsi="Arial" w:cs="Arial"/>
          <w:sz w:val="22"/>
          <w:szCs w:val="22"/>
        </w:rPr>
        <w:t>.</w:t>
      </w:r>
      <w:r w:rsidR="00FA5BC5">
        <w:rPr>
          <w:rFonts w:ascii="Arial" w:hAnsi="Arial" w:cs="Arial"/>
          <w:sz w:val="22"/>
          <w:szCs w:val="22"/>
        </w:rPr>
        <w:t>33</w:t>
      </w:r>
      <w:r w:rsidR="00087473" w:rsidRPr="00087473">
        <w:rPr>
          <w:rFonts w:ascii="Arial" w:hAnsi="Arial" w:cs="Arial"/>
          <w:sz w:val="22"/>
          <w:szCs w:val="22"/>
        </w:rPr>
        <w:t>%/ спрямо 9</w:t>
      </w:r>
      <w:r w:rsidR="00FA5BC5">
        <w:rPr>
          <w:rFonts w:ascii="Arial" w:hAnsi="Arial" w:cs="Arial"/>
          <w:sz w:val="22"/>
          <w:szCs w:val="22"/>
        </w:rPr>
        <w:t>3</w:t>
      </w:r>
      <w:r w:rsidR="00087473" w:rsidRPr="00087473">
        <w:rPr>
          <w:rFonts w:ascii="Arial" w:hAnsi="Arial" w:cs="Arial"/>
          <w:sz w:val="22"/>
          <w:szCs w:val="22"/>
        </w:rPr>
        <w:t>,</w:t>
      </w:r>
      <w:r w:rsidR="00FA5BC5">
        <w:rPr>
          <w:rFonts w:ascii="Arial" w:hAnsi="Arial" w:cs="Arial"/>
          <w:sz w:val="22"/>
          <w:szCs w:val="22"/>
        </w:rPr>
        <w:t>663</w:t>
      </w:r>
      <w:r w:rsidR="00087473" w:rsidRPr="00087473">
        <w:rPr>
          <w:rFonts w:ascii="Arial" w:hAnsi="Arial" w:cs="Arial"/>
          <w:sz w:val="22"/>
          <w:szCs w:val="22"/>
        </w:rPr>
        <w:t xml:space="preserve"> млн.</w:t>
      </w:r>
      <w:r w:rsidR="00650FF4">
        <w:rPr>
          <w:rFonts w:ascii="Arial" w:hAnsi="Arial" w:cs="Arial"/>
          <w:sz w:val="22"/>
          <w:szCs w:val="22"/>
        </w:rPr>
        <w:t xml:space="preserve"> </w:t>
      </w:r>
      <w:r w:rsidR="008E4962">
        <w:rPr>
          <w:rFonts w:ascii="Arial" w:hAnsi="Arial" w:cs="Arial"/>
          <w:sz w:val="22"/>
          <w:szCs w:val="22"/>
          <w:lang w:val="bg-BG"/>
        </w:rPr>
        <w:t xml:space="preserve">лева </w:t>
      </w:r>
      <w:r w:rsidR="00911D68">
        <w:rPr>
          <w:rFonts w:ascii="Arial" w:hAnsi="Arial" w:cs="Arial"/>
          <w:sz w:val="22"/>
          <w:szCs w:val="22"/>
        </w:rPr>
        <w:t>към</w:t>
      </w:r>
      <w:r w:rsidR="00FA5BC5">
        <w:rPr>
          <w:rFonts w:ascii="Arial" w:hAnsi="Arial" w:cs="Arial"/>
          <w:sz w:val="22"/>
          <w:szCs w:val="22"/>
        </w:rPr>
        <w:t xml:space="preserve"> края </w:t>
      </w:r>
      <w:r w:rsidR="0062625D">
        <w:rPr>
          <w:rFonts w:ascii="Arial" w:hAnsi="Arial" w:cs="Arial"/>
          <w:sz w:val="22"/>
          <w:szCs w:val="22"/>
        </w:rPr>
        <w:t>на</w:t>
      </w:r>
      <w:r w:rsidR="00F15532">
        <w:rPr>
          <w:rFonts w:ascii="Arial" w:hAnsi="Arial" w:cs="Arial"/>
          <w:sz w:val="22"/>
          <w:szCs w:val="22"/>
        </w:rPr>
        <w:t xml:space="preserve"> </w:t>
      </w:r>
      <w:r w:rsidR="00911D68">
        <w:rPr>
          <w:rFonts w:ascii="Arial" w:hAnsi="Arial" w:cs="Arial"/>
          <w:sz w:val="22"/>
          <w:szCs w:val="22"/>
        </w:rPr>
        <w:t>202</w:t>
      </w:r>
      <w:r w:rsidR="0062625D">
        <w:rPr>
          <w:rFonts w:ascii="Arial" w:hAnsi="Arial" w:cs="Arial"/>
          <w:sz w:val="22"/>
          <w:szCs w:val="22"/>
        </w:rPr>
        <w:t>4</w:t>
      </w:r>
      <w:r w:rsidR="009548EB">
        <w:rPr>
          <w:rFonts w:ascii="Arial" w:hAnsi="Arial" w:cs="Arial"/>
          <w:sz w:val="22"/>
          <w:szCs w:val="22"/>
        </w:rPr>
        <w:t xml:space="preserve"> </w:t>
      </w:r>
      <w:r w:rsidRPr="005B534C">
        <w:rPr>
          <w:rFonts w:ascii="Arial" w:hAnsi="Arial" w:cs="Arial"/>
          <w:sz w:val="22"/>
          <w:szCs w:val="22"/>
        </w:rPr>
        <w:t xml:space="preserve">г. </w:t>
      </w:r>
    </w:p>
    <w:p w14:paraId="0A9C9733" w14:textId="77777777" w:rsidR="007F2CDD" w:rsidRPr="001C2C4E" w:rsidRDefault="007F2CDD" w:rsidP="007F2CDD">
      <w:pPr>
        <w:jc w:val="both"/>
        <w:rPr>
          <w:rFonts w:ascii="Arial" w:hAnsi="Arial" w:cs="Arial"/>
          <w:sz w:val="22"/>
          <w:szCs w:val="22"/>
          <w:lang w:val="bg-BG"/>
        </w:rPr>
      </w:pPr>
    </w:p>
    <w:p w14:paraId="3461455D" w14:textId="77777777" w:rsidR="007F2CDD" w:rsidRPr="007F2CDD" w:rsidRDefault="007F2CDD" w:rsidP="007F2CDD">
      <w:pPr>
        <w:jc w:val="both"/>
        <w:rPr>
          <w:rFonts w:ascii="Arial" w:hAnsi="Arial" w:cs="Arial"/>
          <w:sz w:val="22"/>
          <w:szCs w:val="22"/>
        </w:rPr>
      </w:pPr>
      <w:r w:rsidRPr="007F2CDD">
        <w:rPr>
          <w:rFonts w:ascii="Arial" w:hAnsi="Arial" w:cs="Arial"/>
          <w:sz w:val="22"/>
          <w:szCs w:val="22"/>
        </w:rPr>
        <w:t>Собственият капитал заема съществена част от баланса на емитента /4</w:t>
      </w:r>
      <w:r w:rsidR="00FA5BC5">
        <w:rPr>
          <w:rFonts w:ascii="Arial" w:hAnsi="Arial" w:cs="Arial"/>
          <w:sz w:val="22"/>
          <w:szCs w:val="22"/>
        </w:rPr>
        <w:t>3</w:t>
      </w:r>
      <w:r w:rsidRPr="007F2CDD">
        <w:rPr>
          <w:rFonts w:ascii="Arial" w:hAnsi="Arial" w:cs="Arial"/>
          <w:sz w:val="22"/>
          <w:szCs w:val="22"/>
        </w:rPr>
        <w:t>.</w:t>
      </w:r>
      <w:r w:rsidR="00FA5BC5">
        <w:rPr>
          <w:rFonts w:ascii="Arial" w:hAnsi="Arial" w:cs="Arial"/>
          <w:sz w:val="22"/>
          <w:szCs w:val="22"/>
        </w:rPr>
        <w:t>9</w:t>
      </w:r>
      <w:r w:rsidR="00536E02">
        <w:rPr>
          <w:rFonts w:ascii="Arial" w:hAnsi="Arial" w:cs="Arial"/>
          <w:sz w:val="22"/>
          <w:szCs w:val="22"/>
        </w:rPr>
        <w:t>7</w:t>
      </w:r>
      <w:r w:rsidRPr="007F2CDD">
        <w:rPr>
          <w:rFonts w:ascii="Arial" w:hAnsi="Arial" w:cs="Arial"/>
          <w:sz w:val="22"/>
          <w:szCs w:val="22"/>
        </w:rPr>
        <w:t xml:space="preserve">% от общата сума на собствен капитал и пасиви/, </w:t>
      </w:r>
      <w:r w:rsidR="0000173D">
        <w:rPr>
          <w:rFonts w:ascii="Arial" w:hAnsi="Arial" w:cs="Arial"/>
          <w:sz w:val="22"/>
          <w:szCs w:val="22"/>
          <w:lang w:val="bg-BG"/>
        </w:rPr>
        <w:t xml:space="preserve">като </w:t>
      </w:r>
      <w:r w:rsidR="00C35BBD">
        <w:rPr>
          <w:rFonts w:ascii="Arial" w:hAnsi="Arial" w:cs="Arial"/>
          <w:sz w:val="22"/>
          <w:szCs w:val="22"/>
        </w:rPr>
        <w:t xml:space="preserve">леко </w:t>
      </w:r>
      <w:r w:rsidR="00091FA4">
        <w:rPr>
          <w:rFonts w:ascii="Arial" w:hAnsi="Arial" w:cs="Arial"/>
          <w:sz w:val="22"/>
          <w:szCs w:val="22"/>
        </w:rPr>
        <w:t>се по</w:t>
      </w:r>
      <w:r w:rsidR="00FA5BC5">
        <w:rPr>
          <w:rFonts w:ascii="Arial" w:hAnsi="Arial" w:cs="Arial"/>
          <w:sz w:val="22"/>
          <w:szCs w:val="22"/>
        </w:rPr>
        <w:t>ниж</w:t>
      </w:r>
      <w:r w:rsidR="00536E02">
        <w:rPr>
          <w:rFonts w:ascii="Arial" w:hAnsi="Arial" w:cs="Arial"/>
          <w:sz w:val="22"/>
          <w:szCs w:val="22"/>
        </w:rPr>
        <w:t>ава</w:t>
      </w:r>
      <w:r w:rsidR="0000173D">
        <w:rPr>
          <w:rFonts w:ascii="Arial" w:hAnsi="Arial" w:cs="Arial"/>
          <w:sz w:val="22"/>
          <w:szCs w:val="22"/>
          <w:lang w:val="bg-BG"/>
        </w:rPr>
        <w:t xml:space="preserve"> през разглеждания период вследствие на </w:t>
      </w:r>
      <w:r w:rsidR="00FA5BC5">
        <w:rPr>
          <w:rFonts w:ascii="Arial" w:hAnsi="Arial" w:cs="Arial"/>
          <w:sz w:val="22"/>
          <w:szCs w:val="22"/>
        </w:rPr>
        <w:t>реализирания през първото</w:t>
      </w:r>
      <w:r w:rsidR="0062625D">
        <w:rPr>
          <w:rFonts w:ascii="Arial" w:hAnsi="Arial" w:cs="Arial"/>
          <w:sz w:val="22"/>
          <w:szCs w:val="22"/>
        </w:rPr>
        <w:t xml:space="preserve"> тримесечие на </w:t>
      </w:r>
      <w:r w:rsidR="00FA5BC5">
        <w:rPr>
          <w:rFonts w:ascii="Arial" w:hAnsi="Arial" w:cs="Arial"/>
          <w:sz w:val="22"/>
          <w:szCs w:val="22"/>
        </w:rPr>
        <w:t>годината отрицателен</w:t>
      </w:r>
      <w:r w:rsidR="0000173D">
        <w:rPr>
          <w:rFonts w:ascii="Arial" w:hAnsi="Arial" w:cs="Arial"/>
          <w:sz w:val="22"/>
          <w:szCs w:val="22"/>
          <w:lang w:val="bg-BG"/>
        </w:rPr>
        <w:t xml:space="preserve"> </w:t>
      </w:r>
      <w:r w:rsidR="001C2C4E">
        <w:rPr>
          <w:rFonts w:ascii="Arial" w:hAnsi="Arial" w:cs="Arial"/>
          <w:sz w:val="22"/>
          <w:szCs w:val="22"/>
          <w:lang w:val="bg-BG"/>
        </w:rPr>
        <w:t>финансов резултат</w:t>
      </w:r>
      <w:r w:rsidRPr="007F2CDD">
        <w:rPr>
          <w:rFonts w:ascii="Arial" w:hAnsi="Arial" w:cs="Arial"/>
          <w:sz w:val="22"/>
          <w:szCs w:val="22"/>
        </w:rPr>
        <w:t>.</w:t>
      </w:r>
    </w:p>
    <w:p w14:paraId="12AEBF5A" w14:textId="77777777" w:rsidR="007F2CDD" w:rsidRPr="007F2CDD" w:rsidRDefault="007F2CDD" w:rsidP="007F2CDD">
      <w:pPr>
        <w:jc w:val="both"/>
        <w:rPr>
          <w:rFonts w:ascii="Arial" w:hAnsi="Arial" w:cs="Arial"/>
          <w:sz w:val="22"/>
          <w:szCs w:val="22"/>
        </w:rPr>
      </w:pPr>
    </w:p>
    <w:p w14:paraId="54EFACDF" w14:textId="77777777" w:rsidR="0042067D" w:rsidRDefault="007F2CDD" w:rsidP="00246E46">
      <w:pPr>
        <w:jc w:val="both"/>
        <w:rPr>
          <w:rFonts w:ascii="Arial" w:hAnsi="Arial" w:cs="Arial"/>
          <w:sz w:val="22"/>
          <w:szCs w:val="22"/>
        </w:rPr>
      </w:pPr>
      <w:r w:rsidRPr="007F2CDD">
        <w:rPr>
          <w:rFonts w:ascii="Arial" w:hAnsi="Arial" w:cs="Arial"/>
          <w:sz w:val="22"/>
          <w:szCs w:val="22"/>
        </w:rPr>
        <w:t xml:space="preserve">Акционерният капитал е на ниво от 1,505 млн. лева, </w:t>
      </w:r>
      <w:r w:rsidR="00DC601B">
        <w:rPr>
          <w:rFonts w:ascii="Arial" w:hAnsi="Arial" w:cs="Arial"/>
          <w:sz w:val="22"/>
          <w:szCs w:val="22"/>
          <w:lang w:val="bg-BG"/>
        </w:rPr>
        <w:t xml:space="preserve">а </w:t>
      </w:r>
      <w:r w:rsidRPr="007F2CDD">
        <w:rPr>
          <w:rFonts w:ascii="Arial" w:hAnsi="Arial" w:cs="Arial"/>
          <w:sz w:val="22"/>
          <w:szCs w:val="22"/>
        </w:rPr>
        <w:t>вследствие на разликата между номиналната и емисионната стойност на издадените нови акции при увеличението на капитала от първото тримесечие на 2020 г., има формиран премиен резерв в размер на 17,082 млн. лева.</w:t>
      </w:r>
    </w:p>
    <w:p w14:paraId="09C7C44D" w14:textId="77777777" w:rsidR="00EA3B29" w:rsidRPr="00246E46" w:rsidRDefault="00EA3B29" w:rsidP="00246E4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15" w:type="pct"/>
        <w:tblLayout w:type="fixed"/>
        <w:tblLook w:val="04A0" w:firstRow="1" w:lastRow="0" w:firstColumn="1" w:lastColumn="0" w:noHBand="0" w:noVBand="1"/>
      </w:tblPr>
      <w:tblGrid>
        <w:gridCol w:w="3608"/>
        <w:gridCol w:w="1059"/>
        <w:gridCol w:w="968"/>
        <w:gridCol w:w="1517"/>
        <w:gridCol w:w="1380"/>
      </w:tblGrid>
      <w:tr w:rsidR="003B0F8D" w:rsidRPr="00DC70E5" w14:paraId="5473D0FE" w14:textId="77777777" w:rsidTr="002F7411">
        <w:trPr>
          <w:trHeight w:val="42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276EB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Собствен капитал и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101" w14:textId="77777777" w:rsidR="003B0F8D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</w:p>
          <w:p w14:paraId="5922B92F" w14:textId="77777777" w:rsidR="003B0F8D" w:rsidRPr="00DC70E5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29CD" w14:textId="77777777" w:rsidR="003B0F8D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</w:t>
            </w:r>
          </w:p>
          <w:p w14:paraId="0D7B5C44" w14:textId="77777777" w:rsidR="003B0F8D" w:rsidRPr="00DA3E8A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508F586C" w14:textId="77777777" w:rsidR="003B0F8D" w:rsidRPr="00E36286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31.03.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263FF829" w14:textId="77777777" w:rsidR="003B0F8D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31.12.</w:t>
            </w:r>
            <w:r w:rsidRPr="00E3628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  <w:p w14:paraId="7F1FF6F6" w14:textId="77777777" w:rsidR="003B0F8D" w:rsidRPr="002757E0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32CE" w14:textId="77777777" w:rsidR="003B0F8D" w:rsidRPr="00DC70E5" w:rsidRDefault="003B0F8D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% от СК и Пасивите към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0F8D" w:rsidRPr="00DC70E5" w14:paraId="3F5CE6F7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5770A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4A183" w14:textId="77777777" w:rsidR="003B0F8D" w:rsidRPr="00DC70E5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4E133" w14:textId="77777777" w:rsidR="003B0F8D" w:rsidRPr="00DC70E5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‘000 лв.</w:t>
            </w:r>
          </w:p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4DB8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9722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F8D" w:rsidRPr="00DC70E5" w14:paraId="4CF4F71C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575FB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Собствен капитал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C1FBC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A4B4E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F1A2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  <w:r w:rsidRPr="00DC7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CF42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  <w:r w:rsidRPr="00DC70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F8D" w:rsidRPr="00DC70E5" w14:paraId="4218B9D5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8C8BB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Акционерен</w:t>
            </w:r>
            <w:r w:rsidRPr="00DC70E5">
              <w:rPr>
                <w:rFonts w:ascii="Arial" w:hAnsi="Arial" w:cs="Arial"/>
                <w:sz w:val="20"/>
                <w:szCs w:val="20"/>
              </w:rPr>
              <w:t xml:space="preserve"> капитал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9ACCA" w14:textId="77777777" w:rsidR="003B0F8D" w:rsidRPr="00354740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688CB" w14:textId="77777777" w:rsidR="003B0F8D" w:rsidRPr="00354740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8B31" w14:textId="77777777" w:rsidR="003B0F8D" w:rsidRPr="00277C79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C086" w14:textId="77777777" w:rsidR="003B0F8D" w:rsidRPr="00BB5DD1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</w:tr>
      <w:tr w:rsidR="003B0F8D" w:rsidRPr="00DC70E5" w14:paraId="7F2B0071" w14:textId="77777777" w:rsidTr="002F7411">
        <w:trPr>
          <w:trHeight w:val="261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E029C" w14:textId="77777777" w:rsidR="003B0F8D" w:rsidRPr="00664ECD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Премиен резерв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6F988" w14:textId="77777777" w:rsidR="003B0F8D" w:rsidRPr="00354740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FAE99" w14:textId="77777777" w:rsidR="003B0F8D" w:rsidRPr="00354740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F566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57BE" w14:textId="77777777" w:rsidR="003B0F8D" w:rsidRPr="00BB5DD1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</w:t>
            </w:r>
          </w:p>
        </w:tc>
      </w:tr>
      <w:tr w:rsidR="003B0F8D" w:rsidRPr="00DC70E5" w14:paraId="4E045B86" w14:textId="77777777" w:rsidTr="002F7411">
        <w:trPr>
          <w:trHeight w:val="261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CE8E3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Други резерви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F0D6D" w14:textId="77777777" w:rsidR="003B0F8D" w:rsidRPr="007E10E9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2FAF1" w14:textId="77777777" w:rsidR="003B0F8D" w:rsidRPr="007E10E9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E290" w14:textId="77777777" w:rsidR="003B0F8D" w:rsidRPr="00A9144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DA7A0" w14:textId="77777777" w:rsidR="003B0F8D" w:rsidRPr="00BB5DD1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5.38</w:t>
            </w:r>
          </w:p>
        </w:tc>
      </w:tr>
      <w:tr w:rsidR="003B0F8D" w:rsidRPr="00DC70E5" w14:paraId="526820C6" w14:textId="77777777" w:rsidTr="002F7411">
        <w:trPr>
          <w:trHeight w:val="261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7F894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Неразпределена</w:t>
            </w:r>
            <w:r w:rsidRPr="00DC70E5">
              <w:rPr>
                <w:rFonts w:ascii="Arial" w:hAnsi="Arial" w:cs="Arial"/>
                <w:sz w:val="20"/>
                <w:szCs w:val="20"/>
              </w:rPr>
              <w:t xml:space="preserve"> печалба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7F186" w14:textId="77777777" w:rsidR="003B0F8D" w:rsidRPr="00A479C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17441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97E85" w14:textId="77777777" w:rsidR="003B0F8D" w:rsidRPr="00A479C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17764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69D0" w14:textId="77777777" w:rsidR="003B0F8D" w:rsidRPr="00277C79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98.18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4EE" w14:textId="77777777" w:rsidR="003B0F8D" w:rsidRPr="00BB5DD1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18.68</w:t>
            </w:r>
          </w:p>
        </w:tc>
      </w:tr>
      <w:tr w:rsidR="003B0F8D" w:rsidRPr="00DC70E5" w14:paraId="0D98B779" w14:textId="77777777" w:rsidTr="002F7411">
        <w:trPr>
          <w:trHeight w:val="261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BE1C40" w14:textId="77777777" w:rsidR="003B0F8D" w:rsidRDefault="003B0F8D" w:rsidP="002F741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EB8AA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F1D82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BF692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F98F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7198B6E5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C34C3D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Общо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собствен </w:t>
            </w:r>
            <w:r w:rsidRPr="00DC70E5">
              <w:rPr>
                <w:rFonts w:ascii="Arial" w:hAnsi="Arial" w:cs="Arial"/>
                <w:b/>
                <w:bCs/>
                <w:sz w:val="20"/>
                <w:szCs w:val="20"/>
              </w:rPr>
              <w:t>капитал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D508B3C" w14:textId="77777777" w:rsidR="003B0F8D" w:rsidRPr="000F1351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41044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5FA7D27" w14:textId="77777777" w:rsidR="003B0F8D" w:rsidRPr="000F1351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41367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59FFA7D" w14:textId="77777777" w:rsidR="003B0F8D" w:rsidRPr="00265C07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99.22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5596587" w14:textId="77777777" w:rsidR="003B0F8D" w:rsidRPr="00265C07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43.97</w:t>
            </w:r>
          </w:p>
        </w:tc>
      </w:tr>
      <w:tr w:rsidR="003B0F8D" w:rsidRPr="00DC70E5" w14:paraId="2FFB8B2A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D5AA4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Пасиви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B0B56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EC035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5C30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D7A5A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17BC9114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69423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Нетекущи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DE04C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2BECB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3CE7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2484" w14:textId="77777777" w:rsidR="003B0F8D" w:rsidRPr="00DC70E5" w:rsidRDefault="003B0F8D" w:rsidP="002F7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71B4ED62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67DCA" w14:textId="77777777" w:rsidR="003B0F8D" w:rsidRDefault="003B0F8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Дългосрочни заеми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479D6" w14:textId="77777777" w:rsidR="003B0F8D" w:rsidRPr="00E159B2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29899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2DD36" w14:textId="77777777" w:rsidR="003B0F8D" w:rsidRPr="00E159B2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29457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D2B9E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101.50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45C8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32.02</w:t>
            </w:r>
          </w:p>
        </w:tc>
      </w:tr>
      <w:tr w:rsidR="003B0F8D" w:rsidRPr="00DC70E5" w14:paraId="6A0C7E2E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3BFD0" w14:textId="77777777" w:rsidR="003B0F8D" w:rsidRDefault="003B0F8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Дългосрочни търговски и други задължения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2681A" w14:textId="77777777" w:rsidR="003B0F8D" w:rsidRPr="00E159B2" w:rsidRDefault="00A523F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0899B" w14:textId="77777777" w:rsidR="003B0F8D" w:rsidRPr="00E159B2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E92F" w14:textId="77777777" w:rsidR="003B0F8D" w:rsidRPr="00991F26" w:rsidRDefault="00A523F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7CE0" w14:textId="77777777" w:rsidR="003B0F8D" w:rsidRPr="0059422F" w:rsidRDefault="00A523F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3B0F8D" w:rsidRPr="00DC70E5" w14:paraId="289CCB63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19E9F" w14:textId="77777777" w:rsidR="003B0F8D" w:rsidRDefault="003B0F8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Отсрочени данъчни пасиви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F39E3" w14:textId="77777777" w:rsidR="003B0F8D" w:rsidRPr="00E159B2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CAAAF" w14:textId="77777777" w:rsidR="003B0F8D" w:rsidRPr="00E159B2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CC0A8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D900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3B0F8D" w:rsidRPr="00DC70E5" w14:paraId="48C3C617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36E82" w14:textId="77777777" w:rsidR="003B0F8D" w:rsidRDefault="003B0F8D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32707" w14:textId="77777777" w:rsidR="003B0F8D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CFB0E" w14:textId="77777777" w:rsidR="003B0F8D" w:rsidRDefault="003B0F8D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814D1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34967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3701BB99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99339BF" w14:textId="77777777" w:rsidR="003B0F8D" w:rsidRPr="00DC70E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н</w:t>
            </w: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етекущи пасиви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01B229D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29962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C0BACC9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29520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6F08D5D" w14:textId="77777777" w:rsidR="003B0F8D" w:rsidRPr="00991F26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101.50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56BE375" w14:textId="77777777" w:rsidR="003B0F8D" w:rsidRPr="00FE11B6" w:rsidRDefault="003B0F8D" w:rsidP="002F7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32.09</w:t>
            </w:r>
          </w:p>
        </w:tc>
      </w:tr>
      <w:tr w:rsidR="003B0F8D" w:rsidRPr="00DC70E5" w14:paraId="3722D006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6A9FB" w14:textId="77777777" w:rsidR="003B0F8D" w:rsidRPr="00792E16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E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Текущи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3F460" w14:textId="77777777" w:rsidR="003B0F8D" w:rsidRPr="00792E16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2D9D3" w14:textId="77777777" w:rsidR="003B0F8D" w:rsidRPr="00792E16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DB2A0E" w14:textId="77777777" w:rsidR="003B0F8D" w:rsidRPr="00792E1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E9099D" w14:textId="77777777" w:rsidR="003B0F8D" w:rsidRPr="00792E1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77A69374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33B57" w14:textId="77777777" w:rsidR="003B0F8D" w:rsidRPr="00792E16" w:rsidRDefault="003B0F8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792E1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Краткосрочни заеми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8452F" w14:textId="77777777" w:rsidR="003B0F8D" w:rsidRPr="00AA1A44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2E7F9" w14:textId="77777777" w:rsidR="003B0F8D" w:rsidRPr="00AA1A44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7806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A3BBD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92.85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273F1" w14:textId="77777777" w:rsidR="003B0F8D" w:rsidRPr="00B7632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7.76</w:t>
            </w:r>
          </w:p>
        </w:tc>
      </w:tr>
      <w:tr w:rsidR="003B0F8D" w:rsidRPr="00DC70E5" w14:paraId="78EF9EE0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BE1A" w14:textId="77777777" w:rsidR="003B0F8D" w:rsidRPr="00792E16" w:rsidRDefault="003B0F8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</w:pPr>
            <w:r w:rsidRPr="00792E1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Търговски и други задължения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0DA1E" w14:textId="77777777" w:rsidR="003B0F8D" w:rsidRPr="00EA0873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14156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C6F3E" w14:textId="77777777" w:rsidR="003B0F8D" w:rsidRPr="00EA0873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14058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455CB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100.70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EC3665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15.16</w:t>
            </w:r>
          </w:p>
        </w:tc>
      </w:tr>
      <w:tr w:rsidR="003B0F8D" w:rsidRPr="00DC70E5" w14:paraId="3423287D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EDD94" w14:textId="77777777" w:rsidR="003B0F8D" w:rsidRDefault="003B0F8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Пасиви, държани за продажба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74751" w14:textId="77777777" w:rsidR="003B0F8D" w:rsidRPr="00EA0873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7AC04" w14:textId="77777777" w:rsidR="003B0F8D" w:rsidRPr="00EA0873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8EFB22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450D7C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</w:tr>
      <w:tr w:rsidR="003B0F8D" w:rsidRPr="00DC70E5" w14:paraId="49423E85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5001A" w14:textId="77777777" w:rsidR="003B0F8D" w:rsidRPr="004B567B" w:rsidRDefault="003B0F8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Краткосрочни з</w:t>
            </w:r>
            <w:r w:rsidRPr="00792E16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 xml:space="preserve">адължения към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свързани лица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1C43A" w14:textId="77777777" w:rsidR="003B0F8D" w:rsidRPr="00F5788C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1DCA7" w14:textId="77777777" w:rsidR="003B0F8D" w:rsidRPr="00F5788C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FAEEF9" w14:textId="77777777" w:rsidR="003B0F8D" w:rsidRPr="00B76326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AEAD7B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3B0F8D" w:rsidRPr="00DC70E5" w14:paraId="65C0A837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55175" w14:textId="77777777" w:rsidR="003B0F8D" w:rsidRDefault="003B0F8D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2A084" w14:textId="77777777" w:rsidR="003B0F8D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4A578" w14:textId="77777777" w:rsidR="003B0F8D" w:rsidRDefault="003B0F8D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CCB4F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205099" w14:textId="77777777" w:rsidR="003B0F8D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60BDD05A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2B022D62" w14:textId="77777777" w:rsidR="003B0F8D" w:rsidRPr="008F3235" w:rsidRDefault="003B0F8D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т</w:t>
            </w:r>
            <w:r w:rsidRPr="00DC70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екущи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 xml:space="preserve">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D93D58E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22349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B7470F7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22776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D1E9F67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98.13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AD60D01" w14:textId="77777777" w:rsidR="003B0F8D" w:rsidRPr="00FE11B6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23.94</w:t>
            </w:r>
          </w:p>
        </w:tc>
      </w:tr>
      <w:tr w:rsidR="003B0F8D" w:rsidRPr="00DC70E5" w14:paraId="037CEE76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F0999" w14:textId="77777777" w:rsidR="003B0F8D" w:rsidRPr="00920977" w:rsidRDefault="003B0F8D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02AEB" w14:textId="77777777" w:rsidR="003B0F8D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B486D" w14:textId="77777777" w:rsidR="003B0F8D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6622EA" w14:textId="77777777" w:rsidR="003B0F8D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63005" w14:textId="77777777" w:rsidR="003B0F8D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F8D" w:rsidRPr="00DC70E5" w14:paraId="010D6E35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6AD4D2A5" w14:textId="77777777" w:rsidR="003B0F8D" w:rsidRPr="00920977" w:rsidRDefault="003B0F8D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920977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1A20379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52311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F6BF26D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52296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B4025A7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100.03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6F145BE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56.03</w:t>
            </w:r>
          </w:p>
        </w:tc>
      </w:tr>
      <w:tr w:rsidR="003B0F8D" w:rsidRPr="00DC70E5" w14:paraId="7D7A7D91" w14:textId="77777777" w:rsidTr="002F7411">
        <w:trPr>
          <w:trHeight w:val="315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9951B" w14:textId="77777777" w:rsidR="003B0F8D" w:rsidRPr="00920977" w:rsidRDefault="003B0F8D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A334E" w14:textId="77777777" w:rsidR="003B0F8D" w:rsidRPr="00920977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F1E83" w14:textId="77777777" w:rsidR="003B0F8D" w:rsidRPr="00920977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6601" w14:textId="77777777" w:rsidR="003B0F8D" w:rsidRPr="00DC70E5" w:rsidRDefault="003B0F8D" w:rsidP="002F7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E2BE" w14:textId="77777777" w:rsidR="003B0F8D" w:rsidRPr="00DC70E5" w:rsidRDefault="003B0F8D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F8D" w:rsidRPr="00DC70E5" w14:paraId="5E8CF974" w14:textId="77777777" w:rsidTr="002F7411">
        <w:trPr>
          <w:trHeight w:val="315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F302F44" w14:textId="77777777" w:rsidR="003B0F8D" w:rsidRPr="00920977" w:rsidRDefault="003B0F8D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920977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собствен капитал и пасиви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6922CD4" w14:textId="77777777" w:rsidR="003B0F8D" w:rsidRPr="00F436E2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93355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0CE94C9" w14:textId="77777777" w:rsidR="003B0F8D" w:rsidRPr="00F436E2" w:rsidRDefault="003B0F8D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93663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02EBFB5" w14:textId="77777777" w:rsidR="003B0F8D" w:rsidRPr="00C134D3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99.67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C7D50AE" w14:textId="77777777" w:rsidR="003B0F8D" w:rsidRPr="00D10575" w:rsidRDefault="003B0F8D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100.00</w:t>
            </w:r>
          </w:p>
        </w:tc>
      </w:tr>
    </w:tbl>
    <w:p w14:paraId="614AB39A" w14:textId="77777777" w:rsidR="007D691B" w:rsidRDefault="007D691B" w:rsidP="00A25D2D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14:paraId="09D8FA55" w14:textId="77777777" w:rsidR="00246E46" w:rsidRPr="006B43CF" w:rsidRDefault="00246E46" w:rsidP="00A25D2D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</w:t>
      </w:r>
      <w:r w:rsidRPr="001C2C4E">
        <w:rPr>
          <w:rFonts w:ascii="Arial" w:hAnsi="Arial" w:cs="Arial"/>
        </w:rPr>
        <w:t>ри пасивите</w:t>
      </w:r>
      <w:r w:rsidR="00FA5BC5">
        <w:rPr>
          <w:rFonts w:ascii="Arial" w:hAnsi="Arial" w:cs="Arial"/>
          <w:lang w:val="en-US"/>
        </w:rPr>
        <w:t xml:space="preserve"> няма съществени изменения</w:t>
      </w:r>
      <w:r w:rsidR="00536E02">
        <w:rPr>
          <w:rFonts w:ascii="Arial" w:hAnsi="Arial" w:cs="Arial"/>
          <w:lang w:val="en-US"/>
        </w:rPr>
        <w:t>,</w:t>
      </w:r>
      <w:r w:rsidR="00FA5BC5">
        <w:rPr>
          <w:rFonts w:ascii="Arial" w:hAnsi="Arial" w:cs="Arial"/>
          <w:lang w:val="en-US"/>
        </w:rPr>
        <w:t xml:space="preserve"> като данните за</w:t>
      </w:r>
      <w:r w:rsidRPr="001C2C4E">
        <w:rPr>
          <w:rFonts w:ascii="Arial" w:hAnsi="Arial" w:cs="Arial"/>
        </w:rPr>
        <w:t xml:space="preserve"> </w:t>
      </w:r>
      <w:r w:rsidR="00FA5BC5">
        <w:rPr>
          <w:rFonts w:ascii="Arial" w:hAnsi="Arial" w:cs="Arial"/>
          <w:lang w:val="en-US"/>
        </w:rPr>
        <w:t>всички позиции са консистентни с тези от края на 2024 година</w:t>
      </w:r>
      <w:r w:rsidR="006B43CF">
        <w:rPr>
          <w:rFonts w:ascii="Arial" w:hAnsi="Arial" w:cs="Arial"/>
          <w:lang w:val="en-US"/>
        </w:rPr>
        <w:t>.</w:t>
      </w:r>
    </w:p>
    <w:p w14:paraId="64084B1F" w14:textId="77777777" w:rsidR="00246E46" w:rsidRPr="00246E46" w:rsidRDefault="00246E46" w:rsidP="00A25D2D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14:paraId="2D36BF9A" w14:textId="77777777" w:rsidR="00D9764F" w:rsidRDefault="00D9764F" w:rsidP="00D9764F">
      <w:pPr>
        <w:pStyle w:val="2"/>
        <w:keepLines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E36286">
        <w:rPr>
          <w:rFonts w:ascii="Arial" w:hAnsi="Arial" w:cs="Arial"/>
          <w:sz w:val="22"/>
          <w:szCs w:val="22"/>
        </w:rPr>
        <w:t>Анализ на Приходите и Разходите</w:t>
      </w:r>
    </w:p>
    <w:p w14:paraId="28613A88" w14:textId="77777777" w:rsidR="001E6384" w:rsidRDefault="001E6384" w:rsidP="001E6384">
      <w:pPr>
        <w:jc w:val="both"/>
        <w:rPr>
          <w:lang w:eastAsia="x-non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9"/>
        <w:gridCol w:w="1253"/>
        <w:gridCol w:w="1255"/>
        <w:gridCol w:w="1503"/>
      </w:tblGrid>
      <w:tr w:rsidR="005F567C" w:rsidRPr="00E83182" w14:paraId="188290E2" w14:textId="77777777" w:rsidTr="002F7411">
        <w:trPr>
          <w:trHeight w:val="615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471A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862A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CB4E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Q1 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44E4534" w14:textId="77777777" w:rsidR="005F567C" w:rsidRDefault="005F567C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 </w:t>
            </w:r>
            <w:r w:rsidRPr="00E8318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E83182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14:paraId="29C1BBE0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14:paraId="08514E01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Q1 </w:t>
            </w:r>
            <w:r w:rsidRPr="00E8318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  <w:p w14:paraId="322A36BC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5F567C" w:rsidRPr="00E83182" w14:paraId="42FB5266" w14:textId="77777777" w:rsidTr="002F7411">
        <w:trPr>
          <w:trHeight w:val="390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CE59F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F573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‘000 лв.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42B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‘000 лв.</w:t>
            </w:r>
          </w:p>
        </w:tc>
        <w:tc>
          <w:tcPr>
            <w:tcW w:w="8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2E83" w14:textId="77777777" w:rsidR="005F567C" w:rsidRPr="00E83182" w:rsidRDefault="005F567C" w:rsidP="002F7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</w:tr>
      <w:tr w:rsidR="005F567C" w:rsidRPr="00E83182" w14:paraId="4EBC7EC0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4E1BB" w14:textId="77777777" w:rsidR="005F567C" w:rsidRPr="00E83182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Приходи от дейността: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9221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FBF7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15DC" w14:textId="77777777" w:rsidR="005F567C" w:rsidRPr="00E83182" w:rsidRDefault="005F567C" w:rsidP="002F7411">
            <w:pPr>
              <w:rPr>
                <w:rFonts w:ascii="Arial" w:hAnsi="Arial" w:cs="Arial"/>
                <w:sz w:val="20"/>
                <w:szCs w:val="20"/>
              </w:rPr>
            </w:pPr>
            <w:r w:rsidRPr="00E8318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67C" w:rsidRPr="002F4683" w14:paraId="702E0FEE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5FE5" w14:textId="77777777" w:rsidR="005F567C" w:rsidRPr="002F4683" w:rsidRDefault="005F567C" w:rsidP="002F7411">
            <w:pPr>
              <w:rPr>
                <w:rFonts w:ascii="Arial" w:hAnsi="Arial" w:cs="Arial"/>
                <w:sz w:val="20"/>
                <w:szCs w:val="20"/>
              </w:rPr>
            </w:pPr>
            <w:r w:rsidRPr="002F4683">
              <w:rPr>
                <w:rFonts w:ascii="Arial" w:hAnsi="Arial" w:cs="Arial"/>
                <w:sz w:val="20"/>
                <w:szCs w:val="20"/>
              </w:rPr>
              <w:t>Приходи от наеми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AD5C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5BBE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6023" w14:textId="77777777" w:rsidR="005F567C" w:rsidRPr="00241062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233.33</w:t>
            </w:r>
          </w:p>
        </w:tc>
      </w:tr>
      <w:tr w:rsidR="005F567C" w:rsidRPr="00E83182" w14:paraId="3C37437F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08E9" w14:textId="77777777" w:rsidR="005F567C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Приходи от промяна в справедлива оценка на инвестиционни имоти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09866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38560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ABAF" w14:textId="77777777" w:rsidR="005F567C" w:rsidRPr="00BE4BE6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5F567C" w:rsidRPr="00E83182" w14:paraId="4E9B0FCE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540B2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Други п</w:t>
            </w: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 xml:space="preserve">риходи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FB32C" w14:textId="77777777" w:rsidR="005F567C" w:rsidRPr="00B637C3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975E7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ED5E" w14:textId="77777777" w:rsidR="005F567C" w:rsidRPr="00BE4BE6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</w:tr>
      <w:tr w:rsidR="005F567C" w:rsidRPr="00E83182" w14:paraId="12CCDBDE" w14:textId="77777777" w:rsidTr="002F7411">
        <w:trPr>
          <w:trHeight w:val="315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DBA37D1" w14:textId="77777777" w:rsidR="005F567C" w:rsidRPr="00E83182" w:rsidRDefault="005F567C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Общо приходи от дейността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5BFC0891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6EE192FE" w14:textId="77777777" w:rsidR="005F567C" w:rsidRPr="009330AC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5ED0FED3" w14:textId="77777777" w:rsidR="005F567C" w:rsidRPr="000C05B9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4.95</w:t>
            </w:r>
          </w:p>
        </w:tc>
      </w:tr>
      <w:tr w:rsidR="005F567C" w:rsidRPr="00E83182" w14:paraId="75074AFA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86C0" w14:textId="77777777" w:rsidR="005F567C" w:rsidRPr="00E83182" w:rsidRDefault="005F567C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Разходи 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за дейността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48F2" w14:textId="77777777" w:rsidR="005F567C" w:rsidRPr="00E83182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338C" w14:textId="77777777" w:rsidR="005F567C" w:rsidRPr="00E83182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4E36" w14:textId="77777777" w:rsidR="005F567C" w:rsidRPr="00E83182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67C" w:rsidRPr="00E83182" w14:paraId="222BA121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43F19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Разходи за външни услуги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79AC" w14:textId="77777777" w:rsidR="005F567C" w:rsidRPr="00FC54B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(69)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A249" w14:textId="77777777" w:rsidR="005F567C" w:rsidRPr="00FC54B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(41)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3AC73" w14:textId="77777777" w:rsidR="005F567C" w:rsidRPr="005F76FA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168.29</w:t>
            </w:r>
          </w:p>
        </w:tc>
      </w:tr>
      <w:tr w:rsidR="005F567C" w:rsidRPr="00E83182" w14:paraId="20B5E5EA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314C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Разходи за персонала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274C" w14:textId="77777777" w:rsidR="005F567C" w:rsidRPr="00FC54B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5DA9" w14:textId="77777777" w:rsidR="005F567C" w:rsidRPr="00FC54B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E813" w14:textId="77777777" w:rsidR="005F567C" w:rsidRPr="005F76FA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100.00</w:t>
            </w:r>
          </w:p>
        </w:tc>
      </w:tr>
      <w:tr w:rsidR="005F567C" w:rsidRPr="00E83182" w14:paraId="445660CE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00A5" w14:textId="77777777" w:rsidR="005F567C" w:rsidRPr="00E83182" w:rsidRDefault="005F567C" w:rsidP="002F74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Cs/>
                <w:color w:val="000000"/>
                <w:sz w:val="20"/>
                <w:szCs w:val="20"/>
                <w:lang w:val="bg-BG"/>
              </w:rPr>
              <w:t>Други разходи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B472" w14:textId="77777777" w:rsidR="005F567C" w:rsidRPr="00FC54B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(69)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7905" w14:textId="77777777" w:rsidR="005F567C" w:rsidRPr="00FC54B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1751A" w14:textId="77777777" w:rsidR="005F567C" w:rsidRPr="00C013B6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138.00</w:t>
            </w:r>
          </w:p>
        </w:tc>
      </w:tr>
      <w:tr w:rsidR="005F567C" w:rsidRPr="00E83182" w14:paraId="706698FB" w14:textId="77777777" w:rsidTr="002F7411">
        <w:trPr>
          <w:trHeight w:val="315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40CC8A10" w14:textId="77777777" w:rsidR="005F567C" w:rsidRPr="00E83182" w:rsidRDefault="005F567C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Общо разходи за дейността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01D96FBE" w14:textId="77777777" w:rsidR="005F567C" w:rsidRPr="00131339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(149)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0DA07D08" w14:textId="77777777" w:rsidR="005F567C" w:rsidRPr="00131339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(102)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60E94771" w14:textId="77777777" w:rsidR="005F567C" w:rsidRPr="005F76FA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146.08</w:t>
            </w:r>
          </w:p>
        </w:tc>
      </w:tr>
      <w:tr w:rsidR="005F567C" w:rsidRPr="00E83182" w14:paraId="6BA8B520" w14:textId="77777777" w:rsidTr="002F7411">
        <w:trPr>
          <w:trHeight w:val="315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7DAB5" w14:textId="77777777" w:rsidR="005F567C" w:rsidRPr="00E83182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5E1F9A" w14:textId="77777777" w:rsidR="005F567C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F4C96" w14:textId="77777777" w:rsidR="005F567C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59D0B7" w14:textId="77777777" w:rsidR="005F567C" w:rsidRPr="001A5935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</w:p>
        </w:tc>
      </w:tr>
      <w:tr w:rsidR="005F567C" w:rsidRPr="00E83182" w14:paraId="3E211F92" w14:textId="77777777" w:rsidTr="002F7411">
        <w:trPr>
          <w:trHeight w:val="315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423972C1" w14:textId="77777777" w:rsidR="005F567C" w:rsidRPr="00E83182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Печалба от оперативна дейност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30F41FC5" w14:textId="77777777" w:rsidR="005F567C" w:rsidRPr="000C05B9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(133)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20739140" w14:textId="77777777" w:rsidR="005F567C" w:rsidRPr="00196EF6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221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</w:tcPr>
          <w:p w14:paraId="0C97FF12" w14:textId="77777777" w:rsidR="005F567C" w:rsidRPr="00196EF6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(160.18)</w:t>
            </w:r>
          </w:p>
        </w:tc>
      </w:tr>
      <w:tr w:rsidR="005F567C" w:rsidRPr="00E83182" w14:paraId="6987C86A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E933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Нетен ефект от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 очаквани кредитни загуби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161A" w14:textId="77777777" w:rsidR="005F567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D5B6" w14:textId="77777777" w:rsidR="005F567C" w:rsidRDefault="005F567C" w:rsidP="002F7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811A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57.33</w:t>
            </w:r>
          </w:p>
        </w:tc>
      </w:tr>
      <w:tr w:rsidR="005F567C" w:rsidRPr="00E83182" w14:paraId="7C93307A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9208205" w14:textId="77777777" w:rsidR="005F567C" w:rsidRPr="008D0ABA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Финансови приходи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28C8CB" w14:textId="77777777" w:rsidR="005F567C" w:rsidRPr="002B0F7E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AABD875" w14:textId="77777777" w:rsidR="005F567C" w:rsidRPr="008E64B5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D9BC9A3" w14:textId="77777777" w:rsidR="005F567C" w:rsidRPr="002B0F7E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***</w:t>
            </w:r>
          </w:p>
        </w:tc>
      </w:tr>
      <w:tr w:rsidR="005F567C" w:rsidRPr="00E83182" w14:paraId="10B018E1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5B7B65A" w14:textId="77777777" w:rsidR="005F567C" w:rsidRPr="008D0ABA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Финансови разходи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3DB6240" w14:textId="77777777" w:rsidR="005F567C" w:rsidRPr="00D55B82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(289)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551CFE" w14:textId="77777777" w:rsidR="005F567C" w:rsidRPr="00D55B82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(346)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46441E" w14:textId="77777777" w:rsidR="005F567C" w:rsidRPr="008E64B5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83.53</w:t>
            </w:r>
          </w:p>
        </w:tc>
      </w:tr>
      <w:tr w:rsidR="005F567C" w:rsidRPr="00E83182" w14:paraId="0FDEE2D3" w14:textId="77777777" w:rsidTr="002F7411">
        <w:trPr>
          <w:trHeight w:val="315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EB72B61" w14:textId="77777777" w:rsidR="005F567C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408188E" w14:textId="77777777" w:rsidR="005F567C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5A2E424" w14:textId="77777777" w:rsidR="005F567C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51709C6" w14:textId="77777777" w:rsidR="005F567C" w:rsidRPr="00ED2CA8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F567C" w:rsidRPr="00E83182" w14:paraId="27331222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B06FB9" w14:textId="77777777" w:rsidR="005F567C" w:rsidRPr="00E83182" w:rsidRDefault="005F567C" w:rsidP="002F74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Печалба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bg-BG"/>
              </w:rPr>
              <w:t>/(Загуба)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за периода преди данъци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FBAF974" w14:textId="77777777" w:rsidR="005F567C" w:rsidRPr="00D55B82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(293)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300AAB0" w14:textId="77777777" w:rsidR="005F567C" w:rsidRPr="00D55B82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A0E9B8" w14:textId="77777777" w:rsidR="005F567C" w:rsidRPr="008E64B5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(393.00)</w:t>
            </w:r>
          </w:p>
        </w:tc>
      </w:tr>
      <w:tr w:rsidR="005F567C" w:rsidRPr="00E83182" w14:paraId="3D3DEA59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7778" w14:textId="77777777" w:rsidR="005F567C" w:rsidRPr="00E83182" w:rsidRDefault="005F567C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>Разходи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Приходи</w:t>
            </w:r>
            <w:r w:rsidRPr="00E83182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данъци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31DA0" w14:textId="77777777" w:rsidR="005F567C" w:rsidRPr="00E83182" w:rsidRDefault="005F567C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42D4F" w14:textId="77777777" w:rsidR="005F567C" w:rsidRPr="00E83182" w:rsidRDefault="005F567C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13A8" w14:textId="77777777" w:rsidR="005F567C" w:rsidRPr="00E83182" w:rsidRDefault="005F567C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***</w:t>
            </w:r>
          </w:p>
        </w:tc>
      </w:tr>
      <w:tr w:rsidR="005F567C" w:rsidRPr="00E83182" w14:paraId="0C2CA7DB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543BC4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Печалба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от продължаващи дейности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985831A" w14:textId="77777777" w:rsidR="005F567C" w:rsidRPr="00D55B82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(293)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2035F6D" w14:textId="77777777" w:rsidR="005F567C" w:rsidRPr="00D55B82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70B069" w14:textId="77777777" w:rsidR="005F567C" w:rsidRPr="008E64B5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(393.00)</w:t>
            </w:r>
          </w:p>
        </w:tc>
      </w:tr>
      <w:tr w:rsidR="005F567C" w:rsidRPr="00E83182" w14:paraId="36CF3117" w14:textId="77777777" w:rsidTr="002F7411">
        <w:trPr>
          <w:trHeight w:val="315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2BC4" w14:textId="77777777" w:rsidR="005F567C" w:rsidRPr="007A181E" w:rsidRDefault="005F567C" w:rsidP="002F74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Печалба/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Загуба) от преустановени дейности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BC250" w14:textId="77777777" w:rsidR="005F567C" w:rsidRPr="00367367" w:rsidRDefault="005F567C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(30)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A552C" w14:textId="77777777" w:rsidR="005F567C" w:rsidRPr="00367367" w:rsidRDefault="005F567C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5839" w14:textId="77777777" w:rsidR="005F567C" w:rsidRPr="006A29EE" w:rsidRDefault="005F567C" w:rsidP="002F741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130.43</w:t>
            </w:r>
          </w:p>
        </w:tc>
      </w:tr>
      <w:tr w:rsidR="005F567C" w:rsidRPr="00E83182" w14:paraId="4EC3DCE1" w14:textId="77777777" w:rsidTr="002F7411">
        <w:trPr>
          <w:trHeight w:val="302"/>
        </w:trPr>
        <w:tc>
          <w:tcPr>
            <w:tcW w:w="2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9B038A" w14:textId="77777777" w:rsidR="005F567C" w:rsidRPr="00E83182" w:rsidRDefault="005F567C" w:rsidP="002F74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Общо всеобхват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доход</w:t>
            </w:r>
            <w:r w:rsidRPr="00E831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за периода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6E3AA36" w14:textId="77777777" w:rsidR="005F567C" w:rsidRPr="004217DA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(323)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705B4BB" w14:textId="77777777" w:rsidR="005F567C" w:rsidRPr="00AE2F7E" w:rsidRDefault="005F567C" w:rsidP="002F741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F33EFA" w14:textId="77777777" w:rsidR="005F567C" w:rsidRPr="00E20435" w:rsidRDefault="005F567C" w:rsidP="002F741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(519.48)</w:t>
            </w:r>
          </w:p>
        </w:tc>
      </w:tr>
    </w:tbl>
    <w:p w14:paraId="4AFD7855" w14:textId="77777777" w:rsidR="00D9764F" w:rsidRDefault="000C05B9" w:rsidP="00D97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FE317D" w14:textId="77777777" w:rsidR="00B03561" w:rsidRDefault="0081086E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АЛТЕРОН АДСИЦ</w:t>
      </w:r>
      <w:r w:rsidR="00AE6094" w:rsidRPr="002676F1">
        <w:rPr>
          <w:rFonts w:ascii="Arial" w:hAnsi="Arial" w:cs="Arial"/>
        </w:rPr>
        <w:t xml:space="preserve"> отчита </w:t>
      </w:r>
      <w:r w:rsidR="00794D96">
        <w:rPr>
          <w:rFonts w:ascii="Arial" w:hAnsi="Arial" w:cs="Arial"/>
          <w:lang w:val="en-US"/>
        </w:rPr>
        <w:t xml:space="preserve">отрицателен </w:t>
      </w:r>
      <w:r w:rsidR="008459AC">
        <w:rPr>
          <w:rFonts w:ascii="Arial" w:hAnsi="Arial" w:cs="Arial"/>
          <w:lang w:val="en-US"/>
        </w:rPr>
        <w:t xml:space="preserve">общ всеобхватен доход </w:t>
      </w:r>
      <w:r w:rsidR="008D65F7">
        <w:rPr>
          <w:rFonts w:ascii="Arial" w:hAnsi="Arial" w:cs="Arial"/>
          <w:lang w:val="en-US"/>
        </w:rPr>
        <w:t>от</w:t>
      </w:r>
      <w:r w:rsidR="00AE6094" w:rsidRPr="002676F1">
        <w:rPr>
          <w:rFonts w:ascii="Arial" w:hAnsi="Arial" w:cs="Arial"/>
        </w:rPr>
        <w:t xml:space="preserve"> </w:t>
      </w:r>
      <w:r w:rsidR="00794D96">
        <w:rPr>
          <w:rFonts w:ascii="Arial" w:hAnsi="Arial" w:cs="Arial"/>
          <w:lang w:val="en-US"/>
        </w:rPr>
        <w:t>(323)</w:t>
      </w:r>
      <w:r w:rsidR="004A6678" w:rsidRPr="002676F1">
        <w:rPr>
          <w:rFonts w:ascii="Arial" w:hAnsi="Arial" w:cs="Arial"/>
        </w:rPr>
        <w:t xml:space="preserve"> </w:t>
      </w:r>
      <w:r w:rsidR="00E910F0">
        <w:rPr>
          <w:rFonts w:ascii="Arial" w:hAnsi="Arial" w:cs="Arial"/>
          <w:lang w:val="en-US"/>
        </w:rPr>
        <w:t>хиляди</w:t>
      </w:r>
      <w:r w:rsidR="00377B9C">
        <w:rPr>
          <w:rFonts w:ascii="Arial" w:hAnsi="Arial" w:cs="Arial"/>
          <w:lang w:val="en-US"/>
        </w:rPr>
        <w:t xml:space="preserve"> лева</w:t>
      </w:r>
      <w:r w:rsidR="004A6678" w:rsidRPr="002676F1">
        <w:rPr>
          <w:rFonts w:ascii="Arial" w:hAnsi="Arial" w:cs="Arial"/>
        </w:rPr>
        <w:t xml:space="preserve"> </w:t>
      </w:r>
      <w:r w:rsidR="00CF176B">
        <w:rPr>
          <w:rFonts w:ascii="Arial" w:hAnsi="Arial" w:cs="Arial"/>
          <w:lang w:val="en-US"/>
        </w:rPr>
        <w:t>за</w:t>
      </w:r>
      <w:r w:rsidR="00E910F0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 xml:space="preserve">първото тримесечие на </w:t>
      </w:r>
      <w:r w:rsidR="00CF176B">
        <w:rPr>
          <w:rFonts w:ascii="Arial" w:hAnsi="Arial" w:cs="Arial"/>
          <w:lang w:val="en-US"/>
        </w:rPr>
        <w:t>202</w:t>
      </w:r>
      <w:r w:rsidR="00794D96">
        <w:rPr>
          <w:rFonts w:ascii="Arial" w:hAnsi="Arial" w:cs="Arial"/>
          <w:lang w:val="en-US"/>
        </w:rPr>
        <w:t>5</w:t>
      </w:r>
      <w:r w:rsidR="006E7E8D">
        <w:rPr>
          <w:rFonts w:ascii="Arial" w:hAnsi="Arial" w:cs="Arial"/>
          <w:lang w:val="en-US"/>
        </w:rPr>
        <w:t xml:space="preserve"> </w:t>
      </w:r>
      <w:r w:rsidR="00CF176B">
        <w:rPr>
          <w:rFonts w:ascii="Arial" w:hAnsi="Arial" w:cs="Arial"/>
          <w:lang w:val="en-US"/>
        </w:rPr>
        <w:t>г.</w:t>
      </w:r>
      <w:r w:rsidR="00CC654B">
        <w:rPr>
          <w:rFonts w:ascii="Arial" w:hAnsi="Arial" w:cs="Arial"/>
          <w:lang w:val="en-US"/>
        </w:rPr>
        <w:t xml:space="preserve"> спрямо </w:t>
      </w:r>
      <w:r w:rsidR="008459AC">
        <w:rPr>
          <w:rFonts w:ascii="Arial" w:hAnsi="Arial" w:cs="Arial"/>
          <w:lang w:val="en-US"/>
        </w:rPr>
        <w:t xml:space="preserve">положителен финансов резултат </w:t>
      </w:r>
      <w:r w:rsidR="000B7055">
        <w:rPr>
          <w:rFonts w:ascii="Arial" w:hAnsi="Arial" w:cs="Arial"/>
          <w:lang w:val="en-US"/>
        </w:rPr>
        <w:t xml:space="preserve">от </w:t>
      </w:r>
      <w:r w:rsidR="00794D96">
        <w:rPr>
          <w:rFonts w:ascii="Arial" w:hAnsi="Arial" w:cs="Arial"/>
          <w:lang w:val="en-US"/>
        </w:rPr>
        <w:t>77</w:t>
      </w:r>
      <w:r w:rsidR="00CC654B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>хиляди</w:t>
      </w:r>
      <w:r w:rsidR="00CC654B">
        <w:rPr>
          <w:rFonts w:ascii="Arial" w:hAnsi="Arial" w:cs="Arial"/>
          <w:lang w:val="en-US"/>
        </w:rPr>
        <w:t xml:space="preserve"> лева през</w:t>
      </w:r>
      <w:r w:rsidR="00377B9C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 xml:space="preserve">съответния период на </w:t>
      </w:r>
      <w:r w:rsidR="00871AA6">
        <w:rPr>
          <w:rFonts w:ascii="Arial" w:hAnsi="Arial" w:cs="Arial"/>
          <w:lang w:val="en-US"/>
        </w:rPr>
        <w:t>предходната</w:t>
      </w:r>
      <w:r w:rsidR="00E910F0">
        <w:rPr>
          <w:rFonts w:ascii="Arial" w:hAnsi="Arial" w:cs="Arial"/>
          <w:lang w:val="en-US"/>
        </w:rPr>
        <w:t xml:space="preserve"> </w:t>
      </w:r>
      <w:r w:rsidR="00CC654B">
        <w:rPr>
          <w:rFonts w:ascii="Arial" w:hAnsi="Arial" w:cs="Arial"/>
          <w:lang w:val="en-US"/>
        </w:rPr>
        <w:t>202</w:t>
      </w:r>
      <w:r w:rsidR="00794D96">
        <w:rPr>
          <w:rFonts w:ascii="Arial" w:hAnsi="Arial" w:cs="Arial"/>
          <w:lang w:val="en-US"/>
        </w:rPr>
        <w:t>4</w:t>
      </w:r>
      <w:r w:rsidR="006E7E8D">
        <w:rPr>
          <w:rFonts w:ascii="Arial" w:hAnsi="Arial" w:cs="Arial"/>
          <w:lang w:val="en-US"/>
        </w:rPr>
        <w:t xml:space="preserve"> </w:t>
      </w:r>
      <w:r w:rsidR="00CC654B">
        <w:rPr>
          <w:rFonts w:ascii="Arial" w:hAnsi="Arial" w:cs="Arial"/>
          <w:lang w:val="en-US"/>
        </w:rPr>
        <w:t>г.</w:t>
      </w:r>
      <w:r w:rsidR="00B03561">
        <w:rPr>
          <w:rFonts w:ascii="Arial" w:hAnsi="Arial" w:cs="Arial"/>
          <w:lang w:val="en-US"/>
        </w:rPr>
        <w:t xml:space="preserve"> </w:t>
      </w:r>
      <w:r w:rsidR="00090F46">
        <w:rPr>
          <w:rFonts w:ascii="Arial" w:hAnsi="Arial" w:cs="Arial"/>
          <w:lang w:val="en-US"/>
        </w:rPr>
        <w:t>Отрицателният</w:t>
      </w:r>
      <w:r w:rsidR="00FE7E52">
        <w:rPr>
          <w:rFonts w:ascii="Arial" w:hAnsi="Arial" w:cs="Arial"/>
          <w:lang w:val="en-US"/>
        </w:rPr>
        <w:t xml:space="preserve"> </w:t>
      </w:r>
      <w:r w:rsidR="00E77C0F">
        <w:rPr>
          <w:rFonts w:ascii="Arial" w:hAnsi="Arial" w:cs="Arial"/>
          <w:lang w:val="en-US"/>
        </w:rPr>
        <w:t xml:space="preserve">резултат </w:t>
      </w:r>
      <w:r w:rsidR="00090F46">
        <w:rPr>
          <w:rFonts w:ascii="Arial" w:hAnsi="Arial" w:cs="Arial"/>
          <w:lang w:val="en-US"/>
        </w:rPr>
        <w:t xml:space="preserve">е обусловен от ниските приходи през тримесечието, които не покриват фиксираните разходи и по този начин е отчетена загуба от основна дейност в размер на </w:t>
      </w:r>
      <w:r w:rsidR="00090F46" w:rsidRPr="00CF0D1D">
        <w:rPr>
          <w:rFonts w:ascii="Arial" w:hAnsi="Arial" w:cs="Arial"/>
          <w:lang w:val="en-US"/>
        </w:rPr>
        <w:t>133</w:t>
      </w:r>
      <w:r w:rsidR="00090F46">
        <w:rPr>
          <w:rFonts w:ascii="Arial" w:hAnsi="Arial" w:cs="Arial"/>
          <w:lang w:val="en-US"/>
        </w:rPr>
        <w:t xml:space="preserve"> хиляди лева</w:t>
      </w:r>
      <w:r w:rsidR="00B03561">
        <w:rPr>
          <w:rFonts w:ascii="Arial" w:hAnsi="Arial" w:cs="Arial"/>
          <w:color w:val="000000"/>
        </w:rPr>
        <w:t>.</w:t>
      </w:r>
      <w:r w:rsidR="00871AA6" w:rsidRPr="00871AA6">
        <w:rPr>
          <w:rFonts w:ascii="Arial" w:hAnsi="Arial" w:cs="Arial"/>
          <w:lang w:val="en-US"/>
        </w:rPr>
        <w:t xml:space="preserve"> </w:t>
      </w:r>
    </w:p>
    <w:p w14:paraId="4ABD75BB" w14:textId="77777777" w:rsidR="00B03561" w:rsidRDefault="00B03561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color w:val="000000"/>
          <w:lang w:val="en-US"/>
        </w:rPr>
      </w:pPr>
    </w:p>
    <w:p w14:paraId="615A615F" w14:textId="77777777" w:rsidR="004C2C7D" w:rsidRDefault="00805589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Както и през </w:t>
      </w:r>
      <w:r w:rsidR="00871AA6">
        <w:rPr>
          <w:rFonts w:ascii="Arial" w:hAnsi="Arial" w:cs="Arial"/>
          <w:lang w:val="en-US"/>
        </w:rPr>
        <w:t>предходн</w:t>
      </w:r>
      <w:r w:rsidR="00794D96">
        <w:rPr>
          <w:rFonts w:ascii="Arial" w:hAnsi="Arial" w:cs="Arial"/>
          <w:lang w:val="en-US"/>
        </w:rPr>
        <w:t>ите две</w:t>
      </w:r>
      <w:r w:rsidR="00871AA6">
        <w:rPr>
          <w:rFonts w:ascii="Arial" w:hAnsi="Arial" w:cs="Arial"/>
          <w:lang w:val="en-US"/>
        </w:rPr>
        <w:t xml:space="preserve"> годин</w:t>
      </w:r>
      <w:r w:rsidR="00794D96">
        <w:rPr>
          <w:rFonts w:ascii="Arial" w:hAnsi="Arial" w:cs="Arial"/>
          <w:lang w:val="en-US"/>
        </w:rPr>
        <w:t>и</w:t>
      </w:r>
      <w:r>
        <w:rPr>
          <w:rFonts w:ascii="Arial" w:hAnsi="Arial" w:cs="Arial"/>
          <w:lang w:val="en-US"/>
        </w:rPr>
        <w:t>, е</w:t>
      </w:r>
      <w:r w:rsidR="00A257FE">
        <w:rPr>
          <w:rFonts w:ascii="Arial" w:hAnsi="Arial" w:cs="Arial"/>
          <w:lang w:val="en-US"/>
        </w:rPr>
        <w:t>митентът не отчита финансови приходи</w:t>
      </w:r>
      <w:r w:rsidR="00B03561">
        <w:rPr>
          <w:rFonts w:ascii="Arial" w:hAnsi="Arial" w:cs="Arial"/>
          <w:lang w:val="en-US"/>
        </w:rPr>
        <w:t xml:space="preserve">, </w:t>
      </w:r>
      <w:r w:rsidR="00377B9C">
        <w:rPr>
          <w:rFonts w:ascii="Arial" w:hAnsi="Arial" w:cs="Arial"/>
          <w:lang w:val="en-US"/>
        </w:rPr>
        <w:t>а</w:t>
      </w:r>
      <w:r w:rsidR="00690A43">
        <w:rPr>
          <w:rFonts w:ascii="Arial" w:hAnsi="Arial" w:cs="Arial"/>
          <w:lang w:val="en-US"/>
        </w:rPr>
        <w:t xml:space="preserve"> финансовите разходи </w:t>
      </w:r>
      <w:r w:rsidR="00794D96">
        <w:rPr>
          <w:rFonts w:ascii="Arial" w:hAnsi="Arial" w:cs="Arial"/>
          <w:lang w:val="en-US"/>
        </w:rPr>
        <w:t>през първото тримесечие на 2025</w:t>
      </w:r>
      <w:r w:rsidR="00FC785F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 xml:space="preserve">г. </w:t>
      </w:r>
      <w:r w:rsidR="00FE7E52">
        <w:rPr>
          <w:rFonts w:ascii="Arial" w:hAnsi="Arial" w:cs="Arial"/>
          <w:lang w:val="en-US"/>
        </w:rPr>
        <w:t>спадат</w:t>
      </w:r>
      <w:r w:rsidR="00FA3D26">
        <w:rPr>
          <w:rFonts w:ascii="Arial" w:hAnsi="Arial" w:cs="Arial"/>
        </w:rPr>
        <w:t xml:space="preserve"> </w:t>
      </w:r>
      <w:r w:rsidR="00FE7E52">
        <w:rPr>
          <w:rFonts w:ascii="Arial" w:hAnsi="Arial" w:cs="Arial"/>
          <w:lang w:val="en-US"/>
        </w:rPr>
        <w:t>до</w:t>
      </w:r>
      <w:r w:rsidR="0000173D">
        <w:rPr>
          <w:rFonts w:ascii="Arial" w:hAnsi="Arial" w:cs="Arial"/>
          <w:lang w:val="en-US"/>
        </w:rPr>
        <w:t xml:space="preserve"> </w:t>
      </w:r>
      <w:r w:rsidR="00FA3D26">
        <w:rPr>
          <w:rFonts w:ascii="Arial" w:hAnsi="Arial" w:cs="Arial"/>
        </w:rPr>
        <w:t>ниво от</w:t>
      </w:r>
      <w:r w:rsidR="00377B9C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>289</w:t>
      </w:r>
      <w:r w:rsidR="00377B9C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>хиляди</w:t>
      </w:r>
      <w:r w:rsidR="00377B9C">
        <w:rPr>
          <w:rFonts w:ascii="Arial" w:hAnsi="Arial" w:cs="Arial"/>
          <w:lang w:val="en-US"/>
        </w:rPr>
        <w:t xml:space="preserve"> лева </w:t>
      </w:r>
      <w:r w:rsidR="00A257FE">
        <w:rPr>
          <w:rFonts w:ascii="Arial" w:hAnsi="Arial" w:cs="Arial"/>
          <w:lang w:val="en-US"/>
        </w:rPr>
        <w:t xml:space="preserve">спрямо </w:t>
      </w:r>
      <w:r w:rsidR="00794D96">
        <w:rPr>
          <w:rFonts w:ascii="Arial" w:hAnsi="Arial" w:cs="Arial"/>
          <w:lang w:val="en-US"/>
        </w:rPr>
        <w:t>346</w:t>
      </w:r>
      <w:r w:rsidR="00377B9C">
        <w:rPr>
          <w:rFonts w:ascii="Arial" w:hAnsi="Arial" w:cs="Arial"/>
          <w:lang w:val="en-US"/>
        </w:rPr>
        <w:t xml:space="preserve"> </w:t>
      </w:r>
      <w:r w:rsidR="00794D96">
        <w:rPr>
          <w:rFonts w:ascii="Arial" w:hAnsi="Arial" w:cs="Arial"/>
          <w:lang w:val="en-US"/>
        </w:rPr>
        <w:t>хиляди</w:t>
      </w:r>
      <w:r w:rsidR="00377B9C">
        <w:rPr>
          <w:rFonts w:ascii="Arial" w:hAnsi="Arial" w:cs="Arial"/>
          <w:lang w:val="en-US"/>
        </w:rPr>
        <w:t xml:space="preserve"> лева </w:t>
      </w:r>
      <w:r w:rsidR="00A257FE">
        <w:rPr>
          <w:rFonts w:ascii="Arial" w:hAnsi="Arial" w:cs="Arial"/>
          <w:lang w:val="en-US"/>
        </w:rPr>
        <w:t>година</w:t>
      </w:r>
      <w:r w:rsidR="00794D96">
        <w:rPr>
          <w:rFonts w:ascii="Arial" w:hAnsi="Arial" w:cs="Arial"/>
          <w:lang w:val="en-US"/>
        </w:rPr>
        <w:t xml:space="preserve"> по-рано</w:t>
      </w:r>
      <w:r w:rsidR="00871AA6">
        <w:rPr>
          <w:rFonts w:ascii="Arial" w:hAnsi="Arial" w:cs="Arial"/>
          <w:lang w:val="en-US"/>
        </w:rPr>
        <w:t>,</w:t>
      </w:r>
      <w:r w:rsidR="0086439A">
        <w:rPr>
          <w:rFonts w:ascii="Arial" w:hAnsi="Arial" w:cs="Arial"/>
          <w:lang w:val="en-US"/>
        </w:rPr>
        <w:t xml:space="preserve"> вследствие на извършените амортизационни плащания по облигационната емисия.</w:t>
      </w:r>
      <w:r w:rsidR="004C2C7D" w:rsidRPr="004C2C7D">
        <w:rPr>
          <w:rFonts w:ascii="Arial" w:hAnsi="Arial" w:cs="Arial"/>
          <w:lang w:val="en-US"/>
        </w:rPr>
        <w:t xml:space="preserve"> </w:t>
      </w:r>
    </w:p>
    <w:p w14:paraId="63565C91" w14:textId="77777777" w:rsidR="004C2C7D" w:rsidRDefault="004C2C7D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32A0577" w14:textId="77777777" w:rsidR="005F4CE3" w:rsidRDefault="004C2C7D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Отчетеният положителен нетен ефект от очаквани кредитни загуби, в размер на 129 хиляди лева, компенсира почти изцяло загубата от оперативна дейност, но не е достатъчен да покрие и финансовите разходи.</w:t>
      </w:r>
    </w:p>
    <w:p w14:paraId="7E205116" w14:textId="77777777" w:rsidR="00B258A7" w:rsidRDefault="00B258A7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8D3B54D" w14:textId="77777777" w:rsidR="003E1BA6" w:rsidRDefault="003E1BA6" w:rsidP="00004394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2CDF2291" w14:textId="77777777" w:rsidR="00D9764F" w:rsidRPr="00E36286" w:rsidRDefault="00D9764F" w:rsidP="00D9764F">
      <w:pPr>
        <w:pStyle w:val="2"/>
        <w:keepLines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>Анализ на Ликвидността</w:t>
      </w:r>
    </w:p>
    <w:p w14:paraId="073DD51E" w14:textId="77777777" w:rsidR="00E561DD" w:rsidRPr="00E36286" w:rsidRDefault="00E561DD" w:rsidP="00E561DD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6A259B77" w14:textId="77777777" w:rsidR="00D9764F" w:rsidRPr="00EA7A04" w:rsidRDefault="00D9764F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>Показателите за ликвидност са количествени характеристики на способността на предприятието да изплаща текущите си задължения с краткотрайни активи</w:t>
      </w:r>
      <w:r w:rsidR="005C12A2">
        <w:rPr>
          <w:rFonts w:ascii="Arial" w:hAnsi="Arial" w:cs="Arial"/>
          <w:lang w:val="en-US"/>
        </w:rPr>
        <w:t>.</w:t>
      </w:r>
    </w:p>
    <w:p w14:paraId="3FCA0D94" w14:textId="77777777" w:rsidR="008D65F7" w:rsidRDefault="008D65F7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tbl>
      <w:tblPr>
        <w:tblW w:w="4943" w:type="pct"/>
        <w:jc w:val="center"/>
        <w:tblLook w:val="04A0" w:firstRow="1" w:lastRow="0" w:firstColumn="1" w:lastColumn="0" w:noHBand="0" w:noVBand="1"/>
      </w:tblPr>
      <w:tblGrid>
        <w:gridCol w:w="3196"/>
        <w:gridCol w:w="1059"/>
        <w:gridCol w:w="1059"/>
        <w:gridCol w:w="1059"/>
        <w:gridCol w:w="1101"/>
        <w:gridCol w:w="1097"/>
      </w:tblGrid>
      <w:tr w:rsidR="00115719" w:rsidRPr="00E36286" w14:paraId="079665F8" w14:textId="77777777" w:rsidTr="005F567C">
        <w:trPr>
          <w:trHeight w:val="330"/>
          <w:jc w:val="center"/>
        </w:trPr>
        <w:tc>
          <w:tcPr>
            <w:tcW w:w="18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77CF71" w14:textId="77777777" w:rsidR="00115719" w:rsidRPr="00E36286" w:rsidRDefault="00115719" w:rsidP="002A04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Показатели за ликвидност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05DF260" w14:textId="77777777" w:rsidR="00115719" w:rsidRPr="00BB1D4C" w:rsidRDefault="00115719" w:rsidP="0011571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1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BB1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4F281BEC" w14:textId="77777777" w:rsidR="00115719" w:rsidRPr="00BB1D4C" w:rsidRDefault="00115719" w:rsidP="00232D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1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BB1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'2024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50C41EC6" w14:textId="77777777" w:rsidR="00115719" w:rsidRPr="009A5374" w:rsidRDefault="00115719" w:rsidP="00BB1D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1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3</w:t>
            </w:r>
            <w:r w:rsidRPr="00BB1D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'2024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0EDD7D4E" w14:textId="77777777" w:rsidR="00115719" w:rsidRPr="009A5374" w:rsidRDefault="00115719" w:rsidP="00D56A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21CD7F9" w14:textId="77777777" w:rsidR="00115719" w:rsidRPr="009A5374" w:rsidRDefault="00115719" w:rsidP="00BD6A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F567C" w:rsidRPr="00E36286" w14:paraId="0158DEBB" w14:textId="77777777" w:rsidTr="005F567C">
        <w:trPr>
          <w:trHeight w:val="330"/>
          <w:jc w:val="center"/>
        </w:trPr>
        <w:tc>
          <w:tcPr>
            <w:tcW w:w="18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D28DE5" w14:textId="77777777" w:rsidR="005F567C" w:rsidRPr="00E36286" w:rsidRDefault="005F567C" w:rsidP="002A04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bg-BG"/>
              </w:rPr>
              <w:t>Обща</w:t>
            </w:r>
            <w:r w:rsidRPr="00E36286">
              <w:rPr>
                <w:rFonts w:ascii="Arial" w:hAnsi="Arial" w:cs="Arial"/>
                <w:color w:val="000000"/>
                <w:sz w:val="22"/>
                <w:szCs w:val="22"/>
              </w:rPr>
              <w:t xml:space="preserve"> ликвидност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9A69E0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2.2159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DC8E7E" w14:textId="77777777" w:rsidR="005F567C" w:rsidRDefault="005F567C" w:rsidP="00F145D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2.1879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342A2" w14:textId="77777777" w:rsidR="005F567C" w:rsidRDefault="005F567C" w:rsidP="00BB1D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2.7007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2FDF92" w14:textId="77777777" w:rsidR="005F567C" w:rsidRDefault="005F567C" w:rsidP="002043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2.5260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A0D003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2.4140</w:t>
            </w:r>
          </w:p>
        </w:tc>
      </w:tr>
      <w:tr w:rsidR="005F567C" w:rsidRPr="00E36286" w14:paraId="7700BAEC" w14:textId="77777777" w:rsidTr="005F567C">
        <w:trPr>
          <w:trHeight w:val="330"/>
          <w:jc w:val="center"/>
        </w:trPr>
        <w:tc>
          <w:tcPr>
            <w:tcW w:w="18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656507" w14:textId="77777777" w:rsidR="005F567C" w:rsidRPr="00E36286" w:rsidRDefault="005F567C" w:rsidP="002A04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286">
              <w:rPr>
                <w:rFonts w:ascii="Arial" w:hAnsi="Arial" w:cs="Arial"/>
                <w:color w:val="000000"/>
                <w:sz w:val="22"/>
                <w:szCs w:val="22"/>
              </w:rPr>
              <w:t>Бърза ликвидност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1A71E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1.6184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D50C94" w14:textId="77777777" w:rsidR="005F567C" w:rsidRDefault="005F567C" w:rsidP="00F521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1.6253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506C13" w14:textId="77777777" w:rsidR="005F567C" w:rsidRDefault="005F567C" w:rsidP="00BB1D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1.9930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ED45E" w14:textId="77777777" w:rsidR="005F567C" w:rsidRDefault="005F567C" w:rsidP="002043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1.8769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35EE37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1.8766</w:t>
            </w:r>
          </w:p>
        </w:tc>
      </w:tr>
      <w:tr w:rsidR="005F567C" w:rsidRPr="00E36286" w14:paraId="20B81BC6" w14:textId="77777777" w:rsidTr="005F567C">
        <w:trPr>
          <w:trHeight w:val="330"/>
          <w:jc w:val="center"/>
        </w:trPr>
        <w:tc>
          <w:tcPr>
            <w:tcW w:w="18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FF52E" w14:textId="77777777" w:rsidR="005F567C" w:rsidRPr="00E36286" w:rsidRDefault="005F567C" w:rsidP="002A04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286">
              <w:rPr>
                <w:rFonts w:ascii="Arial" w:hAnsi="Arial" w:cs="Arial"/>
                <w:color w:val="000000"/>
                <w:sz w:val="22"/>
                <w:szCs w:val="22"/>
              </w:rPr>
              <w:t>Незабавна ликвидност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3DD2E1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CFF49B" w14:textId="77777777" w:rsidR="005F567C" w:rsidRDefault="005F567C" w:rsidP="00232DE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0.0074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7A33E" w14:textId="77777777" w:rsidR="005F567C" w:rsidRDefault="005F567C" w:rsidP="00BB1D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0.0074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6E5F8F" w14:textId="77777777" w:rsidR="005F567C" w:rsidRDefault="005F567C" w:rsidP="001378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54C938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0.0394</w:t>
            </w:r>
          </w:p>
        </w:tc>
      </w:tr>
    </w:tbl>
    <w:p w14:paraId="520E37C5" w14:textId="77777777" w:rsidR="00D9764F" w:rsidRPr="00E36286" w:rsidRDefault="00D9764F" w:rsidP="00D9764F">
      <w:pPr>
        <w:pStyle w:val="a6"/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067E6D4B" w14:textId="77777777" w:rsidR="00CA20FB" w:rsidRPr="005030F9" w:rsidRDefault="00503743" w:rsidP="00F81719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П</w:t>
      </w:r>
      <w:r w:rsidR="00356A81" w:rsidRPr="00356A81">
        <w:rPr>
          <w:rFonts w:ascii="Arial" w:hAnsi="Arial" w:cs="Arial"/>
          <w:lang w:val="en-US"/>
        </w:rPr>
        <w:t>оказател</w:t>
      </w:r>
      <w:r w:rsidR="00D544C4">
        <w:rPr>
          <w:rFonts w:ascii="Arial" w:hAnsi="Arial" w:cs="Arial"/>
          <w:lang w:val="en-US"/>
        </w:rPr>
        <w:t>ите</w:t>
      </w:r>
      <w:r w:rsidR="00356A81" w:rsidRPr="00356A81">
        <w:rPr>
          <w:rFonts w:ascii="Arial" w:hAnsi="Arial" w:cs="Arial"/>
          <w:lang w:val="en-US"/>
        </w:rPr>
        <w:t xml:space="preserve"> </w:t>
      </w:r>
      <w:r w:rsidR="005A5F3D">
        <w:rPr>
          <w:rFonts w:ascii="Arial" w:hAnsi="Arial" w:cs="Arial"/>
          <w:lang w:val="en-US"/>
        </w:rPr>
        <w:t xml:space="preserve">за </w:t>
      </w:r>
      <w:r w:rsidR="00356A81" w:rsidRPr="00356A81">
        <w:rPr>
          <w:rFonts w:ascii="Arial" w:hAnsi="Arial" w:cs="Arial"/>
          <w:lang w:val="en-US"/>
        </w:rPr>
        <w:t>ликвидност</w:t>
      </w:r>
      <w:r>
        <w:rPr>
          <w:rFonts w:ascii="Arial" w:hAnsi="Arial" w:cs="Arial"/>
          <w:lang w:val="en-US"/>
        </w:rPr>
        <w:t xml:space="preserve"> </w:t>
      </w:r>
      <w:r w:rsidR="00D544C4">
        <w:rPr>
          <w:rFonts w:ascii="Arial" w:hAnsi="Arial" w:cs="Arial"/>
          <w:lang w:val="en-US"/>
        </w:rPr>
        <w:t>са без</w:t>
      </w:r>
      <w:r>
        <w:rPr>
          <w:rFonts w:ascii="Arial" w:hAnsi="Arial" w:cs="Arial"/>
          <w:lang w:val="en-US"/>
        </w:rPr>
        <w:t xml:space="preserve"> съществен</w:t>
      </w:r>
      <w:r w:rsidR="00D544C4">
        <w:rPr>
          <w:rFonts w:ascii="Arial" w:hAnsi="Arial" w:cs="Arial"/>
          <w:lang w:val="en-US"/>
        </w:rPr>
        <w:t xml:space="preserve">и изменения през </w:t>
      </w:r>
      <w:r w:rsidR="004C2C7D">
        <w:rPr>
          <w:rFonts w:ascii="Arial" w:hAnsi="Arial" w:cs="Arial"/>
          <w:lang w:val="en-US"/>
        </w:rPr>
        <w:t>първото</w:t>
      </w:r>
      <w:r w:rsidR="005A5F3D">
        <w:rPr>
          <w:rFonts w:ascii="Arial" w:hAnsi="Arial" w:cs="Arial"/>
          <w:lang w:val="en-US"/>
        </w:rPr>
        <w:t xml:space="preserve"> </w:t>
      </w:r>
      <w:r w:rsidR="00D544C4">
        <w:rPr>
          <w:rFonts w:ascii="Arial" w:hAnsi="Arial" w:cs="Arial"/>
          <w:lang w:val="en-US"/>
        </w:rPr>
        <w:t>тримесечие</w:t>
      </w:r>
      <w:r w:rsidR="005A5F3D">
        <w:rPr>
          <w:rFonts w:ascii="Arial" w:hAnsi="Arial" w:cs="Arial"/>
          <w:lang w:val="en-US"/>
        </w:rPr>
        <w:t xml:space="preserve"> на 202</w:t>
      </w:r>
      <w:r w:rsidR="004C2C7D">
        <w:rPr>
          <w:rFonts w:ascii="Arial" w:hAnsi="Arial" w:cs="Arial"/>
          <w:lang w:val="en-US"/>
        </w:rPr>
        <w:t>5</w:t>
      </w:r>
      <w:r w:rsidR="00D417BC">
        <w:rPr>
          <w:rFonts w:ascii="Arial" w:hAnsi="Arial" w:cs="Arial"/>
          <w:lang w:val="en-US"/>
        </w:rPr>
        <w:t xml:space="preserve"> </w:t>
      </w:r>
      <w:r w:rsidR="005A5F3D">
        <w:rPr>
          <w:rFonts w:ascii="Arial" w:hAnsi="Arial" w:cs="Arial"/>
          <w:lang w:val="en-US"/>
        </w:rPr>
        <w:t>г</w:t>
      </w:r>
      <w:r w:rsidR="000B5A91">
        <w:rPr>
          <w:rFonts w:ascii="Arial" w:hAnsi="Arial" w:cs="Arial"/>
          <w:lang w:val="en-US"/>
        </w:rPr>
        <w:t>.</w:t>
      </w:r>
      <w:r w:rsidR="00356A81" w:rsidRPr="00356A81">
        <w:rPr>
          <w:rFonts w:ascii="Arial" w:hAnsi="Arial" w:cs="Arial"/>
          <w:lang w:val="en-US"/>
        </w:rPr>
        <w:t xml:space="preserve"> </w:t>
      </w:r>
      <w:r w:rsidR="000B5A91">
        <w:rPr>
          <w:rFonts w:ascii="Arial" w:hAnsi="Arial" w:cs="Arial"/>
          <w:lang w:val="en-US"/>
        </w:rPr>
        <w:t>Н</w:t>
      </w:r>
      <w:r w:rsidR="00356A81" w:rsidRPr="00356A81">
        <w:rPr>
          <w:rFonts w:ascii="Arial" w:hAnsi="Arial" w:cs="Arial"/>
          <w:lang w:val="en-US"/>
        </w:rPr>
        <w:t xml:space="preserve">ивото на показателя за незабавна ликвидност </w:t>
      </w:r>
      <w:r w:rsidR="004C2C7D">
        <w:rPr>
          <w:rFonts w:ascii="Arial" w:hAnsi="Arial" w:cs="Arial"/>
          <w:lang w:val="en-US"/>
        </w:rPr>
        <w:t>с</w:t>
      </w:r>
      <w:r w:rsidR="005A5F3D">
        <w:rPr>
          <w:rFonts w:ascii="Arial" w:hAnsi="Arial" w:cs="Arial"/>
          <w:lang w:val="en-US"/>
        </w:rPr>
        <w:t xml:space="preserve">е </w:t>
      </w:r>
      <w:r w:rsidR="004C2C7D">
        <w:rPr>
          <w:rFonts w:ascii="Arial" w:hAnsi="Arial" w:cs="Arial"/>
          <w:lang w:val="en-US"/>
        </w:rPr>
        <w:t>е подобрило благодарение на ръста при паричните средства, което ще спомогне за точното изпълнение на предстоящите през месец юни</w:t>
      </w:r>
      <w:r w:rsidR="00E64244">
        <w:rPr>
          <w:rFonts w:ascii="Arial" w:hAnsi="Arial" w:cs="Arial"/>
          <w:lang w:val="en-US"/>
        </w:rPr>
        <w:t xml:space="preserve"> 202</w:t>
      </w:r>
      <w:r w:rsidR="004C2C7D">
        <w:rPr>
          <w:rFonts w:ascii="Arial" w:hAnsi="Arial" w:cs="Arial"/>
          <w:lang w:val="en-US"/>
        </w:rPr>
        <w:t>5</w:t>
      </w:r>
      <w:r w:rsidR="00E64244">
        <w:rPr>
          <w:rFonts w:ascii="Arial" w:hAnsi="Arial" w:cs="Arial"/>
        </w:rPr>
        <w:t xml:space="preserve"> </w:t>
      </w:r>
      <w:r w:rsidR="00E64244">
        <w:rPr>
          <w:rFonts w:ascii="Arial" w:hAnsi="Arial" w:cs="Arial"/>
          <w:lang w:val="en-US"/>
        </w:rPr>
        <w:t>г.</w:t>
      </w:r>
      <w:r w:rsidR="00E64244" w:rsidRPr="00356A81">
        <w:rPr>
          <w:rFonts w:ascii="Arial" w:hAnsi="Arial" w:cs="Arial"/>
          <w:lang w:val="en-US"/>
        </w:rPr>
        <w:t xml:space="preserve"> </w:t>
      </w:r>
      <w:r w:rsidR="00E64244">
        <w:rPr>
          <w:rFonts w:ascii="Arial" w:hAnsi="Arial" w:cs="Arial"/>
          <w:lang w:val="en-US"/>
        </w:rPr>
        <w:t>лихвено и главнично плащан</w:t>
      </w:r>
      <w:r w:rsidR="00E64244">
        <w:rPr>
          <w:rFonts w:ascii="Arial" w:hAnsi="Arial" w:cs="Arial"/>
        </w:rPr>
        <w:t xml:space="preserve">ия </w:t>
      </w:r>
      <w:r w:rsidR="00E64244">
        <w:rPr>
          <w:rFonts w:ascii="Arial" w:hAnsi="Arial" w:cs="Arial"/>
          <w:lang w:val="en-US"/>
        </w:rPr>
        <w:t>по облигационната емисия</w:t>
      </w:r>
      <w:r w:rsidR="005030F9">
        <w:rPr>
          <w:rFonts w:ascii="Arial" w:hAnsi="Arial" w:cs="Arial"/>
        </w:rPr>
        <w:t>.</w:t>
      </w:r>
    </w:p>
    <w:p w14:paraId="3B3378DD" w14:textId="77777777" w:rsidR="002B1ADE" w:rsidRDefault="002B1ADE" w:rsidP="001A015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40B08CFA" w14:textId="77777777" w:rsidR="001A0150" w:rsidRPr="001A0150" w:rsidRDefault="001A0150" w:rsidP="001A0150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501D32BA" w14:textId="77777777" w:rsidR="00D9764F" w:rsidRPr="00E36286" w:rsidRDefault="00D9764F" w:rsidP="00D9764F">
      <w:pPr>
        <w:pStyle w:val="2"/>
        <w:keepLines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>Анализ на Платежоспособността</w:t>
      </w:r>
    </w:p>
    <w:p w14:paraId="0B2FF698" w14:textId="77777777" w:rsidR="00E561DD" w:rsidRPr="00E36286" w:rsidRDefault="00E561DD" w:rsidP="00E561DD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4A13E3B5" w14:textId="77777777" w:rsidR="00D9764F" w:rsidRPr="00E36286" w:rsidRDefault="00D9764F" w:rsidP="00E561DD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Показателите за платежоспособност измерват степента на задлъжнялост на Дружеството и възможностите </w:t>
      </w:r>
      <w:r w:rsidR="000846F9" w:rsidRPr="00E36286">
        <w:rPr>
          <w:rFonts w:ascii="Arial" w:hAnsi="Arial" w:cs="Arial"/>
        </w:rPr>
        <w:t>му</w:t>
      </w:r>
      <w:r w:rsidRPr="00E36286">
        <w:rPr>
          <w:rFonts w:ascii="Arial" w:hAnsi="Arial" w:cs="Arial"/>
        </w:rPr>
        <w:t xml:space="preserve"> да посрещне своите задължения.</w:t>
      </w:r>
    </w:p>
    <w:p w14:paraId="78138352" w14:textId="77777777" w:rsidR="00D9764F" w:rsidRPr="00E36286" w:rsidRDefault="00D9764F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</w:rPr>
      </w:pPr>
    </w:p>
    <w:tbl>
      <w:tblPr>
        <w:tblW w:w="5116" w:type="pct"/>
        <w:jc w:val="center"/>
        <w:tblLook w:val="04A0" w:firstRow="1" w:lastRow="0" w:firstColumn="1" w:lastColumn="0" w:noHBand="0" w:noVBand="1"/>
      </w:tblPr>
      <w:tblGrid>
        <w:gridCol w:w="3406"/>
        <w:gridCol w:w="1093"/>
        <w:gridCol w:w="1093"/>
        <w:gridCol w:w="1093"/>
        <w:gridCol w:w="1093"/>
        <w:gridCol w:w="1093"/>
      </w:tblGrid>
      <w:tr w:rsidR="00115719" w:rsidRPr="00E36286" w14:paraId="249630A7" w14:textId="77777777" w:rsidTr="005F567C">
        <w:trPr>
          <w:trHeight w:val="330"/>
          <w:jc w:val="center"/>
        </w:trPr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A1E890" w14:textId="77777777" w:rsidR="00115719" w:rsidRPr="00E36286" w:rsidRDefault="00115719" w:rsidP="002A04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362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Платежоспособност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16394E3" w14:textId="77777777" w:rsidR="00115719" w:rsidRPr="009A5374" w:rsidRDefault="00115719" w:rsidP="0011571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04538144" w14:textId="77777777" w:rsidR="00115719" w:rsidRPr="009A5374" w:rsidRDefault="00115719" w:rsidP="00232D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1292B50B" w14:textId="77777777" w:rsidR="00115719" w:rsidRPr="009A5374" w:rsidRDefault="00115719" w:rsidP="008532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g-BG"/>
              </w:rPr>
              <w:t>3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21382856" w14:textId="77777777" w:rsidR="00115719" w:rsidRPr="009A5374" w:rsidRDefault="00115719" w:rsidP="00D56A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02702DB5" w14:textId="77777777" w:rsidR="00115719" w:rsidRPr="009A5374" w:rsidRDefault="00115719" w:rsidP="00BD6A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9A53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F567C" w:rsidRPr="00E36286" w14:paraId="683FBA64" w14:textId="77777777" w:rsidTr="005F567C">
        <w:trPr>
          <w:trHeight w:val="330"/>
          <w:jc w:val="center"/>
        </w:trPr>
        <w:tc>
          <w:tcPr>
            <w:tcW w:w="19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D53D7B" w14:textId="77777777" w:rsidR="005F567C" w:rsidRPr="00E36286" w:rsidRDefault="005F567C" w:rsidP="002A04BB">
            <w:pPr>
              <w:rPr>
                <w:rFonts w:ascii="Arial" w:hAnsi="Arial" w:cs="Arial"/>
                <w:sz w:val="22"/>
                <w:szCs w:val="22"/>
              </w:rPr>
            </w:pPr>
            <w:r w:rsidRPr="00E36286">
              <w:rPr>
                <w:rFonts w:ascii="Arial" w:hAnsi="Arial" w:cs="Arial"/>
                <w:sz w:val="22"/>
                <w:szCs w:val="22"/>
              </w:rPr>
              <w:t>Дългосрочен дълг/Активи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A454BF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0.3209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542503" w14:textId="77777777" w:rsidR="005F567C" w:rsidRDefault="005F567C" w:rsidP="00232DE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0.3152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1CC738" w14:textId="77777777" w:rsidR="005F567C" w:rsidRPr="00A7564C" w:rsidRDefault="005F567C" w:rsidP="00A756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0.385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39519" w14:textId="77777777" w:rsidR="005F567C" w:rsidRDefault="005F567C" w:rsidP="002043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0.3774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4BAD2E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0.3667</w:t>
            </w:r>
          </w:p>
        </w:tc>
      </w:tr>
      <w:tr w:rsidR="005F567C" w:rsidRPr="00E36286" w14:paraId="4726E6F4" w14:textId="77777777" w:rsidTr="005F567C">
        <w:trPr>
          <w:trHeight w:val="330"/>
          <w:jc w:val="center"/>
        </w:trPr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DE71C1" w14:textId="77777777" w:rsidR="005F567C" w:rsidRPr="00E36286" w:rsidRDefault="005F567C" w:rsidP="002A04BB">
            <w:pPr>
              <w:rPr>
                <w:rFonts w:ascii="Arial" w:hAnsi="Arial" w:cs="Arial"/>
                <w:sz w:val="22"/>
                <w:szCs w:val="22"/>
              </w:rPr>
            </w:pPr>
            <w:r w:rsidRPr="00E36286">
              <w:rPr>
                <w:rFonts w:ascii="Arial" w:hAnsi="Arial" w:cs="Arial"/>
                <w:sz w:val="22"/>
                <w:szCs w:val="22"/>
              </w:rPr>
              <w:t>Общ дълг/Активи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BEFABD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0.5603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A607CB" w14:textId="77777777" w:rsidR="005F567C" w:rsidRDefault="005F567C" w:rsidP="00232DE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0.5583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85B623" w14:textId="77777777" w:rsidR="005F567C" w:rsidRPr="00A7564C" w:rsidRDefault="005F567C" w:rsidP="00BB1D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0.564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9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A929D1" w14:textId="77777777" w:rsidR="005F567C" w:rsidRDefault="005F567C" w:rsidP="002043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0.5744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B60D3F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0.5729</w:t>
            </w:r>
          </w:p>
        </w:tc>
      </w:tr>
      <w:tr w:rsidR="005F567C" w:rsidRPr="00E36286" w14:paraId="68FD8D79" w14:textId="77777777" w:rsidTr="005F567C">
        <w:trPr>
          <w:trHeight w:val="330"/>
          <w:jc w:val="center"/>
        </w:trPr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76F9E7" w14:textId="77777777" w:rsidR="005F567C" w:rsidRPr="00E36286" w:rsidRDefault="005F567C" w:rsidP="002A04BB">
            <w:pPr>
              <w:rPr>
                <w:rFonts w:ascii="Arial" w:hAnsi="Arial" w:cs="Arial"/>
                <w:sz w:val="22"/>
                <w:szCs w:val="22"/>
              </w:rPr>
            </w:pPr>
            <w:r w:rsidRPr="00E36286">
              <w:rPr>
                <w:rFonts w:ascii="Arial" w:hAnsi="Arial" w:cs="Arial"/>
                <w:sz w:val="22"/>
                <w:szCs w:val="22"/>
              </w:rPr>
              <w:t>Общ дълг/Собствен капитал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5DF5E7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1.2745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AF5060" w14:textId="77777777" w:rsidR="005F567C" w:rsidRDefault="005F567C" w:rsidP="00232DE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1.2642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B21DB" w14:textId="77777777" w:rsidR="005F567C" w:rsidRPr="00A7564C" w:rsidRDefault="005F567C" w:rsidP="00BB1D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1.298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3EAFA2" w14:textId="77777777" w:rsidR="005F567C" w:rsidRDefault="005F567C" w:rsidP="002043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1.3497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48635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1.3416</w:t>
            </w:r>
          </w:p>
        </w:tc>
      </w:tr>
      <w:tr w:rsidR="005F567C" w:rsidRPr="00E36286" w14:paraId="53C13F75" w14:textId="77777777" w:rsidTr="005F567C">
        <w:trPr>
          <w:trHeight w:val="329"/>
          <w:jc w:val="center"/>
        </w:trPr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293C36" w14:textId="77777777" w:rsidR="005F567C" w:rsidRPr="00E36286" w:rsidRDefault="005F567C" w:rsidP="002A04BB">
            <w:pPr>
              <w:rPr>
                <w:rFonts w:ascii="Arial" w:hAnsi="Arial" w:cs="Arial"/>
                <w:sz w:val="22"/>
                <w:szCs w:val="22"/>
              </w:rPr>
            </w:pPr>
            <w:r w:rsidRPr="00E36286">
              <w:rPr>
                <w:rFonts w:ascii="Arial" w:hAnsi="Arial" w:cs="Arial"/>
                <w:sz w:val="22"/>
                <w:szCs w:val="22"/>
              </w:rPr>
              <w:t>Общо активи/Собствен капитал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F7DAFA" w14:textId="77777777" w:rsidR="005F567C" w:rsidRDefault="005F567C" w:rsidP="002F741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2.2745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989038" w14:textId="77777777" w:rsidR="005F567C" w:rsidRDefault="005F567C" w:rsidP="00232DE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2.2642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1A7A8" w14:textId="77777777" w:rsidR="005F567C" w:rsidRPr="00A7564C" w:rsidRDefault="005F567C" w:rsidP="00BB1D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9C6C7" w14:textId="77777777" w:rsidR="005F567C" w:rsidRDefault="005F567C" w:rsidP="002043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2.3497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B859A" w14:textId="77777777" w:rsidR="005F567C" w:rsidRDefault="005F567C" w:rsidP="00BD6A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2.3416</w:t>
            </w:r>
          </w:p>
        </w:tc>
      </w:tr>
    </w:tbl>
    <w:p w14:paraId="37AC5587" w14:textId="77777777" w:rsidR="00A651B6" w:rsidRDefault="00A651B6" w:rsidP="00E561DD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6959F6B4" w14:textId="77777777" w:rsidR="00AF2692" w:rsidRDefault="00627C77" w:rsidP="00E561DD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П</w:t>
      </w:r>
      <w:r w:rsidR="00CC654B">
        <w:rPr>
          <w:rFonts w:ascii="Arial" w:hAnsi="Arial" w:cs="Arial"/>
          <w:lang w:val="en-US"/>
        </w:rPr>
        <w:t xml:space="preserve">рез </w:t>
      </w:r>
      <w:r w:rsidR="006666E1">
        <w:rPr>
          <w:rFonts w:ascii="Arial" w:hAnsi="Arial" w:cs="Arial"/>
          <w:lang w:val="en-US"/>
        </w:rPr>
        <w:t>първото</w:t>
      </w:r>
      <w:r w:rsidR="00CC654B">
        <w:rPr>
          <w:rFonts w:ascii="Arial" w:hAnsi="Arial" w:cs="Arial"/>
          <w:lang w:val="en-US"/>
        </w:rPr>
        <w:t xml:space="preserve"> тримесечие на 202</w:t>
      </w:r>
      <w:r w:rsidR="006666E1">
        <w:rPr>
          <w:rFonts w:ascii="Arial" w:hAnsi="Arial" w:cs="Arial"/>
          <w:lang w:val="en-US"/>
        </w:rPr>
        <w:t>5</w:t>
      </w:r>
      <w:r w:rsidR="00CC654B">
        <w:rPr>
          <w:rFonts w:ascii="Arial" w:hAnsi="Arial" w:cs="Arial"/>
          <w:lang w:val="en-US"/>
        </w:rPr>
        <w:t xml:space="preserve"> година </w:t>
      </w:r>
      <w:r>
        <w:rPr>
          <w:rFonts w:ascii="Arial" w:hAnsi="Arial" w:cs="Arial"/>
          <w:lang w:val="en-US"/>
        </w:rPr>
        <w:t>няма съществена промяна при</w:t>
      </w:r>
      <w:r w:rsidR="00AF2692">
        <w:rPr>
          <w:rFonts w:ascii="Arial" w:hAnsi="Arial" w:cs="Arial"/>
          <w:lang w:val="en-US"/>
        </w:rPr>
        <w:t xml:space="preserve"> показатели</w:t>
      </w:r>
      <w:r>
        <w:rPr>
          <w:rFonts w:ascii="Arial" w:hAnsi="Arial" w:cs="Arial"/>
          <w:lang w:val="en-US"/>
        </w:rPr>
        <w:t>те</w:t>
      </w:r>
      <w:r w:rsidR="00AF2692">
        <w:rPr>
          <w:rFonts w:ascii="Arial" w:hAnsi="Arial" w:cs="Arial"/>
          <w:lang w:val="en-US"/>
        </w:rPr>
        <w:t xml:space="preserve"> за платежоспособност на емитента</w:t>
      </w:r>
      <w:r>
        <w:rPr>
          <w:rFonts w:ascii="Arial" w:hAnsi="Arial" w:cs="Arial"/>
          <w:lang w:val="en-US"/>
        </w:rPr>
        <w:t xml:space="preserve">. </w:t>
      </w:r>
      <w:r w:rsidR="000B5A91">
        <w:rPr>
          <w:rFonts w:ascii="Arial" w:hAnsi="Arial" w:cs="Arial"/>
          <w:lang w:val="en-US"/>
        </w:rPr>
        <w:t>Значителният размер на собствения капитал поддържа нивото на л</w:t>
      </w:r>
      <w:r w:rsidR="00DF1ADE">
        <w:rPr>
          <w:rFonts w:ascii="Arial" w:hAnsi="Arial" w:cs="Arial"/>
        </w:rPr>
        <w:t>и</w:t>
      </w:r>
      <w:r w:rsidR="000B5A91">
        <w:rPr>
          <w:rFonts w:ascii="Arial" w:hAnsi="Arial" w:cs="Arial"/>
          <w:lang w:val="en-US"/>
        </w:rPr>
        <w:t>въридж в приемливи граници</w:t>
      </w:r>
      <w:r w:rsidR="00C57FF8">
        <w:rPr>
          <w:rFonts w:ascii="Arial" w:hAnsi="Arial" w:cs="Arial"/>
          <w:lang w:val="en-US"/>
        </w:rPr>
        <w:t>.</w:t>
      </w:r>
      <w:r w:rsidR="00D75310">
        <w:rPr>
          <w:rFonts w:ascii="Arial" w:hAnsi="Arial" w:cs="Arial"/>
          <w:lang w:val="en-US"/>
        </w:rPr>
        <w:t xml:space="preserve"> </w:t>
      </w:r>
    </w:p>
    <w:p w14:paraId="3B5A4F5A" w14:textId="77777777" w:rsidR="004861C1" w:rsidRDefault="004861C1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12A3021F" w14:textId="77777777" w:rsidR="00AF2692" w:rsidRPr="004861C1" w:rsidRDefault="00AF2692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12950B3F" w14:textId="77777777" w:rsidR="00D9764F" w:rsidRPr="00E36286" w:rsidRDefault="00D9764F" w:rsidP="00D9764F">
      <w:pPr>
        <w:pStyle w:val="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Състояние на обезпечението на облигационната емисия.</w:t>
      </w:r>
    </w:p>
    <w:p w14:paraId="7ADD3B43" w14:textId="77777777" w:rsidR="00D9764F" w:rsidRPr="00E36286" w:rsidRDefault="00D9764F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14376F34" w14:textId="77777777" w:rsidR="00F85566" w:rsidRPr="00E36286" w:rsidRDefault="00D9764F" w:rsidP="00FC3866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За обезпечаване на вземането по главницата и всички дължими лихви по облигационния заем </w:t>
      </w:r>
      <w:r w:rsidR="0095096E">
        <w:rPr>
          <w:rFonts w:ascii="Arial" w:hAnsi="Arial" w:cs="Arial"/>
        </w:rPr>
        <w:t>АЛТЕРОН АДСИЦ</w:t>
      </w:r>
      <w:r w:rsidRPr="00E36286">
        <w:rPr>
          <w:rFonts w:ascii="Arial" w:hAnsi="Arial" w:cs="Arial"/>
        </w:rPr>
        <w:t xml:space="preserve"> е сключило застраховка при ЗАД А</w:t>
      </w:r>
      <w:r w:rsidR="001E58E7">
        <w:rPr>
          <w:rFonts w:ascii="Arial" w:hAnsi="Arial" w:cs="Arial"/>
        </w:rPr>
        <w:t xml:space="preserve">РМЕЕЦ </w:t>
      </w:r>
      <w:r w:rsidR="00A85B0B" w:rsidRPr="00E36286">
        <w:rPr>
          <w:rFonts w:ascii="Arial" w:hAnsi="Arial" w:cs="Arial"/>
        </w:rPr>
        <w:t>на всички плащания по облигационната емисия срещу риск от неплащане</w:t>
      </w:r>
      <w:r w:rsidRPr="00E36286">
        <w:rPr>
          <w:rFonts w:ascii="Arial" w:hAnsi="Arial" w:cs="Arial"/>
        </w:rPr>
        <w:t>, с действие на полицата до датата на пълно погасяване на облигационния заем</w:t>
      </w:r>
      <w:r w:rsidR="00A85B0B" w:rsidRPr="00E36286">
        <w:rPr>
          <w:rFonts w:ascii="Arial" w:hAnsi="Arial" w:cs="Arial"/>
        </w:rPr>
        <w:t>, включително в случаите на удължаване на срока/падежа на емисията</w:t>
      </w:r>
      <w:r w:rsidRPr="00E36286">
        <w:rPr>
          <w:rFonts w:ascii="Arial" w:hAnsi="Arial" w:cs="Arial"/>
        </w:rPr>
        <w:t xml:space="preserve">. </w:t>
      </w:r>
    </w:p>
    <w:p w14:paraId="2DB1ED17" w14:textId="77777777" w:rsidR="00AE700E" w:rsidRPr="00E36286" w:rsidRDefault="00AE700E" w:rsidP="00FC3866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1DE164F9" w14:textId="77777777" w:rsidR="00C33310" w:rsidRDefault="00A10CBB" w:rsidP="00FC3866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</w:t>
      </w:r>
      <w:r w:rsidR="00E47052">
        <w:rPr>
          <w:rFonts w:ascii="Arial" w:hAnsi="Arial" w:cs="Arial"/>
        </w:rPr>
        <w:t>ъм 3</w:t>
      </w:r>
      <w:r w:rsidR="001A2D70"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>.</w:t>
      </w:r>
      <w:r w:rsidR="006A5B98">
        <w:rPr>
          <w:rFonts w:ascii="Arial" w:hAnsi="Arial" w:cs="Arial"/>
          <w:lang w:val="en-US"/>
        </w:rPr>
        <w:t>03</w:t>
      </w:r>
      <w:r>
        <w:rPr>
          <w:rFonts w:ascii="Arial" w:hAnsi="Arial" w:cs="Arial"/>
        </w:rPr>
        <w:t>.20</w:t>
      </w:r>
      <w:r w:rsidR="001D6466">
        <w:rPr>
          <w:rFonts w:ascii="Arial" w:hAnsi="Arial" w:cs="Arial"/>
          <w:lang w:val="en-US"/>
        </w:rPr>
        <w:t>2</w:t>
      </w:r>
      <w:r w:rsidR="006A5B98">
        <w:rPr>
          <w:rFonts w:ascii="Arial" w:hAnsi="Arial" w:cs="Arial"/>
          <w:lang w:val="en-US"/>
        </w:rPr>
        <w:t>5</w:t>
      </w:r>
      <w:r w:rsidR="0021750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  <w:r w:rsidR="00AE700E" w:rsidRPr="00E36286">
        <w:rPr>
          <w:rFonts w:ascii="Arial" w:hAnsi="Arial" w:cs="Arial"/>
        </w:rPr>
        <w:t xml:space="preserve"> застраховката е валидна.</w:t>
      </w:r>
      <w:r w:rsidR="0084518C" w:rsidRPr="0084518C">
        <w:rPr>
          <w:rFonts w:ascii="Arial" w:hAnsi="Arial" w:cs="Arial"/>
          <w:lang w:val="en-US"/>
        </w:rPr>
        <w:t xml:space="preserve"> </w:t>
      </w:r>
    </w:p>
    <w:p w14:paraId="6AEB6139" w14:textId="77777777" w:rsidR="00C33310" w:rsidRDefault="00C33310" w:rsidP="00FC3866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62FDAD75" w14:textId="77777777" w:rsidR="00E64244" w:rsidRPr="002C2988" w:rsidRDefault="00E64244" w:rsidP="00FC3866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8F4551E" w14:textId="77777777" w:rsidR="00D9764F" w:rsidRPr="00E36286" w:rsidRDefault="00D9764F" w:rsidP="00D9764F">
      <w:pPr>
        <w:pStyle w:val="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lastRenderedPageBreak/>
        <w:t>Изразходване на средствата от облигационния заем.</w:t>
      </w:r>
    </w:p>
    <w:p w14:paraId="10724428" w14:textId="77777777" w:rsidR="00D9764F" w:rsidRPr="00E36286" w:rsidRDefault="00D9764F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0AAD675C" w14:textId="77777777" w:rsidR="00A83816" w:rsidRPr="00A83816" w:rsidRDefault="00556E84" w:rsidP="00A838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  <w:r w:rsidRPr="00E36286">
        <w:rPr>
          <w:rFonts w:ascii="Arial" w:hAnsi="Arial" w:cs="Arial"/>
          <w:sz w:val="22"/>
          <w:szCs w:val="22"/>
        </w:rPr>
        <w:t>Набраните от емисията с</w:t>
      </w:r>
      <w:r w:rsidR="000846F9" w:rsidRPr="00E36286">
        <w:rPr>
          <w:rFonts w:ascii="Arial" w:hAnsi="Arial" w:cs="Arial"/>
          <w:sz w:val="22"/>
          <w:szCs w:val="22"/>
        </w:rPr>
        <w:t xml:space="preserve">редства </w:t>
      </w:r>
      <w:r w:rsidR="004A5D45" w:rsidRPr="00E36286">
        <w:rPr>
          <w:rFonts w:ascii="Arial" w:hAnsi="Arial" w:cs="Arial"/>
          <w:sz w:val="22"/>
          <w:szCs w:val="22"/>
          <w:lang w:val="bg-BG"/>
        </w:rPr>
        <w:t>са</w:t>
      </w:r>
      <w:r w:rsidR="000846F9" w:rsidRPr="00E36286">
        <w:rPr>
          <w:rFonts w:ascii="Arial" w:hAnsi="Arial" w:cs="Arial"/>
          <w:sz w:val="22"/>
          <w:szCs w:val="22"/>
        </w:rPr>
        <w:t xml:space="preserve"> използвани от </w:t>
      </w:r>
      <w:r w:rsidR="0095096E">
        <w:rPr>
          <w:rFonts w:ascii="Arial" w:hAnsi="Arial" w:cs="Arial"/>
          <w:sz w:val="22"/>
          <w:szCs w:val="22"/>
        </w:rPr>
        <w:t>АЛТЕРОН АДСИЦ</w:t>
      </w:r>
      <w:r w:rsidRPr="00E36286">
        <w:rPr>
          <w:rFonts w:ascii="Arial" w:hAnsi="Arial" w:cs="Arial"/>
          <w:sz w:val="22"/>
          <w:szCs w:val="22"/>
        </w:rPr>
        <w:t xml:space="preserve"> </w:t>
      </w:r>
      <w:r w:rsidR="00DC627E">
        <w:rPr>
          <w:rFonts w:ascii="Arial" w:hAnsi="Arial" w:cs="Arial"/>
          <w:sz w:val="22"/>
          <w:szCs w:val="22"/>
          <w:lang w:val="bg-BG"/>
        </w:rPr>
        <w:t>за извършване на авансово плащане по придобиване на поземлен имот</w:t>
      </w:r>
      <w:r w:rsidR="002C3FD4">
        <w:rPr>
          <w:rFonts w:ascii="Arial" w:hAnsi="Arial" w:cs="Arial"/>
          <w:sz w:val="22"/>
          <w:szCs w:val="22"/>
          <w:lang w:val="bg-BG"/>
        </w:rPr>
        <w:t>, находящ се в местността Балтата, гр. Белослав, област Варна, в размер на 9 600 хиляди лева</w:t>
      </w:r>
      <w:r w:rsidR="00A83816">
        <w:rPr>
          <w:rFonts w:ascii="Arial" w:hAnsi="Arial" w:cs="Arial"/>
          <w:sz w:val="22"/>
          <w:szCs w:val="22"/>
          <w:lang w:val="bg-BG"/>
        </w:rPr>
        <w:t>.</w:t>
      </w:r>
    </w:p>
    <w:p w14:paraId="3962EA12" w14:textId="77777777" w:rsidR="00FC3866" w:rsidRPr="00E36286" w:rsidRDefault="00FC3866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bg-BG"/>
        </w:rPr>
      </w:pPr>
    </w:p>
    <w:p w14:paraId="22BA907A" w14:textId="77777777" w:rsidR="00D9764F" w:rsidRPr="00E36286" w:rsidRDefault="00D9764F" w:rsidP="00FC38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6286">
        <w:rPr>
          <w:rFonts w:ascii="Arial" w:hAnsi="Arial" w:cs="Arial"/>
          <w:sz w:val="22"/>
          <w:szCs w:val="22"/>
        </w:rPr>
        <w:t xml:space="preserve">Лихвата по настоящата облигационна емисия е фиксирана на </w:t>
      </w:r>
      <w:r w:rsidR="00286DA1">
        <w:rPr>
          <w:rFonts w:ascii="Arial" w:hAnsi="Arial" w:cs="Arial"/>
          <w:sz w:val="22"/>
          <w:szCs w:val="22"/>
          <w:lang w:val="bg-BG"/>
        </w:rPr>
        <w:t>5</w:t>
      </w:r>
      <w:r w:rsidRPr="00E36286">
        <w:rPr>
          <w:rFonts w:ascii="Arial" w:hAnsi="Arial" w:cs="Arial"/>
          <w:sz w:val="22"/>
          <w:szCs w:val="22"/>
        </w:rPr>
        <w:t>.</w:t>
      </w:r>
      <w:r w:rsidR="00CE1904">
        <w:rPr>
          <w:rFonts w:ascii="Arial" w:hAnsi="Arial" w:cs="Arial"/>
          <w:sz w:val="22"/>
          <w:szCs w:val="22"/>
          <w:lang w:val="bg-BG"/>
        </w:rPr>
        <w:t>7</w:t>
      </w:r>
      <w:r w:rsidR="00FC3866" w:rsidRPr="00E36286">
        <w:rPr>
          <w:rFonts w:ascii="Arial" w:hAnsi="Arial" w:cs="Arial"/>
          <w:sz w:val="22"/>
          <w:szCs w:val="22"/>
          <w:lang w:val="bg-BG"/>
        </w:rPr>
        <w:t>5</w:t>
      </w:r>
      <w:r w:rsidRPr="00E36286">
        <w:rPr>
          <w:rFonts w:ascii="Arial" w:hAnsi="Arial" w:cs="Arial"/>
          <w:sz w:val="22"/>
          <w:szCs w:val="22"/>
        </w:rPr>
        <w:t xml:space="preserve">% проста годишна лихва. </w:t>
      </w:r>
    </w:p>
    <w:p w14:paraId="6A456D49" w14:textId="77777777" w:rsidR="00FC3866" w:rsidRPr="00E36286" w:rsidRDefault="00FC3866" w:rsidP="00FC3866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047E88FA" w14:textId="77777777" w:rsidR="00D9764F" w:rsidRPr="00E36286" w:rsidRDefault="00D9764F" w:rsidP="00FC3866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Облигационния</w:t>
      </w:r>
      <w:r w:rsidR="00FC3866" w:rsidRPr="00E36286">
        <w:rPr>
          <w:rFonts w:ascii="Arial" w:hAnsi="Arial" w:cs="Arial"/>
        </w:rPr>
        <w:t>т</w:t>
      </w:r>
      <w:r w:rsidRPr="00E36286">
        <w:rPr>
          <w:rFonts w:ascii="Arial" w:hAnsi="Arial" w:cs="Arial"/>
        </w:rPr>
        <w:t xml:space="preserve"> заем е за период от </w:t>
      </w:r>
      <w:r w:rsidR="00286DA1">
        <w:rPr>
          <w:rFonts w:ascii="Arial" w:hAnsi="Arial" w:cs="Arial"/>
        </w:rPr>
        <w:t>8</w:t>
      </w:r>
      <w:r w:rsidRPr="00E36286">
        <w:rPr>
          <w:rFonts w:ascii="Arial" w:hAnsi="Arial" w:cs="Arial"/>
        </w:rPr>
        <w:t xml:space="preserve"> години с шестмесечни купонни плащания, изчислени на база фиксирана годишна лихва, начислявана при лихвена конвенция Реален брой дни към Реален брой дни (ISMA –</w:t>
      </w:r>
      <w:r w:rsidR="004A5D45" w:rsidRPr="00E36286">
        <w:rPr>
          <w:rFonts w:ascii="Arial" w:hAnsi="Arial" w:cs="Arial"/>
        </w:rPr>
        <w:t xml:space="preserve"> </w:t>
      </w:r>
      <w:r w:rsidRPr="00E36286">
        <w:rPr>
          <w:rFonts w:ascii="Arial" w:hAnsi="Arial" w:cs="Arial"/>
        </w:rPr>
        <w:t>Actual/</w:t>
      </w:r>
      <w:r w:rsidR="00286DA1">
        <w:rPr>
          <w:rFonts w:ascii="Arial" w:hAnsi="Arial" w:cs="Arial"/>
          <w:lang w:val="en-US"/>
        </w:rPr>
        <w:t>Actual</w:t>
      </w:r>
      <w:r w:rsidRPr="00E36286">
        <w:rPr>
          <w:rFonts w:ascii="Arial" w:hAnsi="Arial" w:cs="Arial"/>
        </w:rPr>
        <w:t>).</w:t>
      </w:r>
    </w:p>
    <w:p w14:paraId="0559912D" w14:textId="77777777" w:rsidR="00476470" w:rsidRPr="00644344" w:rsidRDefault="00476470" w:rsidP="0058140D">
      <w:pPr>
        <w:pStyle w:val="a6"/>
        <w:spacing w:line="240" w:lineRule="auto"/>
        <w:ind w:left="0"/>
        <w:jc w:val="both"/>
        <w:rPr>
          <w:rFonts w:ascii="Arial" w:hAnsi="Arial" w:cs="Arial"/>
          <w:lang w:val="en-US"/>
        </w:rPr>
      </w:pPr>
    </w:p>
    <w:p w14:paraId="58232138" w14:textId="77777777" w:rsidR="008532C3" w:rsidRDefault="008532C3" w:rsidP="001F110D">
      <w:pPr>
        <w:pStyle w:val="a6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През разглеждания в доклада период няма дължими плащания по облигационната емисия.</w:t>
      </w:r>
    </w:p>
    <w:p w14:paraId="56BE522F" w14:textId="77777777" w:rsidR="001F110D" w:rsidRPr="001F110D" w:rsidRDefault="001F110D" w:rsidP="001F110D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5E63C40B" w14:textId="77777777" w:rsidR="00C33310" w:rsidRPr="006832E0" w:rsidRDefault="00C33310" w:rsidP="009921A8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464B436" w14:textId="77777777" w:rsidR="00D9764F" w:rsidRPr="00E36286" w:rsidRDefault="00D9764F" w:rsidP="00D9764F">
      <w:pPr>
        <w:pStyle w:val="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Финансови показатели.</w:t>
      </w:r>
    </w:p>
    <w:p w14:paraId="166249C5" w14:textId="77777777" w:rsidR="00D9764F" w:rsidRPr="00E36286" w:rsidRDefault="00D9764F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</w:rPr>
      </w:pPr>
    </w:p>
    <w:p w14:paraId="53B4CF5A" w14:textId="77777777" w:rsidR="00D9764F" w:rsidRDefault="00D9764F" w:rsidP="00FC3866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>Емитентът е поел да спазва следните финансови показатели до пълното погасяване на облигационния заем:</w:t>
      </w:r>
    </w:p>
    <w:p w14:paraId="5A837FCB" w14:textId="77777777" w:rsidR="00865998" w:rsidRPr="00E36286" w:rsidRDefault="00865998" w:rsidP="00FC3866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01CA6F42" w14:textId="77777777" w:rsidR="00E47052" w:rsidRPr="00314ED4" w:rsidRDefault="00D9764F" w:rsidP="00314ED4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 xml:space="preserve">-- Коефициент на максимална стойност на отношението „Пасиви/Активи” от максимум 97%. </w:t>
      </w:r>
    </w:p>
    <w:p w14:paraId="4E1AE8A7" w14:textId="77777777" w:rsidR="005C5835" w:rsidRDefault="005C5835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</w:p>
    <w:p w14:paraId="795C38EA" w14:textId="77777777" w:rsidR="00D9764F" w:rsidRDefault="00D9764F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B66830">
        <w:rPr>
          <w:rFonts w:ascii="Arial" w:hAnsi="Arial" w:cs="Arial"/>
          <w:lang w:val="en-US"/>
        </w:rPr>
        <w:t>1</w:t>
      </w:r>
      <w:r w:rsidR="00AD67DE" w:rsidRPr="00E36286">
        <w:rPr>
          <w:rFonts w:ascii="Arial" w:hAnsi="Arial" w:cs="Arial"/>
        </w:rPr>
        <w:t>.</w:t>
      </w:r>
      <w:r w:rsidR="006A5B98">
        <w:rPr>
          <w:rFonts w:ascii="Arial" w:hAnsi="Arial" w:cs="Arial"/>
          <w:lang w:val="en-US"/>
        </w:rPr>
        <w:t>03</w:t>
      </w:r>
      <w:r w:rsidR="00AD67DE" w:rsidRPr="00E36286">
        <w:rPr>
          <w:rFonts w:ascii="Arial" w:hAnsi="Arial" w:cs="Arial"/>
        </w:rPr>
        <w:t>.20</w:t>
      </w:r>
      <w:r w:rsidR="005F7C5B">
        <w:rPr>
          <w:rFonts w:ascii="Arial" w:hAnsi="Arial" w:cs="Arial"/>
          <w:lang w:val="en-US"/>
        </w:rPr>
        <w:t>2</w:t>
      </w:r>
      <w:r w:rsidR="006A5B98">
        <w:rPr>
          <w:rFonts w:ascii="Arial" w:hAnsi="Arial" w:cs="Arial"/>
          <w:lang w:val="en-US"/>
        </w:rPr>
        <w:t>5</w:t>
      </w:r>
      <w:r w:rsidR="00852B21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1C34BA">
        <w:rPr>
          <w:rFonts w:ascii="Arial" w:hAnsi="Arial" w:cs="Arial"/>
          <w:lang w:val="en-US"/>
        </w:rPr>
        <w:t>5</w:t>
      </w:r>
      <w:r w:rsidR="006A5B98">
        <w:rPr>
          <w:rFonts w:ascii="Arial" w:hAnsi="Arial" w:cs="Arial"/>
          <w:lang w:val="en-US"/>
        </w:rPr>
        <w:t>6</w:t>
      </w:r>
      <w:r w:rsidR="00E20764">
        <w:rPr>
          <w:rFonts w:ascii="Arial" w:hAnsi="Arial" w:cs="Arial"/>
          <w:lang w:val="en-US"/>
        </w:rPr>
        <w:t>.</w:t>
      </w:r>
      <w:r w:rsidR="006A5B98">
        <w:rPr>
          <w:rFonts w:ascii="Arial" w:hAnsi="Arial" w:cs="Arial"/>
          <w:lang w:val="en-US"/>
        </w:rPr>
        <w:t>0</w:t>
      </w:r>
      <w:r w:rsidR="00B66830">
        <w:rPr>
          <w:rFonts w:ascii="Arial" w:hAnsi="Arial" w:cs="Arial"/>
          <w:lang w:val="en-US"/>
        </w:rPr>
        <w:t>3</w:t>
      </w:r>
      <w:r w:rsidRPr="00E36286">
        <w:rPr>
          <w:rFonts w:ascii="Arial" w:hAnsi="Arial" w:cs="Arial"/>
        </w:rPr>
        <w:t>%.</w:t>
      </w:r>
    </w:p>
    <w:p w14:paraId="62006F94" w14:textId="77777777" w:rsidR="00865998" w:rsidRPr="006832E0" w:rsidRDefault="00865998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</w:p>
    <w:p w14:paraId="45C5634C" w14:textId="77777777" w:rsidR="00E47052" w:rsidRPr="00314ED4" w:rsidRDefault="00D9764F" w:rsidP="00314ED4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 xml:space="preserve">-- Коефициент на покритие на разходите за лихви, изчислен като печалбата от обичайната дейност, увеличена с разходи за лихви, се раздели на разходи за лихви - минимална стойност на показателя за </w:t>
      </w:r>
      <w:r w:rsidR="007861E3">
        <w:rPr>
          <w:rFonts w:ascii="Arial" w:hAnsi="Arial" w:cs="Arial"/>
        </w:rPr>
        <w:t>срока на облигационния заем е 1</w:t>
      </w:r>
      <w:r w:rsidR="00E20764">
        <w:rPr>
          <w:rFonts w:ascii="Arial" w:hAnsi="Arial" w:cs="Arial"/>
          <w:lang w:val="en-US"/>
        </w:rPr>
        <w:t>.</w:t>
      </w:r>
      <w:r w:rsidRPr="00E36286">
        <w:rPr>
          <w:rFonts w:ascii="Arial" w:hAnsi="Arial" w:cs="Arial"/>
        </w:rPr>
        <w:t xml:space="preserve">05. </w:t>
      </w:r>
    </w:p>
    <w:p w14:paraId="407F2EFB" w14:textId="77777777" w:rsidR="005C5835" w:rsidRDefault="005C5835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</w:p>
    <w:p w14:paraId="6A3A1AE3" w14:textId="77777777" w:rsidR="00D9764F" w:rsidRDefault="00D9764F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B66830">
        <w:rPr>
          <w:rFonts w:ascii="Arial" w:hAnsi="Arial" w:cs="Arial"/>
          <w:lang w:val="en-US"/>
        </w:rPr>
        <w:t>1</w:t>
      </w:r>
      <w:r w:rsidR="00AD67DE" w:rsidRPr="00E36286">
        <w:rPr>
          <w:rFonts w:ascii="Arial" w:hAnsi="Arial" w:cs="Arial"/>
        </w:rPr>
        <w:t>.</w:t>
      </w:r>
      <w:r w:rsidR="006A5B98">
        <w:rPr>
          <w:rFonts w:ascii="Arial" w:hAnsi="Arial" w:cs="Arial"/>
          <w:lang w:val="en-US"/>
        </w:rPr>
        <w:t>03</w:t>
      </w:r>
      <w:r w:rsidR="00AD67DE" w:rsidRPr="00E36286">
        <w:rPr>
          <w:rFonts w:ascii="Arial" w:hAnsi="Arial" w:cs="Arial"/>
        </w:rPr>
        <w:t>.20</w:t>
      </w:r>
      <w:r w:rsidR="00AA72FE">
        <w:rPr>
          <w:rFonts w:ascii="Arial" w:hAnsi="Arial" w:cs="Arial"/>
          <w:lang w:val="en-US"/>
        </w:rPr>
        <w:t>2</w:t>
      </w:r>
      <w:r w:rsidR="006A5B98">
        <w:rPr>
          <w:rFonts w:ascii="Arial" w:hAnsi="Arial" w:cs="Arial"/>
          <w:lang w:val="en-US"/>
        </w:rPr>
        <w:t>5</w:t>
      </w:r>
      <w:r w:rsidR="00852B21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6A5B98">
        <w:rPr>
          <w:rFonts w:ascii="Arial" w:hAnsi="Arial" w:cs="Arial"/>
          <w:lang w:val="en-US"/>
        </w:rPr>
        <w:t>(0</w:t>
      </w:r>
      <w:r w:rsidR="00E20764">
        <w:rPr>
          <w:rFonts w:ascii="Arial" w:hAnsi="Arial" w:cs="Arial"/>
          <w:lang w:val="en-US"/>
        </w:rPr>
        <w:t>.</w:t>
      </w:r>
      <w:r w:rsidR="006A5B98">
        <w:rPr>
          <w:rFonts w:ascii="Arial" w:hAnsi="Arial" w:cs="Arial"/>
          <w:lang w:val="en-US"/>
        </w:rPr>
        <w:t>25)</w:t>
      </w:r>
      <w:r w:rsidRPr="00E36286">
        <w:rPr>
          <w:rFonts w:ascii="Arial" w:hAnsi="Arial" w:cs="Arial"/>
        </w:rPr>
        <w:t xml:space="preserve">. </w:t>
      </w:r>
    </w:p>
    <w:p w14:paraId="52267026" w14:textId="77777777" w:rsidR="00865998" w:rsidRPr="006832E0" w:rsidRDefault="00865998" w:rsidP="00D9764F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</w:p>
    <w:p w14:paraId="27A93B0C" w14:textId="77777777" w:rsidR="00E47052" w:rsidRPr="00314ED4" w:rsidRDefault="00D9764F" w:rsidP="00314ED4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>-- Коефициент на текуща ликвидност, изчислен като общата сума на краткотрайните активи в баланса се раздели на общата сума на краткотрайните пасиви  - минимална сто</w:t>
      </w:r>
      <w:r w:rsidR="00164832">
        <w:rPr>
          <w:rFonts w:ascii="Arial" w:hAnsi="Arial" w:cs="Arial"/>
        </w:rPr>
        <w:t>й</w:t>
      </w:r>
      <w:r w:rsidRPr="00E36286">
        <w:rPr>
          <w:rFonts w:ascii="Arial" w:hAnsi="Arial" w:cs="Arial"/>
        </w:rPr>
        <w:t>ност на показателя за срока на облигационния заем е 0</w:t>
      </w:r>
      <w:r w:rsidR="00E20764">
        <w:rPr>
          <w:rFonts w:ascii="Arial" w:hAnsi="Arial" w:cs="Arial"/>
          <w:lang w:val="en-US"/>
        </w:rPr>
        <w:t>.</w:t>
      </w:r>
      <w:r w:rsidRPr="00E36286">
        <w:rPr>
          <w:rFonts w:ascii="Arial" w:hAnsi="Arial" w:cs="Arial"/>
        </w:rPr>
        <w:t xml:space="preserve">5. </w:t>
      </w:r>
    </w:p>
    <w:p w14:paraId="224AFBA6" w14:textId="77777777" w:rsidR="005C5835" w:rsidRDefault="005C5835" w:rsidP="00120B8C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</w:p>
    <w:p w14:paraId="31A4E34D" w14:textId="77777777" w:rsidR="00AA72FE" w:rsidRPr="00120B8C" w:rsidRDefault="00D9764F" w:rsidP="00120B8C">
      <w:pPr>
        <w:pStyle w:val="a6"/>
        <w:spacing w:after="0" w:line="240" w:lineRule="auto"/>
        <w:ind w:left="0" w:firstLine="54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 xml:space="preserve">Към </w:t>
      </w:r>
      <w:r w:rsidR="00AD67DE" w:rsidRPr="00E36286">
        <w:rPr>
          <w:rFonts w:ascii="Arial" w:hAnsi="Arial" w:cs="Arial"/>
        </w:rPr>
        <w:t>3</w:t>
      </w:r>
      <w:r w:rsidR="00B66830">
        <w:rPr>
          <w:rFonts w:ascii="Arial" w:hAnsi="Arial" w:cs="Arial"/>
          <w:lang w:val="en-US"/>
        </w:rPr>
        <w:t>1</w:t>
      </w:r>
      <w:r w:rsidR="00AD67DE" w:rsidRPr="00E36286">
        <w:rPr>
          <w:rFonts w:ascii="Arial" w:hAnsi="Arial" w:cs="Arial"/>
        </w:rPr>
        <w:t>.</w:t>
      </w:r>
      <w:r w:rsidR="006A5B98">
        <w:rPr>
          <w:rFonts w:ascii="Arial" w:hAnsi="Arial" w:cs="Arial"/>
          <w:lang w:val="en-US"/>
        </w:rPr>
        <w:t>03</w:t>
      </w:r>
      <w:r w:rsidR="00AD67DE" w:rsidRPr="00E36286">
        <w:rPr>
          <w:rFonts w:ascii="Arial" w:hAnsi="Arial" w:cs="Arial"/>
        </w:rPr>
        <w:t>.20</w:t>
      </w:r>
      <w:r w:rsidR="005F7C5B">
        <w:rPr>
          <w:rFonts w:ascii="Arial" w:hAnsi="Arial" w:cs="Arial"/>
          <w:lang w:val="en-US"/>
        </w:rPr>
        <w:t>2</w:t>
      </w:r>
      <w:r w:rsidR="006A5B98">
        <w:rPr>
          <w:rFonts w:ascii="Arial" w:hAnsi="Arial" w:cs="Arial"/>
          <w:lang w:val="en-US"/>
        </w:rPr>
        <w:t>5</w:t>
      </w:r>
      <w:r w:rsidR="00852B21">
        <w:rPr>
          <w:rFonts w:ascii="Arial" w:hAnsi="Arial" w:cs="Arial"/>
        </w:rPr>
        <w:t xml:space="preserve"> </w:t>
      </w:r>
      <w:r w:rsidR="00AD67DE" w:rsidRPr="00E36286">
        <w:rPr>
          <w:rFonts w:ascii="Arial" w:hAnsi="Arial" w:cs="Arial"/>
        </w:rPr>
        <w:t>г.</w:t>
      </w:r>
      <w:r w:rsidRPr="00E36286">
        <w:rPr>
          <w:rFonts w:ascii="Arial" w:hAnsi="Arial" w:cs="Arial"/>
        </w:rPr>
        <w:t xml:space="preserve"> стойността на показателя е </w:t>
      </w:r>
      <w:r w:rsidR="0089614B">
        <w:rPr>
          <w:rFonts w:ascii="Arial" w:hAnsi="Arial" w:cs="Arial"/>
        </w:rPr>
        <w:t>2</w:t>
      </w:r>
      <w:r w:rsidR="00E20764">
        <w:rPr>
          <w:rFonts w:ascii="Arial" w:hAnsi="Arial" w:cs="Arial"/>
          <w:lang w:val="en-US"/>
        </w:rPr>
        <w:t>.</w:t>
      </w:r>
      <w:r w:rsidR="006A5B98">
        <w:rPr>
          <w:rFonts w:ascii="Arial" w:hAnsi="Arial" w:cs="Arial"/>
          <w:lang w:val="en-US"/>
        </w:rPr>
        <w:t>22</w:t>
      </w:r>
      <w:r w:rsidRPr="00E36286">
        <w:rPr>
          <w:rFonts w:ascii="Arial" w:hAnsi="Arial" w:cs="Arial"/>
        </w:rPr>
        <w:t>.</w:t>
      </w:r>
    </w:p>
    <w:p w14:paraId="1DB0CC34" w14:textId="77777777" w:rsidR="00137895" w:rsidRPr="00B50BB8" w:rsidRDefault="00137895" w:rsidP="008D65F7">
      <w:pPr>
        <w:pStyle w:val="a6"/>
        <w:ind w:left="0"/>
        <w:jc w:val="both"/>
        <w:rPr>
          <w:rFonts w:ascii="Arial" w:eastAsia="Times New Roman" w:hAnsi="Arial" w:cs="Arial"/>
          <w:lang w:val="en-US" w:eastAsia="en-US"/>
        </w:rPr>
      </w:pPr>
    </w:p>
    <w:p w14:paraId="2296A874" w14:textId="77777777" w:rsidR="006A5B98" w:rsidRPr="00137895" w:rsidRDefault="006A5B98" w:rsidP="006A5B98">
      <w:pPr>
        <w:pStyle w:val="a6"/>
        <w:spacing w:line="240" w:lineRule="auto"/>
        <w:ind w:left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Към 31.03.202</w:t>
      </w:r>
      <w:r>
        <w:rPr>
          <w:rFonts w:ascii="Arial" w:eastAsia="Times New Roman" w:hAnsi="Arial" w:cs="Arial"/>
          <w:lang w:val="en-US" w:eastAsia="en-US"/>
        </w:rPr>
        <w:t>5</w:t>
      </w:r>
      <w:r w:rsidR="00FC785F">
        <w:rPr>
          <w:rFonts w:ascii="Arial" w:eastAsia="Times New Roman" w:hAnsi="Arial" w:cs="Arial"/>
          <w:lang w:val="en-US" w:eastAsia="en-US"/>
        </w:rPr>
        <w:t xml:space="preserve"> </w:t>
      </w:r>
      <w:r w:rsidRPr="00137895">
        <w:rPr>
          <w:rFonts w:ascii="Arial" w:eastAsia="Times New Roman" w:hAnsi="Arial" w:cs="Arial"/>
          <w:lang w:eastAsia="en-US"/>
        </w:rPr>
        <w:t xml:space="preserve">г., коефицентът на покритие на разходите за лихви се намира под минималната стойност, която Емитентът се е задължил да поддържа в рамките на срока на облигационния заем. </w:t>
      </w:r>
    </w:p>
    <w:p w14:paraId="08C94183" w14:textId="77777777" w:rsidR="006A5B98" w:rsidRPr="00137895" w:rsidRDefault="006A5B98" w:rsidP="006A5B98">
      <w:pPr>
        <w:pStyle w:val="a6"/>
        <w:ind w:left="0"/>
        <w:jc w:val="both"/>
        <w:rPr>
          <w:rFonts w:ascii="Arial" w:eastAsia="Times New Roman" w:hAnsi="Arial" w:cs="Arial"/>
          <w:lang w:eastAsia="en-US"/>
        </w:rPr>
      </w:pPr>
    </w:p>
    <w:p w14:paraId="2BE2EA20" w14:textId="77777777" w:rsidR="006A5B98" w:rsidRPr="00137895" w:rsidRDefault="006A5B98" w:rsidP="006A5B98">
      <w:pPr>
        <w:pStyle w:val="a6"/>
        <w:spacing w:line="240" w:lineRule="auto"/>
        <w:ind w:left="0"/>
        <w:jc w:val="both"/>
        <w:rPr>
          <w:rFonts w:ascii="Arial" w:eastAsia="Times New Roman" w:hAnsi="Arial" w:cs="Arial"/>
          <w:lang w:eastAsia="en-US"/>
        </w:rPr>
      </w:pPr>
      <w:r w:rsidRPr="00137895">
        <w:rPr>
          <w:rFonts w:ascii="Arial" w:eastAsia="Times New Roman" w:hAnsi="Arial" w:cs="Arial"/>
          <w:lang w:eastAsia="en-US"/>
        </w:rPr>
        <w:t>Съгласно Предложението за записване на облигациите и потвърдения от Комисията за финансов надзор Проспект за допускане на облигациите до търговия на регулиран пазар, ако наруши 2 или повече от определените финансови съотношения, Емитентът ще предприеме действия в срок до 6 месеца от настъпването на съответното обстоятелство да приведе показателите/съотношенията в съответствие с изискванията по-горе. Ако в този срок не се постигнат заложените параметри, Емитентът незабавно ще предложи на Общото събрание на облигационерите програма за привеждане в съответствие с изискванията.</w:t>
      </w:r>
    </w:p>
    <w:p w14:paraId="3B3C958F" w14:textId="77777777" w:rsidR="006A5B98" w:rsidRPr="00137895" w:rsidRDefault="006A5B98" w:rsidP="006A5B98">
      <w:pPr>
        <w:pStyle w:val="a6"/>
        <w:jc w:val="both"/>
        <w:rPr>
          <w:rFonts w:ascii="Arial" w:eastAsia="Times New Roman" w:hAnsi="Arial" w:cs="Arial"/>
          <w:lang w:eastAsia="en-US"/>
        </w:rPr>
      </w:pPr>
    </w:p>
    <w:p w14:paraId="1E4250D0" w14:textId="77777777" w:rsidR="006A5B98" w:rsidRDefault="006A5B98" w:rsidP="006A5B98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137895">
        <w:rPr>
          <w:rFonts w:ascii="Arial" w:eastAsia="Times New Roman" w:hAnsi="Arial" w:cs="Arial"/>
          <w:lang w:eastAsia="en-US"/>
        </w:rPr>
        <w:t xml:space="preserve">Очакванията са, че това нарушение има временен характер и при генериране на положителен текущ финансов резултат от дейността по-късно през годината, този показател </w:t>
      </w:r>
      <w:r w:rsidR="001B6603">
        <w:rPr>
          <w:rFonts w:ascii="Arial" w:eastAsia="Times New Roman" w:hAnsi="Arial" w:cs="Arial"/>
          <w:lang w:eastAsia="en-US"/>
        </w:rPr>
        <w:t>да</w:t>
      </w:r>
      <w:r w:rsidRPr="00137895">
        <w:rPr>
          <w:rFonts w:ascii="Arial" w:eastAsia="Times New Roman" w:hAnsi="Arial" w:cs="Arial"/>
          <w:lang w:eastAsia="en-US"/>
        </w:rPr>
        <w:t xml:space="preserve"> надхвърли заложената минимална стойност.</w:t>
      </w:r>
    </w:p>
    <w:p w14:paraId="71230870" w14:textId="77777777" w:rsidR="006A5B98" w:rsidRDefault="006A5B98" w:rsidP="006A5B98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68079876" w14:textId="77777777" w:rsidR="007D169A" w:rsidRDefault="007D169A" w:rsidP="00120B8C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670D6BD" w14:textId="77777777" w:rsidR="005A67E6" w:rsidRPr="00001E46" w:rsidRDefault="005A67E6" w:rsidP="00120B8C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1EACB68" w14:textId="77777777" w:rsidR="00D9764F" w:rsidRPr="00E36286" w:rsidRDefault="00D9764F" w:rsidP="00D9764F">
      <w:pPr>
        <w:pStyle w:val="1"/>
        <w:numPr>
          <w:ilvl w:val="0"/>
          <w:numId w:val="1"/>
        </w:numPr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E36286">
        <w:rPr>
          <w:rFonts w:ascii="Arial" w:hAnsi="Arial" w:cs="Arial"/>
          <w:color w:val="auto"/>
          <w:sz w:val="22"/>
          <w:szCs w:val="22"/>
        </w:rPr>
        <w:t>Обстоятелства по чл. 100г, ал. 3 от ЗППЦК.</w:t>
      </w:r>
    </w:p>
    <w:p w14:paraId="178A17D8" w14:textId="77777777" w:rsidR="00BE512E" w:rsidRPr="00E36286" w:rsidRDefault="00BE512E" w:rsidP="00BE512E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</w:p>
    <w:p w14:paraId="27C182C0" w14:textId="77777777" w:rsidR="00A02F4B" w:rsidRPr="00D37D1F" w:rsidRDefault="009458BF" w:rsidP="00D37D1F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 отно</w:t>
      </w:r>
      <w:r w:rsidR="00875E7D">
        <w:rPr>
          <w:rFonts w:ascii="Arial" w:hAnsi="Arial" w:cs="Arial"/>
        </w:rPr>
        <w:t>ш</w:t>
      </w:r>
      <w:r>
        <w:rPr>
          <w:rFonts w:ascii="Arial" w:hAnsi="Arial" w:cs="Arial"/>
        </w:rPr>
        <w:t>ение на Де Ново ЕАД н</w:t>
      </w:r>
      <w:r w:rsidRPr="00E36286">
        <w:rPr>
          <w:rFonts w:ascii="Arial" w:hAnsi="Arial" w:cs="Arial"/>
        </w:rPr>
        <w:t>е са налице обстоятелства по чл.100г, ал.3 от ЗППЦК.</w:t>
      </w:r>
    </w:p>
    <w:p w14:paraId="45C1CBF4" w14:textId="77777777" w:rsidR="00A02F4B" w:rsidRDefault="00A02F4B" w:rsidP="00427BC7">
      <w:pPr>
        <w:pStyle w:val="a6"/>
        <w:jc w:val="both"/>
        <w:rPr>
          <w:rFonts w:ascii="Arial" w:hAnsi="Arial" w:cs="Arial"/>
          <w:lang w:val="en-US"/>
        </w:rPr>
      </w:pPr>
    </w:p>
    <w:p w14:paraId="36BA1F11" w14:textId="77777777" w:rsidR="00427BC7" w:rsidRPr="00427BC7" w:rsidRDefault="0000303E" w:rsidP="00427BC7">
      <w:pPr>
        <w:pStyle w:val="a6"/>
        <w:spacing w:after="0" w:line="240" w:lineRule="auto"/>
        <w:ind w:left="0"/>
        <w:jc w:val="both"/>
        <w:rPr>
          <w:rFonts w:ascii="Arial" w:hAnsi="Arial" w:cs="Arial"/>
          <w:b/>
          <w:i/>
          <w:lang w:val="en-US"/>
        </w:rPr>
      </w:pPr>
      <w:r w:rsidRPr="0000303E">
        <w:rPr>
          <w:rFonts w:ascii="Arial" w:hAnsi="Arial" w:cs="Arial"/>
          <w:b/>
          <w:i/>
          <w:lang w:val="en-US"/>
        </w:rPr>
        <w:t>Предвид фактите и обстоятелствата, изложени в доклада, може да бъде направен обоснован извод, че Емитентът изпълнява добросъвестно задълженията си към облигационерите, съгласно условията на сключения облигационен заем.</w:t>
      </w:r>
    </w:p>
    <w:p w14:paraId="1D469756" w14:textId="77777777" w:rsidR="001942A1" w:rsidRDefault="001942A1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8286EA6" w14:textId="77777777" w:rsidR="005A67E6" w:rsidRDefault="005A67E6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22996D2" w14:textId="77777777" w:rsidR="00B07384" w:rsidRDefault="00B07384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108BB8D4" w14:textId="77777777" w:rsidR="00B40ABC" w:rsidRPr="00D37D1F" w:rsidRDefault="006666E1" w:rsidP="00D9764F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20</w:t>
      </w:r>
      <w:r w:rsidR="00566947" w:rsidRPr="00E36286">
        <w:rPr>
          <w:rFonts w:ascii="Arial" w:hAnsi="Arial" w:cs="Arial"/>
        </w:rPr>
        <w:t>.</w:t>
      </w:r>
      <w:r w:rsidR="00B66830">
        <w:rPr>
          <w:rFonts w:ascii="Arial" w:hAnsi="Arial" w:cs="Arial"/>
          <w:lang w:val="en-US"/>
        </w:rPr>
        <w:t>0</w:t>
      </w:r>
      <w:r w:rsidR="00115719">
        <w:rPr>
          <w:rFonts w:ascii="Arial" w:hAnsi="Arial" w:cs="Arial"/>
          <w:lang w:val="en-US"/>
        </w:rPr>
        <w:t>6</w:t>
      </w:r>
      <w:r w:rsidR="00566947" w:rsidRPr="00E36286">
        <w:rPr>
          <w:rFonts w:ascii="Arial" w:hAnsi="Arial" w:cs="Arial"/>
        </w:rPr>
        <w:t>.20</w:t>
      </w:r>
      <w:r w:rsidR="00437254">
        <w:rPr>
          <w:rFonts w:ascii="Arial" w:hAnsi="Arial" w:cs="Arial"/>
        </w:rPr>
        <w:t>2</w:t>
      </w:r>
      <w:r w:rsidR="00115719">
        <w:rPr>
          <w:rFonts w:ascii="Arial" w:hAnsi="Arial" w:cs="Arial"/>
          <w:lang w:val="en-US"/>
        </w:rPr>
        <w:t>5</w:t>
      </w:r>
      <w:r w:rsidR="0003398D">
        <w:rPr>
          <w:rFonts w:ascii="Arial" w:hAnsi="Arial" w:cs="Arial"/>
          <w:lang w:val="en-US"/>
        </w:rPr>
        <w:t xml:space="preserve"> </w:t>
      </w:r>
      <w:r w:rsidR="00566947" w:rsidRPr="00E36286">
        <w:rPr>
          <w:rFonts w:ascii="Arial" w:hAnsi="Arial" w:cs="Arial"/>
        </w:rPr>
        <w:t>г</w:t>
      </w:r>
      <w:r w:rsidR="008A33FF">
        <w:rPr>
          <w:rFonts w:ascii="Arial" w:hAnsi="Arial" w:cs="Arial"/>
          <w:lang w:val="en-US"/>
        </w:rPr>
        <w:t>.</w:t>
      </w:r>
      <w:r w:rsidR="00566947" w:rsidRPr="00E36286">
        <w:rPr>
          <w:rFonts w:ascii="Arial" w:hAnsi="Arial" w:cs="Arial"/>
        </w:rPr>
        <w:t>, София</w:t>
      </w:r>
    </w:p>
    <w:p w14:paraId="5B3E5BE2" w14:textId="77777777" w:rsidR="005A67E6" w:rsidRDefault="005A67E6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0257C6CB" w14:textId="77777777" w:rsidR="00644344" w:rsidRDefault="00644344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7C721D7A" w14:textId="77777777" w:rsidR="00725D7C" w:rsidRPr="00DC6560" w:rsidRDefault="00DC6560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За Де Ново ЕАД</w:t>
      </w:r>
      <w:r w:rsidR="008B3852">
        <w:rPr>
          <w:rFonts w:ascii="Arial" w:hAnsi="Arial" w:cs="Arial"/>
          <w:lang w:val="en-US"/>
        </w:rPr>
        <w:t>:</w:t>
      </w:r>
    </w:p>
    <w:p w14:paraId="40E1D951" w14:textId="77777777" w:rsidR="00CC654B" w:rsidRDefault="00CC654B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35ADCE8" w14:textId="77777777" w:rsidR="001942A1" w:rsidRDefault="001942A1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3FD97A03" w14:textId="77777777" w:rsidR="00644344" w:rsidRDefault="00644344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152A94BE" w14:textId="77777777" w:rsidR="00644344" w:rsidRDefault="00644344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</w:p>
    <w:p w14:paraId="1D98F3B9" w14:textId="77777777" w:rsidR="006C5330" w:rsidRPr="00E36286" w:rsidRDefault="0080019C" w:rsidP="00D9764F">
      <w:pPr>
        <w:pStyle w:val="a6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Симеон Петков</w:t>
      </w:r>
      <w:r w:rsidR="00566947" w:rsidRPr="00E36286">
        <w:rPr>
          <w:rFonts w:ascii="Arial" w:hAnsi="Arial" w:cs="Arial"/>
        </w:rPr>
        <w:t>:...............................</w:t>
      </w:r>
      <w:r w:rsidR="00B13704">
        <w:rPr>
          <w:rFonts w:ascii="Arial" w:hAnsi="Arial" w:cs="Arial"/>
        </w:rPr>
        <w:tab/>
      </w:r>
      <w:r w:rsidR="00B13704">
        <w:rPr>
          <w:rFonts w:ascii="Arial" w:hAnsi="Arial" w:cs="Arial"/>
        </w:rPr>
        <w:tab/>
      </w:r>
      <w:r w:rsidR="00A651B6">
        <w:rPr>
          <w:rFonts w:ascii="Arial" w:hAnsi="Arial" w:cs="Arial"/>
          <w:lang w:val="en-US"/>
        </w:rPr>
        <w:tab/>
      </w:r>
      <w:r w:rsidR="006C5330" w:rsidRPr="00E36286">
        <w:rPr>
          <w:rFonts w:ascii="Arial" w:hAnsi="Arial" w:cs="Arial"/>
        </w:rPr>
        <w:t xml:space="preserve">Йордан </w:t>
      </w:r>
      <w:r w:rsidR="00B13704">
        <w:rPr>
          <w:rFonts w:ascii="Arial" w:hAnsi="Arial" w:cs="Arial"/>
        </w:rPr>
        <w:t>П</w:t>
      </w:r>
      <w:r w:rsidR="006C5330" w:rsidRPr="00E36286">
        <w:rPr>
          <w:rFonts w:ascii="Arial" w:hAnsi="Arial" w:cs="Arial"/>
        </w:rPr>
        <w:t>опов</w:t>
      </w:r>
      <w:r w:rsidR="00566947" w:rsidRPr="00E36286">
        <w:rPr>
          <w:rFonts w:ascii="Arial" w:hAnsi="Arial" w:cs="Arial"/>
        </w:rPr>
        <w:t>:...............................</w:t>
      </w:r>
    </w:p>
    <w:p w14:paraId="0FCACA9D" w14:textId="77777777" w:rsidR="00AA314C" w:rsidRPr="00AA314C" w:rsidRDefault="00566947" w:rsidP="00D9764F">
      <w:pPr>
        <w:pStyle w:val="a6"/>
        <w:spacing w:after="0" w:line="240" w:lineRule="auto"/>
        <w:ind w:left="0"/>
        <w:jc w:val="both"/>
        <w:rPr>
          <w:rFonts w:ascii="Arial" w:hAnsi="Arial" w:cs="Arial"/>
          <w:lang w:val="en-US"/>
        </w:rPr>
      </w:pP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="00875E7D">
        <w:rPr>
          <w:rFonts w:ascii="Arial" w:hAnsi="Arial" w:cs="Arial"/>
        </w:rPr>
        <w:t xml:space="preserve">  </w:t>
      </w:r>
      <w:r w:rsidR="00896FB5">
        <w:rPr>
          <w:rFonts w:ascii="Arial" w:hAnsi="Arial" w:cs="Arial"/>
          <w:lang w:val="en-US"/>
        </w:rPr>
        <w:t xml:space="preserve"> </w:t>
      </w:r>
      <w:r w:rsidRPr="00E36286">
        <w:rPr>
          <w:rFonts w:ascii="Arial" w:hAnsi="Arial" w:cs="Arial"/>
        </w:rPr>
        <w:t>/</w:t>
      </w:r>
      <w:r w:rsidR="0080019C">
        <w:rPr>
          <w:rFonts w:ascii="Arial" w:hAnsi="Arial" w:cs="Arial"/>
        </w:rPr>
        <w:t>Пр</w:t>
      </w:r>
      <w:r w:rsidR="00C450EF">
        <w:rPr>
          <w:rFonts w:ascii="Arial" w:hAnsi="Arial" w:cs="Arial"/>
          <w:lang w:val="en-US"/>
        </w:rPr>
        <w:t>окурист</w:t>
      </w:r>
      <w:r w:rsidRPr="00E36286">
        <w:rPr>
          <w:rFonts w:ascii="Arial" w:hAnsi="Arial" w:cs="Arial"/>
        </w:rPr>
        <w:t>/</w:t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Pr="00E36286">
        <w:rPr>
          <w:rFonts w:ascii="Arial" w:hAnsi="Arial" w:cs="Arial"/>
        </w:rPr>
        <w:tab/>
      </w:r>
      <w:r w:rsidR="00875E7D">
        <w:rPr>
          <w:rFonts w:ascii="Arial" w:hAnsi="Arial" w:cs="Arial"/>
        </w:rPr>
        <w:t xml:space="preserve"> </w:t>
      </w:r>
      <w:r w:rsidR="00A651B6">
        <w:rPr>
          <w:rFonts w:ascii="Arial" w:hAnsi="Arial" w:cs="Arial"/>
          <w:lang w:val="en-US"/>
        </w:rPr>
        <w:tab/>
      </w:r>
      <w:r w:rsidR="00641212">
        <w:rPr>
          <w:rFonts w:ascii="Arial" w:hAnsi="Arial" w:cs="Arial"/>
          <w:lang w:val="en-US"/>
        </w:rPr>
        <w:t xml:space="preserve"> </w:t>
      </w:r>
      <w:r w:rsidR="00C450EF">
        <w:rPr>
          <w:rFonts w:ascii="Arial" w:hAnsi="Arial" w:cs="Arial"/>
          <w:lang w:val="en-US"/>
        </w:rPr>
        <w:tab/>
      </w:r>
      <w:r w:rsidR="00C450EF">
        <w:rPr>
          <w:rFonts w:ascii="Arial" w:hAnsi="Arial" w:cs="Arial"/>
          <w:lang w:val="en-US"/>
        </w:rPr>
        <w:tab/>
      </w:r>
      <w:r w:rsidR="00896FB5">
        <w:rPr>
          <w:rFonts w:ascii="Arial" w:hAnsi="Arial" w:cs="Arial"/>
          <w:lang w:val="en-US"/>
        </w:rPr>
        <w:t xml:space="preserve">  </w:t>
      </w:r>
      <w:r w:rsidRPr="00E36286">
        <w:rPr>
          <w:rFonts w:ascii="Arial" w:hAnsi="Arial" w:cs="Arial"/>
        </w:rPr>
        <w:t>/Изп. Директор/</w:t>
      </w:r>
    </w:p>
    <w:sectPr w:rsidR="00AA314C" w:rsidRPr="00AA314C" w:rsidSect="00001E46">
      <w:headerReference w:type="default" r:id="rId8"/>
      <w:footerReference w:type="default" r:id="rId9"/>
      <w:pgSz w:w="11909" w:h="16834" w:code="9"/>
      <w:pgMar w:top="1985" w:right="1419" w:bottom="141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C3CD" w14:textId="77777777" w:rsidR="005E1037" w:rsidRDefault="005E1037">
      <w:r>
        <w:separator/>
      </w:r>
    </w:p>
  </w:endnote>
  <w:endnote w:type="continuationSeparator" w:id="0">
    <w:p w14:paraId="74695E86" w14:textId="77777777" w:rsidR="005E1037" w:rsidRDefault="005E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7A9C" w14:textId="77777777" w:rsidR="00C51D2D" w:rsidRDefault="00C51D2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528B">
      <w:rPr>
        <w:noProof/>
      </w:rPr>
      <w:t>1</w:t>
    </w:r>
    <w:r>
      <w:rPr>
        <w:noProof/>
      </w:rPr>
      <w:fldChar w:fldCharType="end"/>
    </w:r>
  </w:p>
  <w:p w14:paraId="0A8EBAAC" w14:textId="77777777" w:rsidR="00C51D2D" w:rsidRDefault="00C51D2D">
    <w:pPr>
      <w:pStyle w:val="a4"/>
      <w:rPr>
        <w:rFonts w:ascii="Arial" w:hAnsi="Arial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66D2" w14:textId="77777777" w:rsidR="005E1037" w:rsidRDefault="005E1037">
      <w:r>
        <w:separator/>
      </w:r>
    </w:p>
  </w:footnote>
  <w:footnote w:type="continuationSeparator" w:id="0">
    <w:p w14:paraId="34C0B85A" w14:textId="77777777" w:rsidR="005E1037" w:rsidRDefault="005E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2B7E" w14:textId="0AAD3DE7" w:rsidR="00C51D2D" w:rsidRDefault="00A81766">
    <w:pPr>
      <w:pStyle w:val="a3"/>
    </w:pPr>
    <w:r>
      <w:rPr>
        <w:noProof/>
      </w:rPr>
      <w:drawing>
        <wp:inline distT="0" distB="0" distL="0" distR="0" wp14:anchorId="3A9CB8F4" wp14:editId="7148A34A">
          <wp:extent cx="1455420" cy="57912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8A0"/>
    <w:multiLevelType w:val="hybridMultilevel"/>
    <w:tmpl w:val="5D26F3B2"/>
    <w:lvl w:ilvl="0" w:tplc="CB24A75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158A1"/>
    <w:multiLevelType w:val="hybridMultilevel"/>
    <w:tmpl w:val="ED9C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5175"/>
    <w:multiLevelType w:val="hybridMultilevel"/>
    <w:tmpl w:val="9272C3CC"/>
    <w:lvl w:ilvl="0" w:tplc="0BCE21DE">
      <w:start w:val="3"/>
      <w:numFmt w:val="bullet"/>
      <w:lvlText w:val="-"/>
      <w:lvlJc w:val="left"/>
      <w:pPr>
        <w:ind w:left="371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690112D9"/>
    <w:multiLevelType w:val="multilevel"/>
    <w:tmpl w:val="0402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763649022">
    <w:abstractNumId w:val="3"/>
  </w:num>
  <w:num w:numId="2" w16cid:durableId="1947958825">
    <w:abstractNumId w:val="1"/>
  </w:num>
  <w:num w:numId="3" w16cid:durableId="1069572398">
    <w:abstractNumId w:val="2"/>
  </w:num>
  <w:num w:numId="4" w16cid:durableId="151017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53"/>
    <w:rsid w:val="0000173D"/>
    <w:rsid w:val="00001E46"/>
    <w:rsid w:val="000025B8"/>
    <w:rsid w:val="0000303E"/>
    <w:rsid w:val="00004057"/>
    <w:rsid w:val="00004394"/>
    <w:rsid w:val="000049EE"/>
    <w:rsid w:val="0000527F"/>
    <w:rsid w:val="00007825"/>
    <w:rsid w:val="000138BC"/>
    <w:rsid w:val="00014EDC"/>
    <w:rsid w:val="000200FE"/>
    <w:rsid w:val="00020416"/>
    <w:rsid w:val="0002294E"/>
    <w:rsid w:val="00023917"/>
    <w:rsid w:val="00023D20"/>
    <w:rsid w:val="0002477E"/>
    <w:rsid w:val="00025550"/>
    <w:rsid w:val="00025C06"/>
    <w:rsid w:val="000260A8"/>
    <w:rsid w:val="00026CA9"/>
    <w:rsid w:val="00032FED"/>
    <w:rsid w:val="0003315F"/>
    <w:rsid w:val="0003398D"/>
    <w:rsid w:val="0003497F"/>
    <w:rsid w:val="00035059"/>
    <w:rsid w:val="00035173"/>
    <w:rsid w:val="00037141"/>
    <w:rsid w:val="00037A5B"/>
    <w:rsid w:val="00040C4F"/>
    <w:rsid w:val="00043547"/>
    <w:rsid w:val="00043946"/>
    <w:rsid w:val="00043D94"/>
    <w:rsid w:val="00044B85"/>
    <w:rsid w:val="00045904"/>
    <w:rsid w:val="00046F00"/>
    <w:rsid w:val="00047193"/>
    <w:rsid w:val="000478FF"/>
    <w:rsid w:val="000502D6"/>
    <w:rsid w:val="00051095"/>
    <w:rsid w:val="00053678"/>
    <w:rsid w:val="00053926"/>
    <w:rsid w:val="000555B9"/>
    <w:rsid w:val="0005661C"/>
    <w:rsid w:val="000569CC"/>
    <w:rsid w:val="000574F5"/>
    <w:rsid w:val="00060ACD"/>
    <w:rsid w:val="000623CA"/>
    <w:rsid w:val="000627E8"/>
    <w:rsid w:val="000634C0"/>
    <w:rsid w:val="000640B9"/>
    <w:rsid w:val="00064A14"/>
    <w:rsid w:val="00066F41"/>
    <w:rsid w:val="00067EFD"/>
    <w:rsid w:val="0007038A"/>
    <w:rsid w:val="000717DA"/>
    <w:rsid w:val="000728F6"/>
    <w:rsid w:val="000729BB"/>
    <w:rsid w:val="000729DE"/>
    <w:rsid w:val="0007324B"/>
    <w:rsid w:val="000760FA"/>
    <w:rsid w:val="00080C2C"/>
    <w:rsid w:val="0008196B"/>
    <w:rsid w:val="0008373E"/>
    <w:rsid w:val="000846F9"/>
    <w:rsid w:val="00085D78"/>
    <w:rsid w:val="00087473"/>
    <w:rsid w:val="00087677"/>
    <w:rsid w:val="000876A4"/>
    <w:rsid w:val="00087762"/>
    <w:rsid w:val="00090F46"/>
    <w:rsid w:val="00091FA4"/>
    <w:rsid w:val="0009278E"/>
    <w:rsid w:val="0009280D"/>
    <w:rsid w:val="00093830"/>
    <w:rsid w:val="00094059"/>
    <w:rsid w:val="000942B9"/>
    <w:rsid w:val="00095978"/>
    <w:rsid w:val="00096E9F"/>
    <w:rsid w:val="000A1F06"/>
    <w:rsid w:val="000A41B8"/>
    <w:rsid w:val="000A47E9"/>
    <w:rsid w:val="000A5EB0"/>
    <w:rsid w:val="000A6AF6"/>
    <w:rsid w:val="000B023A"/>
    <w:rsid w:val="000B0E8C"/>
    <w:rsid w:val="000B141F"/>
    <w:rsid w:val="000B2EC6"/>
    <w:rsid w:val="000B5A91"/>
    <w:rsid w:val="000B6986"/>
    <w:rsid w:val="000B7055"/>
    <w:rsid w:val="000C05B9"/>
    <w:rsid w:val="000C08BF"/>
    <w:rsid w:val="000C24C4"/>
    <w:rsid w:val="000C3DCB"/>
    <w:rsid w:val="000C46EC"/>
    <w:rsid w:val="000C4B03"/>
    <w:rsid w:val="000C50B4"/>
    <w:rsid w:val="000C5F63"/>
    <w:rsid w:val="000D0B65"/>
    <w:rsid w:val="000D1E62"/>
    <w:rsid w:val="000D2A82"/>
    <w:rsid w:val="000D3D3A"/>
    <w:rsid w:val="000D4397"/>
    <w:rsid w:val="000D4A92"/>
    <w:rsid w:val="000D69B3"/>
    <w:rsid w:val="000D6EA4"/>
    <w:rsid w:val="000D7CAC"/>
    <w:rsid w:val="000E233F"/>
    <w:rsid w:val="000E2C76"/>
    <w:rsid w:val="000E30DD"/>
    <w:rsid w:val="000E5B31"/>
    <w:rsid w:val="000E682D"/>
    <w:rsid w:val="000E75C2"/>
    <w:rsid w:val="000F1351"/>
    <w:rsid w:val="000F1755"/>
    <w:rsid w:val="000F2AA9"/>
    <w:rsid w:val="000F2CF8"/>
    <w:rsid w:val="000F2FBC"/>
    <w:rsid w:val="000F439C"/>
    <w:rsid w:val="000F4BCA"/>
    <w:rsid w:val="000F5ACC"/>
    <w:rsid w:val="000F5EBC"/>
    <w:rsid w:val="000F69B2"/>
    <w:rsid w:val="000F7F06"/>
    <w:rsid w:val="00102D99"/>
    <w:rsid w:val="00103055"/>
    <w:rsid w:val="0010528B"/>
    <w:rsid w:val="00105B9D"/>
    <w:rsid w:val="0010732C"/>
    <w:rsid w:val="00107383"/>
    <w:rsid w:val="001076C2"/>
    <w:rsid w:val="0011020D"/>
    <w:rsid w:val="0011129D"/>
    <w:rsid w:val="001116FD"/>
    <w:rsid w:val="001121C6"/>
    <w:rsid w:val="00112854"/>
    <w:rsid w:val="0011395B"/>
    <w:rsid w:val="00115719"/>
    <w:rsid w:val="00115DA3"/>
    <w:rsid w:val="00117005"/>
    <w:rsid w:val="0011798E"/>
    <w:rsid w:val="00120173"/>
    <w:rsid w:val="00120273"/>
    <w:rsid w:val="001204FC"/>
    <w:rsid w:val="00120B8C"/>
    <w:rsid w:val="0012271D"/>
    <w:rsid w:val="001231E9"/>
    <w:rsid w:val="001238F8"/>
    <w:rsid w:val="00124B48"/>
    <w:rsid w:val="00125681"/>
    <w:rsid w:val="00125805"/>
    <w:rsid w:val="00126092"/>
    <w:rsid w:val="00126B91"/>
    <w:rsid w:val="00130661"/>
    <w:rsid w:val="00131339"/>
    <w:rsid w:val="001318E0"/>
    <w:rsid w:val="00131A2E"/>
    <w:rsid w:val="00131FEE"/>
    <w:rsid w:val="00133944"/>
    <w:rsid w:val="001339A6"/>
    <w:rsid w:val="00134C11"/>
    <w:rsid w:val="0013541E"/>
    <w:rsid w:val="00137895"/>
    <w:rsid w:val="001378D8"/>
    <w:rsid w:val="00140312"/>
    <w:rsid w:val="00140B1B"/>
    <w:rsid w:val="00141791"/>
    <w:rsid w:val="00141A17"/>
    <w:rsid w:val="0014215E"/>
    <w:rsid w:val="0014226B"/>
    <w:rsid w:val="00143359"/>
    <w:rsid w:val="001434C0"/>
    <w:rsid w:val="00150653"/>
    <w:rsid w:val="0015082D"/>
    <w:rsid w:val="0015129E"/>
    <w:rsid w:val="001513B4"/>
    <w:rsid w:val="0015370A"/>
    <w:rsid w:val="00154E4F"/>
    <w:rsid w:val="0015534F"/>
    <w:rsid w:val="00155381"/>
    <w:rsid w:val="00155CF1"/>
    <w:rsid w:val="001562D9"/>
    <w:rsid w:val="001563BB"/>
    <w:rsid w:val="00156F1B"/>
    <w:rsid w:val="00157C8C"/>
    <w:rsid w:val="001602A3"/>
    <w:rsid w:val="0016107E"/>
    <w:rsid w:val="00163433"/>
    <w:rsid w:val="00164832"/>
    <w:rsid w:val="00164E83"/>
    <w:rsid w:val="00165F75"/>
    <w:rsid w:val="00167993"/>
    <w:rsid w:val="001706DA"/>
    <w:rsid w:val="00170BE6"/>
    <w:rsid w:val="001721C4"/>
    <w:rsid w:val="00176407"/>
    <w:rsid w:val="00176BCC"/>
    <w:rsid w:val="00177524"/>
    <w:rsid w:val="00177D2E"/>
    <w:rsid w:val="00181089"/>
    <w:rsid w:val="00181D22"/>
    <w:rsid w:val="0018262A"/>
    <w:rsid w:val="0018354A"/>
    <w:rsid w:val="00183A9B"/>
    <w:rsid w:val="00184B25"/>
    <w:rsid w:val="00190F28"/>
    <w:rsid w:val="001911D8"/>
    <w:rsid w:val="00191EAF"/>
    <w:rsid w:val="00191EC8"/>
    <w:rsid w:val="0019235A"/>
    <w:rsid w:val="001923A1"/>
    <w:rsid w:val="001942A1"/>
    <w:rsid w:val="0019506B"/>
    <w:rsid w:val="001A0150"/>
    <w:rsid w:val="001A2D70"/>
    <w:rsid w:val="001A4D4F"/>
    <w:rsid w:val="001A52FE"/>
    <w:rsid w:val="001A5935"/>
    <w:rsid w:val="001A729E"/>
    <w:rsid w:val="001A7EA9"/>
    <w:rsid w:val="001B18E5"/>
    <w:rsid w:val="001B4F93"/>
    <w:rsid w:val="001B6128"/>
    <w:rsid w:val="001B6603"/>
    <w:rsid w:val="001C06FC"/>
    <w:rsid w:val="001C0A49"/>
    <w:rsid w:val="001C13B7"/>
    <w:rsid w:val="001C1BDD"/>
    <w:rsid w:val="001C1C65"/>
    <w:rsid w:val="001C27F8"/>
    <w:rsid w:val="001C2C4E"/>
    <w:rsid w:val="001C34BA"/>
    <w:rsid w:val="001C3C63"/>
    <w:rsid w:val="001C3F2B"/>
    <w:rsid w:val="001C3FCA"/>
    <w:rsid w:val="001C44C9"/>
    <w:rsid w:val="001C519F"/>
    <w:rsid w:val="001C7B90"/>
    <w:rsid w:val="001C7C10"/>
    <w:rsid w:val="001C7CF8"/>
    <w:rsid w:val="001D5F28"/>
    <w:rsid w:val="001D6466"/>
    <w:rsid w:val="001D7472"/>
    <w:rsid w:val="001E1577"/>
    <w:rsid w:val="001E37BA"/>
    <w:rsid w:val="001E50E7"/>
    <w:rsid w:val="001E55C6"/>
    <w:rsid w:val="001E58E7"/>
    <w:rsid w:val="001E5F78"/>
    <w:rsid w:val="001E6384"/>
    <w:rsid w:val="001E6946"/>
    <w:rsid w:val="001E746B"/>
    <w:rsid w:val="001E79DA"/>
    <w:rsid w:val="001F110D"/>
    <w:rsid w:val="001F3271"/>
    <w:rsid w:val="001F3600"/>
    <w:rsid w:val="001F606B"/>
    <w:rsid w:val="001F6CAB"/>
    <w:rsid w:val="001F6D51"/>
    <w:rsid w:val="00200109"/>
    <w:rsid w:val="002002F8"/>
    <w:rsid w:val="002010A3"/>
    <w:rsid w:val="00201404"/>
    <w:rsid w:val="00201574"/>
    <w:rsid w:val="002018B3"/>
    <w:rsid w:val="00203049"/>
    <w:rsid w:val="00204357"/>
    <w:rsid w:val="002043DC"/>
    <w:rsid w:val="0020665F"/>
    <w:rsid w:val="00206BAF"/>
    <w:rsid w:val="00207AC5"/>
    <w:rsid w:val="00210003"/>
    <w:rsid w:val="00211313"/>
    <w:rsid w:val="00211505"/>
    <w:rsid w:val="002153ED"/>
    <w:rsid w:val="0021578E"/>
    <w:rsid w:val="0021714D"/>
    <w:rsid w:val="00217156"/>
    <w:rsid w:val="0021750A"/>
    <w:rsid w:val="00217755"/>
    <w:rsid w:val="00221289"/>
    <w:rsid w:val="0022216A"/>
    <w:rsid w:val="002238FD"/>
    <w:rsid w:val="00225C4E"/>
    <w:rsid w:val="00230990"/>
    <w:rsid w:val="00230AF9"/>
    <w:rsid w:val="002311AC"/>
    <w:rsid w:val="00232DE3"/>
    <w:rsid w:val="00235586"/>
    <w:rsid w:val="002357FC"/>
    <w:rsid w:val="00236612"/>
    <w:rsid w:val="002368E7"/>
    <w:rsid w:val="0023754F"/>
    <w:rsid w:val="00237C05"/>
    <w:rsid w:val="00237C1E"/>
    <w:rsid w:val="00240B63"/>
    <w:rsid w:val="00241062"/>
    <w:rsid w:val="00241B6A"/>
    <w:rsid w:val="00242BAD"/>
    <w:rsid w:val="00242F11"/>
    <w:rsid w:val="00243426"/>
    <w:rsid w:val="00243699"/>
    <w:rsid w:val="00243F69"/>
    <w:rsid w:val="0024466E"/>
    <w:rsid w:val="00245539"/>
    <w:rsid w:val="00246E46"/>
    <w:rsid w:val="002514EA"/>
    <w:rsid w:val="00251D4B"/>
    <w:rsid w:val="00251E3D"/>
    <w:rsid w:val="002527F0"/>
    <w:rsid w:val="00252DFB"/>
    <w:rsid w:val="0025439E"/>
    <w:rsid w:val="00255519"/>
    <w:rsid w:val="00261663"/>
    <w:rsid w:val="00261DD2"/>
    <w:rsid w:val="00261E04"/>
    <w:rsid w:val="00265080"/>
    <w:rsid w:val="00265395"/>
    <w:rsid w:val="002653C7"/>
    <w:rsid w:val="00265C07"/>
    <w:rsid w:val="00265C68"/>
    <w:rsid w:val="002676F1"/>
    <w:rsid w:val="00267CC6"/>
    <w:rsid w:val="00270AB0"/>
    <w:rsid w:val="00271218"/>
    <w:rsid w:val="00271775"/>
    <w:rsid w:val="00273B14"/>
    <w:rsid w:val="0027518C"/>
    <w:rsid w:val="002757E0"/>
    <w:rsid w:val="00275B78"/>
    <w:rsid w:val="00276E45"/>
    <w:rsid w:val="002779CD"/>
    <w:rsid w:val="00277C79"/>
    <w:rsid w:val="00280750"/>
    <w:rsid w:val="00280EEB"/>
    <w:rsid w:val="002819BE"/>
    <w:rsid w:val="00281B8A"/>
    <w:rsid w:val="00282581"/>
    <w:rsid w:val="002831EE"/>
    <w:rsid w:val="002837DA"/>
    <w:rsid w:val="00285F85"/>
    <w:rsid w:val="00286DA1"/>
    <w:rsid w:val="00287EB6"/>
    <w:rsid w:val="002901DA"/>
    <w:rsid w:val="0029021F"/>
    <w:rsid w:val="002904D5"/>
    <w:rsid w:val="00291506"/>
    <w:rsid w:val="0029399F"/>
    <w:rsid w:val="00294FA0"/>
    <w:rsid w:val="0029795E"/>
    <w:rsid w:val="002A04BB"/>
    <w:rsid w:val="002A0779"/>
    <w:rsid w:val="002A1768"/>
    <w:rsid w:val="002A17BB"/>
    <w:rsid w:val="002A41D1"/>
    <w:rsid w:val="002A4243"/>
    <w:rsid w:val="002A486E"/>
    <w:rsid w:val="002A4F03"/>
    <w:rsid w:val="002A641E"/>
    <w:rsid w:val="002A7EF3"/>
    <w:rsid w:val="002B0F7E"/>
    <w:rsid w:val="002B1ADE"/>
    <w:rsid w:val="002B2F71"/>
    <w:rsid w:val="002B50C9"/>
    <w:rsid w:val="002B6754"/>
    <w:rsid w:val="002B74F8"/>
    <w:rsid w:val="002B7F75"/>
    <w:rsid w:val="002C2988"/>
    <w:rsid w:val="002C2B5D"/>
    <w:rsid w:val="002C3031"/>
    <w:rsid w:val="002C35FD"/>
    <w:rsid w:val="002C3E2F"/>
    <w:rsid w:val="002C3FD4"/>
    <w:rsid w:val="002C520B"/>
    <w:rsid w:val="002C5435"/>
    <w:rsid w:val="002C6BB2"/>
    <w:rsid w:val="002D0CCC"/>
    <w:rsid w:val="002D2F29"/>
    <w:rsid w:val="002D431A"/>
    <w:rsid w:val="002D476D"/>
    <w:rsid w:val="002D49D0"/>
    <w:rsid w:val="002D4E5C"/>
    <w:rsid w:val="002D68D7"/>
    <w:rsid w:val="002D701E"/>
    <w:rsid w:val="002D7096"/>
    <w:rsid w:val="002D750E"/>
    <w:rsid w:val="002E0777"/>
    <w:rsid w:val="002E661C"/>
    <w:rsid w:val="002E7973"/>
    <w:rsid w:val="002F0B6F"/>
    <w:rsid w:val="002F28C1"/>
    <w:rsid w:val="002F456E"/>
    <w:rsid w:val="002F4683"/>
    <w:rsid w:val="002F59A8"/>
    <w:rsid w:val="002F6782"/>
    <w:rsid w:val="002F7331"/>
    <w:rsid w:val="002F7411"/>
    <w:rsid w:val="002F7B99"/>
    <w:rsid w:val="002F7BD7"/>
    <w:rsid w:val="003015AB"/>
    <w:rsid w:val="00303282"/>
    <w:rsid w:val="003033A7"/>
    <w:rsid w:val="0030470F"/>
    <w:rsid w:val="00304AAD"/>
    <w:rsid w:val="00304E2A"/>
    <w:rsid w:val="0030615C"/>
    <w:rsid w:val="00307B10"/>
    <w:rsid w:val="0031163C"/>
    <w:rsid w:val="00312057"/>
    <w:rsid w:val="00313372"/>
    <w:rsid w:val="00313BBD"/>
    <w:rsid w:val="00313FFB"/>
    <w:rsid w:val="00314ED4"/>
    <w:rsid w:val="003154EE"/>
    <w:rsid w:val="00315DD3"/>
    <w:rsid w:val="00315E31"/>
    <w:rsid w:val="003170E9"/>
    <w:rsid w:val="0031786F"/>
    <w:rsid w:val="00317B70"/>
    <w:rsid w:val="00320499"/>
    <w:rsid w:val="003221B9"/>
    <w:rsid w:val="00322522"/>
    <w:rsid w:val="00322E31"/>
    <w:rsid w:val="00325AAD"/>
    <w:rsid w:val="00334667"/>
    <w:rsid w:val="00335EFD"/>
    <w:rsid w:val="0033688E"/>
    <w:rsid w:val="00340352"/>
    <w:rsid w:val="00341EFD"/>
    <w:rsid w:val="003438C2"/>
    <w:rsid w:val="003445E7"/>
    <w:rsid w:val="00344D35"/>
    <w:rsid w:val="00345485"/>
    <w:rsid w:val="00345669"/>
    <w:rsid w:val="00345AA8"/>
    <w:rsid w:val="00346564"/>
    <w:rsid w:val="00350485"/>
    <w:rsid w:val="00351AE9"/>
    <w:rsid w:val="00352931"/>
    <w:rsid w:val="00353562"/>
    <w:rsid w:val="00354740"/>
    <w:rsid w:val="003550E7"/>
    <w:rsid w:val="00356A81"/>
    <w:rsid w:val="00361C59"/>
    <w:rsid w:val="00361E6D"/>
    <w:rsid w:val="0036403B"/>
    <w:rsid w:val="003640FA"/>
    <w:rsid w:val="00364125"/>
    <w:rsid w:val="0036420E"/>
    <w:rsid w:val="00364A12"/>
    <w:rsid w:val="00365A2D"/>
    <w:rsid w:val="00365B69"/>
    <w:rsid w:val="00366873"/>
    <w:rsid w:val="00367367"/>
    <w:rsid w:val="00370169"/>
    <w:rsid w:val="00370C5B"/>
    <w:rsid w:val="00371E29"/>
    <w:rsid w:val="003733C7"/>
    <w:rsid w:val="003746E1"/>
    <w:rsid w:val="00375B14"/>
    <w:rsid w:val="00375BF6"/>
    <w:rsid w:val="003768B2"/>
    <w:rsid w:val="0037757F"/>
    <w:rsid w:val="00377B9C"/>
    <w:rsid w:val="0038062F"/>
    <w:rsid w:val="00380A65"/>
    <w:rsid w:val="00380E97"/>
    <w:rsid w:val="00381EE9"/>
    <w:rsid w:val="0038205E"/>
    <w:rsid w:val="00382E6C"/>
    <w:rsid w:val="0038341F"/>
    <w:rsid w:val="00386223"/>
    <w:rsid w:val="00386290"/>
    <w:rsid w:val="003874ED"/>
    <w:rsid w:val="00390624"/>
    <w:rsid w:val="00394A03"/>
    <w:rsid w:val="00394FE9"/>
    <w:rsid w:val="003960BE"/>
    <w:rsid w:val="00396AF6"/>
    <w:rsid w:val="00397980"/>
    <w:rsid w:val="00397D32"/>
    <w:rsid w:val="003A1C4B"/>
    <w:rsid w:val="003A2E2A"/>
    <w:rsid w:val="003A36D6"/>
    <w:rsid w:val="003A7229"/>
    <w:rsid w:val="003A731F"/>
    <w:rsid w:val="003A74CE"/>
    <w:rsid w:val="003A7D89"/>
    <w:rsid w:val="003B0B3C"/>
    <w:rsid w:val="003B0F8D"/>
    <w:rsid w:val="003B1B34"/>
    <w:rsid w:val="003B2CA1"/>
    <w:rsid w:val="003B2CBA"/>
    <w:rsid w:val="003B3C7E"/>
    <w:rsid w:val="003B4669"/>
    <w:rsid w:val="003B6229"/>
    <w:rsid w:val="003B74D9"/>
    <w:rsid w:val="003B79C2"/>
    <w:rsid w:val="003C1EE7"/>
    <w:rsid w:val="003C39B4"/>
    <w:rsid w:val="003C3B92"/>
    <w:rsid w:val="003C41B0"/>
    <w:rsid w:val="003C56A4"/>
    <w:rsid w:val="003C628A"/>
    <w:rsid w:val="003C742B"/>
    <w:rsid w:val="003C7AFD"/>
    <w:rsid w:val="003C7D69"/>
    <w:rsid w:val="003D19E6"/>
    <w:rsid w:val="003D21CF"/>
    <w:rsid w:val="003D2AA9"/>
    <w:rsid w:val="003D3433"/>
    <w:rsid w:val="003D475A"/>
    <w:rsid w:val="003E1BA6"/>
    <w:rsid w:val="003E28EB"/>
    <w:rsid w:val="003E4183"/>
    <w:rsid w:val="003E7095"/>
    <w:rsid w:val="003F03C1"/>
    <w:rsid w:val="003F2120"/>
    <w:rsid w:val="003F214B"/>
    <w:rsid w:val="003F6B05"/>
    <w:rsid w:val="003F773C"/>
    <w:rsid w:val="003F781E"/>
    <w:rsid w:val="003F7941"/>
    <w:rsid w:val="00400F76"/>
    <w:rsid w:val="00402F78"/>
    <w:rsid w:val="00407031"/>
    <w:rsid w:val="00407510"/>
    <w:rsid w:val="004100E9"/>
    <w:rsid w:val="00411A22"/>
    <w:rsid w:val="00412604"/>
    <w:rsid w:val="00412766"/>
    <w:rsid w:val="00412BBA"/>
    <w:rsid w:val="004159DF"/>
    <w:rsid w:val="0042067D"/>
    <w:rsid w:val="00421C5D"/>
    <w:rsid w:val="0042230C"/>
    <w:rsid w:val="00422E53"/>
    <w:rsid w:val="00423C91"/>
    <w:rsid w:val="00425E75"/>
    <w:rsid w:val="00425E99"/>
    <w:rsid w:val="00426616"/>
    <w:rsid w:val="0042704A"/>
    <w:rsid w:val="00427BC7"/>
    <w:rsid w:val="00430B7E"/>
    <w:rsid w:val="00431A97"/>
    <w:rsid w:val="00431CFD"/>
    <w:rsid w:val="00437254"/>
    <w:rsid w:val="0043774D"/>
    <w:rsid w:val="00440300"/>
    <w:rsid w:val="00440315"/>
    <w:rsid w:val="0044067E"/>
    <w:rsid w:val="00441E74"/>
    <w:rsid w:val="004426ED"/>
    <w:rsid w:val="004452F5"/>
    <w:rsid w:val="00445E96"/>
    <w:rsid w:val="00447349"/>
    <w:rsid w:val="004478B2"/>
    <w:rsid w:val="00451501"/>
    <w:rsid w:val="004525FC"/>
    <w:rsid w:val="00452926"/>
    <w:rsid w:val="0045302B"/>
    <w:rsid w:val="0045524E"/>
    <w:rsid w:val="00455CAE"/>
    <w:rsid w:val="00455F0E"/>
    <w:rsid w:val="004571E6"/>
    <w:rsid w:val="00460A02"/>
    <w:rsid w:val="00463331"/>
    <w:rsid w:val="00464D50"/>
    <w:rsid w:val="00466068"/>
    <w:rsid w:val="00466321"/>
    <w:rsid w:val="00467DF9"/>
    <w:rsid w:val="00467F0B"/>
    <w:rsid w:val="00471F68"/>
    <w:rsid w:val="004736F2"/>
    <w:rsid w:val="00473F1F"/>
    <w:rsid w:val="00476470"/>
    <w:rsid w:val="00476C49"/>
    <w:rsid w:val="00480077"/>
    <w:rsid w:val="004803AC"/>
    <w:rsid w:val="004825E9"/>
    <w:rsid w:val="00484787"/>
    <w:rsid w:val="00484D84"/>
    <w:rsid w:val="004856B7"/>
    <w:rsid w:val="004858BF"/>
    <w:rsid w:val="00485AAD"/>
    <w:rsid w:val="004861C1"/>
    <w:rsid w:val="0048660C"/>
    <w:rsid w:val="00486A53"/>
    <w:rsid w:val="00486B8B"/>
    <w:rsid w:val="00493E1E"/>
    <w:rsid w:val="0049690D"/>
    <w:rsid w:val="004A04A2"/>
    <w:rsid w:val="004A1A7A"/>
    <w:rsid w:val="004A3C09"/>
    <w:rsid w:val="004A4CC6"/>
    <w:rsid w:val="004A5D45"/>
    <w:rsid w:val="004A6678"/>
    <w:rsid w:val="004A6D0F"/>
    <w:rsid w:val="004B1205"/>
    <w:rsid w:val="004B1448"/>
    <w:rsid w:val="004B19BE"/>
    <w:rsid w:val="004B4BCC"/>
    <w:rsid w:val="004B567B"/>
    <w:rsid w:val="004B5F3E"/>
    <w:rsid w:val="004B6147"/>
    <w:rsid w:val="004B7751"/>
    <w:rsid w:val="004B7A61"/>
    <w:rsid w:val="004C2C7D"/>
    <w:rsid w:val="004C31C2"/>
    <w:rsid w:val="004C42BE"/>
    <w:rsid w:val="004C45F6"/>
    <w:rsid w:val="004D1AA4"/>
    <w:rsid w:val="004D2141"/>
    <w:rsid w:val="004D3B22"/>
    <w:rsid w:val="004D55B7"/>
    <w:rsid w:val="004E0A0B"/>
    <w:rsid w:val="004E0F3C"/>
    <w:rsid w:val="004E5648"/>
    <w:rsid w:val="004E64C7"/>
    <w:rsid w:val="004F02FF"/>
    <w:rsid w:val="004F20B5"/>
    <w:rsid w:val="004F2650"/>
    <w:rsid w:val="004F2DE2"/>
    <w:rsid w:val="004F2EF1"/>
    <w:rsid w:val="004F3838"/>
    <w:rsid w:val="004F3D6A"/>
    <w:rsid w:val="004F40ED"/>
    <w:rsid w:val="004F571A"/>
    <w:rsid w:val="004F66F5"/>
    <w:rsid w:val="004F7711"/>
    <w:rsid w:val="004F7888"/>
    <w:rsid w:val="0050060B"/>
    <w:rsid w:val="005007F5"/>
    <w:rsid w:val="00500C67"/>
    <w:rsid w:val="005019C8"/>
    <w:rsid w:val="00501B7E"/>
    <w:rsid w:val="00502CD1"/>
    <w:rsid w:val="005030F9"/>
    <w:rsid w:val="00503743"/>
    <w:rsid w:val="00503D50"/>
    <w:rsid w:val="0050494D"/>
    <w:rsid w:val="00505A01"/>
    <w:rsid w:val="00506280"/>
    <w:rsid w:val="00507A7C"/>
    <w:rsid w:val="005101EB"/>
    <w:rsid w:val="00512F29"/>
    <w:rsid w:val="00513414"/>
    <w:rsid w:val="0051363A"/>
    <w:rsid w:val="00513F36"/>
    <w:rsid w:val="00514186"/>
    <w:rsid w:val="005141C6"/>
    <w:rsid w:val="0051435A"/>
    <w:rsid w:val="0051483A"/>
    <w:rsid w:val="00516AE6"/>
    <w:rsid w:val="00517C33"/>
    <w:rsid w:val="00520D04"/>
    <w:rsid w:val="0052180E"/>
    <w:rsid w:val="005219C4"/>
    <w:rsid w:val="00521DAF"/>
    <w:rsid w:val="0052237C"/>
    <w:rsid w:val="00522650"/>
    <w:rsid w:val="00525801"/>
    <w:rsid w:val="00525D0A"/>
    <w:rsid w:val="005269F8"/>
    <w:rsid w:val="0053127F"/>
    <w:rsid w:val="005317BB"/>
    <w:rsid w:val="005339FE"/>
    <w:rsid w:val="00534D42"/>
    <w:rsid w:val="00536517"/>
    <w:rsid w:val="00536E02"/>
    <w:rsid w:val="00536E99"/>
    <w:rsid w:val="00536EA6"/>
    <w:rsid w:val="00537E93"/>
    <w:rsid w:val="00540791"/>
    <w:rsid w:val="005410D6"/>
    <w:rsid w:val="00541298"/>
    <w:rsid w:val="005417BE"/>
    <w:rsid w:val="005418FB"/>
    <w:rsid w:val="0054426A"/>
    <w:rsid w:val="00544B2C"/>
    <w:rsid w:val="00544CC9"/>
    <w:rsid w:val="005451F5"/>
    <w:rsid w:val="00545382"/>
    <w:rsid w:val="0054574A"/>
    <w:rsid w:val="00545C50"/>
    <w:rsid w:val="00546844"/>
    <w:rsid w:val="00546ECF"/>
    <w:rsid w:val="00550F69"/>
    <w:rsid w:val="00553E55"/>
    <w:rsid w:val="00555133"/>
    <w:rsid w:val="005556D0"/>
    <w:rsid w:val="00556E84"/>
    <w:rsid w:val="005607E5"/>
    <w:rsid w:val="005620A4"/>
    <w:rsid w:val="005624E8"/>
    <w:rsid w:val="00562A6D"/>
    <w:rsid w:val="0056341F"/>
    <w:rsid w:val="0056377B"/>
    <w:rsid w:val="005643DB"/>
    <w:rsid w:val="00566947"/>
    <w:rsid w:val="00570037"/>
    <w:rsid w:val="00570387"/>
    <w:rsid w:val="00570A26"/>
    <w:rsid w:val="00571FD6"/>
    <w:rsid w:val="00572125"/>
    <w:rsid w:val="0057282F"/>
    <w:rsid w:val="00573AED"/>
    <w:rsid w:val="0057458B"/>
    <w:rsid w:val="00575C3D"/>
    <w:rsid w:val="00577531"/>
    <w:rsid w:val="00577BF8"/>
    <w:rsid w:val="005809AF"/>
    <w:rsid w:val="0058140D"/>
    <w:rsid w:val="00583625"/>
    <w:rsid w:val="00583664"/>
    <w:rsid w:val="00583E48"/>
    <w:rsid w:val="00584007"/>
    <w:rsid w:val="0058527D"/>
    <w:rsid w:val="00586413"/>
    <w:rsid w:val="005864D1"/>
    <w:rsid w:val="005866FE"/>
    <w:rsid w:val="0058741A"/>
    <w:rsid w:val="00587EBF"/>
    <w:rsid w:val="00590A1C"/>
    <w:rsid w:val="0059274B"/>
    <w:rsid w:val="00592DDC"/>
    <w:rsid w:val="00594D98"/>
    <w:rsid w:val="00595F6A"/>
    <w:rsid w:val="005968B9"/>
    <w:rsid w:val="00596FD1"/>
    <w:rsid w:val="00597982"/>
    <w:rsid w:val="00597DB2"/>
    <w:rsid w:val="005A025E"/>
    <w:rsid w:val="005A064B"/>
    <w:rsid w:val="005A06B8"/>
    <w:rsid w:val="005A14FA"/>
    <w:rsid w:val="005A3279"/>
    <w:rsid w:val="005A471C"/>
    <w:rsid w:val="005A4851"/>
    <w:rsid w:val="005A48FD"/>
    <w:rsid w:val="005A5E71"/>
    <w:rsid w:val="005A5F3D"/>
    <w:rsid w:val="005A67E6"/>
    <w:rsid w:val="005A6964"/>
    <w:rsid w:val="005A6D4B"/>
    <w:rsid w:val="005B1D5C"/>
    <w:rsid w:val="005B1FB2"/>
    <w:rsid w:val="005B3682"/>
    <w:rsid w:val="005B3E71"/>
    <w:rsid w:val="005B42E7"/>
    <w:rsid w:val="005B4AA1"/>
    <w:rsid w:val="005B534C"/>
    <w:rsid w:val="005B5FFA"/>
    <w:rsid w:val="005C11B0"/>
    <w:rsid w:val="005C12A2"/>
    <w:rsid w:val="005C16BE"/>
    <w:rsid w:val="005C3463"/>
    <w:rsid w:val="005C5835"/>
    <w:rsid w:val="005C5996"/>
    <w:rsid w:val="005C7B08"/>
    <w:rsid w:val="005C7B71"/>
    <w:rsid w:val="005D05E5"/>
    <w:rsid w:val="005D072C"/>
    <w:rsid w:val="005D08E3"/>
    <w:rsid w:val="005D1F11"/>
    <w:rsid w:val="005D34B6"/>
    <w:rsid w:val="005D3E56"/>
    <w:rsid w:val="005D5633"/>
    <w:rsid w:val="005D69A9"/>
    <w:rsid w:val="005D69E8"/>
    <w:rsid w:val="005D6E18"/>
    <w:rsid w:val="005D7709"/>
    <w:rsid w:val="005E1037"/>
    <w:rsid w:val="005E16F4"/>
    <w:rsid w:val="005E18B8"/>
    <w:rsid w:val="005E301C"/>
    <w:rsid w:val="005E3488"/>
    <w:rsid w:val="005E393A"/>
    <w:rsid w:val="005F0902"/>
    <w:rsid w:val="005F1FF9"/>
    <w:rsid w:val="005F29B8"/>
    <w:rsid w:val="005F2F33"/>
    <w:rsid w:val="005F4CE3"/>
    <w:rsid w:val="005F5509"/>
    <w:rsid w:val="005F567C"/>
    <w:rsid w:val="005F69FA"/>
    <w:rsid w:val="005F76FA"/>
    <w:rsid w:val="005F7C5B"/>
    <w:rsid w:val="00600B6A"/>
    <w:rsid w:val="00601865"/>
    <w:rsid w:val="00601B20"/>
    <w:rsid w:val="00601CEB"/>
    <w:rsid w:val="00603770"/>
    <w:rsid w:val="0060493B"/>
    <w:rsid w:val="00605669"/>
    <w:rsid w:val="00605C9D"/>
    <w:rsid w:val="0060691D"/>
    <w:rsid w:val="0060789E"/>
    <w:rsid w:val="00607FD1"/>
    <w:rsid w:val="006117C5"/>
    <w:rsid w:val="00611990"/>
    <w:rsid w:val="00611B03"/>
    <w:rsid w:val="00611D00"/>
    <w:rsid w:val="0061254B"/>
    <w:rsid w:val="00612D42"/>
    <w:rsid w:val="00614165"/>
    <w:rsid w:val="00614C28"/>
    <w:rsid w:val="00614D5B"/>
    <w:rsid w:val="00614D9D"/>
    <w:rsid w:val="0061620C"/>
    <w:rsid w:val="006168E8"/>
    <w:rsid w:val="006226A3"/>
    <w:rsid w:val="006228A2"/>
    <w:rsid w:val="006236EC"/>
    <w:rsid w:val="00623EF9"/>
    <w:rsid w:val="00624E2C"/>
    <w:rsid w:val="00625138"/>
    <w:rsid w:val="0062625D"/>
    <w:rsid w:val="00627C77"/>
    <w:rsid w:val="00627DD9"/>
    <w:rsid w:val="006305A0"/>
    <w:rsid w:val="00630C01"/>
    <w:rsid w:val="006318BC"/>
    <w:rsid w:val="006326F9"/>
    <w:rsid w:val="00634C33"/>
    <w:rsid w:val="00635351"/>
    <w:rsid w:val="0063556E"/>
    <w:rsid w:val="0064095C"/>
    <w:rsid w:val="00640BE4"/>
    <w:rsid w:val="00641059"/>
    <w:rsid w:val="00641139"/>
    <w:rsid w:val="00641212"/>
    <w:rsid w:val="00641856"/>
    <w:rsid w:val="00641A05"/>
    <w:rsid w:val="00642681"/>
    <w:rsid w:val="00644344"/>
    <w:rsid w:val="00644364"/>
    <w:rsid w:val="006447AD"/>
    <w:rsid w:val="006458E1"/>
    <w:rsid w:val="00646640"/>
    <w:rsid w:val="00650FF4"/>
    <w:rsid w:val="00651972"/>
    <w:rsid w:val="0065279A"/>
    <w:rsid w:val="00652F2F"/>
    <w:rsid w:val="00653973"/>
    <w:rsid w:val="0065538C"/>
    <w:rsid w:val="00656CE1"/>
    <w:rsid w:val="00657036"/>
    <w:rsid w:val="006600CA"/>
    <w:rsid w:val="00662D41"/>
    <w:rsid w:val="00664872"/>
    <w:rsid w:val="00664ECD"/>
    <w:rsid w:val="0066598D"/>
    <w:rsid w:val="00665A90"/>
    <w:rsid w:val="0066642A"/>
    <w:rsid w:val="006666E1"/>
    <w:rsid w:val="006671B7"/>
    <w:rsid w:val="0066797C"/>
    <w:rsid w:val="00670AB3"/>
    <w:rsid w:val="00672B69"/>
    <w:rsid w:val="00676056"/>
    <w:rsid w:val="00681CAB"/>
    <w:rsid w:val="006832E0"/>
    <w:rsid w:val="0068437E"/>
    <w:rsid w:val="00685418"/>
    <w:rsid w:val="00686435"/>
    <w:rsid w:val="00687F8E"/>
    <w:rsid w:val="00690A43"/>
    <w:rsid w:val="00694654"/>
    <w:rsid w:val="0069466D"/>
    <w:rsid w:val="00694E1A"/>
    <w:rsid w:val="00694F9D"/>
    <w:rsid w:val="0069537F"/>
    <w:rsid w:val="0069539C"/>
    <w:rsid w:val="00696243"/>
    <w:rsid w:val="00696D45"/>
    <w:rsid w:val="006A29EE"/>
    <w:rsid w:val="006A31E6"/>
    <w:rsid w:val="006A3272"/>
    <w:rsid w:val="006A3330"/>
    <w:rsid w:val="006A372A"/>
    <w:rsid w:val="006A3769"/>
    <w:rsid w:val="006A4D66"/>
    <w:rsid w:val="006A5603"/>
    <w:rsid w:val="006A56DB"/>
    <w:rsid w:val="006A5B98"/>
    <w:rsid w:val="006A6076"/>
    <w:rsid w:val="006A61FD"/>
    <w:rsid w:val="006B01D9"/>
    <w:rsid w:val="006B0251"/>
    <w:rsid w:val="006B0965"/>
    <w:rsid w:val="006B0D23"/>
    <w:rsid w:val="006B192D"/>
    <w:rsid w:val="006B1EC0"/>
    <w:rsid w:val="006B1F96"/>
    <w:rsid w:val="006B2F9B"/>
    <w:rsid w:val="006B43CF"/>
    <w:rsid w:val="006B58CE"/>
    <w:rsid w:val="006B634D"/>
    <w:rsid w:val="006B652F"/>
    <w:rsid w:val="006B6BF6"/>
    <w:rsid w:val="006B71CD"/>
    <w:rsid w:val="006C01E7"/>
    <w:rsid w:val="006C4B69"/>
    <w:rsid w:val="006C518F"/>
    <w:rsid w:val="006C5330"/>
    <w:rsid w:val="006C673C"/>
    <w:rsid w:val="006C6B74"/>
    <w:rsid w:val="006C7493"/>
    <w:rsid w:val="006C75F0"/>
    <w:rsid w:val="006C77DF"/>
    <w:rsid w:val="006D04D4"/>
    <w:rsid w:val="006D1469"/>
    <w:rsid w:val="006D275C"/>
    <w:rsid w:val="006D3A67"/>
    <w:rsid w:val="006D3E6E"/>
    <w:rsid w:val="006D4754"/>
    <w:rsid w:val="006D64A3"/>
    <w:rsid w:val="006E0645"/>
    <w:rsid w:val="006E391C"/>
    <w:rsid w:val="006E5588"/>
    <w:rsid w:val="006E59A8"/>
    <w:rsid w:val="006E5D68"/>
    <w:rsid w:val="006E62A0"/>
    <w:rsid w:val="006E6CC9"/>
    <w:rsid w:val="006E7823"/>
    <w:rsid w:val="006E7E8D"/>
    <w:rsid w:val="006E7FD5"/>
    <w:rsid w:val="006F1174"/>
    <w:rsid w:val="006F1A57"/>
    <w:rsid w:val="006F22AF"/>
    <w:rsid w:val="006F41BE"/>
    <w:rsid w:val="006F628B"/>
    <w:rsid w:val="006F7684"/>
    <w:rsid w:val="006F7773"/>
    <w:rsid w:val="006F7B5A"/>
    <w:rsid w:val="00701C2A"/>
    <w:rsid w:val="00706F4A"/>
    <w:rsid w:val="00710A79"/>
    <w:rsid w:val="00711485"/>
    <w:rsid w:val="007115A4"/>
    <w:rsid w:val="00713705"/>
    <w:rsid w:val="00716FB5"/>
    <w:rsid w:val="00717548"/>
    <w:rsid w:val="0071755C"/>
    <w:rsid w:val="00717E19"/>
    <w:rsid w:val="007204F6"/>
    <w:rsid w:val="007210E5"/>
    <w:rsid w:val="0072176A"/>
    <w:rsid w:val="00721DF8"/>
    <w:rsid w:val="00722293"/>
    <w:rsid w:val="00722BD0"/>
    <w:rsid w:val="0072308C"/>
    <w:rsid w:val="007243EE"/>
    <w:rsid w:val="007247DA"/>
    <w:rsid w:val="007248BC"/>
    <w:rsid w:val="0072493F"/>
    <w:rsid w:val="00725AC5"/>
    <w:rsid w:val="00725D7C"/>
    <w:rsid w:val="00726F1B"/>
    <w:rsid w:val="007274D6"/>
    <w:rsid w:val="00727545"/>
    <w:rsid w:val="00727F61"/>
    <w:rsid w:val="0073037B"/>
    <w:rsid w:val="007304D1"/>
    <w:rsid w:val="007327EB"/>
    <w:rsid w:val="00733EBF"/>
    <w:rsid w:val="007341A7"/>
    <w:rsid w:val="0073461F"/>
    <w:rsid w:val="00735351"/>
    <w:rsid w:val="007368AA"/>
    <w:rsid w:val="00736DD4"/>
    <w:rsid w:val="00737767"/>
    <w:rsid w:val="00737775"/>
    <w:rsid w:val="00737CA6"/>
    <w:rsid w:val="007403D3"/>
    <w:rsid w:val="007433BE"/>
    <w:rsid w:val="00743AE1"/>
    <w:rsid w:val="00744ECA"/>
    <w:rsid w:val="00747E18"/>
    <w:rsid w:val="0075011F"/>
    <w:rsid w:val="0075014B"/>
    <w:rsid w:val="007504A1"/>
    <w:rsid w:val="0075186F"/>
    <w:rsid w:val="00751D2F"/>
    <w:rsid w:val="00752123"/>
    <w:rsid w:val="007530DE"/>
    <w:rsid w:val="00753677"/>
    <w:rsid w:val="007537EE"/>
    <w:rsid w:val="0075396D"/>
    <w:rsid w:val="00755EF2"/>
    <w:rsid w:val="007608CA"/>
    <w:rsid w:val="00760CAB"/>
    <w:rsid w:val="007616F5"/>
    <w:rsid w:val="007632C0"/>
    <w:rsid w:val="00763BBA"/>
    <w:rsid w:val="00763FC9"/>
    <w:rsid w:val="007643BC"/>
    <w:rsid w:val="00764FE9"/>
    <w:rsid w:val="00765F84"/>
    <w:rsid w:val="007660C6"/>
    <w:rsid w:val="00767033"/>
    <w:rsid w:val="0077078F"/>
    <w:rsid w:val="00771D01"/>
    <w:rsid w:val="00771F2C"/>
    <w:rsid w:val="007727B5"/>
    <w:rsid w:val="00772A09"/>
    <w:rsid w:val="007732BC"/>
    <w:rsid w:val="007737C5"/>
    <w:rsid w:val="007778AC"/>
    <w:rsid w:val="00780738"/>
    <w:rsid w:val="00780BAD"/>
    <w:rsid w:val="00781114"/>
    <w:rsid w:val="007812C7"/>
    <w:rsid w:val="00782A10"/>
    <w:rsid w:val="00783407"/>
    <w:rsid w:val="007854D1"/>
    <w:rsid w:val="00786152"/>
    <w:rsid w:val="007861E3"/>
    <w:rsid w:val="007862F5"/>
    <w:rsid w:val="00787F9B"/>
    <w:rsid w:val="0079007D"/>
    <w:rsid w:val="00792863"/>
    <w:rsid w:val="00792B02"/>
    <w:rsid w:val="00792E16"/>
    <w:rsid w:val="00793E1E"/>
    <w:rsid w:val="00794846"/>
    <w:rsid w:val="00794D96"/>
    <w:rsid w:val="00797945"/>
    <w:rsid w:val="00797A9F"/>
    <w:rsid w:val="007A2753"/>
    <w:rsid w:val="007A31F0"/>
    <w:rsid w:val="007A4892"/>
    <w:rsid w:val="007A73D5"/>
    <w:rsid w:val="007B0CD0"/>
    <w:rsid w:val="007B1A22"/>
    <w:rsid w:val="007B3922"/>
    <w:rsid w:val="007B540A"/>
    <w:rsid w:val="007B5C0E"/>
    <w:rsid w:val="007B5E4A"/>
    <w:rsid w:val="007B6C59"/>
    <w:rsid w:val="007B71B7"/>
    <w:rsid w:val="007B7A31"/>
    <w:rsid w:val="007B7AF4"/>
    <w:rsid w:val="007C5145"/>
    <w:rsid w:val="007D07D3"/>
    <w:rsid w:val="007D0D49"/>
    <w:rsid w:val="007D169A"/>
    <w:rsid w:val="007D19D5"/>
    <w:rsid w:val="007D2F5E"/>
    <w:rsid w:val="007D3A86"/>
    <w:rsid w:val="007D4602"/>
    <w:rsid w:val="007D4BD9"/>
    <w:rsid w:val="007D5418"/>
    <w:rsid w:val="007D59F1"/>
    <w:rsid w:val="007D6870"/>
    <w:rsid w:val="007D691B"/>
    <w:rsid w:val="007D6CA4"/>
    <w:rsid w:val="007D7056"/>
    <w:rsid w:val="007E04B2"/>
    <w:rsid w:val="007E0C65"/>
    <w:rsid w:val="007E108A"/>
    <w:rsid w:val="007E10E9"/>
    <w:rsid w:val="007E34A0"/>
    <w:rsid w:val="007E3D7B"/>
    <w:rsid w:val="007E3FA9"/>
    <w:rsid w:val="007E44B4"/>
    <w:rsid w:val="007E4B68"/>
    <w:rsid w:val="007E4D55"/>
    <w:rsid w:val="007E4F58"/>
    <w:rsid w:val="007E536E"/>
    <w:rsid w:val="007E5EC8"/>
    <w:rsid w:val="007E6374"/>
    <w:rsid w:val="007E6A71"/>
    <w:rsid w:val="007E6C80"/>
    <w:rsid w:val="007E7C06"/>
    <w:rsid w:val="007E7FAF"/>
    <w:rsid w:val="007F029A"/>
    <w:rsid w:val="007F266A"/>
    <w:rsid w:val="007F2CDD"/>
    <w:rsid w:val="007F7C39"/>
    <w:rsid w:val="0080019C"/>
    <w:rsid w:val="008006FA"/>
    <w:rsid w:val="00800B73"/>
    <w:rsid w:val="00803106"/>
    <w:rsid w:val="00803A99"/>
    <w:rsid w:val="008052ED"/>
    <w:rsid w:val="00805589"/>
    <w:rsid w:val="0080629E"/>
    <w:rsid w:val="0080717E"/>
    <w:rsid w:val="008073C4"/>
    <w:rsid w:val="008104B5"/>
    <w:rsid w:val="0081086E"/>
    <w:rsid w:val="00811253"/>
    <w:rsid w:val="00813D40"/>
    <w:rsid w:val="008173AB"/>
    <w:rsid w:val="00820B95"/>
    <w:rsid w:val="00820E00"/>
    <w:rsid w:val="00822E11"/>
    <w:rsid w:val="00823949"/>
    <w:rsid w:val="00823C3B"/>
    <w:rsid w:val="00824048"/>
    <w:rsid w:val="00824CB8"/>
    <w:rsid w:val="00824FAA"/>
    <w:rsid w:val="008250BA"/>
    <w:rsid w:val="00825E70"/>
    <w:rsid w:val="00827BBE"/>
    <w:rsid w:val="0083041D"/>
    <w:rsid w:val="0083122C"/>
    <w:rsid w:val="00831F58"/>
    <w:rsid w:val="0083235C"/>
    <w:rsid w:val="0083320A"/>
    <w:rsid w:val="00836232"/>
    <w:rsid w:val="0083624A"/>
    <w:rsid w:val="0083681A"/>
    <w:rsid w:val="0084008A"/>
    <w:rsid w:val="00842210"/>
    <w:rsid w:val="0084344D"/>
    <w:rsid w:val="0084405A"/>
    <w:rsid w:val="00844162"/>
    <w:rsid w:val="00844A49"/>
    <w:rsid w:val="00844E6B"/>
    <w:rsid w:val="0084518C"/>
    <w:rsid w:val="00845212"/>
    <w:rsid w:val="008459AC"/>
    <w:rsid w:val="00846137"/>
    <w:rsid w:val="0084641F"/>
    <w:rsid w:val="00846C60"/>
    <w:rsid w:val="008471DE"/>
    <w:rsid w:val="008509E5"/>
    <w:rsid w:val="00850A27"/>
    <w:rsid w:val="00852B21"/>
    <w:rsid w:val="008532C3"/>
    <w:rsid w:val="00853EC7"/>
    <w:rsid w:val="00854F03"/>
    <w:rsid w:val="0086001B"/>
    <w:rsid w:val="00860C91"/>
    <w:rsid w:val="008624E6"/>
    <w:rsid w:val="00863256"/>
    <w:rsid w:val="00863B20"/>
    <w:rsid w:val="0086439A"/>
    <w:rsid w:val="008643DC"/>
    <w:rsid w:val="0086490D"/>
    <w:rsid w:val="00864B48"/>
    <w:rsid w:val="00864C9C"/>
    <w:rsid w:val="00864FBC"/>
    <w:rsid w:val="00865998"/>
    <w:rsid w:val="0086724E"/>
    <w:rsid w:val="00870103"/>
    <w:rsid w:val="00870563"/>
    <w:rsid w:val="0087194B"/>
    <w:rsid w:val="00871AA6"/>
    <w:rsid w:val="00873460"/>
    <w:rsid w:val="00874D57"/>
    <w:rsid w:val="0087525A"/>
    <w:rsid w:val="00875E7D"/>
    <w:rsid w:val="0087620A"/>
    <w:rsid w:val="00881920"/>
    <w:rsid w:val="00882AEF"/>
    <w:rsid w:val="008838CE"/>
    <w:rsid w:val="00883D6C"/>
    <w:rsid w:val="00884A91"/>
    <w:rsid w:val="008853EF"/>
    <w:rsid w:val="00885837"/>
    <w:rsid w:val="00885D07"/>
    <w:rsid w:val="00886003"/>
    <w:rsid w:val="008864A0"/>
    <w:rsid w:val="00886DE4"/>
    <w:rsid w:val="0089129C"/>
    <w:rsid w:val="00891B58"/>
    <w:rsid w:val="00891BD2"/>
    <w:rsid w:val="008920B9"/>
    <w:rsid w:val="00893FD2"/>
    <w:rsid w:val="0089614B"/>
    <w:rsid w:val="008963F6"/>
    <w:rsid w:val="00896AA8"/>
    <w:rsid w:val="00896FB5"/>
    <w:rsid w:val="00897C84"/>
    <w:rsid w:val="008A0F80"/>
    <w:rsid w:val="008A33FF"/>
    <w:rsid w:val="008A37C5"/>
    <w:rsid w:val="008A3981"/>
    <w:rsid w:val="008A3AFD"/>
    <w:rsid w:val="008A4268"/>
    <w:rsid w:val="008A4BE6"/>
    <w:rsid w:val="008A5FD1"/>
    <w:rsid w:val="008B06E2"/>
    <w:rsid w:val="008B07DD"/>
    <w:rsid w:val="008B2A51"/>
    <w:rsid w:val="008B3852"/>
    <w:rsid w:val="008B48AD"/>
    <w:rsid w:val="008B4B60"/>
    <w:rsid w:val="008B4C63"/>
    <w:rsid w:val="008B5D5E"/>
    <w:rsid w:val="008B7069"/>
    <w:rsid w:val="008B7D92"/>
    <w:rsid w:val="008C1436"/>
    <w:rsid w:val="008C15CF"/>
    <w:rsid w:val="008C445D"/>
    <w:rsid w:val="008C4832"/>
    <w:rsid w:val="008C5062"/>
    <w:rsid w:val="008C6B37"/>
    <w:rsid w:val="008C6F5B"/>
    <w:rsid w:val="008D0ABA"/>
    <w:rsid w:val="008D0BA9"/>
    <w:rsid w:val="008D0EC8"/>
    <w:rsid w:val="008D0EDE"/>
    <w:rsid w:val="008D2733"/>
    <w:rsid w:val="008D27D4"/>
    <w:rsid w:val="008D351D"/>
    <w:rsid w:val="008D4A5E"/>
    <w:rsid w:val="008D65F7"/>
    <w:rsid w:val="008D70C9"/>
    <w:rsid w:val="008E156E"/>
    <w:rsid w:val="008E2F7C"/>
    <w:rsid w:val="008E384A"/>
    <w:rsid w:val="008E3E4B"/>
    <w:rsid w:val="008E4361"/>
    <w:rsid w:val="008E48BD"/>
    <w:rsid w:val="008E4962"/>
    <w:rsid w:val="008E51E8"/>
    <w:rsid w:val="008E528B"/>
    <w:rsid w:val="008E6704"/>
    <w:rsid w:val="008E6D8C"/>
    <w:rsid w:val="008E77CA"/>
    <w:rsid w:val="008F0593"/>
    <w:rsid w:val="008F2279"/>
    <w:rsid w:val="008F2905"/>
    <w:rsid w:val="008F2F3A"/>
    <w:rsid w:val="008F3235"/>
    <w:rsid w:val="008F468B"/>
    <w:rsid w:val="008F4ABD"/>
    <w:rsid w:val="008F69A3"/>
    <w:rsid w:val="009001CB"/>
    <w:rsid w:val="0090266D"/>
    <w:rsid w:val="00903F4C"/>
    <w:rsid w:val="00904DC0"/>
    <w:rsid w:val="009058EE"/>
    <w:rsid w:val="00906E33"/>
    <w:rsid w:val="0090783B"/>
    <w:rsid w:val="00911602"/>
    <w:rsid w:val="00911D68"/>
    <w:rsid w:val="00911F10"/>
    <w:rsid w:val="0091231F"/>
    <w:rsid w:val="009125DC"/>
    <w:rsid w:val="00913D79"/>
    <w:rsid w:val="00914416"/>
    <w:rsid w:val="0091546D"/>
    <w:rsid w:val="00915FB0"/>
    <w:rsid w:val="009161ED"/>
    <w:rsid w:val="009162C3"/>
    <w:rsid w:val="00916A5A"/>
    <w:rsid w:val="00917B8B"/>
    <w:rsid w:val="00920977"/>
    <w:rsid w:val="00921562"/>
    <w:rsid w:val="009228E6"/>
    <w:rsid w:val="00922AED"/>
    <w:rsid w:val="00924473"/>
    <w:rsid w:val="009260E8"/>
    <w:rsid w:val="00926DEF"/>
    <w:rsid w:val="009301FC"/>
    <w:rsid w:val="00931D98"/>
    <w:rsid w:val="00932029"/>
    <w:rsid w:val="00934679"/>
    <w:rsid w:val="00934EC4"/>
    <w:rsid w:val="0093562C"/>
    <w:rsid w:val="00935C1B"/>
    <w:rsid w:val="009377B6"/>
    <w:rsid w:val="00937DA9"/>
    <w:rsid w:val="0094038B"/>
    <w:rsid w:val="00940B03"/>
    <w:rsid w:val="00940C62"/>
    <w:rsid w:val="00941795"/>
    <w:rsid w:val="0094217B"/>
    <w:rsid w:val="009429F0"/>
    <w:rsid w:val="00944350"/>
    <w:rsid w:val="009445DB"/>
    <w:rsid w:val="00945042"/>
    <w:rsid w:val="009458BF"/>
    <w:rsid w:val="00947AC5"/>
    <w:rsid w:val="00950544"/>
    <w:rsid w:val="0095096E"/>
    <w:rsid w:val="00950976"/>
    <w:rsid w:val="00950A2C"/>
    <w:rsid w:val="00951421"/>
    <w:rsid w:val="00952846"/>
    <w:rsid w:val="00952BBA"/>
    <w:rsid w:val="00954793"/>
    <w:rsid w:val="009548EB"/>
    <w:rsid w:val="00955003"/>
    <w:rsid w:val="009561B9"/>
    <w:rsid w:val="009577F9"/>
    <w:rsid w:val="00961791"/>
    <w:rsid w:val="00963138"/>
    <w:rsid w:val="0096499C"/>
    <w:rsid w:val="009657CB"/>
    <w:rsid w:val="00971F98"/>
    <w:rsid w:val="00972448"/>
    <w:rsid w:val="00972614"/>
    <w:rsid w:val="00972E14"/>
    <w:rsid w:val="009733B0"/>
    <w:rsid w:val="009745DC"/>
    <w:rsid w:val="00975D14"/>
    <w:rsid w:val="00975EAB"/>
    <w:rsid w:val="009760B8"/>
    <w:rsid w:val="009768E0"/>
    <w:rsid w:val="00976E9E"/>
    <w:rsid w:val="00977782"/>
    <w:rsid w:val="0098056D"/>
    <w:rsid w:val="009824EE"/>
    <w:rsid w:val="0098267B"/>
    <w:rsid w:val="00982996"/>
    <w:rsid w:val="009842C1"/>
    <w:rsid w:val="009848E9"/>
    <w:rsid w:val="00985916"/>
    <w:rsid w:val="00987716"/>
    <w:rsid w:val="00990AD7"/>
    <w:rsid w:val="00991065"/>
    <w:rsid w:val="00991DCD"/>
    <w:rsid w:val="00991F26"/>
    <w:rsid w:val="009921A8"/>
    <w:rsid w:val="009929E1"/>
    <w:rsid w:val="00997F3B"/>
    <w:rsid w:val="009A05D7"/>
    <w:rsid w:val="009A5374"/>
    <w:rsid w:val="009A60A3"/>
    <w:rsid w:val="009A6D37"/>
    <w:rsid w:val="009A7A88"/>
    <w:rsid w:val="009A7EB2"/>
    <w:rsid w:val="009B00CD"/>
    <w:rsid w:val="009B256C"/>
    <w:rsid w:val="009B27CB"/>
    <w:rsid w:val="009B32CC"/>
    <w:rsid w:val="009B3F18"/>
    <w:rsid w:val="009B3FF1"/>
    <w:rsid w:val="009B4C3A"/>
    <w:rsid w:val="009B4F20"/>
    <w:rsid w:val="009B5464"/>
    <w:rsid w:val="009B5A02"/>
    <w:rsid w:val="009B6602"/>
    <w:rsid w:val="009C053F"/>
    <w:rsid w:val="009C3433"/>
    <w:rsid w:val="009C4FA6"/>
    <w:rsid w:val="009C56DF"/>
    <w:rsid w:val="009C7C06"/>
    <w:rsid w:val="009D0473"/>
    <w:rsid w:val="009D10E7"/>
    <w:rsid w:val="009D18A5"/>
    <w:rsid w:val="009D1D0B"/>
    <w:rsid w:val="009D1F59"/>
    <w:rsid w:val="009D3F74"/>
    <w:rsid w:val="009D44AD"/>
    <w:rsid w:val="009D550B"/>
    <w:rsid w:val="009D631B"/>
    <w:rsid w:val="009D6883"/>
    <w:rsid w:val="009D6920"/>
    <w:rsid w:val="009D6ACC"/>
    <w:rsid w:val="009D730C"/>
    <w:rsid w:val="009E0384"/>
    <w:rsid w:val="009E08C8"/>
    <w:rsid w:val="009E134E"/>
    <w:rsid w:val="009E28BF"/>
    <w:rsid w:val="009E4035"/>
    <w:rsid w:val="009E4D19"/>
    <w:rsid w:val="009E5050"/>
    <w:rsid w:val="009E576F"/>
    <w:rsid w:val="009E7F88"/>
    <w:rsid w:val="009F01A2"/>
    <w:rsid w:val="009F4C19"/>
    <w:rsid w:val="009F5A7C"/>
    <w:rsid w:val="009F5F8F"/>
    <w:rsid w:val="009F629D"/>
    <w:rsid w:val="009F63D0"/>
    <w:rsid w:val="00A00942"/>
    <w:rsid w:val="00A01ADD"/>
    <w:rsid w:val="00A02F4B"/>
    <w:rsid w:val="00A06E3E"/>
    <w:rsid w:val="00A0724A"/>
    <w:rsid w:val="00A0745F"/>
    <w:rsid w:val="00A079C3"/>
    <w:rsid w:val="00A10B2A"/>
    <w:rsid w:val="00A10CA8"/>
    <w:rsid w:val="00A10CBB"/>
    <w:rsid w:val="00A10EE0"/>
    <w:rsid w:val="00A11013"/>
    <w:rsid w:val="00A11F23"/>
    <w:rsid w:val="00A12536"/>
    <w:rsid w:val="00A13703"/>
    <w:rsid w:val="00A139B9"/>
    <w:rsid w:val="00A14B08"/>
    <w:rsid w:val="00A16C57"/>
    <w:rsid w:val="00A16D38"/>
    <w:rsid w:val="00A17C28"/>
    <w:rsid w:val="00A17D2D"/>
    <w:rsid w:val="00A2055B"/>
    <w:rsid w:val="00A2084F"/>
    <w:rsid w:val="00A23426"/>
    <w:rsid w:val="00A2359A"/>
    <w:rsid w:val="00A24AE6"/>
    <w:rsid w:val="00A257FE"/>
    <w:rsid w:val="00A25D2D"/>
    <w:rsid w:val="00A27194"/>
    <w:rsid w:val="00A27B64"/>
    <w:rsid w:val="00A27CAA"/>
    <w:rsid w:val="00A317FB"/>
    <w:rsid w:val="00A321A3"/>
    <w:rsid w:val="00A33078"/>
    <w:rsid w:val="00A338E2"/>
    <w:rsid w:val="00A33D5B"/>
    <w:rsid w:val="00A33F43"/>
    <w:rsid w:val="00A34D85"/>
    <w:rsid w:val="00A356D3"/>
    <w:rsid w:val="00A37F5D"/>
    <w:rsid w:val="00A414E2"/>
    <w:rsid w:val="00A41B0E"/>
    <w:rsid w:val="00A43D72"/>
    <w:rsid w:val="00A45AE1"/>
    <w:rsid w:val="00A46D9D"/>
    <w:rsid w:val="00A479C3"/>
    <w:rsid w:val="00A50C0F"/>
    <w:rsid w:val="00A515D6"/>
    <w:rsid w:val="00A523FD"/>
    <w:rsid w:val="00A55278"/>
    <w:rsid w:val="00A55965"/>
    <w:rsid w:val="00A57194"/>
    <w:rsid w:val="00A60541"/>
    <w:rsid w:val="00A618C1"/>
    <w:rsid w:val="00A62FAA"/>
    <w:rsid w:val="00A64AAE"/>
    <w:rsid w:val="00A650F9"/>
    <w:rsid w:val="00A651B6"/>
    <w:rsid w:val="00A65AD0"/>
    <w:rsid w:val="00A674A0"/>
    <w:rsid w:val="00A67D6E"/>
    <w:rsid w:val="00A7151B"/>
    <w:rsid w:val="00A718ED"/>
    <w:rsid w:val="00A71D16"/>
    <w:rsid w:val="00A73962"/>
    <w:rsid w:val="00A73C01"/>
    <w:rsid w:val="00A745E9"/>
    <w:rsid w:val="00A74DF4"/>
    <w:rsid w:val="00A7564C"/>
    <w:rsid w:val="00A75770"/>
    <w:rsid w:val="00A77C74"/>
    <w:rsid w:val="00A81766"/>
    <w:rsid w:val="00A81FC0"/>
    <w:rsid w:val="00A8218F"/>
    <w:rsid w:val="00A826BB"/>
    <w:rsid w:val="00A831AD"/>
    <w:rsid w:val="00A83816"/>
    <w:rsid w:val="00A85B0B"/>
    <w:rsid w:val="00A8603D"/>
    <w:rsid w:val="00A86387"/>
    <w:rsid w:val="00A9144D"/>
    <w:rsid w:val="00A91821"/>
    <w:rsid w:val="00A927CA"/>
    <w:rsid w:val="00A92E23"/>
    <w:rsid w:val="00A92F3B"/>
    <w:rsid w:val="00A937A1"/>
    <w:rsid w:val="00A950D9"/>
    <w:rsid w:val="00A959E1"/>
    <w:rsid w:val="00A9617F"/>
    <w:rsid w:val="00AA0B20"/>
    <w:rsid w:val="00AA10BC"/>
    <w:rsid w:val="00AA16FA"/>
    <w:rsid w:val="00AA1A44"/>
    <w:rsid w:val="00AA224D"/>
    <w:rsid w:val="00AA25C6"/>
    <w:rsid w:val="00AA3071"/>
    <w:rsid w:val="00AA314C"/>
    <w:rsid w:val="00AA46C5"/>
    <w:rsid w:val="00AA72FE"/>
    <w:rsid w:val="00AA7832"/>
    <w:rsid w:val="00AB0E42"/>
    <w:rsid w:val="00AB1407"/>
    <w:rsid w:val="00AB1424"/>
    <w:rsid w:val="00AB1915"/>
    <w:rsid w:val="00AB1FC1"/>
    <w:rsid w:val="00AB2DCD"/>
    <w:rsid w:val="00AB3063"/>
    <w:rsid w:val="00AB3276"/>
    <w:rsid w:val="00AB345D"/>
    <w:rsid w:val="00AB510B"/>
    <w:rsid w:val="00AB628E"/>
    <w:rsid w:val="00AB6C1D"/>
    <w:rsid w:val="00AB7BEB"/>
    <w:rsid w:val="00AB7C5E"/>
    <w:rsid w:val="00AC2475"/>
    <w:rsid w:val="00AC27A2"/>
    <w:rsid w:val="00AC40AD"/>
    <w:rsid w:val="00AC4330"/>
    <w:rsid w:val="00AC70F9"/>
    <w:rsid w:val="00AC7DD6"/>
    <w:rsid w:val="00AD02AE"/>
    <w:rsid w:val="00AD02EB"/>
    <w:rsid w:val="00AD0B30"/>
    <w:rsid w:val="00AD2E24"/>
    <w:rsid w:val="00AD3114"/>
    <w:rsid w:val="00AD4F69"/>
    <w:rsid w:val="00AD5377"/>
    <w:rsid w:val="00AD55BD"/>
    <w:rsid w:val="00AD5BC9"/>
    <w:rsid w:val="00AD5E5C"/>
    <w:rsid w:val="00AD67DE"/>
    <w:rsid w:val="00AE05F3"/>
    <w:rsid w:val="00AE1E21"/>
    <w:rsid w:val="00AE2042"/>
    <w:rsid w:val="00AE2B13"/>
    <w:rsid w:val="00AE2C8B"/>
    <w:rsid w:val="00AE2F7E"/>
    <w:rsid w:val="00AE32D2"/>
    <w:rsid w:val="00AE46E5"/>
    <w:rsid w:val="00AE5CD2"/>
    <w:rsid w:val="00AE6094"/>
    <w:rsid w:val="00AE700E"/>
    <w:rsid w:val="00AE7DD7"/>
    <w:rsid w:val="00AF0941"/>
    <w:rsid w:val="00AF2692"/>
    <w:rsid w:val="00AF37F6"/>
    <w:rsid w:val="00AF3F64"/>
    <w:rsid w:val="00AF4030"/>
    <w:rsid w:val="00AF408B"/>
    <w:rsid w:val="00AF47CC"/>
    <w:rsid w:val="00AF6352"/>
    <w:rsid w:val="00AF743A"/>
    <w:rsid w:val="00B01D37"/>
    <w:rsid w:val="00B03561"/>
    <w:rsid w:val="00B036EA"/>
    <w:rsid w:val="00B051CF"/>
    <w:rsid w:val="00B066D6"/>
    <w:rsid w:val="00B06800"/>
    <w:rsid w:val="00B07384"/>
    <w:rsid w:val="00B104A0"/>
    <w:rsid w:val="00B1080C"/>
    <w:rsid w:val="00B125C9"/>
    <w:rsid w:val="00B13256"/>
    <w:rsid w:val="00B13704"/>
    <w:rsid w:val="00B14CC3"/>
    <w:rsid w:val="00B155EE"/>
    <w:rsid w:val="00B15694"/>
    <w:rsid w:val="00B164CE"/>
    <w:rsid w:val="00B21BFF"/>
    <w:rsid w:val="00B225BC"/>
    <w:rsid w:val="00B23452"/>
    <w:rsid w:val="00B23DC1"/>
    <w:rsid w:val="00B2411A"/>
    <w:rsid w:val="00B2506F"/>
    <w:rsid w:val="00B258A7"/>
    <w:rsid w:val="00B2653A"/>
    <w:rsid w:val="00B265C0"/>
    <w:rsid w:val="00B26864"/>
    <w:rsid w:val="00B27E8D"/>
    <w:rsid w:val="00B27E97"/>
    <w:rsid w:val="00B31B85"/>
    <w:rsid w:val="00B33D0C"/>
    <w:rsid w:val="00B3418B"/>
    <w:rsid w:val="00B3433A"/>
    <w:rsid w:val="00B34B47"/>
    <w:rsid w:val="00B34BDE"/>
    <w:rsid w:val="00B3636A"/>
    <w:rsid w:val="00B3763A"/>
    <w:rsid w:val="00B37D4E"/>
    <w:rsid w:val="00B37F53"/>
    <w:rsid w:val="00B40ABC"/>
    <w:rsid w:val="00B422ED"/>
    <w:rsid w:val="00B45706"/>
    <w:rsid w:val="00B46244"/>
    <w:rsid w:val="00B46CA9"/>
    <w:rsid w:val="00B47007"/>
    <w:rsid w:val="00B50BB8"/>
    <w:rsid w:val="00B5151F"/>
    <w:rsid w:val="00B54441"/>
    <w:rsid w:val="00B55A45"/>
    <w:rsid w:val="00B55DC2"/>
    <w:rsid w:val="00B56AC3"/>
    <w:rsid w:val="00B60024"/>
    <w:rsid w:val="00B61549"/>
    <w:rsid w:val="00B61CAF"/>
    <w:rsid w:val="00B62FB2"/>
    <w:rsid w:val="00B637C3"/>
    <w:rsid w:val="00B6398B"/>
    <w:rsid w:val="00B640A9"/>
    <w:rsid w:val="00B64112"/>
    <w:rsid w:val="00B64A28"/>
    <w:rsid w:val="00B66830"/>
    <w:rsid w:val="00B70CAA"/>
    <w:rsid w:val="00B70F13"/>
    <w:rsid w:val="00B7256B"/>
    <w:rsid w:val="00B729E9"/>
    <w:rsid w:val="00B7358B"/>
    <w:rsid w:val="00B74C23"/>
    <w:rsid w:val="00B75AFD"/>
    <w:rsid w:val="00B75B38"/>
    <w:rsid w:val="00B76A02"/>
    <w:rsid w:val="00B76AF3"/>
    <w:rsid w:val="00B80FFE"/>
    <w:rsid w:val="00B8155E"/>
    <w:rsid w:val="00B82207"/>
    <w:rsid w:val="00B82DEA"/>
    <w:rsid w:val="00B82EBC"/>
    <w:rsid w:val="00B83A91"/>
    <w:rsid w:val="00B83A95"/>
    <w:rsid w:val="00B87A57"/>
    <w:rsid w:val="00B87E8B"/>
    <w:rsid w:val="00B9139C"/>
    <w:rsid w:val="00B91421"/>
    <w:rsid w:val="00B91EA6"/>
    <w:rsid w:val="00B9342C"/>
    <w:rsid w:val="00B95543"/>
    <w:rsid w:val="00B959C5"/>
    <w:rsid w:val="00B96177"/>
    <w:rsid w:val="00B97829"/>
    <w:rsid w:val="00B97D2E"/>
    <w:rsid w:val="00BA0091"/>
    <w:rsid w:val="00BA13A0"/>
    <w:rsid w:val="00BA13D7"/>
    <w:rsid w:val="00BA18A9"/>
    <w:rsid w:val="00BA1B53"/>
    <w:rsid w:val="00BA3A1A"/>
    <w:rsid w:val="00BA3E74"/>
    <w:rsid w:val="00BA4E29"/>
    <w:rsid w:val="00BA4F4D"/>
    <w:rsid w:val="00BA72EE"/>
    <w:rsid w:val="00BA7F8C"/>
    <w:rsid w:val="00BB04CA"/>
    <w:rsid w:val="00BB080B"/>
    <w:rsid w:val="00BB0865"/>
    <w:rsid w:val="00BB1CFA"/>
    <w:rsid w:val="00BB1D4C"/>
    <w:rsid w:val="00BB36C6"/>
    <w:rsid w:val="00BB461F"/>
    <w:rsid w:val="00BB4D09"/>
    <w:rsid w:val="00BB58E8"/>
    <w:rsid w:val="00BB5DD1"/>
    <w:rsid w:val="00BB5E05"/>
    <w:rsid w:val="00BB66BC"/>
    <w:rsid w:val="00BB7ABC"/>
    <w:rsid w:val="00BC0577"/>
    <w:rsid w:val="00BC06EA"/>
    <w:rsid w:val="00BC0B33"/>
    <w:rsid w:val="00BC142B"/>
    <w:rsid w:val="00BC23CB"/>
    <w:rsid w:val="00BC285E"/>
    <w:rsid w:val="00BC28E5"/>
    <w:rsid w:val="00BC2A93"/>
    <w:rsid w:val="00BC464D"/>
    <w:rsid w:val="00BC4FC9"/>
    <w:rsid w:val="00BC548D"/>
    <w:rsid w:val="00BC7DD4"/>
    <w:rsid w:val="00BD0621"/>
    <w:rsid w:val="00BD23DA"/>
    <w:rsid w:val="00BD3E47"/>
    <w:rsid w:val="00BD4ADE"/>
    <w:rsid w:val="00BD6A0F"/>
    <w:rsid w:val="00BD73F2"/>
    <w:rsid w:val="00BD744A"/>
    <w:rsid w:val="00BE090F"/>
    <w:rsid w:val="00BE106B"/>
    <w:rsid w:val="00BE12C2"/>
    <w:rsid w:val="00BE31F8"/>
    <w:rsid w:val="00BE3285"/>
    <w:rsid w:val="00BE41E9"/>
    <w:rsid w:val="00BE4C7F"/>
    <w:rsid w:val="00BE4E85"/>
    <w:rsid w:val="00BE512E"/>
    <w:rsid w:val="00BE6DEA"/>
    <w:rsid w:val="00BF1F0F"/>
    <w:rsid w:val="00BF3297"/>
    <w:rsid w:val="00BF3C0A"/>
    <w:rsid w:val="00BF3E34"/>
    <w:rsid w:val="00BF480A"/>
    <w:rsid w:val="00BF4B58"/>
    <w:rsid w:val="00BF5938"/>
    <w:rsid w:val="00BF5A03"/>
    <w:rsid w:val="00BF610C"/>
    <w:rsid w:val="00C0079D"/>
    <w:rsid w:val="00C016C7"/>
    <w:rsid w:val="00C02544"/>
    <w:rsid w:val="00C0305C"/>
    <w:rsid w:val="00C047FD"/>
    <w:rsid w:val="00C053F5"/>
    <w:rsid w:val="00C05D17"/>
    <w:rsid w:val="00C06949"/>
    <w:rsid w:val="00C069C2"/>
    <w:rsid w:val="00C100AF"/>
    <w:rsid w:val="00C118A5"/>
    <w:rsid w:val="00C134D3"/>
    <w:rsid w:val="00C14036"/>
    <w:rsid w:val="00C1434B"/>
    <w:rsid w:val="00C1456E"/>
    <w:rsid w:val="00C149A4"/>
    <w:rsid w:val="00C14D4E"/>
    <w:rsid w:val="00C151B4"/>
    <w:rsid w:val="00C169FC"/>
    <w:rsid w:val="00C17177"/>
    <w:rsid w:val="00C1793E"/>
    <w:rsid w:val="00C17EDA"/>
    <w:rsid w:val="00C21580"/>
    <w:rsid w:val="00C21A57"/>
    <w:rsid w:val="00C22F3E"/>
    <w:rsid w:val="00C24685"/>
    <w:rsid w:val="00C26BBA"/>
    <w:rsid w:val="00C3083B"/>
    <w:rsid w:val="00C30ACB"/>
    <w:rsid w:val="00C33310"/>
    <w:rsid w:val="00C33622"/>
    <w:rsid w:val="00C33CF7"/>
    <w:rsid w:val="00C351E4"/>
    <w:rsid w:val="00C35873"/>
    <w:rsid w:val="00C35BBD"/>
    <w:rsid w:val="00C37018"/>
    <w:rsid w:val="00C372A9"/>
    <w:rsid w:val="00C3756D"/>
    <w:rsid w:val="00C401D3"/>
    <w:rsid w:val="00C43277"/>
    <w:rsid w:val="00C449B2"/>
    <w:rsid w:val="00C44FBB"/>
    <w:rsid w:val="00C450EF"/>
    <w:rsid w:val="00C46A61"/>
    <w:rsid w:val="00C46D6E"/>
    <w:rsid w:val="00C50704"/>
    <w:rsid w:val="00C51830"/>
    <w:rsid w:val="00C51D2D"/>
    <w:rsid w:val="00C520EF"/>
    <w:rsid w:val="00C52F19"/>
    <w:rsid w:val="00C53ADC"/>
    <w:rsid w:val="00C56196"/>
    <w:rsid w:val="00C57FF8"/>
    <w:rsid w:val="00C6051F"/>
    <w:rsid w:val="00C60899"/>
    <w:rsid w:val="00C613EB"/>
    <w:rsid w:val="00C61D9C"/>
    <w:rsid w:val="00C61DAF"/>
    <w:rsid w:val="00C635C6"/>
    <w:rsid w:val="00C63C90"/>
    <w:rsid w:val="00C64F69"/>
    <w:rsid w:val="00C67C1F"/>
    <w:rsid w:val="00C67DF1"/>
    <w:rsid w:val="00C67F73"/>
    <w:rsid w:val="00C67FBF"/>
    <w:rsid w:val="00C72097"/>
    <w:rsid w:val="00C72125"/>
    <w:rsid w:val="00C72482"/>
    <w:rsid w:val="00C73A37"/>
    <w:rsid w:val="00C743F6"/>
    <w:rsid w:val="00C77364"/>
    <w:rsid w:val="00C8190A"/>
    <w:rsid w:val="00C82BB2"/>
    <w:rsid w:val="00C84B5B"/>
    <w:rsid w:val="00C84D5C"/>
    <w:rsid w:val="00C8658A"/>
    <w:rsid w:val="00C86A63"/>
    <w:rsid w:val="00C86AD4"/>
    <w:rsid w:val="00C879B0"/>
    <w:rsid w:val="00C9070C"/>
    <w:rsid w:val="00C91840"/>
    <w:rsid w:val="00C929F1"/>
    <w:rsid w:val="00C9305B"/>
    <w:rsid w:val="00C9329C"/>
    <w:rsid w:val="00C947A6"/>
    <w:rsid w:val="00C9592A"/>
    <w:rsid w:val="00C9643B"/>
    <w:rsid w:val="00C977CC"/>
    <w:rsid w:val="00C97E61"/>
    <w:rsid w:val="00CA19C0"/>
    <w:rsid w:val="00CA20FB"/>
    <w:rsid w:val="00CA2E17"/>
    <w:rsid w:val="00CA3B84"/>
    <w:rsid w:val="00CA5E3E"/>
    <w:rsid w:val="00CA6AE2"/>
    <w:rsid w:val="00CA6DA2"/>
    <w:rsid w:val="00CB0611"/>
    <w:rsid w:val="00CB41ED"/>
    <w:rsid w:val="00CB4A44"/>
    <w:rsid w:val="00CB6B98"/>
    <w:rsid w:val="00CB735A"/>
    <w:rsid w:val="00CB7B78"/>
    <w:rsid w:val="00CC05A2"/>
    <w:rsid w:val="00CC17AF"/>
    <w:rsid w:val="00CC1A50"/>
    <w:rsid w:val="00CC2576"/>
    <w:rsid w:val="00CC2A90"/>
    <w:rsid w:val="00CC492F"/>
    <w:rsid w:val="00CC5F9D"/>
    <w:rsid w:val="00CC63C2"/>
    <w:rsid w:val="00CC654B"/>
    <w:rsid w:val="00CC6B9F"/>
    <w:rsid w:val="00CC7779"/>
    <w:rsid w:val="00CD097E"/>
    <w:rsid w:val="00CD1ED2"/>
    <w:rsid w:val="00CD23E5"/>
    <w:rsid w:val="00CD2DEE"/>
    <w:rsid w:val="00CD3E2B"/>
    <w:rsid w:val="00CD4811"/>
    <w:rsid w:val="00CD65D9"/>
    <w:rsid w:val="00CD672E"/>
    <w:rsid w:val="00CD6F18"/>
    <w:rsid w:val="00CD78B4"/>
    <w:rsid w:val="00CD78BA"/>
    <w:rsid w:val="00CE003A"/>
    <w:rsid w:val="00CE1057"/>
    <w:rsid w:val="00CE1904"/>
    <w:rsid w:val="00CE2195"/>
    <w:rsid w:val="00CE2FE6"/>
    <w:rsid w:val="00CE5ADF"/>
    <w:rsid w:val="00CE64F8"/>
    <w:rsid w:val="00CE78A2"/>
    <w:rsid w:val="00CF0D1D"/>
    <w:rsid w:val="00CF176B"/>
    <w:rsid w:val="00CF1A63"/>
    <w:rsid w:val="00CF37C0"/>
    <w:rsid w:val="00CF5435"/>
    <w:rsid w:val="00CF5A00"/>
    <w:rsid w:val="00CF7777"/>
    <w:rsid w:val="00D007C3"/>
    <w:rsid w:val="00D024AA"/>
    <w:rsid w:val="00D03962"/>
    <w:rsid w:val="00D0410D"/>
    <w:rsid w:val="00D042AB"/>
    <w:rsid w:val="00D1056F"/>
    <w:rsid w:val="00D10575"/>
    <w:rsid w:val="00D11106"/>
    <w:rsid w:val="00D11209"/>
    <w:rsid w:val="00D11AD4"/>
    <w:rsid w:val="00D11C0D"/>
    <w:rsid w:val="00D128E8"/>
    <w:rsid w:val="00D13FE6"/>
    <w:rsid w:val="00D15333"/>
    <w:rsid w:val="00D159D2"/>
    <w:rsid w:val="00D16030"/>
    <w:rsid w:val="00D169CF"/>
    <w:rsid w:val="00D177DE"/>
    <w:rsid w:val="00D17A0F"/>
    <w:rsid w:val="00D17F20"/>
    <w:rsid w:val="00D208B3"/>
    <w:rsid w:val="00D20BAA"/>
    <w:rsid w:val="00D210A0"/>
    <w:rsid w:val="00D24915"/>
    <w:rsid w:val="00D253BE"/>
    <w:rsid w:val="00D2590E"/>
    <w:rsid w:val="00D26B18"/>
    <w:rsid w:val="00D30351"/>
    <w:rsid w:val="00D305ED"/>
    <w:rsid w:val="00D31B1A"/>
    <w:rsid w:val="00D32813"/>
    <w:rsid w:val="00D32977"/>
    <w:rsid w:val="00D35772"/>
    <w:rsid w:val="00D362B4"/>
    <w:rsid w:val="00D3639B"/>
    <w:rsid w:val="00D37D1F"/>
    <w:rsid w:val="00D4040B"/>
    <w:rsid w:val="00D41188"/>
    <w:rsid w:val="00D417BC"/>
    <w:rsid w:val="00D42B80"/>
    <w:rsid w:val="00D42BA7"/>
    <w:rsid w:val="00D4458A"/>
    <w:rsid w:val="00D44794"/>
    <w:rsid w:val="00D460A8"/>
    <w:rsid w:val="00D461F7"/>
    <w:rsid w:val="00D47785"/>
    <w:rsid w:val="00D47980"/>
    <w:rsid w:val="00D47E91"/>
    <w:rsid w:val="00D512FF"/>
    <w:rsid w:val="00D51B02"/>
    <w:rsid w:val="00D52777"/>
    <w:rsid w:val="00D53524"/>
    <w:rsid w:val="00D544C4"/>
    <w:rsid w:val="00D54C35"/>
    <w:rsid w:val="00D5543F"/>
    <w:rsid w:val="00D55B82"/>
    <w:rsid w:val="00D56295"/>
    <w:rsid w:val="00D56A3E"/>
    <w:rsid w:val="00D5745F"/>
    <w:rsid w:val="00D57A08"/>
    <w:rsid w:val="00D605D3"/>
    <w:rsid w:val="00D608ED"/>
    <w:rsid w:val="00D60B0F"/>
    <w:rsid w:val="00D61109"/>
    <w:rsid w:val="00D6121E"/>
    <w:rsid w:val="00D61272"/>
    <w:rsid w:val="00D61C01"/>
    <w:rsid w:val="00D628ED"/>
    <w:rsid w:val="00D6634E"/>
    <w:rsid w:val="00D6699A"/>
    <w:rsid w:val="00D669C9"/>
    <w:rsid w:val="00D6744B"/>
    <w:rsid w:val="00D723FE"/>
    <w:rsid w:val="00D73883"/>
    <w:rsid w:val="00D73B51"/>
    <w:rsid w:val="00D7494C"/>
    <w:rsid w:val="00D75310"/>
    <w:rsid w:val="00D7561C"/>
    <w:rsid w:val="00D767B3"/>
    <w:rsid w:val="00D77B35"/>
    <w:rsid w:val="00D80212"/>
    <w:rsid w:val="00D81FEB"/>
    <w:rsid w:val="00D8217F"/>
    <w:rsid w:val="00D83A9D"/>
    <w:rsid w:val="00D83C2A"/>
    <w:rsid w:val="00D83F36"/>
    <w:rsid w:val="00D83FE8"/>
    <w:rsid w:val="00D87CC4"/>
    <w:rsid w:val="00D900F3"/>
    <w:rsid w:val="00D9175A"/>
    <w:rsid w:val="00D91F29"/>
    <w:rsid w:val="00D930F5"/>
    <w:rsid w:val="00D94B28"/>
    <w:rsid w:val="00D95B16"/>
    <w:rsid w:val="00D9764F"/>
    <w:rsid w:val="00DA04D3"/>
    <w:rsid w:val="00DA184F"/>
    <w:rsid w:val="00DA28A6"/>
    <w:rsid w:val="00DA3E8A"/>
    <w:rsid w:val="00DA4CB4"/>
    <w:rsid w:val="00DA5012"/>
    <w:rsid w:val="00DA698C"/>
    <w:rsid w:val="00DA796F"/>
    <w:rsid w:val="00DA7F62"/>
    <w:rsid w:val="00DB0946"/>
    <w:rsid w:val="00DB0D7A"/>
    <w:rsid w:val="00DB23AC"/>
    <w:rsid w:val="00DB2C3C"/>
    <w:rsid w:val="00DB30C3"/>
    <w:rsid w:val="00DB41A1"/>
    <w:rsid w:val="00DB46CF"/>
    <w:rsid w:val="00DB647E"/>
    <w:rsid w:val="00DB78DA"/>
    <w:rsid w:val="00DC05A5"/>
    <w:rsid w:val="00DC0C98"/>
    <w:rsid w:val="00DC1423"/>
    <w:rsid w:val="00DC214B"/>
    <w:rsid w:val="00DC311D"/>
    <w:rsid w:val="00DC3A42"/>
    <w:rsid w:val="00DC4146"/>
    <w:rsid w:val="00DC601B"/>
    <w:rsid w:val="00DC627E"/>
    <w:rsid w:val="00DC6560"/>
    <w:rsid w:val="00DC6FBA"/>
    <w:rsid w:val="00DC70E5"/>
    <w:rsid w:val="00DC73C4"/>
    <w:rsid w:val="00DC7427"/>
    <w:rsid w:val="00DC7578"/>
    <w:rsid w:val="00DD136A"/>
    <w:rsid w:val="00DD7248"/>
    <w:rsid w:val="00DE0D13"/>
    <w:rsid w:val="00DE2EA4"/>
    <w:rsid w:val="00DE3118"/>
    <w:rsid w:val="00DE4DA3"/>
    <w:rsid w:val="00DE6B3E"/>
    <w:rsid w:val="00DF1ADE"/>
    <w:rsid w:val="00DF2295"/>
    <w:rsid w:val="00DF23F8"/>
    <w:rsid w:val="00DF2D2B"/>
    <w:rsid w:val="00DF304E"/>
    <w:rsid w:val="00DF5DCF"/>
    <w:rsid w:val="00DF7832"/>
    <w:rsid w:val="00E022FF"/>
    <w:rsid w:val="00E04DDE"/>
    <w:rsid w:val="00E06EF9"/>
    <w:rsid w:val="00E071B6"/>
    <w:rsid w:val="00E108C3"/>
    <w:rsid w:val="00E113A3"/>
    <w:rsid w:val="00E1156F"/>
    <w:rsid w:val="00E11915"/>
    <w:rsid w:val="00E13C0A"/>
    <w:rsid w:val="00E14354"/>
    <w:rsid w:val="00E14474"/>
    <w:rsid w:val="00E15170"/>
    <w:rsid w:val="00E159B2"/>
    <w:rsid w:val="00E171B8"/>
    <w:rsid w:val="00E175A6"/>
    <w:rsid w:val="00E17882"/>
    <w:rsid w:val="00E20435"/>
    <w:rsid w:val="00E20764"/>
    <w:rsid w:val="00E2081F"/>
    <w:rsid w:val="00E211F8"/>
    <w:rsid w:val="00E21419"/>
    <w:rsid w:val="00E21580"/>
    <w:rsid w:val="00E2259C"/>
    <w:rsid w:val="00E245E3"/>
    <w:rsid w:val="00E30484"/>
    <w:rsid w:val="00E31A9A"/>
    <w:rsid w:val="00E32088"/>
    <w:rsid w:val="00E33D50"/>
    <w:rsid w:val="00E34011"/>
    <w:rsid w:val="00E352A0"/>
    <w:rsid w:val="00E35A6C"/>
    <w:rsid w:val="00E36286"/>
    <w:rsid w:val="00E36BDC"/>
    <w:rsid w:val="00E37DA3"/>
    <w:rsid w:val="00E400AC"/>
    <w:rsid w:val="00E40410"/>
    <w:rsid w:val="00E413C0"/>
    <w:rsid w:val="00E4187C"/>
    <w:rsid w:val="00E41A85"/>
    <w:rsid w:val="00E42661"/>
    <w:rsid w:val="00E42C8B"/>
    <w:rsid w:val="00E434FF"/>
    <w:rsid w:val="00E43A3E"/>
    <w:rsid w:val="00E43B26"/>
    <w:rsid w:val="00E43FB0"/>
    <w:rsid w:val="00E453CC"/>
    <w:rsid w:val="00E4579C"/>
    <w:rsid w:val="00E45C1D"/>
    <w:rsid w:val="00E45DB1"/>
    <w:rsid w:val="00E46A13"/>
    <w:rsid w:val="00E47052"/>
    <w:rsid w:val="00E501EF"/>
    <w:rsid w:val="00E5284A"/>
    <w:rsid w:val="00E54171"/>
    <w:rsid w:val="00E54795"/>
    <w:rsid w:val="00E55D4D"/>
    <w:rsid w:val="00E55FF3"/>
    <w:rsid w:val="00E561DD"/>
    <w:rsid w:val="00E56574"/>
    <w:rsid w:val="00E569F9"/>
    <w:rsid w:val="00E56D37"/>
    <w:rsid w:val="00E56FCA"/>
    <w:rsid w:val="00E57E6D"/>
    <w:rsid w:val="00E6060D"/>
    <w:rsid w:val="00E614F9"/>
    <w:rsid w:val="00E61856"/>
    <w:rsid w:val="00E61FC1"/>
    <w:rsid w:val="00E625C2"/>
    <w:rsid w:val="00E63415"/>
    <w:rsid w:val="00E63DD5"/>
    <w:rsid w:val="00E64244"/>
    <w:rsid w:val="00E66D49"/>
    <w:rsid w:val="00E702CA"/>
    <w:rsid w:val="00E71288"/>
    <w:rsid w:val="00E719C3"/>
    <w:rsid w:val="00E72626"/>
    <w:rsid w:val="00E733C5"/>
    <w:rsid w:val="00E73E62"/>
    <w:rsid w:val="00E73FA1"/>
    <w:rsid w:val="00E7451C"/>
    <w:rsid w:val="00E74793"/>
    <w:rsid w:val="00E74F21"/>
    <w:rsid w:val="00E7551B"/>
    <w:rsid w:val="00E76B12"/>
    <w:rsid w:val="00E779CA"/>
    <w:rsid w:val="00E77C0F"/>
    <w:rsid w:val="00E80D30"/>
    <w:rsid w:val="00E82433"/>
    <w:rsid w:val="00E828C1"/>
    <w:rsid w:val="00E83182"/>
    <w:rsid w:val="00E850C2"/>
    <w:rsid w:val="00E8570A"/>
    <w:rsid w:val="00E85D25"/>
    <w:rsid w:val="00E86CD0"/>
    <w:rsid w:val="00E87717"/>
    <w:rsid w:val="00E910F0"/>
    <w:rsid w:val="00E9151C"/>
    <w:rsid w:val="00E91589"/>
    <w:rsid w:val="00E92F2F"/>
    <w:rsid w:val="00E94028"/>
    <w:rsid w:val="00E942E7"/>
    <w:rsid w:val="00E948CA"/>
    <w:rsid w:val="00E94986"/>
    <w:rsid w:val="00E96B86"/>
    <w:rsid w:val="00EA06BC"/>
    <w:rsid w:val="00EA07EE"/>
    <w:rsid w:val="00EA0873"/>
    <w:rsid w:val="00EA0AFD"/>
    <w:rsid w:val="00EA0F1D"/>
    <w:rsid w:val="00EA1FCD"/>
    <w:rsid w:val="00EA204B"/>
    <w:rsid w:val="00EA258E"/>
    <w:rsid w:val="00EA3B29"/>
    <w:rsid w:val="00EA4854"/>
    <w:rsid w:val="00EA52F4"/>
    <w:rsid w:val="00EA6185"/>
    <w:rsid w:val="00EA6527"/>
    <w:rsid w:val="00EA73E5"/>
    <w:rsid w:val="00EA7A04"/>
    <w:rsid w:val="00EA7A30"/>
    <w:rsid w:val="00EA7C45"/>
    <w:rsid w:val="00EA7E2A"/>
    <w:rsid w:val="00EB039B"/>
    <w:rsid w:val="00EB5105"/>
    <w:rsid w:val="00EB52FB"/>
    <w:rsid w:val="00EB5FB0"/>
    <w:rsid w:val="00EB7A9D"/>
    <w:rsid w:val="00EC1442"/>
    <w:rsid w:val="00EC16E0"/>
    <w:rsid w:val="00EC35C6"/>
    <w:rsid w:val="00EC3F48"/>
    <w:rsid w:val="00EC5025"/>
    <w:rsid w:val="00EC6C8C"/>
    <w:rsid w:val="00EC6E37"/>
    <w:rsid w:val="00ED0646"/>
    <w:rsid w:val="00ED2CA8"/>
    <w:rsid w:val="00ED5987"/>
    <w:rsid w:val="00ED7248"/>
    <w:rsid w:val="00ED7B9B"/>
    <w:rsid w:val="00EE236D"/>
    <w:rsid w:val="00EE2DC8"/>
    <w:rsid w:val="00EE4151"/>
    <w:rsid w:val="00EE419A"/>
    <w:rsid w:val="00EE4D6E"/>
    <w:rsid w:val="00EE6126"/>
    <w:rsid w:val="00EE6A35"/>
    <w:rsid w:val="00EF08F4"/>
    <w:rsid w:val="00EF0CFA"/>
    <w:rsid w:val="00EF5392"/>
    <w:rsid w:val="00EF697D"/>
    <w:rsid w:val="00EF6DF0"/>
    <w:rsid w:val="00EF761D"/>
    <w:rsid w:val="00F00CD5"/>
    <w:rsid w:val="00F02314"/>
    <w:rsid w:val="00F0355A"/>
    <w:rsid w:val="00F04DA8"/>
    <w:rsid w:val="00F056BD"/>
    <w:rsid w:val="00F05EB5"/>
    <w:rsid w:val="00F1011B"/>
    <w:rsid w:val="00F109D2"/>
    <w:rsid w:val="00F10FA5"/>
    <w:rsid w:val="00F12396"/>
    <w:rsid w:val="00F12DCD"/>
    <w:rsid w:val="00F1366C"/>
    <w:rsid w:val="00F145DA"/>
    <w:rsid w:val="00F14A9C"/>
    <w:rsid w:val="00F14D2D"/>
    <w:rsid w:val="00F14F71"/>
    <w:rsid w:val="00F15532"/>
    <w:rsid w:val="00F15AB8"/>
    <w:rsid w:val="00F160EC"/>
    <w:rsid w:val="00F20DC7"/>
    <w:rsid w:val="00F20E02"/>
    <w:rsid w:val="00F22BB4"/>
    <w:rsid w:val="00F22BBC"/>
    <w:rsid w:val="00F25257"/>
    <w:rsid w:val="00F27186"/>
    <w:rsid w:val="00F278C7"/>
    <w:rsid w:val="00F27EEC"/>
    <w:rsid w:val="00F30006"/>
    <w:rsid w:val="00F31FB2"/>
    <w:rsid w:val="00F32270"/>
    <w:rsid w:val="00F35101"/>
    <w:rsid w:val="00F3563D"/>
    <w:rsid w:val="00F36213"/>
    <w:rsid w:val="00F36354"/>
    <w:rsid w:val="00F363F1"/>
    <w:rsid w:val="00F36631"/>
    <w:rsid w:val="00F3698A"/>
    <w:rsid w:val="00F37259"/>
    <w:rsid w:val="00F40C69"/>
    <w:rsid w:val="00F40C87"/>
    <w:rsid w:val="00F426E7"/>
    <w:rsid w:val="00F441E5"/>
    <w:rsid w:val="00F505DD"/>
    <w:rsid w:val="00F51D91"/>
    <w:rsid w:val="00F5212A"/>
    <w:rsid w:val="00F52317"/>
    <w:rsid w:val="00F529C2"/>
    <w:rsid w:val="00F55625"/>
    <w:rsid w:val="00F5577E"/>
    <w:rsid w:val="00F55F83"/>
    <w:rsid w:val="00F574C2"/>
    <w:rsid w:val="00F5788C"/>
    <w:rsid w:val="00F60193"/>
    <w:rsid w:val="00F62CB7"/>
    <w:rsid w:val="00F65F6C"/>
    <w:rsid w:val="00F67D0E"/>
    <w:rsid w:val="00F67D7E"/>
    <w:rsid w:val="00F706EB"/>
    <w:rsid w:val="00F70E81"/>
    <w:rsid w:val="00F71746"/>
    <w:rsid w:val="00F7174F"/>
    <w:rsid w:val="00F73549"/>
    <w:rsid w:val="00F7365D"/>
    <w:rsid w:val="00F7368B"/>
    <w:rsid w:val="00F73C3A"/>
    <w:rsid w:val="00F76404"/>
    <w:rsid w:val="00F76FD5"/>
    <w:rsid w:val="00F777E9"/>
    <w:rsid w:val="00F81719"/>
    <w:rsid w:val="00F81CA6"/>
    <w:rsid w:val="00F83100"/>
    <w:rsid w:val="00F85566"/>
    <w:rsid w:val="00F85896"/>
    <w:rsid w:val="00F90EB9"/>
    <w:rsid w:val="00F9122C"/>
    <w:rsid w:val="00F91A86"/>
    <w:rsid w:val="00F93567"/>
    <w:rsid w:val="00F938E6"/>
    <w:rsid w:val="00F94F40"/>
    <w:rsid w:val="00F96C4E"/>
    <w:rsid w:val="00F97C9F"/>
    <w:rsid w:val="00FA0480"/>
    <w:rsid w:val="00FA0C4D"/>
    <w:rsid w:val="00FA1BDA"/>
    <w:rsid w:val="00FA3D26"/>
    <w:rsid w:val="00FA503F"/>
    <w:rsid w:val="00FA54A3"/>
    <w:rsid w:val="00FA56D6"/>
    <w:rsid w:val="00FA570C"/>
    <w:rsid w:val="00FA5BC5"/>
    <w:rsid w:val="00FB14CA"/>
    <w:rsid w:val="00FB30C9"/>
    <w:rsid w:val="00FB50E7"/>
    <w:rsid w:val="00FB54B0"/>
    <w:rsid w:val="00FB5A1B"/>
    <w:rsid w:val="00FB5EB6"/>
    <w:rsid w:val="00FB6359"/>
    <w:rsid w:val="00FB7353"/>
    <w:rsid w:val="00FB7C6F"/>
    <w:rsid w:val="00FC208E"/>
    <w:rsid w:val="00FC3866"/>
    <w:rsid w:val="00FC3E09"/>
    <w:rsid w:val="00FC43B6"/>
    <w:rsid w:val="00FC495E"/>
    <w:rsid w:val="00FC54BC"/>
    <w:rsid w:val="00FC6831"/>
    <w:rsid w:val="00FC688C"/>
    <w:rsid w:val="00FC778D"/>
    <w:rsid w:val="00FC785F"/>
    <w:rsid w:val="00FD005E"/>
    <w:rsid w:val="00FD0754"/>
    <w:rsid w:val="00FD1EA9"/>
    <w:rsid w:val="00FD23F6"/>
    <w:rsid w:val="00FD26B6"/>
    <w:rsid w:val="00FD2959"/>
    <w:rsid w:val="00FD3646"/>
    <w:rsid w:val="00FD4571"/>
    <w:rsid w:val="00FD45C4"/>
    <w:rsid w:val="00FD6064"/>
    <w:rsid w:val="00FD76AA"/>
    <w:rsid w:val="00FE11B6"/>
    <w:rsid w:val="00FE161A"/>
    <w:rsid w:val="00FE1C3C"/>
    <w:rsid w:val="00FE2D8F"/>
    <w:rsid w:val="00FE34CD"/>
    <w:rsid w:val="00FE7E52"/>
    <w:rsid w:val="00FF1200"/>
    <w:rsid w:val="00FF388F"/>
    <w:rsid w:val="00FF3DC9"/>
    <w:rsid w:val="00FF4671"/>
    <w:rsid w:val="00FF6E0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3401405"/>
  <w15:chartTrackingRefBased/>
  <w15:docId w15:val="{A4E74E5B-E587-4544-B847-01F77EC9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764F"/>
    <w:pPr>
      <w:keepNext/>
      <w:keepLines/>
      <w:spacing w:before="480" w:line="276" w:lineRule="auto"/>
      <w:ind w:left="432" w:hanging="432"/>
      <w:outlineLvl w:val="0"/>
    </w:pPr>
    <w:rPr>
      <w:rFonts w:ascii="Cambria" w:eastAsia="PMingLiU" w:hAnsi="Cambria"/>
      <w:b/>
      <w:bCs/>
      <w:color w:val="365F91"/>
      <w:sz w:val="28"/>
      <w:szCs w:val="28"/>
      <w:lang w:val="bg-BG" w:eastAsia="zh-TW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lang w:val="bg-BG" w:eastAsia="x-none"/>
    </w:rPr>
  </w:style>
  <w:style w:type="paragraph" w:styleId="3">
    <w:name w:val="heading 3"/>
    <w:basedOn w:val="a"/>
    <w:next w:val="a"/>
    <w:uiPriority w:val="99"/>
    <w:qFormat/>
    <w:pPr>
      <w:keepNext/>
      <w:outlineLvl w:val="2"/>
    </w:pPr>
    <w:rPr>
      <w:lang w:val="bg-BG"/>
    </w:rPr>
  </w:style>
  <w:style w:type="paragraph" w:styleId="4">
    <w:name w:val="heading 4"/>
    <w:basedOn w:val="a"/>
    <w:next w:val="a"/>
    <w:link w:val="40"/>
    <w:uiPriority w:val="99"/>
    <w:qFormat/>
    <w:rsid w:val="00D9764F"/>
    <w:pPr>
      <w:keepNext/>
      <w:keepLines/>
      <w:spacing w:before="200" w:line="276" w:lineRule="auto"/>
      <w:ind w:left="864" w:hanging="864"/>
      <w:outlineLvl w:val="3"/>
    </w:pPr>
    <w:rPr>
      <w:rFonts w:ascii="Cambria" w:eastAsia="PMingLiU" w:hAnsi="Cambria"/>
      <w:b/>
      <w:bCs/>
      <w:i/>
      <w:iCs/>
      <w:color w:val="4F81BD"/>
      <w:sz w:val="22"/>
      <w:szCs w:val="22"/>
      <w:lang w:val="bg-BG" w:eastAsia="zh-TW"/>
    </w:rPr>
  </w:style>
  <w:style w:type="paragraph" w:styleId="5">
    <w:name w:val="heading 5"/>
    <w:basedOn w:val="a"/>
    <w:next w:val="a"/>
    <w:link w:val="50"/>
    <w:uiPriority w:val="99"/>
    <w:qFormat/>
    <w:rsid w:val="00D9764F"/>
    <w:pPr>
      <w:keepNext/>
      <w:keepLines/>
      <w:spacing w:before="200" w:line="276" w:lineRule="auto"/>
      <w:ind w:left="1008" w:hanging="1008"/>
      <w:outlineLvl w:val="4"/>
    </w:pPr>
    <w:rPr>
      <w:rFonts w:ascii="Cambria" w:eastAsia="PMingLiU" w:hAnsi="Cambria"/>
      <w:color w:val="243F60"/>
      <w:sz w:val="22"/>
      <w:szCs w:val="22"/>
      <w:lang w:val="bg-BG" w:eastAsia="zh-TW"/>
    </w:rPr>
  </w:style>
  <w:style w:type="paragraph" w:styleId="6">
    <w:name w:val="heading 6"/>
    <w:basedOn w:val="a"/>
    <w:next w:val="a"/>
    <w:link w:val="60"/>
    <w:uiPriority w:val="99"/>
    <w:qFormat/>
    <w:rsid w:val="00D9764F"/>
    <w:pPr>
      <w:keepNext/>
      <w:keepLines/>
      <w:spacing w:before="200" w:line="276" w:lineRule="auto"/>
      <w:ind w:left="1152" w:hanging="1152"/>
      <w:outlineLvl w:val="5"/>
    </w:pPr>
    <w:rPr>
      <w:rFonts w:ascii="Cambria" w:eastAsia="PMingLiU" w:hAnsi="Cambria"/>
      <w:i/>
      <w:iCs/>
      <w:color w:val="243F60"/>
      <w:sz w:val="22"/>
      <w:szCs w:val="22"/>
      <w:lang w:val="bg-BG" w:eastAsia="zh-TW"/>
    </w:rPr>
  </w:style>
  <w:style w:type="paragraph" w:styleId="7">
    <w:name w:val="heading 7"/>
    <w:basedOn w:val="a"/>
    <w:next w:val="a"/>
    <w:link w:val="70"/>
    <w:uiPriority w:val="99"/>
    <w:qFormat/>
    <w:rsid w:val="00D9764F"/>
    <w:pPr>
      <w:keepNext/>
      <w:keepLines/>
      <w:spacing w:before="200" w:line="276" w:lineRule="auto"/>
      <w:ind w:left="1296" w:hanging="1296"/>
      <w:outlineLvl w:val="6"/>
    </w:pPr>
    <w:rPr>
      <w:rFonts w:ascii="Cambria" w:eastAsia="PMingLiU" w:hAnsi="Cambria"/>
      <w:i/>
      <w:iCs/>
      <w:color w:val="404040"/>
      <w:sz w:val="22"/>
      <w:szCs w:val="22"/>
      <w:lang w:val="bg-BG" w:eastAsia="zh-TW"/>
    </w:rPr>
  </w:style>
  <w:style w:type="paragraph" w:styleId="8">
    <w:name w:val="heading 8"/>
    <w:basedOn w:val="a"/>
    <w:next w:val="a"/>
    <w:link w:val="80"/>
    <w:uiPriority w:val="99"/>
    <w:qFormat/>
    <w:rsid w:val="00D9764F"/>
    <w:pPr>
      <w:keepNext/>
      <w:keepLines/>
      <w:spacing w:before="200" w:line="276" w:lineRule="auto"/>
      <w:ind w:left="1440" w:hanging="1440"/>
      <w:outlineLvl w:val="7"/>
    </w:pPr>
    <w:rPr>
      <w:rFonts w:ascii="Cambria" w:eastAsia="PMingLiU" w:hAnsi="Cambria"/>
      <w:color w:val="404040"/>
      <w:sz w:val="20"/>
      <w:szCs w:val="20"/>
      <w:lang w:val="bg-BG" w:eastAsia="zh-TW"/>
    </w:rPr>
  </w:style>
  <w:style w:type="paragraph" w:styleId="9">
    <w:name w:val="heading 9"/>
    <w:basedOn w:val="a"/>
    <w:next w:val="a"/>
    <w:link w:val="90"/>
    <w:uiPriority w:val="99"/>
    <w:qFormat/>
    <w:rsid w:val="00D9764F"/>
    <w:pPr>
      <w:keepNext/>
      <w:keepLines/>
      <w:spacing w:before="200" w:line="276" w:lineRule="auto"/>
      <w:ind w:left="1584" w:hanging="1584"/>
      <w:outlineLvl w:val="8"/>
    </w:pPr>
    <w:rPr>
      <w:rFonts w:ascii="Cambria" w:eastAsia="PMingLiU" w:hAnsi="Cambria"/>
      <w:i/>
      <w:iCs/>
      <w:color w:val="404040"/>
      <w:sz w:val="20"/>
      <w:szCs w:val="20"/>
      <w:lang w:val="bg-BG"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10">
    <w:name w:val="Заглавие 1 Знак"/>
    <w:link w:val="1"/>
    <w:uiPriority w:val="99"/>
    <w:rsid w:val="00D9764F"/>
    <w:rPr>
      <w:rFonts w:ascii="Cambria" w:eastAsia="PMingLiU" w:hAnsi="Cambria"/>
      <w:b/>
      <w:bCs/>
      <w:color w:val="365F91"/>
      <w:sz w:val="28"/>
      <w:szCs w:val="28"/>
      <w:lang w:val="bg-BG" w:eastAsia="zh-TW"/>
    </w:rPr>
  </w:style>
  <w:style w:type="character" w:customStyle="1" w:styleId="40">
    <w:name w:val="Заглавие 4 Знак"/>
    <w:link w:val="4"/>
    <w:uiPriority w:val="99"/>
    <w:rsid w:val="00D9764F"/>
    <w:rPr>
      <w:rFonts w:ascii="Cambria" w:eastAsia="PMingLiU" w:hAnsi="Cambria"/>
      <w:b/>
      <w:bCs/>
      <w:i/>
      <w:iCs/>
      <w:color w:val="4F81BD"/>
      <w:sz w:val="22"/>
      <w:szCs w:val="22"/>
      <w:lang w:val="bg-BG" w:eastAsia="zh-TW"/>
    </w:rPr>
  </w:style>
  <w:style w:type="character" w:customStyle="1" w:styleId="50">
    <w:name w:val="Заглавие 5 Знак"/>
    <w:link w:val="5"/>
    <w:uiPriority w:val="99"/>
    <w:rsid w:val="00D9764F"/>
    <w:rPr>
      <w:rFonts w:ascii="Cambria" w:eastAsia="PMingLiU" w:hAnsi="Cambria"/>
      <w:color w:val="243F60"/>
      <w:sz w:val="22"/>
      <w:szCs w:val="22"/>
      <w:lang w:val="bg-BG" w:eastAsia="zh-TW"/>
    </w:rPr>
  </w:style>
  <w:style w:type="character" w:customStyle="1" w:styleId="60">
    <w:name w:val="Заглавие 6 Знак"/>
    <w:link w:val="6"/>
    <w:uiPriority w:val="99"/>
    <w:rsid w:val="00D9764F"/>
    <w:rPr>
      <w:rFonts w:ascii="Cambria" w:eastAsia="PMingLiU" w:hAnsi="Cambria"/>
      <w:i/>
      <w:iCs/>
      <w:color w:val="243F60"/>
      <w:sz w:val="22"/>
      <w:szCs w:val="22"/>
      <w:lang w:val="bg-BG" w:eastAsia="zh-TW"/>
    </w:rPr>
  </w:style>
  <w:style w:type="character" w:customStyle="1" w:styleId="70">
    <w:name w:val="Заглавие 7 Знак"/>
    <w:link w:val="7"/>
    <w:uiPriority w:val="99"/>
    <w:rsid w:val="00D9764F"/>
    <w:rPr>
      <w:rFonts w:ascii="Cambria" w:eastAsia="PMingLiU" w:hAnsi="Cambria"/>
      <w:i/>
      <w:iCs/>
      <w:color w:val="404040"/>
      <w:sz w:val="22"/>
      <w:szCs w:val="22"/>
      <w:lang w:val="bg-BG" w:eastAsia="zh-TW"/>
    </w:rPr>
  </w:style>
  <w:style w:type="character" w:customStyle="1" w:styleId="80">
    <w:name w:val="Заглавие 8 Знак"/>
    <w:link w:val="8"/>
    <w:uiPriority w:val="99"/>
    <w:rsid w:val="00D9764F"/>
    <w:rPr>
      <w:rFonts w:ascii="Cambria" w:eastAsia="PMingLiU" w:hAnsi="Cambria"/>
      <w:color w:val="404040"/>
      <w:lang w:val="bg-BG" w:eastAsia="zh-TW"/>
    </w:rPr>
  </w:style>
  <w:style w:type="character" w:customStyle="1" w:styleId="90">
    <w:name w:val="Заглавие 9 Знак"/>
    <w:link w:val="9"/>
    <w:uiPriority w:val="99"/>
    <w:rsid w:val="00D9764F"/>
    <w:rPr>
      <w:rFonts w:ascii="Cambria" w:eastAsia="PMingLiU" w:hAnsi="Cambria"/>
      <w:i/>
      <w:iCs/>
      <w:color w:val="404040"/>
      <w:lang w:val="bg-BG" w:eastAsia="zh-TW"/>
    </w:rPr>
  </w:style>
  <w:style w:type="character" w:customStyle="1" w:styleId="20">
    <w:name w:val="Заглавие 2 Знак"/>
    <w:link w:val="2"/>
    <w:uiPriority w:val="99"/>
    <w:locked/>
    <w:rsid w:val="00D9764F"/>
    <w:rPr>
      <w:b/>
      <w:bCs/>
      <w:sz w:val="24"/>
      <w:szCs w:val="24"/>
      <w:lang w:val="bg-BG"/>
    </w:rPr>
  </w:style>
  <w:style w:type="paragraph" w:styleId="a6">
    <w:name w:val="List Paragraph"/>
    <w:basedOn w:val="a"/>
    <w:uiPriority w:val="99"/>
    <w:qFormat/>
    <w:rsid w:val="00D9764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bg-BG" w:eastAsia="zh-TW"/>
    </w:rPr>
  </w:style>
  <w:style w:type="character" w:customStyle="1" w:styleId="a5">
    <w:name w:val="Долен колонтитул Знак"/>
    <w:link w:val="a4"/>
    <w:uiPriority w:val="99"/>
    <w:rsid w:val="007B0CD0"/>
    <w:rPr>
      <w:sz w:val="24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A83816"/>
    <w:rPr>
      <w:rFonts w:ascii="Calibri" w:eastAsia="Calibri" w:hAnsi="Calibri"/>
      <w:sz w:val="22"/>
      <w:szCs w:val="21"/>
      <w:lang w:val="x-none" w:eastAsia="x-none"/>
    </w:rPr>
  </w:style>
  <w:style w:type="character" w:customStyle="1" w:styleId="a8">
    <w:name w:val="Обикновен текст Знак"/>
    <w:link w:val="a7"/>
    <w:uiPriority w:val="99"/>
    <w:semiHidden/>
    <w:rsid w:val="00A83816"/>
    <w:rPr>
      <w:rFonts w:ascii="Calibri" w:eastAsia="Calibri" w:hAnsi="Calibri"/>
      <w:sz w:val="2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137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Изнесен текст Знак"/>
    <w:link w:val="a9"/>
    <w:uiPriority w:val="99"/>
    <w:semiHidden/>
    <w:rsid w:val="00B137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0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anks\&#1057;&#1086;&#1089;&#1080;&#1077;&#1090;&#1077;%20&#1046;&#1077;&#1085;&#1077;&#1088;&#1072;&#1083;\BLANKA-potvyrxdenie-2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FE00-6B4E-4B64-93D6-49ABE6C2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BLANKA-potvyrxdenie-2.dot</Template>
  <TotalTime>0</TotalTime>
  <Pages>7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</dc:creator>
  <cp:keywords/>
  <cp:lastModifiedBy>Sofia Marinova</cp:lastModifiedBy>
  <cp:revision>2</cp:revision>
  <cp:lastPrinted>2021-09-24T10:32:00Z</cp:lastPrinted>
  <dcterms:created xsi:type="dcterms:W3CDTF">2025-06-20T14:10:00Z</dcterms:created>
  <dcterms:modified xsi:type="dcterms:W3CDTF">2025-06-20T14:10:00Z</dcterms:modified>
</cp:coreProperties>
</file>