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42954" w14:textId="77777777" w:rsidR="00571FD6" w:rsidRPr="00086D70" w:rsidRDefault="00571FD6">
      <w:pPr>
        <w:rPr>
          <w:rFonts w:ascii="Arial" w:hAnsi="Arial" w:cs="Arial"/>
          <w:sz w:val="22"/>
          <w:szCs w:val="22"/>
          <w:lang w:val="bg-BG"/>
        </w:rPr>
      </w:pPr>
    </w:p>
    <w:p w14:paraId="4D8238E2" w14:textId="77777777" w:rsidR="00824FE1" w:rsidRDefault="00824FE1" w:rsidP="00891C31">
      <w:pPr>
        <w:jc w:val="center"/>
        <w:rPr>
          <w:rFonts w:ascii="Arial" w:hAnsi="Arial" w:cs="Arial"/>
          <w:b/>
          <w:sz w:val="22"/>
          <w:szCs w:val="22"/>
          <w:lang w:val="bg-BG"/>
        </w:rPr>
      </w:pPr>
    </w:p>
    <w:p w14:paraId="17CD06E1" w14:textId="77777777" w:rsidR="00D9764F" w:rsidRPr="00946F14" w:rsidRDefault="00D9764F" w:rsidP="00891C31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46F14">
        <w:rPr>
          <w:rFonts w:ascii="Arial" w:hAnsi="Arial" w:cs="Arial"/>
          <w:b/>
          <w:sz w:val="22"/>
          <w:szCs w:val="22"/>
          <w:lang w:val="ru-RU"/>
        </w:rPr>
        <w:t>Доклад</w:t>
      </w:r>
    </w:p>
    <w:p w14:paraId="2F8D91DF" w14:textId="77777777" w:rsidR="00D9764F" w:rsidRPr="00946F14" w:rsidRDefault="00A65AD0" w:rsidP="00D9764F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086D70">
        <w:rPr>
          <w:rFonts w:ascii="Arial" w:hAnsi="Arial" w:cs="Arial"/>
          <w:b/>
          <w:sz w:val="22"/>
          <w:szCs w:val="22"/>
          <w:lang w:val="bg-BG"/>
        </w:rPr>
        <w:t>от</w:t>
      </w:r>
      <w:r w:rsidR="00D9764F" w:rsidRPr="00946F14">
        <w:rPr>
          <w:rFonts w:ascii="Arial" w:hAnsi="Arial" w:cs="Arial"/>
          <w:b/>
          <w:sz w:val="22"/>
          <w:szCs w:val="22"/>
          <w:lang w:val="ru-RU"/>
        </w:rPr>
        <w:t xml:space="preserve"> Де Ново ЕАД</w:t>
      </w:r>
    </w:p>
    <w:p w14:paraId="6521F153" w14:textId="77777777" w:rsidR="00E36286" w:rsidRPr="00086D70" w:rsidRDefault="00D9764F" w:rsidP="00D9764F">
      <w:pPr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946F14">
        <w:rPr>
          <w:rFonts w:ascii="Arial" w:hAnsi="Arial" w:cs="Arial"/>
          <w:b/>
          <w:sz w:val="22"/>
          <w:szCs w:val="22"/>
          <w:lang w:val="ru-RU"/>
        </w:rPr>
        <w:t xml:space="preserve">в качеството </w:t>
      </w:r>
      <w:r w:rsidRPr="00086D70">
        <w:rPr>
          <w:rFonts w:ascii="Arial" w:hAnsi="Arial" w:cs="Arial"/>
          <w:b/>
          <w:sz w:val="22"/>
          <w:szCs w:val="22"/>
          <w:lang w:val="bg-BG"/>
        </w:rPr>
        <w:t>му</w:t>
      </w:r>
      <w:r w:rsidRPr="00946F14">
        <w:rPr>
          <w:rFonts w:ascii="Arial" w:hAnsi="Arial" w:cs="Arial"/>
          <w:b/>
          <w:sz w:val="22"/>
          <w:szCs w:val="22"/>
          <w:lang w:val="ru-RU"/>
        </w:rPr>
        <w:t xml:space="preserve"> на Довереник на облигационерите</w:t>
      </w:r>
    </w:p>
    <w:p w14:paraId="6233EAC5" w14:textId="77777777" w:rsidR="00C33565" w:rsidRPr="00086D70" w:rsidRDefault="00A65AD0" w:rsidP="00D9764F">
      <w:pPr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086D70">
        <w:rPr>
          <w:rFonts w:ascii="Arial" w:hAnsi="Arial" w:cs="Arial"/>
          <w:b/>
          <w:sz w:val="22"/>
          <w:szCs w:val="22"/>
          <w:lang w:val="bg-BG"/>
        </w:rPr>
        <w:t xml:space="preserve"> по емисия корпоративни облигации </w:t>
      </w:r>
    </w:p>
    <w:p w14:paraId="7CC27DCD" w14:textId="77777777" w:rsidR="00C33565" w:rsidRPr="00086D70" w:rsidRDefault="00A65AD0" w:rsidP="00D9764F">
      <w:pPr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086D70">
        <w:rPr>
          <w:rFonts w:ascii="Arial" w:hAnsi="Arial" w:cs="Arial"/>
          <w:b/>
          <w:sz w:val="22"/>
          <w:szCs w:val="22"/>
          <w:lang w:val="bg-BG"/>
        </w:rPr>
        <w:t>с емитент</w:t>
      </w:r>
      <w:r w:rsidR="00D9764F" w:rsidRPr="00946F14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783226" w:rsidRPr="00086D70">
        <w:rPr>
          <w:rFonts w:ascii="Arial" w:hAnsi="Arial" w:cs="Arial"/>
          <w:b/>
          <w:sz w:val="22"/>
          <w:szCs w:val="22"/>
          <w:lang w:val="bg-BG"/>
        </w:rPr>
        <w:t>Северкооп-</w:t>
      </w:r>
      <w:r w:rsidR="007B1208">
        <w:rPr>
          <w:rFonts w:ascii="Arial" w:hAnsi="Arial" w:cs="Arial"/>
          <w:b/>
          <w:sz w:val="22"/>
          <w:szCs w:val="22"/>
          <w:lang w:val="bg-BG"/>
        </w:rPr>
        <w:t>Гъмза</w:t>
      </w:r>
      <w:r w:rsidR="00020416" w:rsidRPr="00946F14">
        <w:rPr>
          <w:rFonts w:ascii="Arial" w:hAnsi="Arial" w:cs="Arial"/>
          <w:b/>
          <w:sz w:val="22"/>
          <w:szCs w:val="22"/>
          <w:lang w:val="ru-RU"/>
        </w:rPr>
        <w:t xml:space="preserve"> Холдинг </w:t>
      </w:r>
      <w:r w:rsidR="006C5330" w:rsidRPr="00946F14">
        <w:rPr>
          <w:rFonts w:ascii="Arial" w:hAnsi="Arial" w:cs="Arial"/>
          <w:b/>
          <w:sz w:val="22"/>
          <w:szCs w:val="22"/>
          <w:lang w:val="ru-RU"/>
        </w:rPr>
        <w:t>АД</w:t>
      </w:r>
      <w:r w:rsidRPr="00086D70">
        <w:rPr>
          <w:rFonts w:ascii="Arial" w:hAnsi="Arial" w:cs="Arial"/>
          <w:b/>
          <w:sz w:val="22"/>
          <w:szCs w:val="22"/>
          <w:lang w:val="bg-BG"/>
        </w:rPr>
        <w:t xml:space="preserve">, </w:t>
      </w:r>
    </w:p>
    <w:p w14:paraId="4C611370" w14:textId="77777777" w:rsidR="00D9764F" w:rsidRPr="00946F14" w:rsidRDefault="00D9764F" w:rsidP="00D9764F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086D70">
        <w:rPr>
          <w:rFonts w:ascii="Arial" w:hAnsi="Arial" w:cs="Arial"/>
          <w:b/>
          <w:sz w:val="22"/>
          <w:szCs w:val="22"/>
        </w:rPr>
        <w:t>ISIN</w:t>
      </w:r>
      <w:r w:rsidRPr="00946F14">
        <w:rPr>
          <w:rFonts w:ascii="Arial" w:hAnsi="Arial" w:cs="Arial"/>
          <w:b/>
          <w:sz w:val="22"/>
          <w:szCs w:val="22"/>
          <w:lang w:val="ru-RU"/>
        </w:rPr>
        <w:t>:</w:t>
      </w:r>
      <w:r w:rsidR="00783226" w:rsidRPr="00086D70">
        <w:rPr>
          <w:rFonts w:ascii="Arial" w:hAnsi="Arial" w:cs="Arial"/>
          <w:b/>
          <w:sz w:val="22"/>
          <w:szCs w:val="22"/>
        </w:rPr>
        <w:t>BG</w:t>
      </w:r>
      <w:r w:rsidR="00783226" w:rsidRPr="00946F14">
        <w:rPr>
          <w:rFonts w:ascii="Arial" w:hAnsi="Arial" w:cs="Arial"/>
          <w:b/>
          <w:sz w:val="22"/>
          <w:szCs w:val="22"/>
          <w:lang w:val="ru-RU"/>
        </w:rPr>
        <w:t>2100008189</w:t>
      </w:r>
      <w:r w:rsidR="00A65AD0" w:rsidRPr="00086D70">
        <w:rPr>
          <w:rFonts w:ascii="Arial" w:hAnsi="Arial" w:cs="Arial"/>
          <w:b/>
          <w:sz w:val="22"/>
          <w:szCs w:val="22"/>
          <w:lang w:val="bg-BG"/>
        </w:rPr>
        <w:t xml:space="preserve">, </w:t>
      </w:r>
      <w:r w:rsidR="005B3E71" w:rsidRPr="00086D70">
        <w:rPr>
          <w:rFonts w:ascii="Arial" w:hAnsi="Arial" w:cs="Arial"/>
          <w:b/>
          <w:sz w:val="22"/>
          <w:szCs w:val="22"/>
          <w:lang w:val="bg-BG"/>
        </w:rPr>
        <w:t>б</w:t>
      </w:r>
      <w:r w:rsidRPr="00946F14">
        <w:rPr>
          <w:rFonts w:ascii="Arial" w:hAnsi="Arial" w:cs="Arial"/>
          <w:b/>
          <w:sz w:val="22"/>
          <w:szCs w:val="22"/>
          <w:lang w:val="ru-RU"/>
        </w:rPr>
        <w:t>орсов код:</w:t>
      </w:r>
      <w:r w:rsidR="00783226" w:rsidRPr="00086D70">
        <w:rPr>
          <w:rFonts w:ascii="Arial" w:hAnsi="Arial" w:cs="Arial"/>
          <w:b/>
          <w:sz w:val="22"/>
          <w:szCs w:val="22"/>
          <w:lang w:val="bg-BG"/>
        </w:rPr>
        <w:t>6</w:t>
      </w:r>
      <w:r w:rsidR="00783226" w:rsidRPr="00086D70">
        <w:rPr>
          <w:rFonts w:ascii="Arial" w:hAnsi="Arial" w:cs="Arial"/>
          <w:b/>
          <w:sz w:val="22"/>
          <w:szCs w:val="22"/>
        </w:rPr>
        <w:t>S</w:t>
      </w:r>
      <w:r w:rsidR="00783226" w:rsidRPr="00946F14">
        <w:rPr>
          <w:rFonts w:ascii="Arial" w:hAnsi="Arial" w:cs="Arial"/>
          <w:b/>
          <w:sz w:val="22"/>
          <w:szCs w:val="22"/>
          <w:lang w:val="ru-RU"/>
        </w:rPr>
        <w:t>4</w:t>
      </w:r>
      <w:r w:rsidR="00783226" w:rsidRPr="00086D70">
        <w:rPr>
          <w:rFonts w:ascii="Arial" w:hAnsi="Arial" w:cs="Arial"/>
          <w:b/>
          <w:sz w:val="22"/>
          <w:szCs w:val="22"/>
        </w:rPr>
        <w:t>N</w:t>
      </w:r>
    </w:p>
    <w:p w14:paraId="4333942B" w14:textId="77777777" w:rsidR="00E36286" w:rsidRPr="00946F14" w:rsidRDefault="00D9764F" w:rsidP="003D7787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46F14">
        <w:rPr>
          <w:rFonts w:ascii="Arial" w:hAnsi="Arial" w:cs="Arial"/>
          <w:b/>
          <w:sz w:val="22"/>
          <w:szCs w:val="22"/>
          <w:lang w:val="ru-RU"/>
        </w:rPr>
        <w:t>Период: 01.</w:t>
      </w:r>
      <w:r w:rsidR="00B410A7" w:rsidRPr="00946F14">
        <w:rPr>
          <w:rFonts w:ascii="Arial" w:hAnsi="Arial" w:cs="Arial"/>
          <w:b/>
          <w:sz w:val="22"/>
          <w:szCs w:val="22"/>
          <w:lang w:val="ru-RU"/>
        </w:rPr>
        <w:t>10</w:t>
      </w:r>
      <w:r w:rsidRPr="00946F14">
        <w:rPr>
          <w:rFonts w:ascii="Arial" w:hAnsi="Arial" w:cs="Arial"/>
          <w:b/>
          <w:sz w:val="22"/>
          <w:szCs w:val="22"/>
          <w:lang w:val="ru-RU"/>
        </w:rPr>
        <w:t>.20</w:t>
      </w:r>
      <w:r w:rsidR="00C25ECD" w:rsidRPr="00946F14">
        <w:rPr>
          <w:rFonts w:ascii="Arial" w:hAnsi="Arial" w:cs="Arial"/>
          <w:b/>
          <w:sz w:val="22"/>
          <w:szCs w:val="22"/>
          <w:lang w:val="ru-RU"/>
        </w:rPr>
        <w:t>2</w:t>
      </w:r>
      <w:r w:rsidR="000C2B3D" w:rsidRPr="00946F14">
        <w:rPr>
          <w:rFonts w:ascii="Arial" w:hAnsi="Arial" w:cs="Arial"/>
          <w:b/>
          <w:sz w:val="22"/>
          <w:szCs w:val="22"/>
          <w:lang w:val="ru-RU"/>
        </w:rPr>
        <w:t>4</w:t>
      </w:r>
      <w:r w:rsidR="007D3B3E" w:rsidRPr="00946F14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946F14">
        <w:rPr>
          <w:rFonts w:ascii="Arial" w:hAnsi="Arial" w:cs="Arial"/>
          <w:b/>
          <w:sz w:val="22"/>
          <w:szCs w:val="22"/>
          <w:lang w:val="ru-RU"/>
        </w:rPr>
        <w:t>г</w:t>
      </w:r>
      <w:r w:rsidR="005A4FA5" w:rsidRPr="00946F14">
        <w:rPr>
          <w:rFonts w:ascii="Arial" w:hAnsi="Arial" w:cs="Arial"/>
          <w:b/>
          <w:sz w:val="22"/>
          <w:szCs w:val="22"/>
          <w:lang w:val="ru-RU"/>
        </w:rPr>
        <w:t>.</w:t>
      </w:r>
      <w:r w:rsidRPr="00086D70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946F14">
        <w:rPr>
          <w:rFonts w:ascii="Arial" w:hAnsi="Arial" w:cs="Arial"/>
          <w:b/>
          <w:sz w:val="22"/>
          <w:szCs w:val="22"/>
          <w:lang w:val="ru-RU"/>
        </w:rPr>
        <w:t>- 3</w:t>
      </w:r>
      <w:r w:rsidR="00B410A7" w:rsidRPr="00946F14">
        <w:rPr>
          <w:rFonts w:ascii="Arial" w:hAnsi="Arial" w:cs="Arial"/>
          <w:b/>
          <w:sz w:val="22"/>
          <w:szCs w:val="22"/>
          <w:lang w:val="ru-RU"/>
        </w:rPr>
        <w:t>1</w:t>
      </w:r>
      <w:r w:rsidRPr="00946F14">
        <w:rPr>
          <w:rFonts w:ascii="Arial" w:hAnsi="Arial" w:cs="Arial"/>
          <w:b/>
          <w:sz w:val="22"/>
          <w:szCs w:val="22"/>
          <w:lang w:val="ru-RU"/>
        </w:rPr>
        <w:t>.</w:t>
      </w:r>
      <w:r w:rsidR="00B410A7" w:rsidRPr="00946F14">
        <w:rPr>
          <w:rFonts w:ascii="Arial" w:hAnsi="Arial" w:cs="Arial"/>
          <w:b/>
          <w:sz w:val="22"/>
          <w:szCs w:val="22"/>
          <w:lang w:val="ru-RU"/>
        </w:rPr>
        <w:t>12</w:t>
      </w:r>
      <w:r w:rsidRPr="00946F14">
        <w:rPr>
          <w:rFonts w:ascii="Arial" w:hAnsi="Arial" w:cs="Arial"/>
          <w:b/>
          <w:sz w:val="22"/>
          <w:szCs w:val="22"/>
          <w:lang w:val="ru-RU"/>
        </w:rPr>
        <w:t>.20</w:t>
      </w:r>
      <w:r w:rsidR="00C25ECD" w:rsidRPr="00946F14">
        <w:rPr>
          <w:rFonts w:ascii="Arial" w:hAnsi="Arial" w:cs="Arial"/>
          <w:b/>
          <w:sz w:val="22"/>
          <w:szCs w:val="22"/>
          <w:lang w:val="ru-RU"/>
        </w:rPr>
        <w:t>2</w:t>
      </w:r>
      <w:r w:rsidR="000C2B3D" w:rsidRPr="00946F14">
        <w:rPr>
          <w:rFonts w:ascii="Arial" w:hAnsi="Arial" w:cs="Arial"/>
          <w:b/>
          <w:sz w:val="22"/>
          <w:szCs w:val="22"/>
          <w:lang w:val="ru-RU"/>
        </w:rPr>
        <w:t>4</w:t>
      </w:r>
      <w:r w:rsidR="007D3B3E" w:rsidRPr="00946F14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713E5B" w:rsidRPr="00946F14">
        <w:rPr>
          <w:rFonts w:ascii="Arial" w:hAnsi="Arial" w:cs="Arial"/>
          <w:b/>
          <w:sz w:val="22"/>
          <w:szCs w:val="22"/>
          <w:lang w:val="ru-RU"/>
        </w:rPr>
        <w:t>г</w:t>
      </w:r>
      <w:r w:rsidR="00CD5C7B" w:rsidRPr="00946F14">
        <w:rPr>
          <w:rFonts w:ascii="Arial" w:hAnsi="Arial" w:cs="Arial"/>
          <w:b/>
          <w:sz w:val="22"/>
          <w:szCs w:val="22"/>
          <w:lang w:val="ru-RU"/>
        </w:rPr>
        <w:t>.</w:t>
      </w:r>
    </w:p>
    <w:p w14:paraId="2CC7FF5A" w14:textId="77777777" w:rsidR="00E36286" w:rsidRPr="00946F14" w:rsidRDefault="00E36286" w:rsidP="00D9764F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14:paraId="0F9BEF59" w14:textId="77777777" w:rsidR="00D70591" w:rsidRPr="002A19E3" w:rsidRDefault="00D70591" w:rsidP="00D9764F">
      <w:pPr>
        <w:jc w:val="center"/>
        <w:rPr>
          <w:rFonts w:ascii="Arial" w:hAnsi="Arial" w:cs="Arial"/>
          <w:b/>
          <w:sz w:val="22"/>
          <w:szCs w:val="22"/>
          <w:lang w:val="bg-BG"/>
        </w:rPr>
      </w:pPr>
    </w:p>
    <w:p w14:paraId="6C39E007" w14:textId="77777777" w:rsidR="00D9764F" w:rsidRPr="00086D70" w:rsidRDefault="00D9764F" w:rsidP="00A65AD0">
      <w:pPr>
        <w:jc w:val="both"/>
        <w:rPr>
          <w:rFonts w:ascii="Arial" w:hAnsi="Arial" w:cs="Arial"/>
          <w:sz w:val="22"/>
          <w:szCs w:val="22"/>
          <w:lang w:val="bg-BG"/>
        </w:rPr>
      </w:pPr>
      <w:r w:rsidRPr="00946F14">
        <w:rPr>
          <w:rFonts w:ascii="Arial" w:hAnsi="Arial" w:cs="Arial"/>
          <w:sz w:val="22"/>
          <w:szCs w:val="22"/>
          <w:lang w:val="ru-RU"/>
        </w:rPr>
        <w:t>Настоящия</w:t>
      </w:r>
      <w:r w:rsidR="00BE512E" w:rsidRPr="00086D70">
        <w:rPr>
          <w:rFonts w:ascii="Arial" w:hAnsi="Arial" w:cs="Arial"/>
          <w:sz w:val="22"/>
          <w:szCs w:val="22"/>
          <w:lang w:val="bg-BG"/>
        </w:rPr>
        <w:t>т</w:t>
      </w:r>
      <w:r w:rsidRPr="00946F14">
        <w:rPr>
          <w:rFonts w:ascii="Arial" w:hAnsi="Arial" w:cs="Arial"/>
          <w:sz w:val="22"/>
          <w:szCs w:val="22"/>
          <w:lang w:val="ru-RU"/>
        </w:rPr>
        <w:t xml:space="preserve"> доклад е изготвен в съответствие </w:t>
      </w:r>
      <w:r w:rsidR="00BE512E" w:rsidRPr="00946F14">
        <w:rPr>
          <w:rFonts w:ascii="Arial" w:hAnsi="Arial" w:cs="Arial"/>
          <w:sz w:val="22"/>
          <w:szCs w:val="22"/>
          <w:lang w:val="ru-RU"/>
        </w:rPr>
        <w:t>с изискванията на чл. 100ж, ал.</w:t>
      </w:r>
      <w:r w:rsidRPr="00946F14">
        <w:rPr>
          <w:rFonts w:ascii="Arial" w:hAnsi="Arial" w:cs="Arial"/>
          <w:sz w:val="22"/>
          <w:szCs w:val="22"/>
          <w:lang w:val="ru-RU"/>
        </w:rPr>
        <w:t>1, т.</w:t>
      </w:r>
      <w:r w:rsidRPr="00086D70">
        <w:rPr>
          <w:rFonts w:ascii="Arial" w:hAnsi="Arial" w:cs="Arial"/>
          <w:sz w:val="22"/>
          <w:szCs w:val="22"/>
          <w:lang w:val="ru-RU"/>
        </w:rPr>
        <w:t>3</w:t>
      </w:r>
      <w:r w:rsidRPr="00946F14">
        <w:rPr>
          <w:rFonts w:ascii="Arial" w:hAnsi="Arial" w:cs="Arial"/>
          <w:sz w:val="22"/>
          <w:szCs w:val="22"/>
          <w:lang w:val="ru-RU"/>
        </w:rPr>
        <w:t xml:space="preserve"> от Закона за публично</w:t>
      </w:r>
      <w:r w:rsidR="00CA427D" w:rsidRPr="00086D70">
        <w:rPr>
          <w:rFonts w:ascii="Arial" w:hAnsi="Arial" w:cs="Arial"/>
          <w:sz w:val="22"/>
          <w:szCs w:val="22"/>
          <w:lang w:val="bg-BG"/>
        </w:rPr>
        <w:t>то</w:t>
      </w:r>
      <w:r w:rsidRPr="00946F14">
        <w:rPr>
          <w:rFonts w:ascii="Arial" w:hAnsi="Arial" w:cs="Arial"/>
          <w:sz w:val="22"/>
          <w:szCs w:val="22"/>
          <w:lang w:val="ru-RU"/>
        </w:rPr>
        <w:t xml:space="preserve"> предлагане на ценни книжа </w:t>
      </w:r>
      <w:r w:rsidR="00DC70E5" w:rsidRPr="00086D70">
        <w:rPr>
          <w:rFonts w:ascii="Arial" w:hAnsi="Arial" w:cs="Arial"/>
          <w:sz w:val="22"/>
          <w:szCs w:val="22"/>
          <w:lang w:val="bg-BG"/>
        </w:rPr>
        <w:t>/</w:t>
      </w:r>
      <w:r w:rsidRPr="00946F14">
        <w:rPr>
          <w:rFonts w:ascii="Arial" w:hAnsi="Arial" w:cs="Arial"/>
          <w:sz w:val="22"/>
          <w:szCs w:val="22"/>
          <w:lang w:val="ru-RU"/>
        </w:rPr>
        <w:t>ЗППЦК</w:t>
      </w:r>
      <w:r w:rsidR="00DC70E5" w:rsidRPr="00086D70">
        <w:rPr>
          <w:rFonts w:ascii="Arial" w:hAnsi="Arial" w:cs="Arial"/>
          <w:sz w:val="22"/>
          <w:szCs w:val="22"/>
          <w:lang w:val="bg-BG"/>
        </w:rPr>
        <w:t>/</w:t>
      </w:r>
      <w:r w:rsidRPr="00946F14">
        <w:rPr>
          <w:rFonts w:ascii="Arial" w:hAnsi="Arial" w:cs="Arial"/>
          <w:sz w:val="22"/>
          <w:szCs w:val="22"/>
          <w:lang w:val="ru-RU"/>
        </w:rPr>
        <w:t xml:space="preserve">, в изпълнение на задълженията на Де Ново ЕАД в качеството </w:t>
      </w:r>
      <w:r w:rsidR="000846F9" w:rsidRPr="00086D70">
        <w:rPr>
          <w:rFonts w:ascii="Arial" w:hAnsi="Arial" w:cs="Arial"/>
          <w:sz w:val="22"/>
          <w:szCs w:val="22"/>
          <w:lang w:val="bg-BG"/>
        </w:rPr>
        <w:t>му</w:t>
      </w:r>
      <w:r w:rsidRPr="00946F14">
        <w:rPr>
          <w:rFonts w:ascii="Arial" w:hAnsi="Arial" w:cs="Arial"/>
          <w:sz w:val="22"/>
          <w:szCs w:val="22"/>
          <w:lang w:val="ru-RU"/>
        </w:rPr>
        <w:t xml:space="preserve"> на Довереник на облигационерите по емисия корпоративни облигации</w:t>
      </w:r>
      <w:r w:rsidR="00DC70E5" w:rsidRPr="00946F14">
        <w:rPr>
          <w:rFonts w:ascii="Arial" w:hAnsi="Arial" w:cs="Arial"/>
          <w:sz w:val="22"/>
          <w:szCs w:val="22"/>
          <w:lang w:val="ru-RU"/>
        </w:rPr>
        <w:t xml:space="preserve"> </w:t>
      </w:r>
      <w:r w:rsidR="00DC70E5" w:rsidRPr="00086D70">
        <w:rPr>
          <w:rFonts w:ascii="Arial" w:hAnsi="Arial" w:cs="Arial"/>
          <w:sz w:val="22"/>
          <w:szCs w:val="22"/>
        </w:rPr>
        <w:t>ISIN</w:t>
      </w:r>
      <w:r w:rsidR="00DC70E5" w:rsidRPr="00946F14">
        <w:rPr>
          <w:rFonts w:ascii="Arial" w:hAnsi="Arial" w:cs="Arial"/>
          <w:sz w:val="22"/>
          <w:szCs w:val="22"/>
          <w:lang w:val="ru-RU"/>
        </w:rPr>
        <w:t>:</w:t>
      </w:r>
      <w:r w:rsidR="00783226" w:rsidRPr="00086D70">
        <w:rPr>
          <w:rFonts w:ascii="Arial" w:hAnsi="Arial" w:cs="Arial"/>
          <w:sz w:val="22"/>
          <w:szCs w:val="22"/>
        </w:rPr>
        <w:t>BG</w:t>
      </w:r>
      <w:r w:rsidR="00783226" w:rsidRPr="00946F14">
        <w:rPr>
          <w:rFonts w:ascii="Arial" w:hAnsi="Arial" w:cs="Arial"/>
          <w:sz w:val="22"/>
          <w:szCs w:val="22"/>
          <w:lang w:val="ru-RU"/>
        </w:rPr>
        <w:t>2100008189</w:t>
      </w:r>
      <w:r w:rsidRPr="00946F14">
        <w:rPr>
          <w:rFonts w:ascii="Arial" w:hAnsi="Arial" w:cs="Arial"/>
          <w:sz w:val="22"/>
          <w:szCs w:val="22"/>
          <w:lang w:val="ru-RU"/>
        </w:rPr>
        <w:t>, емитирани от</w:t>
      </w:r>
      <w:r w:rsidR="00DC70E5" w:rsidRPr="00086D70">
        <w:rPr>
          <w:rFonts w:ascii="Arial" w:hAnsi="Arial" w:cs="Arial"/>
          <w:sz w:val="22"/>
          <w:szCs w:val="22"/>
          <w:lang w:val="bg-BG"/>
        </w:rPr>
        <w:t xml:space="preserve"> </w:t>
      </w:r>
      <w:r w:rsidR="00783226" w:rsidRPr="00946F14">
        <w:rPr>
          <w:rFonts w:ascii="Arial" w:hAnsi="Arial" w:cs="Arial"/>
          <w:sz w:val="22"/>
          <w:szCs w:val="22"/>
          <w:lang w:val="ru-RU"/>
        </w:rPr>
        <w:t>Северкооп-</w:t>
      </w:r>
      <w:r w:rsidR="007B1208" w:rsidRPr="00946F14">
        <w:rPr>
          <w:rFonts w:ascii="Arial" w:hAnsi="Arial" w:cs="Arial"/>
          <w:sz w:val="22"/>
          <w:szCs w:val="22"/>
          <w:lang w:val="ru-RU"/>
        </w:rPr>
        <w:t>Гъмза</w:t>
      </w:r>
      <w:r w:rsidR="00783226" w:rsidRPr="00946F14">
        <w:rPr>
          <w:rFonts w:ascii="Arial" w:hAnsi="Arial" w:cs="Arial"/>
          <w:sz w:val="22"/>
          <w:szCs w:val="22"/>
          <w:lang w:val="ru-RU"/>
        </w:rPr>
        <w:t xml:space="preserve"> Холдинг АД</w:t>
      </w:r>
      <w:r w:rsidRPr="00946F14">
        <w:rPr>
          <w:rFonts w:ascii="Arial" w:hAnsi="Arial" w:cs="Arial"/>
          <w:sz w:val="22"/>
          <w:szCs w:val="22"/>
          <w:lang w:val="ru-RU"/>
        </w:rPr>
        <w:t xml:space="preserve"> на </w:t>
      </w:r>
      <w:r w:rsidR="003B3C7E" w:rsidRPr="00946F14">
        <w:rPr>
          <w:rFonts w:ascii="Arial" w:hAnsi="Arial" w:cs="Arial"/>
          <w:sz w:val="22"/>
          <w:szCs w:val="22"/>
          <w:lang w:val="ru-RU"/>
        </w:rPr>
        <w:t>1</w:t>
      </w:r>
      <w:r w:rsidR="00783226" w:rsidRPr="00086D70">
        <w:rPr>
          <w:rFonts w:ascii="Arial" w:hAnsi="Arial" w:cs="Arial"/>
          <w:sz w:val="22"/>
          <w:szCs w:val="22"/>
          <w:lang w:val="bg-BG"/>
        </w:rPr>
        <w:t>6</w:t>
      </w:r>
      <w:r w:rsidRPr="00946F14">
        <w:rPr>
          <w:rFonts w:ascii="Arial" w:hAnsi="Arial" w:cs="Arial"/>
          <w:sz w:val="22"/>
          <w:szCs w:val="22"/>
          <w:lang w:val="ru-RU"/>
        </w:rPr>
        <w:t>.</w:t>
      </w:r>
      <w:r w:rsidR="003B3C7E" w:rsidRPr="00946F14">
        <w:rPr>
          <w:rFonts w:ascii="Arial" w:hAnsi="Arial" w:cs="Arial"/>
          <w:sz w:val="22"/>
          <w:szCs w:val="22"/>
          <w:lang w:val="ru-RU"/>
        </w:rPr>
        <w:t>0</w:t>
      </w:r>
      <w:r w:rsidR="00783226" w:rsidRPr="00086D70">
        <w:rPr>
          <w:rFonts w:ascii="Arial" w:hAnsi="Arial" w:cs="Arial"/>
          <w:sz w:val="22"/>
          <w:szCs w:val="22"/>
          <w:lang w:val="bg-BG"/>
        </w:rPr>
        <w:t>7</w:t>
      </w:r>
      <w:r w:rsidRPr="00946F14">
        <w:rPr>
          <w:rFonts w:ascii="Arial" w:hAnsi="Arial" w:cs="Arial"/>
          <w:sz w:val="22"/>
          <w:szCs w:val="22"/>
          <w:lang w:val="ru-RU"/>
        </w:rPr>
        <w:t>.</w:t>
      </w:r>
      <w:r w:rsidR="00E950F5" w:rsidRPr="00946F14">
        <w:rPr>
          <w:rFonts w:ascii="Arial" w:hAnsi="Arial" w:cs="Arial"/>
          <w:sz w:val="22"/>
          <w:szCs w:val="22"/>
          <w:lang w:val="ru-RU"/>
        </w:rPr>
        <w:t>201</w:t>
      </w:r>
      <w:r w:rsidR="00783226" w:rsidRPr="00086D70">
        <w:rPr>
          <w:rFonts w:ascii="Arial" w:hAnsi="Arial" w:cs="Arial"/>
          <w:sz w:val="22"/>
          <w:szCs w:val="22"/>
          <w:lang w:val="bg-BG"/>
        </w:rPr>
        <w:t>8</w:t>
      </w:r>
      <w:r w:rsidR="00AA6AAB">
        <w:rPr>
          <w:rFonts w:ascii="Arial" w:hAnsi="Arial" w:cs="Arial"/>
          <w:sz w:val="22"/>
          <w:szCs w:val="22"/>
          <w:lang w:val="bg-BG"/>
        </w:rPr>
        <w:t xml:space="preserve"> </w:t>
      </w:r>
      <w:r w:rsidRPr="00946F14">
        <w:rPr>
          <w:rFonts w:ascii="Arial" w:hAnsi="Arial" w:cs="Arial"/>
          <w:sz w:val="22"/>
          <w:szCs w:val="22"/>
          <w:lang w:val="ru-RU"/>
        </w:rPr>
        <w:t>г.</w:t>
      </w:r>
    </w:p>
    <w:p w14:paraId="03545D50" w14:textId="77777777" w:rsidR="00AA5FC0" w:rsidRPr="00946F14" w:rsidRDefault="00AA5FC0" w:rsidP="00A65AD0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568C87C6" w14:textId="77777777" w:rsidR="0020275F" w:rsidRPr="00086D70" w:rsidRDefault="0020275F" w:rsidP="0020275F">
      <w:pPr>
        <w:jc w:val="both"/>
        <w:rPr>
          <w:rFonts w:ascii="Arial" w:hAnsi="Arial" w:cs="Arial"/>
          <w:sz w:val="22"/>
          <w:szCs w:val="22"/>
          <w:lang w:val="bg-BG"/>
        </w:rPr>
      </w:pPr>
      <w:r w:rsidRPr="00946F14">
        <w:rPr>
          <w:rFonts w:ascii="Arial" w:hAnsi="Arial" w:cs="Arial"/>
          <w:sz w:val="22"/>
          <w:szCs w:val="22"/>
          <w:lang w:val="ru-RU"/>
        </w:rPr>
        <w:t xml:space="preserve">Де Ново ЕАД </w:t>
      </w:r>
      <w:r w:rsidRPr="00086D70">
        <w:rPr>
          <w:rFonts w:ascii="Arial" w:hAnsi="Arial" w:cs="Arial"/>
          <w:sz w:val="22"/>
          <w:szCs w:val="22"/>
          <w:lang w:val="bg-BG"/>
        </w:rPr>
        <w:t xml:space="preserve">изпълнява </w:t>
      </w:r>
      <w:r w:rsidRPr="00946F14">
        <w:rPr>
          <w:rFonts w:ascii="Arial" w:hAnsi="Arial" w:cs="Arial"/>
          <w:sz w:val="22"/>
          <w:szCs w:val="22"/>
          <w:lang w:val="ru-RU"/>
        </w:rPr>
        <w:t xml:space="preserve">функциите на довереник на облигационерите по емисия  </w:t>
      </w:r>
      <w:r w:rsidRPr="00086D70">
        <w:rPr>
          <w:rFonts w:ascii="Arial" w:hAnsi="Arial" w:cs="Arial"/>
          <w:sz w:val="22"/>
          <w:szCs w:val="22"/>
        </w:rPr>
        <w:t>ISIN</w:t>
      </w:r>
      <w:r w:rsidRPr="00946F14">
        <w:rPr>
          <w:rFonts w:ascii="Arial" w:hAnsi="Arial" w:cs="Arial"/>
          <w:sz w:val="22"/>
          <w:szCs w:val="22"/>
          <w:lang w:val="ru-RU"/>
        </w:rPr>
        <w:t>:</w:t>
      </w:r>
      <w:r w:rsidRPr="00086D70">
        <w:rPr>
          <w:rFonts w:ascii="Arial" w:hAnsi="Arial" w:cs="Arial"/>
          <w:sz w:val="22"/>
          <w:szCs w:val="22"/>
        </w:rPr>
        <w:t>BG</w:t>
      </w:r>
      <w:r w:rsidRPr="00946F14">
        <w:rPr>
          <w:rFonts w:ascii="Arial" w:hAnsi="Arial" w:cs="Arial"/>
          <w:sz w:val="22"/>
          <w:szCs w:val="22"/>
          <w:lang w:val="ru-RU"/>
        </w:rPr>
        <w:t>2100008189</w:t>
      </w:r>
      <w:r w:rsidR="00BF473A" w:rsidRPr="00086D70">
        <w:rPr>
          <w:rFonts w:ascii="Arial" w:hAnsi="Arial" w:cs="Arial"/>
          <w:sz w:val="22"/>
          <w:szCs w:val="22"/>
          <w:lang w:val="bg-BG"/>
        </w:rPr>
        <w:t xml:space="preserve">, на </w:t>
      </w:r>
      <w:r w:rsidRPr="00086D70">
        <w:rPr>
          <w:rFonts w:ascii="Arial" w:hAnsi="Arial" w:cs="Arial"/>
          <w:sz w:val="22"/>
          <w:szCs w:val="22"/>
          <w:lang w:val="bg-BG"/>
        </w:rPr>
        <w:t xml:space="preserve">основа </w:t>
      </w:r>
      <w:r w:rsidRPr="00946F14">
        <w:rPr>
          <w:rFonts w:ascii="Arial" w:hAnsi="Arial" w:cs="Arial"/>
          <w:sz w:val="22"/>
          <w:szCs w:val="22"/>
          <w:lang w:val="ru-RU"/>
        </w:rPr>
        <w:t>на</w:t>
      </w:r>
      <w:r w:rsidRPr="00086D70">
        <w:rPr>
          <w:rFonts w:ascii="Arial" w:hAnsi="Arial" w:cs="Arial"/>
          <w:sz w:val="22"/>
          <w:szCs w:val="22"/>
          <w:lang w:val="bg-BG"/>
        </w:rPr>
        <w:t xml:space="preserve"> договор от 16.07.2018</w:t>
      </w:r>
      <w:r w:rsidR="00B457C5" w:rsidRPr="00946F14">
        <w:rPr>
          <w:rFonts w:ascii="Arial" w:hAnsi="Arial" w:cs="Arial"/>
          <w:sz w:val="22"/>
          <w:szCs w:val="22"/>
          <w:lang w:val="ru-RU"/>
        </w:rPr>
        <w:t xml:space="preserve"> </w:t>
      </w:r>
      <w:r w:rsidRPr="00086D70">
        <w:rPr>
          <w:rFonts w:ascii="Arial" w:hAnsi="Arial" w:cs="Arial"/>
          <w:sz w:val="22"/>
          <w:szCs w:val="22"/>
          <w:lang w:val="bg-BG"/>
        </w:rPr>
        <w:t xml:space="preserve">г. сключен с емитента </w:t>
      </w:r>
      <w:r w:rsidRPr="00946F14">
        <w:rPr>
          <w:rFonts w:ascii="Arial" w:hAnsi="Arial" w:cs="Arial"/>
          <w:sz w:val="22"/>
          <w:szCs w:val="22"/>
          <w:lang w:val="ru-RU"/>
        </w:rPr>
        <w:t>Северкооп-</w:t>
      </w:r>
      <w:r w:rsidR="007B1208" w:rsidRPr="00946F14">
        <w:rPr>
          <w:rFonts w:ascii="Arial" w:hAnsi="Arial" w:cs="Arial"/>
          <w:sz w:val="22"/>
          <w:szCs w:val="22"/>
          <w:lang w:val="ru-RU"/>
        </w:rPr>
        <w:t>Гъмза</w:t>
      </w:r>
      <w:r w:rsidRPr="00946F14">
        <w:rPr>
          <w:rFonts w:ascii="Arial" w:hAnsi="Arial" w:cs="Arial"/>
          <w:sz w:val="22"/>
          <w:szCs w:val="22"/>
          <w:lang w:val="ru-RU"/>
        </w:rPr>
        <w:t xml:space="preserve"> Холдинг АД.</w:t>
      </w:r>
    </w:p>
    <w:p w14:paraId="68419C3C" w14:textId="77777777" w:rsidR="0020275F" w:rsidRPr="00086D70" w:rsidRDefault="0020275F" w:rsidP="0020275F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38138A75" w14:textId="77777777" w:rsidR="0020275F" w:rsidRPr="00086D70" w:rsidRDefault="0020275F" w:rsidP="0020275F">
      <w:pPr>
        <w:jc w:val="both"/>
        <w:rPr>
          <w:rFonts w:ascii="Arial" w:hAnsi="Arial" w:cs="Arial"/>
          <w:sz w:val="22"/>
          <w:szCs w:val="22"/>
          <w:lang w:val="bg-BG"/>
        </w:rPr>
      </w:pPr>
      <w:r w:rsidRPr="00086D70">
        <w:rPr>
          <w:rFonts w:ascii="Arial" w:hAnsi="Arial" w:cs="Arial"/>
          <w:sz w:val="22"/>
          <w:szCs w:val="22"/>
          <w:shd w:val="clear" w:color="auto" w:fill="FFFFFF"/>
          <w:lang w:val="bg-BG"/>
        </w:rPr>
        <w:t xml:space="preserve">С </w:t>
      </w:r>
      <w:r w:rsidRPr="00946F14">
        <w:rPr>
          <w:rFonts w:ascii="Arial" w:hAnsi="Arial" w:cs="Arial"/>
          <w:sz w:val="22"/>
          <w:szCs w:val="22"/>
          <w:shd w:val="clear" w:color="auto" w:fill="FFFFFF"/>
          <w:lang w:val="ru-RU"/>
        </w:rPr>
        <w:t>Решение №</w:t>
      </w:r>
      <w:r w:rsidR="00BF473A" w:rsidRPr="00086D70">
        <w:rPr>
          <w:rFonts w:ascii="Arial" w:hAnsi="Arial" w:cs="Arial"/>
          <w:sz w:val="22"/>
          <w:szCs w:val="22"/>
          <w:shd w:val="clear" w:color="auto" w:fill="FFFFFF"/>
          <w:lang w:val="bg-BG"/>
        </w:rPr>
        <w:t>1118</w:t>
      </w:r>
      <w:r w:rsidRPr="00946F14">
        <w:rPr>
          <w:rFonts w:ascii="Arial" w:hAnsi="Arial" w:cs="Arial"/>
          <w:sz w:val="22"/>
          <w:szCs w:val="22"/>
          <w:shd w:val="clear" w:color="auto" w:fill="FFFFFF"/>
          <w:lang w:val="ru-RU"/>
        </w:rPr>
        <w:t>-Е от 0</w:t>
      </w:r>
      <w:r w:rsidR="00BF473A" w:rsidRPr="00086D70">
        <w:rPr>
          <w:rFonts w:ascii="Arial" w:hAnsi="Arial" w:cs="Arial"/>
          <w:sz w:val="22"/>
          <w:szCs w:val="22"/>
          <w:shd w:val="clear" w:color="auto" w:fill="FFFFFF"/>
          <w:lang w:val="bg-BG"/>
        </w:rPr>
        <w:t>4</w:t>
      </w:r>
      <w:r w:rsidRPr="00946F14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  <w:r w:rsidR="00BF473A" w:rsidRPr="00086D70">
        <w:rPr>
          <w:rFonts w:ascii="Arial" w:hAnsi="Arial" w:cs="Arial"/>
          <w:sz w:val="22"/>
          <w:szCs w:val="22"/>
          <w:shd w:val="clear" w:color="auto" w:fill="FFFFFF"/>
          <w:lang w:val="bg-BG"/>
        </w:rPr>
        <w:t>12</w:t>
      </w:r>
      <w:r w:rsidRPr="00946F14">
        <w:rPr>
          <w:rFonts w:ascii="Arial" w:hAnsi="Arial" w:cs="Arial"/>
          <w:sz w:val="22"/>
          <w:szCs w:val="22"/>
          <w:shd w:val="clear" w:color="auto" w:fill="FFFFFF"/>
          <w:lang w:val="ru-RU"/>
        </w:rPr>
        <w:t>.2018</w:t>
      </w:r>
      <w:r w:rsidR="00573AFD" w:rsidRPr="00946F14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946F14">
        <w:rPr>
          <w:rFonts w:ascii="Arial" w:hAnsi="Arial" w:cs="Arial"/>
          <w:sz w:val="22"/>
          <w:szCs w:val="22"/>
          <w:shd w:val="clear" w:color="auto" w:fill="FFFFFF"/>
          <w:lang w:val="ru-RU"/>
        </w:rPr>
        <w:t>г.</w:t>
      </w:r>
      <w:r w:rsidRPr="00086D70">
        <w:rPr>
          <w:rFonts w:ascii="Arial" w:hAnsi="Arial" w:cs="Arial"/>
          <w:sz w:val="22"/>
          <w:szCs w:val="22"/>
          <w:shd w:val="clear" w:color="auto" w:fill="FFFFFF"/>
          <w:lang w:val="bg-BG"/>
        </w:rPr>
        <w:t xml:space="preserve">, Комисията за финансов надзор /КФН/ потвърждава Проспект за допускане до търговия на регулиран пазар на емисията облигации </w:t>
      </w:r>
      <w:r w:rsidRPr="00086D70">
        <w:rPr>
          <w:rFonts w:ascii="Arial" w:hAnsi="Arial" w:cs="Arial"/>
          <w:sz w:val="22"/>
          <w:szCs w:val="22"/>
        </w:rPr>
        <w:t>ISIN</w:t>
      </w:r>
      <w:r w:rsidRPr="00946F14">
        <w:rPr>
          <w:rFonts w:ascii="Arial" w:hAnsi="Arial" w:cs="Arial"/>
          <w:sz w:val="22"/>
          <w:szCs w:val="22"/>
          <w:lang w:val="ru-RU"/>
        </w:rPr>
        <w:t>:</w:t>
      </w:r>
      <w:r w:rsidRPr="00086D70">
        <w:rPr>
          <w:rFonts w:ascii="Arial" w:hAnsi="Arial" w:cs="Arial"/>
          <w:sz w:val="22"/>
          <w:szCs w:val="22"/>
        </w:rPr>
        <w:t>BG</w:t>
      </w:r>
      <w:r w:rsidRPr="00946F14">
        <w:rPr>
          <w:rFonts w:ascii="Arial" w:hAnsi="Arial" w:cs="Arial"/>
          <w:sz w:val="22"/>
          <w:szCs w:val="22"/>
          <w:lang w:val="ru-RU"/>
        </w:rPr>
        <w:t>2100008189</w:t>
      </w:r>
      <w:r w:rsidRPr="00086D70">
        <w:rPr>
          <w:rFonts w:ascii="Arial" w:hAnsi="Arial" w:cs="Arial"/>
          <w:sz w:val="22"/>
          <w:szCs w:val="22"/>
          <w:lang w:val="bg-BG"/>
        </w:rPr>
        <w:t xml:space="preserve">, </w:t>
      </w:r>
      <w:r w:rsidRPr="00086D70">
        <w:rPr>
          <w:rFonts w:ascii="Arial" w:hAnsi="Arial" w:cs="Arial"/>
          <w:sz w:val="22"/>
          <w:szCs w:val="22"/>
          <w:shd w:val="clear" w:color="auto" w:fill="FFFFFF"/>
          <w:lang w:val="bg-BG"/>
        </w:rPr>
        <w:t>с емитент</w:t>
      </w:r>
      <w:r w:rsidRPr="00086D70">
        <w:rPr>
          <w:rFonts w:ascii="Arial" w:hAnsi="Arial" w:cs="Arial"/>
          <w:sz w:val="22"/>
          <w:szCs w:val="22"/>
          <w:lang w:val="bg-BG"/>
        </w:rPr>
        <w:t xml:space="preserve"> </w:t>
      </w:r>
      <w:r w:rsidRPr="00946F14">
        <w:rPr>
          <w:rFonts w:ascii="Arial" w:hAnsi="Arial" w:cs="Arial"/>
          <w:sz w:val="22"/>
          <w:szCs w:val="22"/>
          <w:lang w:val="ru-RU"/>
        </w:rPr>
        <w:t>Северкооп-</w:t>
      </w:r>
      <w:r w:rsidR="007B1208" w:rsidRPr="00946F14">
        <w:rPr>
          <w:rFonts w:ascii="Arial" w:hAnsi="Arial" w:cs="Arial"/>
          <w:sz w:val="22"/>
          <w:szCs w:val="22"/>
          <w:lang w:val="ru-RU"/>
        </w:rPr>
        <w:t>Гъмза</w:t>
      </w:r>
      <w:r w:rsidRPr="00946F14">
        <w:rPr>
          <w:rFonts w:ascii="Arial" w:hAnsi="Arial" w:cs="Arial"/>
          <w:sz w:val="22"/>
          <w:szCs w:val="22"/>
          <w:lang w:val="ru-RU"/>
        </w:rPr>
        <w:t xml:space="preserve"> Холдинг АД</w:t>
      </w:r>
      <w:r w:rsidRPr="00086D70">
        <w:rPr>
          <w:rFonts w:ascii="Arial" w:hAnsi="Arial" w:cs="Arial"/>
          <w:sz w:val="22"/>
          <w:szCs w:val="22"/>
          <w:lang w:val="bg-BG"/>
        </w:rPr>
        <w:t>.</w:t>
      </w:r>
    </w:p>
    <w:p w14:paraId="60B36A1E" w14:textId="77777777" w:rsidR="0020275F" w:rsidRPr="00086D70" w:rsidRDefault="0020275F" w:rsidP="0020275F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5DFAE2E7" w14:textId="77777777" w:rsidR="00D70591" w:rsidRPr="00086D70" w:rsidRDefault="0020275F" w:rsidP="0020275F">
      <w:pPr>
        <w:jc w:val="both"/>
        <w:rPr>
          <w:rFonts w:ascii="Arial" w:hAnsi="Arial" w:cs="Arial"/>
          <w:sz w:val="22"/>
          <w:szCs w:val="22"/>
          <w:lang w:val="bg-BG"/>
        </w:rPr>
      </w:pPr>
      <w:r w:rsidRPr="00086D70">
        <w:rPr>
          <w:rFonts w:ascii="Arial" w:hAnsi="Arial" w:cs="Arial"/>
          <w:sz w:val="22"/>
          <w:szCs w:val="22"/>
          <w:shd w:val="clear" w:color="auto" w:fill="FFFFFF"/>
          <w:lang w:val="bg-BG"/>
        </w:rPr>
        <w:t xml:space="preserve">С </w:t>
      </w:r>
      <w:r w:rsidRPr="00946F14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Решение </w:t>
      </w:r>
      <w:r w:rsidRPr="00086D70">
        <w:rPr>
          <w:rFonts w:ascii="Arial" w:hAnsi="Arial" w:cs="Arial"/>
          <w:sz w:val="22"/>
          <w:szCs w:val="22"/>
          <w:shd w:val="clear" w:color="auto" w:fill="FFFFFF"/>
          <w:lang w:val="bg-BG"/>
        </w:rPr>
        <w:t>на Съвета на директорите на Българска фондова борса АД /БФБ/, БФБ допуска до търговия на основен пазар</w:t>
      </w:r>
      <w:r w:rsidRPr="00946F14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086D70">
        <w:rPr>
          <w:rFonts w:ascii="Arial" w:hAnsi="Arial" w:cs="Arial"/>
          <w:sz w:val="22"/>
          <w:szCs w:val="22"/>
          <w:shd w:val="clear" w:color="auto" w:fill="FFFFFF"/>
        </w:rPr>
        <w:t>BSE</w:t>
      </w:r>
      <w:r w:rsidRPr="00086D70">
        <w:rPr>
          <w:rFonts w:ascii="Arial" w:hAnsi="Arial" w:cs="Arial"/>
          <w:sz w:val="22"/>
          <w:szCs w:val="22"/>
          <w:shd w:val="clear" w:color="auto" w:fill="FFFFFF"/>
          <w:lang w:val="bg-BG"/>
        </w:rPr>
        <w:t xml:space="preserve">, Сегмент за облигации, емисията облигации </w:t>
      </w:r>
      <w:r w:rsidRPr="00086D70">
        <w:rPr>
          <w:rFonts w:ascii="Arial" w:hAnsi="Arial" w:cs="Arial"/>
          <w:sz w:val="22"/>
          <w:szCs w:val="22"/>
        </w:rPr>
        <w:t>ISIN</w:t>
      </w:r>
      <w:r w:rsidRPr="00946F14">
        <w:rPr>
          <w:rFonts w:ascii="Arial" w:hAnsi="Arial" w:cs="Arial"/>
          <w:sz w:val="22"/>
          <w:szCs w:val="22"/>
          <w:lang w:val="ru-RU"/>
        </w:rPr>
        <w:t>:</w:t>
      </w:r>
      <w:r w:rsidRPr="00086D70">
        <w:rPr>
          <w:rFonts w:ascii="Arial" w:hAnsi="Arial" w:cs="Arial"/>
          <w:sz w:val="22"/>
          <w:szCs w:val="22"/>
        </w:rPr>
        <w:t>BG</w:t>
      </w:r>
      <w:r w:rsidRPr="00946F14">
        <w:rPr>
          <w:rFonts w:ascii="Arial" w:hAnsi="Arial" w:cs="Arial"/>
          <w:sz w:val="22"/>
          <w:szCs w:val="22"/>
          <w:lang w:val="ru-RU"/>
        </w:rPr>
        <w:t>2100008189</w:t>
      </w:r>
      <w:r w:rsidRPr="00086D70">
        <w:rPr>
          <w:rFonts w:ascii="Arial" w:hAnsi="Arial" w:cs="Arial"/>
          <w:sz w:val="22"/>
          <w:szCs w:val="22"/>
          <w:lang w:val="bg-BG"/>
        </w:rPr>
        <w:t xml:space="preserve">, </w:t>
      </w:r>
      <w:r w:rsidRPr="00086D70">
        <w:rPr>
          <w:rFonts w:ascii="Arial" w:hAnsi="Arial" w:cs="Arial"/>
          <w:sz w:val="22"/>
          <w:szCs w:val="22"/>
          <w:shd w:val="clear" w:color="auto" w:fill="FFFFFF"/>
          <w:lang w:val="bg-BG"/>
        </w:rPr>
        <w:t>с емитент</w:t>
      </w:r>
      <w:r w:rsidRPr="00086D70">
        <w:rPr>
          <w:rFonts w:ascii="Arial" w:hAnsi="Arial" w:cs="Arial"/>
          <w:sz w:val="22"/>
          <w:szCs w:val="22"/>
          <w:lang w:val="bg-BG"/>
        </w:rPr>
        <w:t xml:space="preserve"> </w:t>
      </w:r>
      <w:r w:rsidRPr="00946F14">
        <w:rPr>
          <w:rFonts w:ascii="Arial" w:hAnsi="Arial" w:cs="Arial"/>
          <w:sz w:val="22"/>
          <w:szCs w:val="22"/>
          <w:lang w:val="ru-RU"/>
        </w:rPr>
        <w:t>Северкооп-</w:t>
      </w:r>
      <w:r w:rsidR="007B1208" w:rsidRPr="00946F14">
        <w:rPr>
          <w:rFonts w:ascii="Arial" w:hAnsi="Arial" w:cs="Arial"/>
          <w:sz w:val="22"/>
          <w:szCs w:val="22"/>
          <w:lang w:val="ru-RU"/>
        </w:rPr>
        <w:t>Гъмза</w:t>
      </w:r>
      <w:r w:rsidRPr="00946F14">
        <w:rPr>
          <w:rFonts w:ascii="Arial" w:hAnsi="Arial" w:cs="Arial"/>
          <w:sz w:val="22"/>
          <w:szCs w:val="22"/>
          <w:lang w:val="ru-RU"/>
        </w:rPr>
        <w:t xml:space="preserve"> Холдинг АД</w:t>
      </w:r>
      <w:r w:rsidRPr="00086D70">
        <w:rPr>
          <w:rFonts w:ascii="Arial" w:hAnsi="Arial" w:cs="Arial"/>
          <w:sz w:val="22"/>
          <w:szCs w:val="22"/>
          <w:lang w:val="bg-BG"/>
        </w:rPr>
        <w:t xml:space="preserve">, борсов код </w:t>
      </w:r>
      <w:r w:rsidRPr="00946F14">
        <w:rPr>
          <w:rFonts w:ascii="Arial" w:hAnsi="Arial" w:cs="Arial"/>
          <w:sz w:val="22"/>
          <w:szCs w:val="22"/>
          <w:lang w:val="ru-RU"/>
        </w:rPr>
        <w:t>6</w:t>
      </w:r>
      <w:r w:rsidRPr="00086D70">
        <w:rPr>
          <w:rFonts w:ascii="Arial" w:hAnsi="Arial" w:cs="Arial"/>
          <w:sz w:val="22"/>
          <w:szCs w:val="22"/>
        </w:rPr>
        <w:t>S</w:t>
      </w:r>
      <w:r w:rsidRPr="00946F14">
        <w:rPr>
          <w:rFonts w:ascii="Arial" w:hAnsi="Arial" w:cs="Arial"/>
          <w:sz w:val="22"/>
          <w:szCs w:val="22"/>
          <w:lang w:val="ru-RU"/>
        </w:rPr>
        <w:t>4</w:t>
      </w:r>
      <w:r w:rsidRPr="00086D70">
        <w:rPr>
          <w:rFonts w:ascii="Arial" w:hAnsi="Arial" w:cs="Arial"/>
          <w:sz w:val="22"/>
          <w:szCs w:val="22"/>
        </w:rPr>
        <w:t>N</w:t>
      </w:r>
      <w:r w:rsidRPr="00086D70">
        <w:rPr>
          <w:rFonts w:ascii="Arial" w:hAnsi="Arial" w:cs="Arial"/>
          <w:sz w:val="22"/>
          <w:szCs w:val="22"/>
          <w:lang w:val="bg-BG"/>
        </w:rPr>
        <w:t xml:space="preserve">, с начална дата за търговия </w:t>
      </w:r>
      <w:r w:rsidRPr="00946F14">
        <w:rPr>
          <w:rFonts w:ascii="Arial" w:hAnsi="Arial" w:cs="Arial"/>
          <w:sz w:val="22"/>
          <w:szCs w:val="22"/>
          <w:lang w:val="ru-RU"/>
        </w:rPr>
        <w:t>18</w:t>
      </w:r>
      <w:r w:rsidRPr="00086D70">
        <w:rPr>
          <w:rFonts w:ascii="Arial" w:hAnsi="Arial" w:cs="Arial"/>
          <w:sz w:val="22"/>
          <w:szCs w:val="22"/>
          <w:lang w:val="bg-BG"/>
        </w:rPr>
        <w:t>.</w:t>
      </w:r>
      <w:r w:rsidRPr="00946F14">
        <w:rPr>
          <w:rFonts w:ascii="Arial" w:hAnsi="Arial" w:cs="Arial"/>
          <w:sz w:val="22"/>
          <w:szCs w:val="22"/>
          <w:lang w:val="ru-RU"/>
        </w:rPr>
        <w:t>12</w:t>
      </w:r>
      <w:r w:rsidRPr="00086D70">
        <w:rPr>
          <w:rFonts w:ascii="Arial" w:hAnsi="Arial" w:cs="Arial"/>
          <w:sz w:val="22"/>
          <w:szCs w:val="22"/>
          <w:lang w:val="bg-BG"/>
        </w:rPr>
        <w:t>.2018</w:t>
      </w:r>
      <w:r w:rsidR="00AA6AAB">
        <w:rPr>
          <w:rFonts w:ascii="Arial" w:hAnsi="Arial" w:cs="Arial"/>
          <w:sz w:val="22"/>
          <w:szCs w:val="22"/>
          <w:lang w:val="bg-BG"/>
        </w:rPr>
        <w:t xml:space="preserve"> </w:t>
      </w:r>
      <w:r w:rsidRPr="00086D70">
        <w:rPr>
          <w:rFonts w:ascii="Arial" w:hAnsi="Arial" w:cs="Arial"/>
          <w:sz w:val="22"/>
          <w:szCs w:val="22"/>
          <w:lang w:val="bg-BG"/>
        </w:rPr>
        <w:t>г.</w:t>
      </w:r>
    </w:p>
    <w:p w14:paraId="7CDFA83B" w14:textId="77777777" w:rsidR="0020275F" w:rsidRPr="00086D70" w:rsidRDefault="0020275F" w:rsidP="0020275F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2B45EA5A" w14:textId="77777777" w:rsidR="0020275F" w:rsidRPr="00946F14" w:rsidRDefault="0020275F" w:rsidP="0020275F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343C4F8B" w14:textId="77777777" w:rsidR="00803B4B" w:rsidRPr="00086D70" w:rsidRDefault="00803B4B" w:rsidP="00F226FA">
      <w:pPr>
        <w:pStyle w:val="Heading1"/>
        <w:numPr>
          <w:ilvl w:val="0"/>
          <w:numId w:val="14"/>
        </w:numPr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086D70">
        <w:rPr>
          <w:rFonts w:ascii="Arial" w:hAnsi="Arial" w:cs="Arial"/>
          <w:color w:val="auto"/>
          <w:sz w:val="22"/>
          <w:szCs w:val="22"/>
        </w:rPr>
        <w:t>Финансово състояние на емитента на облигациите.</w:t>
      </w:r>
    </w:p>
    <w:p w14:paraId="08C460F7" w14:textId="77777777" w:rsidR="00AA5FC0" w:rsidRPr="00086D70" w:rsidRDefault="00AA5FC0" w:rsidP="00C94028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70C8928F" w14:textId="77777777" w:rsidR="00F60FAE" w:rsidRPr="00946F14" w:rsidRDefault="00F60FAE" w:rsidP="00F60FA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946F14">
        <w:rPr>
          <w:rFonts w:ascii="Arial" w:hAnsi="Arial" w:cs="Arial"/>
          <w:sz w:val="22"/>
          <w:szCs w:val="22"/>
          <w:lang w:val="ru-RU"/>
        </w:rPr>
        <w:t xml:space="preserve">Предметът на дейност на </w:t>
      </w:r>
      <w:bookmarkStart w:id="0" w:name="OLE_LINK275"/>
      <w:bookmarkStart w:id="1" w:name="OLE_LINK276"/>
      <w:bookmarkStart w:id="2" w:name="OLE_LINK277"/>
      <w:bookmarkStart w:id="3" w:name="OLE_LINK279"/>
      <w:bookmarkStart w:id="4" w:name="OLE_LINK280"/>
      <w:bookmarkStart w:id="5" w:name="OLE_LINK281"/>
      <w:bookmarkStart w:id="6" w:name="OLE_LINK282"/>
      <w:r w:rsidRPr="00946F14">
        <w:rPr>
          <w:rFonts w:ascii="Arial" w:hAnsi="Arial" w:cs="Arial"/>
          <w:sz w:val="22"/>
          <w:szCs w:val="22"/>
          <w:lang w:val="ru-RU"/>
        </w:rPr>
        <w:t>Северкооп-</w:t>
      </w:r>
      <w:r w:rsidR="007B1208" w:rsidRPr="00946F14">
        <w:rPr>
          <w:rFonts w:ascii="Arial" w:hAnsi="Arial" w:cs="Arial"/>
          <w:sz w:val="22"/>
          <w:szCs w:val="22"/>
          <w:lang w:val="ru-RU"/>
        </w:rPr>
        <w:t>Гъмза</w:t>
      </w:r>
      <w:r w:rsidRPr="00946F14">
        <w:rPr>
          <w:rFonts w:ascii="Arial" w:hAnsi="Arial" w:cs="Arial"/>
          <w:sz w:val="22"/>
          <w:szCs w:val="22"/>
          <w:lang w:val="ru-RU"/>
        </w:rPr>
        <w:t xml:space="preserve"> Холдинг АД</w:t>
      </w:r>
      <w:bookmarkEnd w:id="0"/>
      <w:bookmarkEnd w:id="1"/>
      <w:bookmarkEnd w:id="2"/>
      <w:bookmarkEnd w:id="3"/>
      <w:bookmarkEnd w:id="4"/>
      <w:bookmarkEnd w:id="5"/>
      <w:bookmarkEnd w:id="6"/>
      <w:r w:rsidRPr="00086D70">
        <w:rPr>
          <w:rFonts w:ascii="Arial" w:hAnsi="Arial" w:cs="Arial"/>
          <w:sz w:val="22"/>
          <w:szCs w:val="22"/>
          <w:lang w:val="bg-BG"/>
        </w:rPr>
        <w:t>, с</w:t>
      </w:r>
      <w:r w:rsidRPr="00946F14">
        <w:rPr>
          <w:rFonts w:ascii="Arial" w:hAnsi="Arial" w:cs="Arial"/>
          <w:sz w:val="22"/>
          <w:szCs w:val="22"/>
          <w:lang w:val="ru-RU"/>
        </w:rPr>
        <w:t>ъгласно неговия Устав</w:t>
      </w:r>
      <w:r w:rsidRPr="00086D70">
        <w:rPr>
          <w:rFonts w:ascii="Arial" w:hAnsi="Arial" w:cs="Arial"/>
          <w:sz w:val="22"/>
          <w:szCs w:val="22"/>
          <w:lang w:val="bg-BG"/>
        </w:rPr>
        <w:t>,</w:t>
      </w:r>
      <w:r w:rsidRPr="00946F14">
        <w:rPr>
          <w:rFonts w:ascii="Arial" w:hAnsi="Arial" w:cs="Arial"/>
          <w:sz w:val="22"/>
          <w:szCs w:val="22"/>
          <w:lang w:val="ru-RU"/>
        </w:rPr>
        <w:t xml:space="preserve"> е</w:t>
      </w:r>
      <w:r w:rsidRPr="00086D70">
        <w:rPr>
          <w:rFonts w:ascii="Arial" w:hAnsi="Arial" w:cs="Arial"/>
          <w:sz w:val="22"/>
          <w:szCs w:val="22"/>
          <w:lang w:val="bg-BG"/>
        </w:rPr>
        <w:t>:</w:t>
      </w:r>
      <w:r w:rsidRPr="00946F14">
        <w:rPr>
          <w:rFonts w:ascii="Arial" w:hAnsi="Arial" w:cs="Arial"/>
          <w:sz w:val="22"/>
          <w:szCs w:val="22"/>
          <w:lang w:val="ru-RU"/>
        </w:rPr>
        <w:t xml:space="preserve"> </w:t>
      </w:r>
      <w:r w:rsidRPr="00946F14">
        <w:rPr>
          <w:rFonts w:ascii="Arial" w:hAnsi="Arial" w:cs="Arial"/>
          <w:bCs/>
          <w:iCs/>
          <w:sz w:val="22"/>
          <w:szCs w:val="22"/>
          <w:lang w:val="ru-RU" w:eastAsia="bg-BG"/>
        </w:rPr>
        <w:t>Придобиване, управление, оценка и продажба на участия в български и чуждестранни дружества; Предоставяне на заеми на дружества, в които Холдингът има пряко участие или ги контролира; Финансиране на дружества, в които холдинговото дружество участва</w:t>
      </w:r>
      <w:r w:rsidRPr="00946F14">
        <w:rPr>
          <w:rFonts w:ascii="Arial" w:hAnsi="Arial" w:cs="Arial"/>
          <w:sz w:val="22"/>
          <w:szCs w:val="22"/>
          <w:lang w:val="ru-RU"/>
        </w:rPr>
        <w:t>.</w:t>
      </w:r>
    </w:p>
    <w:p w14:paraId="59AB65F1" w14:textId="77777777" w:rsidR="00F60FAE" w:rsidRDefault="00F60FAE" w:rsidP="0098206E">
      <w:p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lang w:val="bg-BG"/>
        </w:rPr>
      </w:pPr>
      <w:r w:rsidRPr="00946F14">
        <w:rPr>
          <w:rFonts w:ascii="Arial" w:hAnsi="Arial" w:cs="Arial"/>
          <w:sz w:val="22"/>
          <w:szCs w:val="22"/>
          <w:lang w:val="ru-RU"/>
        </w:rPr>
        <w:t>Същността на дейността на Северкооп-</w:t>
      </w:r>
      <w:r w:rsidR="007B1208" w:rsidRPr="00946F14">
        <w:rPr>
          <w:rFonts w:ascii="Arial" w:hAnsi="Arial" w:cs="Arial"/>
          <w:sz w:val="22"/>
          <w:szCs w:val="22"/>
          <w:lang w:val="ru-RU"/>
        </w:rPr>
        <w:t>Гъмза</w:t>
      </w:r>
      <w:r w:rsidRPr="00946F14">
        <w:rPr>
          <w:rFonts w:ascii="Arial" w:hAnsi="Arial" w:cs="Arial"/>
          <w:sz w:val="22"/>
          <w:szCs w:val="22"/>
          <w:lang w:val="ru-RU"/>
        </w:rPr>
        <w:t xml:space="preserve"> Холдинг АД е </w:t>
      </w:r>
      <w:r w:rsidRPr="00086D70">
        <w:rPr>
          <w:rFonts w:ascii="Arial" w:hAnsi="Arial" w:cs="Arial"/>
          <w:sz w:val="22"/>
          <w:szCs w:val="22"/>
          <w:lang w:val="bg-BG"/>
        </w:rPr>
        <w:t>концентриран</w:t>
      </w:r>
      <w:r w:rsidR="007219CD" w:rsidRPr="00086D70">
        <w:rPr>
          <w:rFonts w:ascii="Arial" w:hAnsi="Arial" w:cs="Arial"/>
          <w:sz w:val="22"/>
          <w:szCs w:val="22"/>
          <w:lang w:val="bg-BG"/>
        </w:rPr>
        <w:t>а</w:t>
      </w:r>
      <w:r w:rsidRPr="00086D70">
        <w:rPr>
          <w:rFonts w:ascii="Arial" w:hAnsi="Arial" w:cs="Arial"/>
          <w:sz w:val="22"/>
          <w:szCs w:val="22"/>
          <w:lang w:val="bg-BG"/>
        </w:rPr>
        <w:t xml:space="preserve"> </w:t>
      </w:r>
      <w:r w:rsidRPr="00946F14">
        <w:rPr>
          <w:rFonts w:ascii="Arial" w:hAnsi="Arial" w:cs="Arial"/>
          <w:sz w:val="22"/>
          <w:szCs w:val="22"/>
          <w:lang w:val="ru-RU"/>
        </w:rPr>
        <w:t>в структурирането и професионалното управление на набраните от множество индивидуални и институционални инвеститори средства в балансиран и диверсифициран портфейл от дялови участия и управлението на дъщерните дружества на Холдинга. Основната цел е формиране на диверсифициран портфейл, който да носи висока възвръщаемост за дружеството.</w:t>
      </w:r>
    </w:p>
    <w:p w14:paraId="1F72C145" w14:textId="77777777" w:rsidR="00B92AC9" w:rsidRPr="00946F14" w:rsidRDefault="00B92AC9" w:rsidP="00F60FAE">
      <w:pPr>
        <w:jc w:val="both"/>
        <w:rPr>
          <w:rFonts w:ascii="Arial" w:hAnsi="Arial" w:cs="Arial"/>
          <w:sz w:val="22"/>
          <w:szCs w:val="22"/>
          <w:lang w:val="ru-RU" w:eastAsia="x-none"/>
        </w:rPr>
      </w:pPr>
    </w:p>
    <w:p w14:paraId="106D2B11" w14:textId="77777777" w:rsidR="002E2EB1" w:rsidRPr="00946F14" w:rsidRDefault="007D2A89" w:rsidP="00F60FAE">
      <w:pPr>
        <w:jc w:val="both"/>
        <w:rPr>
          <w:rFonts w:ascii="Arial" w:hAnsi="Arial" w:cs="Arial"/>
          <w:sz w:val="22"/>
          <w:szCs w:val="22"/>
          <w:lang w:val="ru-RU" w:eastAsia="x-none"/>
        </w:rPr>
      </w:pPr>
      <w:r w:rsidRPr="00946F14">
        <w:rPr>
          <w:rFonts w:ascii="Arial" w:hAnsi="Arial" w:cs="Arial"/>
          <w:sz w:val="22"/>
          <w:szCs w:val="22"/>
          <w:lang w:val="ru-RU" w:eastAsia="x-none"/>
        </w:rPr>
        <w:t>Продължаващата и към 3</w:t>
      </w:r>
      <w:r w:rsidR="001B245D" w:rsidRPr="00946F14">
        <w:rPr>
          <w:rFonts w:ascii="Arial" w:hAnsi="Arial" w:cs="Arial"/>
          <w:sz w:val="22"/>
          <w:szCs w:val="22"/>
          <w:lang w:val="ru-RU" w:eastAsia="x-none"/>
        </w:rPr>
        <w:t>1</w:t>
      </w:r>
      <w:r w:rsidRPr="00946F14">
        <w:rPr>
          <w:rFonts w:ascii="Arial" w:hAnsi="Arial" w:cs="Arial"/>
          <w:sz w:val="22"/>
          <w:szCs w:val="22"/>
          <w:lang w:val="ru-RU" w:eastAsia="x-none"/>
        </w:rPr>
        <w:t>.</w:t>
      </w:r>
      <w:r w:rsidR="001B245D" w:rsidRPr="00946F14">
        <w:rPr>
          <w:rFonts w:ascii="Arial" w:hAnsi="Arial" w:cs="Arial"/>
          <w:sz w:val="22"/>
          <w:szCs w:val="22"/>
          <w:lang w:val="ru-RU" w:eastAsia="x-none"/>
        </w:rPr>
        <w:t>12</w:t>
      </w:r>
      <w:r w:rsidRPr="00946F14">
        <w:rPr>
          <w:rFonts w:ascii="Arial" w:hAnsi="Arial" w:cs="Arial"/>
          <w:sz w:val="22"/>
          <w:szCs w:val="22"/>
          <w:lang w:val="ru-RU" w:eastAsia="x-none"/>
        </w:rPr>
        <w:t>.202</w:t>
      </w:r>
      <w:r w:rsidR="005E5720" w:rsidRPr="00946F14">
        <w:rPr>
          <w:rFonts w:ascii="Arial" w:hAnsi="Arial" w:cs="Arial"/>
          <w:sz w:val="22"/>
          <w:szCs w:val="22"/>
          <w:lang w:val="ru-RU" w:eastAsia="x-none"/>
        </w:rPr>
        <w:t>4</w:t>
      </w:r>
      <w:r w:rsidRPr="00946F14">
        <w:rPr>
          <w:rFonts w:ascii="Arial" w:hAnsi="Arial" w:cs="Arial"/>
          <w:sz w:val="22"/>
          <w:szCs w:val="22"/>
          <w:lang w:val="ru-RU" w:eastAsia="x-none"/>
        </w:rPr>
        <w:t xml:space="preserve"> г. </w:t>
      </w:r>
      <w:r w:rsidR="00D10204">
        <w:rPr>
          <w:rFonts w:ascii="Arial" w:hAnsi="Arial" w:cs="Arial"/>
          <w:sz w:val="22"/>
          <w:szCs w:val="22"/>
          <w:lang w:val="bg-BG" w:eastAsia="x-none"/>
        </w:rPr>
        <w:t>р</w:t>
      </w:r>
      <w:r w:rsidRPr="00946F14">
        <w:rPr>
          <w:rFonts w:ascii="Arial" w:hAnsi="Arial" w:cs="Arial"/>
          <w:sz w:val="22"/>
          <w:szCs w:val="22"/>
          <w:lang w:val="ru-RU" w:eastAsia="x-none"/>
        </w:rPr>
        <w:t xml:space="preserve">уска агресия в Украйна води до нарастващо геополитическо напрежение и несигурност в икономическата обстановка. Наложени бяха поредица от пакети санкции срещу Руската Федерация и руски субекти. Извън общия негативен ефект върху макроикономическите условия в страната и в Европа, </w:t>
      </w:r>
      <w:r w:rsidR="00805776" w:rsidRPr="00946F14">
        <w:rPr>
          <w:rFonts w:ascii="Arial" w:hAnsi="Arial" w:cs="Arial"/>
          <w:sz w:val="22"/>
          <w:szCs w:val="22"/>
          <w:lang w:val="ru-RU"/>
        </w:rPr>
        <w:t>Северкооп-Гъмза Холдинг АД</w:t>
      </w:r>
      <w:r w:rsidRPr="00946F14">
        <w:rPr>
          <w:rFonts w:ascii="Arial" w:hAnsi="Arial" w:cs="Arial"/>
          <w:sz w:val="22"/>
          <w:szCs w:val="22"/>
          <w:lang w:val="ru-RU" w:eastAsia="x-none"/>
        </w:rPr>
        <w:t xml:space="preserve"> не регистрира конкретно негативно влияние от войната в Украйна върху своята дейност</w:t>
      </w:r>
      <w:r w:rsidR="005067CE">
        <w:rPr>
          <w:rFonts w:ascii="Arial" w:hAnsi="Arial" w:cs="Arial"/>
          <w:sz w:val="22"/>
          <w:szCs w:val="22"/>
          <w:lang w:val="bg-BG" w:eastAsia="x-none"/>
        </w:rPr>
        <w:t>.</w:t>
      </w:r>
    </w:p>
    <w:p w14:paraId="4719EB17" w14:textId="77777777" w:rsidR="00A56235" w:rsidRPr="00946F14" w:rsidRDefault="00A56235" w:rsidP="00F60FAE">
      <w:pPr>
        <w:jc w:val="both"/>
        <w:rPr>
          <w:rFonts w:ascii="Arial" w:hAnsi="Arial" w:cs="Arial"/>
          <w:sz w:val="22"/>
          <w:szCs w:val="22"/>
          <w:lang w:val="ru-RU" w:eastAsia="x-none"/>
        </w:rPr>
      </w:pPr>
    </w:p>
    <w:p w14:paraId="485CA8DF" w14:textId="77777777" w:rsidR="00A56235" w:rsidRPr="00946F14" w:rsidRDefault="00884877" w:rsidP="00F60FAE">
      <w:pPr>
        <w:jc w:val="both"/>
        <w:rPr>
          <w:rFonts w:ascii="Arial" w:hAnsi="Arial" w:cs="Arial"/>
          <w:sz w:val="22"/>
          <w:szCs w:val="22"/>
          <w:lang w:val="ru-RU" w:eastAsia="x-none"/>
        </w:rPr>
      </w:pPr>
      <w:r w:rsidRPr="00946F14">
        <w:rPr>
          <w:rFonts w:ascii="Arial" w:hAnsi="Arial" w:cs="Arial"/>
          <w:sz w:val="22"/>
          <w:szCs w:val="22"/>
          <w:lang w:val="ru-RU" w:eastAsia="x-none"/>
        </w:rPr>
        <w:t>След</w:t>
      </w:r>
      <w:r w:rsidR="00A56235" w:rsidRPr="00946F14">
        <w:rPr>
          <w:rFonts w:ascii="Arial" w:hAnsi="Arial" w:cs="Arial"/>
          <w:sz w:val="22"/>
          <w:szCs w:val="22"/>
          <w:lang w:val="ru-RU" w:eastAsia="x-none"/>
        </w:rPr>
        <w:t xml:space="preserve"> осъществената в края на </w:t>
      </w:r>
      <w:r w:rsidR="00E646DD" w:rsidRPr="00946F14">
        <w:rPr>
          <w:rFonts w:ascii="Arial" w:hAnsi="Arial" w:cs="Arial"/>
          <w:sz w:val="22"/>
          <w:szCs w:val="22"/>
          <w:lang w:val="ru-RU" w:eastAsia="x-none"/>
        </w:rPr>
        <w:t xml:space="preserve">2023 </w:t>
      </w:r>
      <w:r w:rsidR="00A56235" w:rsidRPr="00946F14">
        <w:rPr>
          <w:rFonts w:ascii="Arial" w:hAnsi="Arial" w:cs="Arial"/>
          <w:sz w:val="22"/>
          <w:szCs w:val="22"/>
          <w:lang w:val="ru-RU" w:eastAsia="x-none"/>
        </w:rPr>
        <w:t>година продажба на прякото участие на Северкооп-</w:t>
      </w:r>
      <w:r w:rsidR="001E7EF4">
        <w:rPr>
          <w:rFonts w:ascii="Arial" w:hAnsi="Arial" w:cs="Arial"/>
          <w:sz w:val="22"/>
          <w:szCs w:val="22"/>
          <w:lang w:val="bg-BG" w:eastAsia="x-none"/>
        </w:rPr>
        <w:t>Г</w:t>
      </w:r>
      <w:r w:rsidR="00A56235" w:rsidRPr="00946F14">
        <w:rPr>
          <w:rFonts w:ascii="Arial" w:hAnsi="Arial" w:cs="Arial"/>
          <w:sz w:val="22"/>
          <w:szCs w:val="22"/>
          <w:lang w:val="ru-RU" w:eastAsia="x-none"/>
        </w:rPr>
        <w:t xml:space="preserve">ъмза Холдинг АД </w:t>
      </w:r>
      <w:r w:rsidR="00E646DD" w:rsidRPr="00946F14">
        <w:rPr>
          <w:rFonts w:ascii="Arial" w:hAnsi="Arial" w:cs="Arial"/>
          <w:sz w:val="22"/>
          <w:szCs w:val="22"/>
          <w:lang w:val="ru-RU" w:eastAsia="x-none"/>
        </w:rPr>
        <w:t>в капитала на Устрем Холдинг АД,</w:t>
      </w:r>
      <w:r w:rsidR="00A56235" w:rsidRPr="00946F14">
        <w:rPr>
          <w:rFonts w:ascii="Arial" w:hAnsi="Arial" w:cs="Arial"/>
          <w:sz w:val="22"/>
          <w:szCs w:val="22"/>
          <w:lang w:val="ru-RU" w:eastAsia="x-none"/>
        </w:rPr>
        <w:t xml:space="preserve"> </w:t>
      </w:r>
      <w:r w:rsidR="00E646DD" w:rsidRPr="00946F14">
        <w:rPr>
          <w:rFonts w:ascii="Arial" w:hAnsi="Arial" w:cs="Arial"/>
          <w:sz w:val="22"/>
          <w:szCs w:val="22"/>
          <w:lang w:val="ru-RU" w:eastAsia="x-none"/>
        </w:rPr>
        <w:t>к</w:t>
      </w:r>
      <w:r w:rsidR="00A56235" w:rsidRPr="00946F14">
        <w:rPr>
          <w:rFonts w:ascii="Arial" w:hAnsi="Arial" w:cs="Arial"/>
          <w:sz w:val="22"/>
          <w:szCs w:val="22"/>
          <w:lang w:val="ru-RU" w:eastAsia="x-none"/>
        </w:rPr>
        <w:t>ъм 31.12.2023</w:t>
      </w:r>
      <w:r w:rsidR="001E7EF4">
        <w:rPr>
          <w:rFonts w:ascii="Arial" w:hAnsi="Arial" w:cs="Arial"/>
          <w:sz w:val="22"/>
          <w:szCs w:val="22"/>
          <w:lang w:val="bg-BG" w:eastAsia="x-none"/>
        </w:rPr>
        <w:t xml:space="preserve"> </w:t>
      </w:r>
      <w:r w:rsidR="00A56235" w:rsidRPr="00946F14">
        <w:rPr>
          <w:rFonts w:ascii="Arial" w:hAnsi="Arial" w:cs="Arial"/>
          <w:sz w:val="22"/>
          <w:szCs w:val="22"/>
          <w:lang w:val="ru-RU" w:eastAsia="x-none"/>
        </w:rPr>
        <w:t>г.</w:t>
      </w:r>
      <w:r w:rsidR="007938F3" w:rsidRPr="00946F14">
        <w:rPr>
          <w:rFonts w:ascii="Arial" w:hAnsi="Arial" w:cs="Arial"/>
          <w:sz w:val="22"/>
          <w:szCs w:val="22"/>
          <w:lang w:val="ru-RU" w:eastAsia="x-none"/>
        </w:rPr>
        <w:t>,</w:t>
      </w:r>
      <w:r w:rsidR="00A56235" w:rsidRPr="00946F14">
        <w:rPr>
          <w:rFonts w:ascii="Arial" w:hAnsi="Arial" w:cs="Arial"/>
          <w:sz w:val="22"/>
          <w:szCs w:val="22"/>
          <w:lang w:val="ru-RU" w:eastAsia="x-none"/>
        </w:rPr>
        <w:t xml:space="preserve"> </w:t>
      </w:r>
      <w:r w:rsidR="00A56235" w:rsidRPr="00946F14">
        <w:rPr>
          <w:rFonts w:ascii="Arial" w:hAnsi="Arial" w:cs="Arial"/>
          <w:sz w:val="22"/>
          <w:szCs w:val="22"/>
          <w:lang w:val="ru-RU" w:eastAsia="x-none"/>
        </w:rPr>
        <w:lastRenderedPageBreak/>
        <w:t>Устрем Холдинг АД вече не е включено в консолидацията</w:t>
      </w:r>
      <w:r w:rsidR="007938F3" w:rsidRPr="00946F14">
        <w:rPr>
          <w:rFonts w:ascii="Arial" w:hAnsi="Arial" w:cs="Arial"/>
          <w:sz w:val="22"/>
          <w:szCs w:val="22"/>
          <w:lang w:val="ru-RU" w:eastAsia="x-none"/>
        </w:rPr>
        <w:t xml:space="preserve">, поради което и </w:t>
      </w:r>
      <w:r w:rsidR="00E646DD" w:rsidRPr="00946F14">
        <w:rPr>
          <w:rFonts w:ascii="Arial" w:hAnsi="Arial" w:cs="Arial"/>
          <w:sz w:val="22"/>
          <w:szCs w:val="22"/>
          <w:lang w:val="ru-RU" w:eastAsia="x-none"/>
        </w:rPr>
        <w:t>балансовото число</w:t>
      </w:r>
      <w:r w:rsidR="007938F3" w:rsidRPr="00946F14">
        <w:rPr>
          <w:rFonts w:ascii="Arial" w:hAnsi="Arial" w:cs="Arial"/>
          <w:sz w:val="22"/>
          <w:szCs w:val="22"/>
          <w:lang w:val="ru-RU" w:eastAsia="x-none"/>
        </w:rPr>
        <w:t xml:space="preserve"> на емитента</w:t>
      </w:r>
      <w:r w:rsidR="00E646DD" w:rsidRPr="00946F14">
        <w:rPr>
          <w:rFonts w:ascii="Arial" w:hAnsi="Arial" w:cs="Arial"/>
          <w:sz w:val="22"/>
          <w:szCs w:val="22"/>
          <w:lang w:val="ru-RU" w:eastAsia="x-none"/>
        </w:rPr>
        <w:t xml:space="preserve"> значително спадна</w:t>
      </w:r>
      <w:r w:rsidR="007938F3" w:rsidRPr="00946F14">
        <w:rPr>
          <w:rFonts w:ascii="Arial" w:hAnsi="Arial" w:cs="Arial"/>
          <w:sz w:val="22"/>
          <w:szCs w:val="22"/>
          <w:lang w:val="ru-RU" w:eastAsia="x-none"/>
        </w:rPr>
        <w:t>.</w:t>
      </w:r>
      <w:r w:rsidR="00E646DD" w:rsidRPr="00946F14">
        <w:rPr>
          <w:rFonts w:ascii="Arial" w:hAnsi="Arial" w:cs="Arial"/>
          <w:sz w:val="22"/>
          <w:szCs w:val="22"/>
          <w:lang w:val="ru-RU" w:eastAsia="x-none"/>
        </w:rPr>
        <w:t xml:space="preserve"> През </w:t>
      </w:r>
      <w:r w:rsidR="00D15B17" w:rsidRPr="00946F14">
        <w:rPr>
          <w:rFonts w:ascii="Arial" w:hAnsi="Arial" w:cs="Arial"/>
          <w:sz w:val="22"/>
          <w:szCs w:val="22"/>
          <w:lang w:val="ru-RU" w:eastAsia="x-none"/>
        </w:rPr>
        <w:t>второто</w:t>
      </w:r>
      <w:r w:rsidR="00E646DD" w:rsidRPr="00946F14">
        <w:rPr>
          <w:rFonts w:ascii="Arial" w:hAnsi="Arial" w:cs="Arial"/>
          <w:sz w:val="22"/>
          <w:szCs w:val="22"/>
          <w:lang w:val="ru-RU" w:eastAsia="x-none"/>
        </w:rPr>
        <w:t xml:space="preserve"> тримесечие </w:t>
      </w:r>
      <w:r w:rsidR="00D15B17" w:rsidRPr="00946F14">
        <w:rPr>
          <w:rFonts w:ascii="Arial" w:hAnsi="Arial" w:cs="Arial"/>
          <w:sz w:val="22"/>
          <w:szCs w:val="22"/>
          <w:lang w:val="ru-RU" w:eastAsia="x-none"/>
        </w:rPr>
        <w:t>на 2024</w:t>
      </w:r>
      <w:r w:rsidR="0011129A" w:rsidRPr="00946F14">
        <w:rPr>
          <w:rFonts w:ascii="Arial" w:hAnsi="Arial" w:cs="Arial"/>
          <w:sz w:val="22"/>
          <w:szCs w:val="22"/>
          <w:lang w:val="ru-RU" w:eastAsia="x-none"/>
        </w:rPr>
        <w:t xml:space="preserve"> </w:t>
      </w:r>
      <w:r w:rsidR="00D15B17" w:rsidRPr="00946F14">
        <w:rPr>
          <w:rFonts w:ascii="Arial" w:hAnsi="Arial" w:cs="Arial"/>
          <w:sz w:val="22"/>
          <w:szCs w:val="22"/>
          <w:lang w:val="ru-RU" w:eastAsia="x-none"/>
        </w:rPr>
        <w:t xml:space="preserve">г., </w:t>
      </w:r>
      <w:r w:rsidR="00E646DD" w:rsidRPr="00946F14">
        <w:rPr>
          <w:rFonts w:ascii="Arial" w:hAnsi="Arial" w:cs="Arial"/>
          <w:sz w:val="22"/>
          <w:szCs w:val="22"/>
          <w:lang w:val="ru-RU" w:eastAsia="x-none"/>
        </w:rPr>
        <w:t>Северкооп-</w:t>
      </w:r>
      <w:r w:rsidR="00E646DD">
        <w:rPr>
          <w:rFonts w:ascii="Arial" w:hAnsi="Arial" w:cs="Arial"/>
          <w:sz w:val="22"/>
          <w:szCs w:val="22"/>
          <w:lang w:val="bg-BG" w:eastAsia="x-none"/>
        </w:rPr>
        <w:t>Г</w:t>
      </w:r>
      <w:r w:rsidR="00E646DD" w:rsidRPr="00946F14">
        <w:rPr>
          <w:rFonts w:ascii="Arial" w:hAnsi="Arial" w:cs="Arial"/>
          <w:sz w:val="22"/>
          <w:szCs w:val="22"/>
          <w:lang w:val="ru-RU" w:eastAsia="x-none"/>
        </w:rPr>
        <w:t>ъмза Холдинг АД емитира нова облигационна емисия в размер на 26 млн. лева, поради което наблюдава</w:t>
      </w:r>
      <w:r w:rsidR="00D15B17" w:rsidRPr="00946F14">
        <w:rPr>
          <w:rFonts w:ascii="Arial" w:hAnsi="Arial" w:cs="Arial"/>
          <w:sz w:val="22"/>
          <w:szCs w:val="22"/>
          <w:lang w:val="ru-RU" w:eastAsia="x-none"/>
        </w:rPr>
        <w:t>х</w:t>
      </w:r>
      <w:r w:rsidR="00E646DD" w:rsidRPr="00946F14">
        <w:rPr>
          <w:rFonts w:ascii="Arial" w:hAnsi="Arial" w:cs="Arial"/>
          <w:sz w:val="22"/>
          <w:szCs w:val="22"/>
          <w:lang w:val="ru-RU" w:eastAsia="x-none"/>
        </w:rPr>
        <w:t>ме обратната динамика, а именно съществено нарастване на баланса на емитента.</w:t>
      </w:r>
      <w:r w:rsidR="00D15B17" w:rsidRPr="00946F14">
        <w:rPr>
          <w:rFonts w:ascii="Arial" w:hAnsi="Arial" w:cs="Arial"/>
          <w:sz w:val="22"/>
          <w:szCs w:val="22"/>
          <w:lang w:val="ru-RU" w:eastAsia="x-none"/>
        </w:rPr>
        <w:t xml:space="preserve"> След тези съществени изменения в баланса</w:t>
      </w:r>
      <w:r w:rsidR="001B245D" w:rsidRPr="00946F14">
        <w:rPr>
          <w:rFonts w:ascii="Arial" w:hAnsi="Arial" w:cs="Arial"/>
          <w:sz w:val="22"/>
          <w:szCs w:val="22"/>
          <w:lang w:val="ru-RU" w:eastAsia="x-none"/>
        </w:rPr>
        <w:t xml:space="preserve"> на </w:t>
      </w:r>
      <w:r w:rsidR="001B245D" w:rsidRPr="00946F14">
        <w:rPr>
          <w:rFonts w:ascii="Arial" w:hAnsi="Arial" w:cs="Arial"/>
          <w:sz w:val="22"/>
          <w:szCs w:val="22"/>
          <w:lang w:val="ru-RU"/>
        </w:rPr>
        <w:t>Северкооп-Гъмза Холдинг АД</w:t>
      </w:r>
      <w:r w:rsidR="00D15B17" w:rsidRPr="00946F14">
        <w:rPr>
          <w:rFonts w:ascii="Arial" w:hAnsi="Arial" w:cs="Arial"/>
          <w:sz w:val="22"/>
          <w:szCs w:val="22"/>
          <w:lang w:val="ru-RU" w:eastAsia="x-none"/>
        </w:rPr>
        <w:t>, през разглеждания в доклада период балансовото число на емитента остава относително стабилно.</w:t>
      </w:r>
    </w:p>
    <w:p w14:paraId="25C752D9" w14:textId="77777777" w:rsidR="00021FCA" w:rsidRPr="00946F14" w:rsidRDefault="00021FCA" w:rsidP="00021FCA">
      <w:pPr>
        <w:pStyle w:val="Heading2"/>
        <w:ind w:left="360"/>
        <w:rPr>
          <w:rFonts w:ascii="Arial" w:hAnsi="Arial" w:cs="Arial"/>
          <w:b w:val="0"/>
          <w:bCs w:val="0"/>
          <w:sz w:val="22"/>
          <w:szCs w:val="22"/>
          <w:lang w:val="ru-RU"/>
        </w:rPr>
      </w:pPr>
    </w:p>
    <w:p w14:paraId="6AC20E85" w14:textId="77777777" w:rsidR="00E635BD" w:rsidRPr="00946F14" w:rsidRDefault="00E635BD" w:rsidP="000B3B86">
      <w:pPr>
        <w:rPr>
          <w:lang w:val="ru-RU" w:eastAsia="x-none"/>
        </w:rPr>
      </w:pPr>
    </w:p>
    <w:p w14:paraId="31B3ED4B" w14:textId="77777777" w:rsidR="00803B4B" w:rsidRPr="00086D70" w:rsidRDefault="00803B4B" w:rsidP="00F226FA">
      <w:pPr>
        <w:pStyle w:val="Heading2"/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086D70">
        <w:rPr>
          <w:rFonts w:ascii="Arial" w:hAnsi="Arial" w:cs="Arial"/>
          <w:sz w:val="22"/>
          <w:szCs w:val="22"/>
        </w:rPr>
        <w:t xml:space="preserve">Анализ на активите на </w:t>
      </w:r>
      <w:r w:rsidR="00783226" w:rsidRPr="00086D70">
        <w:rPr>
          <w:rFonts w:ascii="Arial" w:hAnsi="Arial" w:cs="Arial"/>
          <w:sz w:val="22"/>
          <w:szCs w:val="22"/>
        </w:rPr>
        <w:t>Северкооп-</w:t>
      </w:r>
      <w:r w:rsidR="007B1208">
        <w:rPr>
          <w:rFonts w:ascii="Arial" w:hAnsi="Arial" w:cs="Arial"/>
          <w:sz w:val="22"/>
          <w:szCs w:val="22"/>
        </w:rPr>
        <w:t>Гъмза</w:t>
      </w:r>
      <w:r w:rsidR="00783226" w:rsidRPr="00086D70">
        <w:rPr>
          <w:rFonts w:ascii="Arial" w:hAnsi="Arial" w:cs="Arial"/>
          <w:sz w:val="22"/>
          <w:szCs w:val="22"/>
        </w:rPr>
        <w:t xml:space="preserve"> Холдинг АД</w:t>
      </w:r>
    </w:p>
    <w:p w14:paraId="5EA31C14" w14:textId="77777777" w:rsidR="000C0985" w:rsidRPr="00086D70" w:rsidRDefault="000C0985" w:rsidP="00766BFC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32791032" w14:textId="77777777" w:rsidR="00032520" w:rsidRPr="00946F14" w:rsidRDefault="005B6158" w:rsidP="00A27A66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 w:rsidRPr="00946F14">
        <w:rPr>
          <w:rFonts w:ascii="Arial" w:hAnsi="Arial" w:cs="Arial"/>
          <w:lang w:val="ru-RU"/>
        </w:rPr>
        <w:t xml:space="preserve">Към </w:t>
      </w:r>
      <w:r w:rsidR="001B245D" w:rsidRPr="00946F14">
        <w:rPr>
          <w:rFonts w:ascii="Arial" w:hAnsi="Arial" w:cs="Arial"/>
          <w:lang w:val="ru-RU"/>
        </w:rPr>
        <w:t>края на 2024 година</w:t>
      </w:r>
      <w:r w:rsidR="0056654E" w:rsidRPr="00086D70">
        <w:rPr>
          <w:rFonts w:ascii="Arial" w:hAnsi="Arial" w:cs="Arial"/>
        </w:rPr>
        <w:t>,</w:t>
      </w:r>
      <w:r w:rsidR="0031114E" w:rsidRPr="00086D70">
        <w:rPr>
          <w:rFonts w:ascii="Arial" w:hAnsi="Arial" w:cs="Arial"/>
        </w:rPr>
        <w:t xml:space="preserve"> активите на </w:t>
      </w:r>
      <w:r w:rsidR="00783226" w:rsidRPr="00086D70">
        <w:rPr>
          <w:rFonts w:ascii="Arial" w:hAnsi="Arial" w:cs="Arial"/>
        </w:rPr>
        <w:t>Северкооп-</w:t>
      </w:r>
      <w:r w:rsidR="007B1208">
        <w:rPr>
          <w:rFonts w:ascii="Arial" w:hAnsi="Arial" w:cs="Arial"/>
        </w:rPr>
        <w:t>Гъмза</w:t>
      </w:r>
      <w:r w:rsidR="00783226" w:rsidRPr="00086D70">
        <w:rPr>
          <w:rFonts w:ascii="Arial" w:hAnsi="Arial" w:cs="Arial"/>
        </w:rPr>
        <w:t xml:space="preserve"> Холдинг АД</w:t>
      </w:r>
      <w:r w:rsidR="003D617E">
        <w:rPr>
          <w:rFonts w:ascii="Arial" w:hAnsi="Arial" w:cs="Arial"/>
        </w:rPr>
        <w:t>, на консолидирана основа,</w:t>
      </w:r>
      <w:r w:rsidR="00803B4B" w:rsidRPr="00086D70">
        <w:rPr>
          <w:rFonts w:ascii="Arial" w:hAnsi="Arial" w:cs="Arial"/>
        </w:rPr>
        <w:t xml:space="preserve"> </w:t>
      </w:r>
      <w:r w:rsidR="00E646DD" w:rsidRPr="00946F14">
        <w:rPr>
          <w:rFonts w:ascii="Arial" w:hAnsi="Arial" w:cs="Arial"/>
          <w:lang w:val="ru-RU"/>
        </w:rPr>
        <w:t xml:space="preserve">отбелязват </w:t>
      </w:r>
      <w:r w:rsidR="000205B4" w:rsidRPr="00946F14">
        <w:rPr>
          <w:rFonts w:ascii="Arial" w:hAnsi="Arial" w:cs="Arial"/>
          <w:lang w:val="ru-RU"/>
        </w:rPr>
        <w:t>лек спад</w:t>
      </w:r>
      <w:r w:rsidR="00043115" w:rsidRPr="00946F14">
        <w:rPr>
          <w:rFonts w:ascii="Arial" w:hAnsi="Arial" w:cs="Arial"/>
          <w:lang w:val="ru-RU"/>
        </w:rPr>
        <w:t xml:space="preserve"> </w:t>
      </w:r>
      <w:r w:rsidR="007A2961" w:rsidRPr="00086D70">
        <w:rPr>
          <w:rFonts w:ascii="Arial" w:hAnsi="Arial" w:cs="Arial"/>
        </w:rPr>
        <w:t>до ниво от</w:t>
      </w:r>
      <w:r w:rsidR="00282959" w:rsidRPr="00946F14">
        <w:rPr>
          <w:rFonts w:ascii="Arial" w:hAnsi="Arial" w:cs="Arial"/>
          <w:lang w:val="ru-RU"/>
        </w:rPr>
        <w:t xml:space="preserve"> </w:t>
      </w:r>
      <w:r w:rsidR="00E646DD" w:rsidRPr="00946F14">
        <w:rPr>
          <w:rFonts w:ascii="Arial" w:hAnsi="Arial" w:cs="Arial"/>
          <w:lang w:val="ru-RU"/>
        </w:rPr>
        <w:t>8</w:t>
      </w:r>
      <w:r w:rsidR="001B245D" w:rsidRPr="00946F14">
        <w:rPr>
          <w:rFonts w:ascii="Arial" w:hAnsi="Arial" w:cs="Arial"/>
          <w:lang w:val="ru-RU"/>
        </w:rPr>
        <w:t>2</w:t>
      </w:r>
      <w:r w:rsidR="00A3038C" w:rsidRPr="00946F14">
        <w:rPr>
          <w:rFonts w:ascii="Arial" w:hAnsi="Arial" w:cs="Arial"/>
          <w:lang w:val="ru-RU"/>
        </w:rPr>
        <w:t>,</w:t>
      </w:r>
      <w:r w:rsidR="001B245D" w:rsidRPr="00946F14">
        <w:rPr>
          <w:rFonts w:ascii="Arial" w:hAnsi="Arial" w:cs="Arial"/>
          <w:lang w:val="ru-RU"/>
        </w:rPr>
        <w:t>688</w:t>
      </w:r>
      <w:r w:rsidR="007A2961">
        <w:rPr>
          <w:rFonts w:ascii="Arial" w:hAnsi="Arial" w:cs="Arial"/>
        </w:rPr>
        <w:t xml:space="preserve"> млн. лева </w:t>
      </w:r>
      <w:r w:rsidR="00A8780F" w:rsidRPr="00946F14">
        <w:rPr>
          <w:rFonts w:ascii="Arial" w:hAnsi="Arial" w:cs="Arial"/>
          <w:lang w:val="ru-RU"/>
        </w:rPr>
        <w:t>/</w:t>
      </w:r>
      <w:r w:rsidR="00D15B17" w:rsidRPr="00946F14">
        <w:rPr>
          <w:rFonts w:ascii="Arial" w:hAnsi="Arial" w:cs="Arial"/>
          <w:lang w:val="ru-RU"/>
        </w:rPr>
        <w:t>-</w:t>
      </w:r>
      <w:r w:rsidR="00E646DD" w:rsidRPr="00946F14">
        <w:rPr>
          <w:rFonts w:ascii="Arial" w:hAnsi="Arial" w:cs="Arial"/>
          <w:lang w:val="ru-RU"/>
        </w:rPr>
        <w:t>1</w:t>
      </w:r>
      <w:r w:rsidR="00A8780F">
        <w:rPr>
          <w:rFonts w:ascii="Arial" w:hAnsi="Arial" w:cs="Arial"/>
        </w:rPr>
        <w:t>.</w:t>
      </w:r>
      <w:r w:rsidR="001B245D" w:rsidRPr="00946F14">
        <w:rPr>
          <w:rFonts w:ascii="Arial" w:hAnsi="Arial" w:cs="Arial"/>
          <w:lang w:val="ru-RU"/>
        </w:rPr>
        <w:t>37</w:t>
      </w:r>
      <w:r w:rsidR="00A8780F">
        <w:rPr>
          <w:rFonts w:ascii="Arial" w:hAnsi="Arial" w:cs="Arial"/>
        </w:rPr>
        <w:t>%</w:t>
      </w:r>
      <w:r w:rsidR="00A8780F" w:rsidRPr="00946F14">
        <w:rPr>
          <w:rFonts w:ascii="Arial" w:hAnsi="Arial" w:cs="Arial"/>
          <w:lang w:val="ru-RU"/>
        </w:rPr>
        <w:t>/</w:t>
      </w:r>
      <w:r w:rsidR="00A8780F" w:rsidRPr="00086D70">
        <w:rPr>
          <w:rFonts w:ascii="Arial" w:hAnsi="Arial" w:cs="Arial"/>
        </w:rPr>
        <w:t xml:space="preserve"> </w:t>
      </w:r>
      <w:r w:rsidR="00915683">
        <w:rPr>
          <w:rFonts w:ascii="Arial" w:hAnsi="Arial" w:cs="Arial"/>
        </w:rPr>
        <w:t>спрямо</w:t>
      </w:r>
      <w:r w:rsidR="00A3038C" w:rsidRPr="00946F14">
        <w:rPr>
          <w:rFonts w:ascii="Arial" w:hAnsi="Arial" w:cs="Arial"/>
          <w:lang w:val="ru-RU"/>
        </w:rPr>
        <w:t xml:space="preserve"> </w:t>
      </w:r>
      <w:r w:rsidR="000205B4" w:rsidRPr="00946F14">
        <w:rPr>
          <w:rFonts w:ascii="Arial" w:hAnsi="Arial" w:cs="Arial"/>
          <w:lang w:val="ru-RU"/>
        </w:rPr>
        <w:t>8</w:t>
      </w:r>
      <w:r w:rsidR="001B245D" w:rsidRPr="00946F14">
        <w:rPr>
          <w:rFonts w:ascii="Arial" w:hAnsi="Arial" w:cs="Arial"/>
          <w:lang w:val="ru-RU"/>
        </w:rPr>
        <w:t>3</w:t>
      </w:r>
      <w:r w:rsidR="000205B4" w:rsidRPr="00946F14">
        <w:rPr>
          <w:rFonts w:ascii="Arial" w:hAnsi="Arial" w:cs="Arial"/>
          <w:lang w:val="ru-RU"/>
        </w:rPr>
        <w:t>,</w:t>
      </w:r>
      <w:r w:rsidR="001B245D" w:rsidRPr="00946F14">
        <w:rPr>
          <w:rFonts w:ascii="Arial" w:hAnsi="Arial" w:cs="Arial"/>
          <w:lang w:val="ru-RU"/>
        </w:rPr>
        <w:t>835</w:t>
      </w:r>
      <w:r w:rsidR="000205B4" w:rsidRPr="00946F14">
        <w:rPr>
          <w:rFonts w:ascii="Arial" w:hAnsi="Arial" w:cs="Arial"/>
          <w:lang w:val="ru-RU"/>
        </w:rPr>
        <w:t xml:space="preserve"> </w:t>
      </w:r>
      <w:r w:rsidR="007A2961" w:rsidRPr="00086D70">
        <w:rPr>
          <w:rFonts w:ascii="Arial" w:hAnsi="Arial" w:cs="Arial"/>
        </w:rPr>
        <w:t xml:space="preserve">млн. лева към </w:t>
      </w:r>
      <w:r w:rsidR="001B245D" w:rsidRPr="00946F14">
        <w:rPr>
          <w:rFonts w:ascii="Arial" w:hAnsi="Arial" w:cs="Arial"/>
          <w:lang w:val="ru-RU"/>
        </w:rPr>
        <w:t>30.09.</w:t>
      </w:r>
      <w:r w:rsidR="007A2961" w:rsidRPr="00086D70">
        <w:rPr>
          <w:rFonts w:ascii="Arial" w:hAnsi="Arial" w:cs="Arial"/>
        </w:rPr>
        <w:t>20</w:t>
      </w:r>
      <w:r w:rsidR="00342B26" w:rsidRPr="00946F14">
        <w:rPr>
          <w:rFonts w:ascii="Arial" w:hAnsi="Arial" w:cs="Arial"/>
          <w:lang w:val="ru-RU"/>
        </w:rPr>
        <w:t>2</w:t>
      </w:r>
      <w:r w:rsidR="00E646DD" w:rsidRPr="00946F14">
        <w:rPr>
          <w:rFonts w:ascii="Arial" w:hAnsi="Arial" w:cs="Arial"/>
          <w:lang w:val="ru-RU"/>
        </w:rPr>
        <w:t>4</w:t>
      </w:r>
      <w:r w:rsidR="007D3B3E" w:rsidRPr="00946F14">
        <w:rPr>
          <w:rFonts w:ascii="Arial" w:hAnsi="Arial" w:cs="Arial"/>
          <w:lang w:val="ru-RU"/>
        </w:rPr>
        <w:t xml:space="preserve"> </w:t>
      </w:r>
      <w:r w:rsidR="007A2961" w:rsidRPr="00086D70">
        <w:rPr>
          <w:rFonts w:ascii="Arial" w:hAnsi="Arial" w:cs="Arial"/>
        </w:rPr>
        <w:t>г.</w:t>
      </w:r>
      <w:r w:rsidR="00A27A66" w:rsidRPr="00086D70">
        <w:rPr>
          <w:rFonts w:ascii="Arial" w:hAnsi="Arial" w:cs="Arial"/>
        </w:rPr>
        <w:t xml:space="preserve"> </w:t>
      </w:r>
    </w:p>
    <w:p w14:paraId="696F1B57" w14:textId="77777777" w:rsidR="000D2F6D" w:rsidRPr="006D5653" w:rsidRDefault="000D2F6D" w:rsidP="00A27A66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W w:w="517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242"/>
        <w:gridCol w:w="1267"/>
        <w:gridCol w:w="1255"/>
        <w:gridCol w:w="1253"/>
      </w:tblGrid>
      <w:tr w:rsidR="00064076" w:rsidRPr="00086D70" w14:paraId="6ED678D1" w14:textId="77777777" w:rsidTr="00E91C9F">
        <w:trPr>
          <w:trHeight w:val="274"/>
        </w:trPr>
        <w:tc>
          <w:tcPr>
            <w:tcW w:w="2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8B5E4" w14:textId="77777777" w:rsidR="00064076" w:rsidRPr="00086D70" w:rsidRDefault="00064076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Активи</w:t>
            </w:r>
          </w:p>
          <w:p w14:paraId="3FE6CB23" w14:textId="77777777" w:rsidR="00064076" w:rsidRPr="00086D70" w:rsidRDefault="00064076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BD95B" w14:textId="77777777" w:rsidR="00064076" w:rsidRPr="00086D70" w:rsidRDefault="00064076" w:rsidP="00E91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31.12.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E3128" w14:textId="77777777" w:rsidR="00064076" w:rsidRPr="00086D70" w:rsidRDefault="00064076" w:rsidP="00E91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30.09.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40D08EBE" w14:textId="77777777" w:rsidR="00064076" w:rsidRDefault="00064076" w:rsidP="00E91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31.12.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 </w:t>
            </w:r>
          </w:p>
          <w:p w14:paraId="1C00E63E" w14:textId="77777777" w:rsidR="00064076" w:rsidRPr="00086D70" w:rsidRDefault="00064076" w:rsidP="00E91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14:paraId="698D9C7B" w14:textId="77777777" w:rsidR="00064076" w:rsidRPr="00086D70" w:rsidRDefault="00064076" w:rsidP="00E91C9F">
            <w:pP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30.09.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91138" w14:textId="77777777" w:rsidR="00064076" w:rsidRPr="00086D70" w:rsidRDefault="00064076" w:rsidP="00E91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 от активите, 31.12.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4076" w:rsidRPr="00086D70" w14:paraId="290C6660" w14:textId="77777777" w:rsidTr="00E91C9F">
        <w:trPr>
          <w:trHeight w:val="277"/>
        </w:trPr>
        <w:tc>
          <w:tcPr>
            <w:tcW w:w="2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5E449" w14:textId="77777777" w:rsidR="00064076" w:rsidRPr="00086D70" w:rsidRDefault="00064076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38FD2" w14:textId="77777777" w:rsidR="00064076" w:rsidRPr="00086D70" w:rsidRDefault="00064076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‘000 лв.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15A2F" w14:textId="77777777" w:rsidR="00064076" w:rsidRPr="00086D70" w:rsidRDefault="00064076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‘000 лв.</w:t>
            </w:r>
          </w:p>
        </w:tc>
        <w:tc>
          <w:tcPr>
            <w:tcW w:w="6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D9051" w14:textId="77777777" w:rsidR="00064076" w:rsidRPr="00086D70" w:rsidRDefault="00064076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6C10" w14:textId="77777777" w:rsidR="00064076" w:rsidRPr="00086D70" w:rsidRDefault="00064076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4076" w:rsidRPr="00086D70" w14:paraId="19437F90" w14:textId="77777777" w:rsidTr="00E91C9F">
        <w:trPr>
          <w:trHeight w:val="33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02C11" w14:textId="77777777" w:rsidR="00064076" w:rsidRPr="00086D70" w:rsidRDefault="00064076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Нетекущи активи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7750B" w14:textId="77777777" w:rsidR="00064076" w:rsidRPr="00086D70" w:rsidRDefault="00064076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22446" w14:textId="77777777" w:rsidR="00064076" w:rsidRPr="00086D70" w:rsidRDefault="00064076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6863E" w14:textId="77777777" w:rsidR="00064076" w:rsidRPr="00086D70" w:rsidRDefault="00064076" w:rsidP="00E91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D7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8D942" w14:textId="77777777" w:rsidR="00064076" w:rsidRPr="00086D70" w:rsidRDefault="00064076" w:rsidP="00E91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D7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064076" w:rsidRPr="00E24240" w14:paraId="3BBCB0DA" w14:textId="77777777" w:rsidTr="00E91C9F">
        <w:trPr>
          <w:trHeight w:val="33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816ED5" w14:textId="77777777" w:rsidR="00064076" w:rsidRPr="00086D70" w:rsidRDefault="00064076" w:rsidP="00E91C9F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86D70">
              <w:rPr>
                <w:rFonts w:ascii="Arial" w:hAnsi="Arial" w:cs="Arial"/>
                <w:sz w:val="20"/>
                <w:szCs w:val="20"/>
                <w:lang w:val="bg-BG"/>
              </w:rPr>
              <w:t>Имоти, машини и съоръжения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85D211" w14:textId="77777777" w:rsidR="00064076" w:rsidRPr="001C2122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D8DD93" w14:textId="77777777" w:rsidR="00064076" w:rsidRPr="001C2122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90C92" w14:textId="77777777" w:rsidR="00064076" w:rsidRPr="00040662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41169" w14:textId="77777777" w:rsidR="00064076" w:rsidRPr="002C02F9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</w:tr>
      <w:tr w:rsidR="00064076" w:rsidRPr="00E24240" w14:paraId="22FD2D7A" w14:textId="77777777" w:rsidTr="00E91C9F">
        <w:trPr>
          <w:trHeight w:val="33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D96E84" w14:textId="77777777" w:rsidR="00064076" w:rsidRPr="00086D70" w:rsidRDefault="00064076" w:rsidP="00E91C9F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Инвестиции в асоциирани предприятия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719731" w14:textId="77777777" w:rsidR="00064076" w:rsidRPr="0048720E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C21973" w14:textId="77777777" w:rsidR="00064076" w:rsidRPr="0048720E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74B23" w14:textId="77777777" w:rsidR="00064076" w:rsidRPr="002C02F9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A48F1" w14:textId="77777777" w:rsidR="00064076" w:rsidRPr="006C0166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2.45</w:t>
            </w:r>
          </w:p>
        </w:tc>
      </w:tr>
      <w:tr w:rsidR="00064076" w:rsidRPr="00E24240" w14:paraId="223D760D" w14:textId="77777777" w:rsidTr="00E91C9F">
        <w:trPr>
          <w:trHeight w:val="33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678AF" w14:textId="77777777" w:rsidR="00064076" w:rsidRPr="00086D70" w:rsidRDefault="00064076" w:rsidP="00E91C9F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86D70">
              <w:rPr>
                <w:rFonts w:ascii="Arial" w:hAnsi="Arial" w:cs="Arial"/>
                <w:sz w:val="20"/>
                <w:szCs w:val="20"/>
                <w:lang w:val="bg-BG"/>
              </w:rPr>
              <w:t>Инвестиционни имоти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10C9D6" w14:textId="77777777" w:rsidR="00064076" w:rsidRPr="00E902DE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BDEAC" w14:textId="77777777" w:rsidR="00064076" w:rsidRPr="00E902DE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16754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54B5" w14:textId="77777777" w:rsidR="00064076" w:rsidRPr="002C02F9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98.72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096FF" w14:textId="77777777" w:rsidR="00064076" w:rsidRPr="006C0166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</w:tr>
      <w:tr w:rsidR="00064076" w:rsidRPr="00E24240" w14:paraId="651B3396" w14:textId="77777777" w:rsidTr="00E91C9F">
        <w:trPr>
          <w:trHeight w:val="33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69A27" w14:textId="77777777" w:rsidR="00064076" w:rsidRPr="00512A45" w:rsidRDefault="00064076" w:rsidP="00E91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Дългосрочни финансови активи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B4A44E" w14:textId="77777777" w:rsidR="00064076" w:rsidRPr="00512A45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1031E2" w14:textId="77777777" w:rsidR="00064076" w:rsidRPr="00512A45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67428" w14:textId="77777777" w:rsidR="00064076" w:rsidRPr="00E24240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30031" w14:textId="77777777" w:rsidR="00064076" w:rsidRPr="006C0166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</w:tr>
      <w:tr w:rsidR="00064076" w:rsidRPr="00E24240" w14:paraId="1E228526" w14:textId="77777777" w:rsidTr="00E91C9F">
        <w:trPr>
          <w:trHeight w:val="33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96EEE3" w14:textId="77777777" w:rsidR="00064076" w:rsidRPr="00946F14" w:rsidRDefault="00064076" w:rsidP="00E91C9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46F14">
              <w:rPr>
                <w:rFonts w:ascii="Arial" w:hAnsi="Arial" w:cs="Arial"/>
                <w:sz w:val="20"/>
                <w:szCs w:val="20"/>
                <w:lang w:val="ru-RU"/>
              </w:rPr>
              <w:t>Дългосрочни търговски и други вземания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575BCC" w14:textId="77777777" w:rsidR="00064076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697912" w14:textId="77777777" w:rsidR="00064076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6B12F" w14:textId="77777777" w:rsidR="00064076" w:rsidRPr="002C02F9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101.21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8257A" w14:textId="77777777" w:rsidR="00064076" w:rsidRPr="002C02F9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6.27</w:t>
            </w:r>
          </w:p>
        </w:tc>
      </w:tr>
      <w:tr w:rsidR="00064076" w:rsidRPr="00E24240" w14:paraId="6CE95A5D" w14:textId="77777777" w:rsidTr="00E91C9F">
        <w:trPr>
          <w:trHeight w:val="33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5AD5C0" w14:textId="77777777" w:rsidR="00064076" w:rsidRPr="00086D70" w:rsidRDefault="00064076" w:rsidP="00E91C9F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Предплатени разходи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C70384" w14:textId="77777777" w:rsidR="00064076" w:rsidRPr="00512A45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DE8D7C" w14:textId="77777777" w:rsidR="00064076" w:rsidRPr="00512A45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6A02C" w14:textId="77777777" w:rsidR="00064076" w:rsidRPr="002C02F9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B6E75" w14:textId="77777777" w:rsidR="00064076" w:rsidRPr="002C02F9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</w:tr>
      <w:tr w:rsidR="00064076" w:rsidRPr="00E24240" w14:paraId="6DED4460" w14:textId="77777777" w:rsidTr="00E91C9F">
        <w:trPr>
          <w:trHeight w:val="33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3C9626" w14:textId="77777777" w:rsidR="00064076" w:rsidRPr="003542F2" w:rsidRDefault="00064076" w:rsidP="00E91C9F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Репутация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590D17" w14:textId="77777777" w:rsidR="00064076" w:rsidRPr="0012257E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580AAB" w14:textId="77777777" w:rsidR="00064076" w:rsidRPr="0012257E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DF766" w14:textId="77777777" w:rsidR="00064076" w:rsidRPr="002C02F9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8BD27" w14:textId="77777777" w:rsidR="00064076" w:rsidRPr="00ED7A6D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</w:tr>
      <w:tr w:rsidR="00064076" w:rsidRPr="00E24240" w14:paraId="6F81DCCB" w14:textId="77777777" w:rsidTr="00E91C9F">
        <w:trPr>
          <w:trHeight w:val="33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651474" w14:textId="77777777" w:rsidR="00064076" w:rsidRDefault="00064076" w:rsidP="00E9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CE9077" w14:textId="77777777" w:rsidR="00064076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88F568" w14:textId="77777777" w:rsidR="00064076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B57E5" w14:textId="77777777" w:rsidR="00064076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7C01C" w14:textId="77777777" w:rsidR="00064076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076" w:rsidRPr="00E24240" w14:paraId="02C809A9" w14:textId="77777777" w:rsidTr="00E91C9F">
        <w:trPr>
          <w:trHeight w:val="315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40043CA" w14:textId="77777777" w:rsidR="00064076" w:rsidRPr="00086D70" w:rsidRDefault="00064076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Общо 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Нетекущи активи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93599E2" w14:textId="77777777" w:rsidR="00064076" w:rsidRPr="0048720E" w:rsidRDefault="00064076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24829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185D7CD3" w14:textId="77777777" w:rsidR="00064076" w:rsidRPr="0048720E" w:rsidRDefault="00064076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24994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558A58BB" w14:textId="77777777" w:rsidR="00064076" w:rsidRPr="00E24240" w:rsidRDefault="00064076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99.34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77AF2F9" w14:textId="77777777" w:rsidR="00064076" w:rsidRPr="0039363A" w:rsidRDefault="00064076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30.03</w:t>
            </w:r>
          </w:p>
        </w:tc>
      </w:tr>
      <w:tr w:rsidR="00064076" w:rsidRPr="00E24240" w14:paraId="4C585BFC" w14:textId="77777777" w:rsidTr="00E91C9F">
        <w:trPr>
          <w:trHeight w:val="33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74BA5" w14:textId="77777777" w:rsidR="00064076" w:rsidRPr="00086D70" w:rsidRDefault="00064076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Текущи активи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8DDC13" w14:textId="77777777" w:rsidR="00064076" w:rsidRPr="00086D70" w:rsidRDefault="00064076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409B4C" w14:textId="77777777" w:rsidR="00064076" w:rsidRPr="00086D70" w:rsidRDefault="00064076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276A6" w14:textId="77777777" w:rsidR="00064076" w:rsidRPr="00E24240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E6F16" w14:textId="77777777" w:rsidR="00064076" w:rsidRPr="00E24240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076" w:rsidRPr="00E24240" w14:paraId="6B17E994" w14:textId="77777777" w:rsidTr="00E91C9F">
        <w:trPr>
          <w:trHeight w:val="33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CDA6D7" w14:textId="77777777" w:rsidR="00064076" w:rsidRPr="00086D70" w:rsidRDefault="00064076" w:rsidP="00E91C9F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Материали</w:t>
            </w:r>
            <w:r w:rsidRPr="00086D7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866D36" w14:textId="77777777" w:rsidR="00064076" w:rsidRPr="007B2EDE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1861B3" w14:textId="77777777" w:rsidR="00064076" w:rsidRPr="007B2EDE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8C288" w14:textId="77777777" w:rsidR="00064076" w:rsidRPr="00E56D5A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89.57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B9F37" w14:textId="77777777" w:rsidR="00064076" w:rsidRPr="00E24240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</w:tr>
      <w:tr w:rsidR="00064076" w:rsidRPr="00E24240" w14:paraId="47A4BC8D" w14:textId="77777777" w:rsidTr="00E91C9F">
        <w:trPr>
          <w:trHeight w:val="33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68C27D" w14:textId="77777777" w:rsidR="00064076" w:rsidRPr="00086D70" w:rsidRDefault="00064076" w:rsidP="00E91C9F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86D70">
              <w:rPr>
                <w:rFonts w:ascii="Arial" w:hAnsi="Arial" w:cs="Arial"/>
                <w:sz w:val="20"/>
                <w:szCs w:val="20"/>
                <w:lang w:val="bg-BG"/>
              </w:rPr>
              <w:t xml:space="preserve">Търговски и други вземания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F9E24B" w14:textId="77777777" w:rsidR="00064076" w:rsidRPr="00267324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16630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6B2984" w14:textId="77777777" w:rsidR="00064076" w:rsidRPr="00267324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497BA" w14:textId="77777777" w:rsidR="00064076" w:rsidRPr="00C42F0C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135.82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D8E31" w14:textId="77777777" w:rsidR="00064076" w:rsidRPr="00B57C0D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</w:t>
            </w:r>
          </w:p>
        </w:tc>
      </w:tr>
      <w:tr w:rsidR="00064076" w:rsidRPr="00E24240" w14:paraId="4D54B067" w14:textId="77777777" w:rsidTr="00E91C9F">
        <w:trPr>
          <w:trHeight w:val="33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E24365" w14:textId="77777777" w:rsidR="00064076" w:rsidRPr="00086D70" w:rsidRDefault="00064076" w:rsidP="00E91C9F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86D70">
              <w:rPr>
                <w:rFonts w:ascii="Arial" w:hAnsi="Arial" w:cs="Arial"/>
                <w:sz w:val="20"/>
                <w:szCs w:val="20"/>
                <w:lang w:val="bg-BG"/>
              </w:rPr>
              <w:t xml:space="preserve">Краткосрочни финансови активи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4028D3" w14:textId="77777777" w:rsidR="00064076" w:rsidRPr="007B2EDE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33257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6AE3CB" w14:textId="77777777" w:rsidR="00064076" w:rsidRPr="007B2EDE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41082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1C4FA" w14:textId="77777777" w:rsidR="00064076" w:rsidRPr="00C42F0C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80.95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E89AE" w14:textId="77777777" w:rsidR="00064076" w:rsidRPr="00B57C0D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40.22</w:t>
            </w:r>
          </w:p>
        </w:tc>
      </w:tr>
      <w:tr w:rsidR="00064076" w:rsidRPr="00E24240" w14:paraId="52BB781E" w14:textId="77777777" w:rsidTr="00E91C9F">
        <w:trPr>
          <w:trHeight w:val="33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0313D" w14:textId="77777777" w:rsidR="00064076" w:rsidRPr="00086D70" w:rsidRDefault="00064076" w:rsidP="00E91C9F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Вземания от свързани лица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6DD87D" w14:textId="77777777" w:rsidR="00064076" w:rsidRPr="001B40B2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16F965" w14:textId="77777777" w:rsidR="00064076" w:rsidRPr="001B40B2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A6431" w14:textId="77777777" w:rsidR="00064076" w:rsidRPr="00E24240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29719" w14:textId="77777777" w:rsidR="00064076" w:rsidRPr="00E24240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8.93</w:t>
            </w:r>
          </w:p>
        </w:tc>
      </w:tr>
      <w:tr w:rsidR="00064076" w:rsidRPr="00E24240" w14:paraId="47C37325" w14:textId="77777777" w:rsidTr="00E91C9F">
        <w:trPr>
          <w:trHeight w:val="33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BEF29" w14:textId="77777777" w:rsidR="00064076" w:rsidRPr="00086D70" w:rsidRDefault="00064076" w:rsidP="00E91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Предплатени разходи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12F70C" w14:textId="77777777" w:rsidR="00064076" w:rsidRPr="00267324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9C6AA4" w14:textId="77777777" w:rsidR="00064076" w:rsidRPr="00267324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3E2E8" w14:textId="77777777" w:rsidR="00064076" w:rsidRPr="00E24240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128.57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4A325" w14:textId="77777777" w:rsidR="00064076" w:rsidRPr="00E24240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064076" w:rsidRPr="00E24240" w14:paraId="3ACFB67B" w14:textId="77777777" w:rsidTr="00E91C9F">
        <w:trPr>
          <w:trHeight w:val="33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52ED4" w14:textId="77777777" w:rsidR="00064076" w:rsidRPr="00086D70" w:rsidRDefault="00064076" w:rsidP="00E91C9F">
            <w:pPr>
              <w:rPr>
                <w:rFonts w:ascii="Arial" w:hAnsi="Arial" w:cs="Arial"/>
                <w:sz w:val="20"/>
                <w:szCs w:val="20"/>
              </w:rPr>
            </w:pPr>
            <w:r w:rsidRPr="00086D70">
              <w:rPr>
                <w:rFonts w:ascii="Arial" w:hAnsi="Arial" w:cs="Arial"/>
                <w:sz w:val="20"/>
                <w:szCs w:val="20"/>
                <w:lang w:val="bg-BG"/>
              </w:rPr>
              <w:t>Пари и парични еквиваленти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82536F" w14:textId="77777777" w:rsidR="00064076" w:rsidRPr="00267324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C789B0" w14:textId="77777777" w:rsidR="00064076" w:rsidRPr="00267324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9FFE7" w14:textId="77777777" w:rsidR="00064076" w:rsidRPr="00BB08D3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110.59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B0807" w14:textId="77777777" w:rsidR="00064076" w:rsidRPr="00E24240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</w:tr>
      <w:tr w:rsidR="00064076" w:rsidRPr="00E24240" w14:paraId="33DC5E8C" w14:textId="77777777" w:rsidTr="00E91C9F">
        <w:trPr>
          <w:trHeight w:val="33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986087" w14:textId="77777777" w:rsidR="00064076" w:rsidRPr="00086D70" w:rsidRDefault="00064076" w:rsidP="00E91C9F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BBFEB2" w14:textId="77777777" w:rsidR="00064076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26E2D4" w14:textId="77777777" w:rsidR="00064076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8DBFF" w14:textId="77777777" w:rsidR="00064076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C9E93" w14:textId="77777777" w:rsidR="00064076" w:rsidRDefault="00064076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076" w:rsidRPr="00E24240" w14:paraId="2B1645A3" w14:textId="77777777" w:rsidTr="00E91C9F">
        <w:trPr>
          <w:trHeight w:val="30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823DEFA" w14:textId="77777777" w:rsidR="00064076" w:rsidRPr="00086D70" w:rsidRDefault="00064076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Общо 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Текущи активи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32DE68E" w14:textId="77777777" w:rsidR="00064076" w:rsidRPr="00267324" w:rsidRDefault="00064076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57859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12F27EE0" w14:textId="77777777" w:rsidR="00064076" w:rsidRPr="00267324" w:rsidRDefault="00064076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58841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BFA0E12" w14:textId="77777777" w:rsidR="00064076" w:rsidRPr="00E24240" w:rsidRDefault="00064076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98.33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42FAD04F" w14:textId="77777777" w:rsidR="00064076" w:rsidRPr="0039363A" w:rsidRDefault="00064076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69.97</w:t>
            </w:r>
          </w:p>
        </w:tc>
      </w:tr>
      <w:tr w:rsidR="00064076" w:rsidRPr="00E24240" w14:paraId="26A4803A" w14:textId="77777777" w:rsidTr="00E91C9F">
        <w:trPr>
          <w:trHeight w:val="315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7A3704" w14:textId="77777777" w:rsidR="00064076" w:rsidRPr="00086D70" w:rsidRDefault="00064076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9D3BCB" w14:textId="77777777" w:rsidR="00064076" w:rsidRPr="00086D70" w:rsidRDefault="00064076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0B9C16" w14:textId="77777777" w:rsidR="00064076" w:rsidRPr="00086D70" w:rsidRDefault="00064076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6FBA74" w14:textId="77777777" w:rsidR="00064076" w:rsidRPr="00E24240" w:rsidRDefault="00064076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50D267" w14:textId="77777777" w:rsidR="00064076" w:rsidRPr="00E24240" w:rsidRDefault="00064076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4076" w:rsidRPr="00E24240" w14:paraId="00CB363F" w14:textId="77777777" w:rsidTr="00E91C9F">
        <w:trPr>
          <w:trHeight w:val="315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FD7FD80" w14:textId="77777777" w:rsidR="00064076" w:rsidRPr="00086D70" w:rsidRDefault="00064076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Общо 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А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ктиви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C24D577" w14:textId="77777777" w:rsidR="00064076" w:rsidRPr="00267324" w:rsidRDefault="00064076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82688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5C1E1863" w14:textId="77777777" w:rsidR="00064076" w:rsidRPr="00267324" w:rsidRDefault="00064076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83835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99A6602" w14:textId="77777777" w:rsidR="00064076" w:rsidRPr="00E24240" w:rsidRDefault="00064076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98.63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3481E9E" w14:textId="77777777" w:rsidR="00064076" w:rsidRPr="00E24240" w:rsidRDefault="00064076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100.00</w:t>
            </w:r>
          </w:p>
        </w:tc>
      </w:tr>
    </w:tbl>
    <w:p w14:paraId="0EECADC3" w14:textId="77777777" w:rsidR="0024267C" w:rsidRDefault="0024267C" w:rsidP="0075559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en-US"/>
        </w:rPr>
      </w:pPr>
    </w:p>
    <w:p w14:paraId="28D2D605" w14:textId="77777777" w:rsidR="00423E44" w:rsidRPr="00946F14" w:rsidRDefault="00F61942" w:rsidP="007C4480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 w:rsidRPr="00946F14">
        <w:rPr>
          <w:rFonts w:ascii="Arial" w:hAnsi="Arial" w:cs="Arial"/>
          <w:lang w:val="ru-RU"/>
        </w:rPr>
        <w:t>С</w:t>
      </w:r>
      <w:r w:rsidR="00D15B17" w:rsidRPr="00946F14">
        <w:rPr>
          <w:rFonts w:ascii="Arial" w:hAnsi="Arial" w:cs="Arial"/>
          <w:lang w:val="ru-RU"/>
        </w:rPr>
        <w:t>падът</w:t>
      </w:r>
      <w:r w:rsidR="006F4A66" w:rsidRPr="00946F14">
        <w:rPr>
          <w:rFonts w:ascii="Arial" w:hAnsi="Arial" w:cs="Arial"/>
          <w:lang w:val="ru-RU"/>
        </w:rPr>
        <w:t xml:space="preserve"> при активите е концентриран</w:t>
      </w:r>
      <w:r w:rsidRPr="00946F14">
        <w:rPr>
          <w:rFonts w:ascii="Arial" w:hAnsi="Arial" w:cs="Arial"/>
          <w:lang w:val="ru-RU"/>
        </w:rPr>
        <w:t xml:space="preserve"> почти изцяло</w:t>
      </w:r>
      <w:r w:rsidR="007C4480" w:rsidRPr="00946F14">
        <w:rPr>
          <w:rFonts w:ascii="Arial" w:hAnsi="Arial" w:cs="Arial"/>
          <w:lang w:val="ru-RU"/>
        </w:rPr>
        <w:t xml:space="preserve"> при краткосрочните активи, поради което и с</w:t>
      </w:r>
      <w:r w:rsidR="007C4480">
        <w:rPr>
          <w:rFonts w:ascii="Arial" w:hAnsi="Arial" w:cs="Arial"/>
        </w:rPr>
        <w:t xml:space="preserve">труктурата на активите </w:t>
      </w:r>
      <w:r w:rsidR="007C4480" w:rsidRPr="00946F14">
        <w:rPr>
          <w:rFonts w:ascii="Arial" w:hAnsi="Arial" w:cs="Arial"/>
          <w:lang w:val="ru-RU"/>
        </w:rPr>
        <w:t xml:space="preserve">се </w:t>
      </w:r>
      <w:r w:rsidRPr="00946F14">
        <w:rPr>
          <w:rFonts w:ascii="Arial" w:hAnsi="Arial" w:cs="Arial"/>
          <w:lang w:val="ru-RU"/>
        </w:rPr>
        <w:t xml:space="preserve">измества </w:t>
      </w:r>
      <w:r w:rsidR="00B26C42" w:rsidRPr="00946F14">
        <w:rPr>
          <w:rFonts w:ascii="Arial" w:hAnsi="Arial" w:cs="Arial"/>
          <w:lang w:val="ru-RU"/>
        </w:rPr>
        <w:t xml:space="preserve">леко </w:t>
      </w:r>
      <w:r w:rsidRPr="00946F14">
        <w:rPr>
          <w:rFonts w:ascii="Arial" w:hAnsi="Arial" w:cs="Arial"/>
          <w:lang w:val="ru-RU"/>
        </w:rPr>
        <w:t>в полза на</w:t>
      </w:r>
      <w:r w:rsidR="007C4480" w:rsidRPr="00946F14">
        <w:rPr>
          <w:rFonts w:ascii="Arial" w:hAnsi="Arial" w:cs="Arial"/>
          <w:lang w:val="ru-RU"/>
        </w:rPr>
        <w:t xml:space="preserve"> </w:t>
      </w:r>
      <w:r w:rsidR="00B26C42" w:rsidRPr="00946F14">
        <w:rPr>
          <w:rFonts w:ascii="Arial" w:hAnsi="Arial" w:cs="Arial"/>
          <w:lang w:val="ru-RU"/>
        </w:rPr>
        <w:t>не</w:t>
      </w:r>
      <w:r w:rsidR="007C4480" w:rsidRPr="00946F14">
        <w:rPr>
          <w:rFonts w:ascii="Arial" w:hAnsi="Arial" w:cs="Arial"/>
          <w:lang w:val="ru-RU"/>
        </w:rPr>
        <w:t>текущите активи</w:t>
      </w:r>
      <w:r w:rsidRPr="00946F14">
        <w:rPr>
          <w:rFonts w:ascii="Arial" w:hAnsi="Arial" w:cs="Arial"/>
          <w:lang w:val="ru-RU"/>
        </w:rPr>
        <w:t>, които</w:t>
      </w:r>
      <w:r w:rsidR="007C4480" w:rsidRPr="00946F14">
        <w:rPr>
          <w:rFonts w:ascii="Arial" w:hAnsi="Arial" w:cs="Arial"/>
          <w:lang w:val="ru-RU"/>
        </w:rPr>
        <w:t xml:space="preserve"> са</w:t>
      </w:r>
      <w:r w:rsidRPr="00946F14">
        <w:rPr>
          <w:rFonts w:ascii="Arial" w:hAnsi="Arial" w:cs="Arial"/>
          <w:lang w:val="ru-RU"/>
        </w:rPr>
        <w:t xml:space="preserve"> вече</w:t>
      </w:r>
      <w:r w:rsidR="007C4480" w:rsidRPr="00946F14">
        <w:rPr>
          <w:rFonts w:ascii="Arial" w:hAnsi="Arial" w:cs="Arial"/>
          <w:lang w:val="ru-RU"/>
        </w:rPr>
        <w:t xml:space="preserve"> с дял </w:t>
      </w:r>
      <w:r w:rsidRPr="00946F14">
        <w:rPr>
          <w:rFonts w:ascii="Arial" w:hAnsi="Arial" w:cs="Arial"/>
          <w:lang w:val="ru-RU"/>
        </w:rPr>
        <w:t xml:space="preserve">от </w:t>
      </w:r>
      <w:r w:rsidR="001B245D" w:rsidRPr="00946F14">
        <w:rPr>
          <w:rFonts w:ascii="Arial" w:hAnsi="Arial" w:cs="Arial"/>
          <w:lang w:val="ru-RU"/>
        </w:rPr>
        <w:t>30</w:t>
      </w:r>
      <w:r w:rsidR="00D15B17" w:rsidRPr="00946F14">
        <w:rPr>
          <w:rFonts w:ascii="Arial" w:hAnsi="Arial" w:cs="Arial"/>
          <w:lang w:val="ru-RU"/>
        </w:rPr>
        <w:t>.</w:t>
      </w:r>
      <w:r w:rsidR="001B245D" w:rsidRPr="00946F14">
        <w:rPr>
          <w:rFonts w:ascii="Arial" w:hAnsi="Arial" w:cs="Arial"/>
          <w:lang w:val="ru-RU"/>
        </w:rPr>
        <w:t>03</w:t>
      </w:r>
      <w:r w:rsidR="007C4480" w:rsidRPr="00946F14">
        <w:rPr>
          <w:rFonts w:ascii="Arial" w:hAnsi="Arial" w:cs="Arial"/>
          <w:lang w:val="ru-RU"/>
        </w:rPr>
        <w:t>% от всички активи спрямо</w:t>
      </w:r>
      <w:r w:rsidR="007C4480">
        <w:rPr>
          <w:rFonts w:ascii="Arial" w:hAnsi="Arial" w:cs="Arial"/>
        </w:rPr>
        <w:t xml:space="preserve"> </w:t>
      </w:r>
      <w:r w:rsidR="001B245D" w:rsidRPr="00946F14">
        <w:rPr>
          <w:rFonts w:ascii="Arial" w:hAnsi="Arial" w:cs="Arial"/>
          <w:lang w:val="ru-RU"/>
        </w:rPr>
        <w:t>69</w:t>
      </w:r>
      <w:r w:rsidR="00D15B17" w:rsidRPr="00946F14">
        <w:rPr>
          <w:rFonts w:ascii="Arial" w:hAnsi="Arial" w:cs="Arial"/>
          <w:lang w:val="ru-RU"/>
        </w:rPr>
        <w:t>.</w:t>
      </w:r>
      <w:r w:rsidR="001B245D" w:rsidRPr="00946F14">
        <w:rPr>
          <w:rFonts w:ascii="Arial" w:hAnsi="Arial" w:cs="Arial"/>
          <w:lang w:val="ru-RU"/>
        </w:rPr>
        <w:t>97</w:t>
      </w:r>
      <w:r w:rsidR="007C4480" w:rsidRPr="00946F14">
        <w:rPr>
          <w:rFonts w:ascii="Arial" w:hAnsi="Arial" w:cs="Arial"/>
          <w:lang w:val="ru-RU"/>
        </w:rPr>
        <w:t xml:space="preserve">% за </w:t>
      </w:r>
      <w:r w:rsidR="007C4480">
        <w:rPr>
          <w:rFonts w:ascii="Arial" w:hAnsi="Arial" w:cs="Arial"/>
        </w:rPr>
        <w:t>текущи</w:t>
      </w:r>
      <w:r w:rsidR="007C4480" w:rsidRPr="00946F14">
        <w:rPr>
          <w:rFonts w:ascii="Arial" w:hAnsi="Arial" w:cs="Arial"/>
          <w:lang w:val="ru-RU"/>
        </w:rPr>
        <w:t>те</w:t>
      </w:r>
      <w:r w:rsidR="007C4480">
        <w:rPr>
          <w:rFonts w:ascii="Arial" w:hAnsi="Arial" w:cs="Arial"/>
        </w:rPr>
        <w:t xml:space="preserve"> активи</w:t>
      </w:r>
      <w:r w:rsidR="007C4480" w:rsidRPr="00946F14">
        <w:rPr>
          <w:rFonts w:ascii="Arial" w:hAnsi="Arial" w:cs="Arial"/>
          <w:lang w:val="ru-RU"/>
        </w:rPr>
        <w:t xml:space="preserve"> /към 3</w:t>
      </w:r>
      <w:r w:rsidR="00D15B17" w:rsidRPr="00946F14">
        <w:rPr>
          <w:rFonts w:ascii="Arial" w:hAnsi="Arial" w:cs="Arial"/>
          <w:lang w:val="ru-RU"/>
        </w:rPr>
        <w:t>0</w:t>
      </w:r>
      <w:r w:rsidR="007C4480" w:rsidRPr="00946F14">
        <w:rPr>
          <w:rFonts w:ascii="Arial" w:hAnsi="Arial" w:cs="Arial"/>
          <w:lang w:val="ru-RU"/>
        </w:rPr>
        <w:t>.</w:t>
      </w:r>
      <w:r w:rsidRPr="00946F14">
        <w:rPr>
          <w:rFonts w:ascii="Arial" w:hAnsi="Arial" w:cs="Arial"/>
          <w:lang w:val="ru-RU"/>
        </w:rPr>
        <w:t>0</w:t>
      </w:r>
      <w:r w:rsidR="001B245D" w:rsidRPr="00946F14">
        <w:rPr>
          <w:rFonts w:ascii="Arial" w:hAnsi="Arial" w:cs="Arial"/>
          <w:lang w:val="ru-RU"/>
        </w:rPr>
        <w:t>9</w:t>
      </w:r>
      <w:r w:rsidR="007C4480" w:rsidRPr="00946F14">
        <w:rPr>
          <w:rFonts w:ascii="Arial" w:hAnsi="Arial" w:cs="Arial"/>
          <w:lang w:val="ru-RU"/>
        </w:rPr>
        <w:t>.202</w:t>
      </w:r>
      <w:r w:rsidRPr="00946F14">
        <w:rPr>
          <w:rFonts w:ascii="Arial" w:hAnsi="Arial" w:cs="Arial"/>
          <w:lang w:val="ru-RU"/>
        </w:rPr>
        <w:t>4</w:t>
      </w:r>
      <w:r w:rsidR="007C4480" w:rsidRPr="00946F14">
        <w:rPr>
          <w:rFonts w:ascii="Arial" w:hAnsi="Arial" w:cs="Arial"/>
          <w:lang w:val="ru-RU"/>
        </w:rPr>
        <w:t xml:space="preserve"> г. съотношението е съответно </w:t>
      </w:r>
      <w:r w:rsidR="00D15B17" w:rsidRPr="00946F14">
        <w:rPr>
          <w:rFonts w:ascii="Arial" w:hAnsi="Arial" w:cs="Arial"/>
          <w:lang w:val="ru-RU"/>
        </w:rPr>
        <w:t>29.</w:t>
      </w:r>
      <w:r w:rsidR="001B245D" w:rsidRPr="00946F14">
        <w:rPr>
          <w:rFonts w:ascii="Arial" w:hAnsi="Arial" w:cs="Arial"/>
          <w:lang w:val="ru-RU"/>
        </w:rPr>
        <w:t>81</w:t>
      </w:r>
      <w:r w:rsidR="007C4480" w:rsidRPr="00946F14">
        <w:rPr>
          <w:rFonts w:ascii="Arial" w:hAnsi="Arial" w:cs="Arial"/>
          <w:lang w:val="ru-RU"/>
        </w:rPr>
        <w:t xml:space="preserve">% спрямо </w:t>
      </w:r>
      <w:r w:rsidR="00D15B17" w:rsidRPr="00946F14">
        <w:rPr>
          <w:rFonts w:ascii="Arial" w:hAnsi="Arial" w:cs="Arial"/>
          <w:lang w:val="ru-RU"/>
        </w:rPr>
        <w:t>70.</w:t>
      </w:r>
      <w:r w:rsidR="001B245D" w:rsidRPr="00946F14">
        <w:rPr>
          <w:rFonts w:ascii="Arial" w:hAnsi="Arial" w:cs="Arial"/>
          <w:lang w:val="ru-RU"/>
        </w:rPr>
        <w:t>19</w:t>
      </w:r>
      <w:r w:rsidR="007C4480" w:rsidRPr="00946F14">
        <w:rPr>
          <w:rFonts w:ascii="Arial" w:hAnsi="Arial" w:cs="Arial"/>
          <w:lang w:val="ru-RU"/>
        </w:rPr>
        <w:t xml:space="preserve">%/. </w:t>
      </w:r>
    </w:p>
    <w:p w14:paraId="3B694FC5" w14:textId="77777777" w:rsidR="00423E44" w:rsidRPr="00946F14" w:rsidRDefault="00423E44" w:rsidP="007C4480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52260F55" w14:textId="77777777" w:rsidR="007C4480" w:rsidRPr="00946F14" w:rsidRDefault="00423E44" w:rsidP="0075559E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 w:rsidRPr="00946F14">
        <w:rPr>
          <w:rFonts w:ascii="Arial" w:hAnsi="Arial" w:cs="Arial"/>
          <w:lang w:val="ru-RU"/>
        </w:rPr>
        <w:t>К</w:t>
      </w:r>
      <w:r w:rsidR="007C4480" w:rsidRPr="00946F14">
        <w:rPr>
          <w:rFonts w:ascii="Arial" w:hAnsi="Arial" w:cs="Arial"/>
          <w:lang w:val="ru-RU"/>
        </w:rPr>
        <w:t>раткосрочните финансови активи</w:t>
      </w:r>
      <w:r w:rsidRPr="00946F14">
        <w:rPr>
          <w:rFonts w:ascii="Arial" w:hAnsi="Arial" w:cs="Arial"/>
          <w:lang w:val="ru-RU"/>
        </w:rPr>
        <w:t>, които са най-голямата позиция в активната част на баланса</w:t>
      </w:r>
      <w:r w:rsidR="00F61942" w:rsidRPr="00946F14">
        <w:rPr>
          <w:rFonts w:ascii="Arial" w:hAnsi="Arial" w:cs="Arial"/>
          <w:lang w:val="ru-RU"/>
        </w:rPr>
        <w:t>,</w:t>
      </w:r>
      <w:r w:rsidR="007C4480" w:rsidRPr="00946F14">
        <w:rPr>
          <w:rFonts w:ascii="Arial" w:hAnsi="Arial" w:cs="Arial"/>
          <w:lang w:val="ru-RU"/>
        </w:rPr>
        <w:t xml:space="preserve"> </w:t>
      </w:r>
      <w:r w:rsidR="00B26C42" w:rsidRPr="00946F14">
        <w:rPr>
          <w:rFonts w:ascii="Arial" w:hAnsi="Arial" w:cs="Arial"/>
          <w:lang w:val="ru-RU"/>
        </w:rPr>
        <w:t>се понижават</w:t>
      </w:r>
      <w:r w:rsidR="007C4480" w:rsidRPr="00946F14">
        <w:rPr>
          <w:rFonts w:ascii="Arial" w:hAnsi="Arial" w:cs="Arial"/>
          <w:lang w:val="ru-RU"/>
        </w:rPr>
        <w:t xml:space="preserve"> с </w:t>
      </w:r>
      <w:r w:rsidR="001B245D" w:rsidRPr="00946F14">
        <w:rPr>
          <w:rFonts w:ascii="Arial" w:hAnsi="Arial" w:cs="Arial"/>
          <w:lang w:val="ru-RU"/>
        </w:rPr>
        <w:t>почти 20</w:t>
      </w:r>
      <w:r w:rsidR="007C4480" w:rsidRPr="00946F14">
        <w:rPr>
          <w:rFonts w:ascii="Arial" w:hAnsi="Arial" w:cs="Arial"/>
          <w:lang w:val="ru-RU"/>
        </w:rPr>
        <w:t xml:space="preserve">% до </w:t>
      </w:r>
      <w:r w:rsidR="001B245D" w:rsidRPr="00946F14">
        <w:rPr>
          <w:rFonts w:ascii="Arial" w:hAnsi="Arial" w:cs="Arial"/>
          <w:lang w:val="ru-RU"/>
        </w:rPr>
        <w:t>33</w:t>
      </w:r>
      <w:r w:rsidR="007C4480" w:rsidRPr="00946F14">
        <w:rPr>
          <w:rFonts w:ascii="Arial" w:hAnsi="Arial" w:cs="Arial"/>
          <w:lang w:val="ru-RU"/>
        </w:rPr>
        <w:t>,</w:t>
      </w:r>
      <w:r w:rsidR="001B245D" w:rsidRPr="00946F14">
        <w:rPr>
          <w:rFonts w:ascii="Arial" w:hAnsi="Arial" w:cs="Arial"/>
          <w:lang w:val="ru-RU"/>
        </w:rPr>
        <w:t>257</w:t>
      </w:r>
      <w:r w:rsidR="007C4480" w:rsidRPr="00946F14">
        <w:rPr>
          <w:rFonts w:ascii="Arial" w:hAnsi="Arial" w:cs="Arial"/>
          <w:lang w:val="ru-RU"/>
        </w:rPr>
        <w:t xml:space="preserve"> млн. лева.</w:t>
      </w:r>
      <w:r w:rsidRPr="00946F14">
        <w:rPr>
          <w:rFonts w:ascii="Arial" w:hAnsi="Arial" w:cs="Arial"/>
          <w:lang w:val="ru-RU"/>
        </w:rPr>
        <w:t xml:space="preserve"> </w:t>
      </w:r>
      <w:r w:rsidR="007C4480" w:rsidRPr="00946F14">
        <w:rPr>
          <w:rFonts w:ascii="Arial" w:hAnsi="Arial" w:cs="Arial"/>
          <w:lang w:val="ru-RU"/>
        </w:rPr>
        <w:t>Салдото по позицията “Пари и парични еквиваленти”</w:t>
      </w:r>
      <w:r w:rsidR="00080BF8" w:rsidRPr="00946F14">
        <w:rPr>
          <w:rFonts w:ascii="Arial" w:hAnsi="Arial" w:cs="Arial"/>
          <w:lang w:val="ru-RU"/>
        </w:rPr>
        <w:t>,</w:t>
      </w:r>
      <w:r w:rsidR="007C4480" w:rsidRPr="00946F14">
        <w:rPr>
          <w:rFonts w:ascii="Arial" w:hAnsi="Arial" w:cs="Arial"/>
          <w:lang w:val="ru-RU"/>
        </w:rPr>
        <w:t xml:space="preserve"> </w:t>
      </w:r>
      <w:r w:rsidR="00080BF8" w:rsidRPr="00946F14">
        <w:rPr>
          <w:rFonts w:ascii="Arial" w:hAnsi="Arial" w:cs="Arial"/>
          <w:lang w:val="ru-RU"/>
        </w:rPr>
        <w:t xml:space="preserve">на </w:t>
      </w:r>
      <w:r w:rsidR="007C4480" w:rsidRPr="00946F14">
        <w:rPr>
          <w:rFonts w:ascii="Arial" w:hAnsi="Arial" w:cs="Arial"/>
          <w:lang w:val="ru-RU"/>
        </w:rPr>
        <w:t xml:space="preserve">ниво от </w:t>
      </w:r>
      <w:r w:rsidR="00B26C42" w:rsidRPr="00946F14">
        <w:rPr>
          <w:rFonts w:ascii="Arial" w:hAnsi="Arial" w:cs="Arial"/>
          <w:lang w:val="ru-RU"/>
        </w:rPr>
        <w:t>2</w:t>
      </w:r>
      <w:r w:rsidR="00080BF8" w:rsidRPr="00946F14">
        <w:rPr>
          <w:rFonts w:ascii="Arial" w:hAnsi="Arial" w:cs="Arial"/>
          <w:lang w:val="ru-RU"/>
        </w:rPr>
        <w:t>82</w:t>
      </w:r>
      <w:r w:rsidR="007C4480" w:rsidRPr="00946F14">
        <w:rPr>
          <w:rFonts w:ascii="Arial" w:hAnsi="Arial" w:cs="Arial"/>
          <w:lang w:val="ru-RU"/>
        </w:rPr>
        <w:t xml:space="preserve"> хиляди лева</w:t>
      </w:r>
      <w:r w:rsidR="00080BF8" w:rsidRPr="00946F14">
        <w:rPr>
          <w:rFonts w:ascii="Arial" w:hAnsi="Arial" w:cs="Arial"/>
          <w:lang w:val="ru-RU"/>
        </w:rPr>
        <w:t xml:space="preserve"> в края на годината</w:t>
      </w:r>
      <w:r w:rsidR="007C4480" w:rsidRPr="00946F14">
        <w:rPr>
          <w:rFonts w:ascii="Arial" w:hAnsi="Arial" w:cs="Arial"/>
          <w:lang w:val="ru-RU"/>
        </w:rPr>
        <w:t xml:space="preserve"> </w:t>
      </w:r>
      <w:r w:rsidR="007C4480" w:rsidRPr="00946F14">
        <w:rPr>
          <w:rFonts w:ascii="Arial" w:hAnsi="Arial" w:cs="Arial"/>
          <w:lang w:val="ru-RU"/>
        </w:rPr>
        <w:lastRenderedPageBreak/>
        <w:t xml:space="preserve">спрямо </w:t>
      </w:r>
      <w:r w:rsidR="00080BF8" w:rsidRPr="00946F14">
        <w:rPr>
          <w:rFonts w:ascii="Arial" w:hAnsi="Arial" w:cs="Arial"/>
          <w:lang w:val="ru-RU"/>
        </w:rPr>
        <w:t>255</w:t>
      </w:r>
      <w:r w:rsidR="007C4480" w:rsidRPr="00946F14">
        <w:rPr>
          <w:rFonts w:ascii="Arial" w:hAnsi="Arial" w:cs="Arial"/>
          <w:lang w:val="ru-RU"/>
        </w:rPr>
        <w:t xml:space="preserve"> хиляди лева към 3</w:t>
      </w:r>
      <w:r w:rsidR="00B26C42" w:rsidRPr="00946F14">
        <w:rPr>
          <w:rFonts w:ascii="Arial" w:hAnsi="Arial" w:cs="Arial"/>
          <w:lang w:val="ru-RU"/>
        </w:rPr>
        <w:t>0</w:t>
      </w:r>
      <w:r w:rsidR="007C4480" w:rsidRPr="00946F14">
        <w:rPr>
          <w:rFonts w:ascii="Arial" w:hAnsi="Arial" w:cs="Arial"/>
          <w:lang w:val="ru-RU"/>
        </w:rPr>
        <w:t>.</w:t>
      </w:r>
      <w:r w:rsidR="00F61942" w:rsidRPr="00946F14">
        <w:rPr>
          <w:rFonts w:ascii="Arial" w:hAnsi="Arial" w:cs="Arial"/>
          <w:lang w:val="ru-RU"/>
        </w:rPr>
        <w:t>0</w:t>
      </w:r>
      <w:r w:rsidR="00080BF8" w:rsidRPr="00946F14">
        <w:rPr>
          <w:rFonts w:ascii="Arial" w:hAnsi="Arial" w:cs="Arial"/>
          <w:lang w:val="ru-RU"/>
        </w:rPr>
        <w:t>9</w:t>
      </w:r>
      <w:r w:rsidR="007C4480" w:rsidRPr="00946F14">
        <w:rPr>
          <w:rFonts w:ascii="Arial" w:hAnsi="Arial" w:cs="Arial"/>
          <w:lang w:val="ru-RU"/>
        </w:rPr>
        <w:t>.202</w:t>
      </w:r>
      <w:r w:rsidR="00F61942" w:rsidRPr="00946F14">
        <w:rPr>
          <w:rFonts w:ascii="Arial" w:hAnsi="Arial" w:cs="Arial"/>
          <w:lang w:val="ru-RU"/>
        </w:rPr>
        <w:t>4</w:t>
      </w:r>
      <w:r w:rsidR="007C4480" w:rsidRPr="00946F14">
        <w:rPr>
          <w:rFonts w:ascii="Arial" w:hAnsi="Arial" w:cs="Arial"/>
          <w:lang w:val="ru-RU"/>
        </w:rPr>
        <w:t xml:space="preserve"> г., </w:t>
      </w:r>
      <w:r w:rsidR="00080BF8" w:rsidRPr="00946F14">
        <w:rPr>
          <w:rFonts w:ascii="Arial" w:hAnsi="Arial" w:cs="Arial"/>
          <w:lang w:val="ru-RU"/>
        </w:rPr>
        <w:t>е ниско, но</w:t>
      </w:r>
      <w:r w:rsidR="007C4480" w:rsidRPr="00946F14">
        <w:rPr>
          <w:rFonts w:ascii="Arial" w:hAnsi="Arial" w:cs="Arial"/>
          <w:lang w:val="ru-RU"/>
        </w:rPr>
        <w:t xml:space="preserve"> </w:t>
      </w:r>
      <w:r w:rsidR="00D93FCB" w:rsidRPr="00946F14">
        <w:rPr>
          <w:rFonts w:ascii="Arial" w:hAnsi="Arial" w:cs="Arial"/>
          <w:lang w:val="ru-RU"/>
        </w:rPr>
        <w:t>тук трябва да отбележим, че</w:t>
      </w:r>
      <w:r w:rsidR="007C4480" w:rsidRPr="00946F14">
        <w:rPr>
          <w:rFonts w:ascii="Arial" w:hAnsi="Arial" w:cs="Arial"/>
          <w:lang w:val="ru-RU"/>
        </w:rPr>
        <w:t xml:space="preserve"> </w:t>
      </w:r>
      <w:r w:rsidR="00080BF8" w:rsidRPr="00946F14">
        <w:rPr>
          <w:rFonts w:ascii="Arial" w:hAnsi="Arial" w:cs="Arial"/>
          <w:lang w:val="ru-RU"/>
        </w:rPr>
        <w:t>краткосрочните финансови активи осигуряват на емитента нужната ликвидност и той</w:t>
      </w:r>
      <w:r w:rsidR="007C4480" w:rsidRPr="00946F14">
        <w:rPr>
          <w:rFonts w:ascii="Arial" w:hAnsi="Arial" w:cs="Arial"/>
          <w:lang w:val="ru-RU"/>
        </w:rPr>
        <w:t xml:space="preserve"> </w:t>
      </w:r>
      <w:r w:rsidR="00D93FCB" w:rsidRPr="00946F14">
        <w:rPr>
          <w:rFonts w:ascii="Arial" w:hAnsi="Arial" w:cs="Arial"/>
          <w:lang w:val="ru-RU"/>
        </w:rPr>
        <w:t>е погасил дължимите</w:t>
      </w:r>
      <w:r w:rsidR="007C4480" w:rsidRPr="00946F14">
        <w:rPr>
          <w:rFonts w:ascii="Arial" w:hAnsi="Arial" w:cs="Arial"/>
          <w:lang w:val="ru-RU"/>
        </w:rPr>
        <w:t xml:space="preserve"> през месец </w:t>
      </w:r>
      <w:r w:rsidR="00080BF8" w:rsidRPr="00946F14">
        <w:rPr>
          <w:rFonts w:ascii="Arial" w:hAnsi="Arial" w:cs="Arial"/>
          <w:lang w:val="ru-RU"/>
        </w:rPr>
        <w:t>януари</w:t>
      </w:r>
      <w:r w:rsidR="007C4480" w:rsidRPr="00946F14">
        <w:rPr>
          <w:rFonts w:ascii="Arial" w:hAnsi="Arial" w:cs="Arial"/>
          <w:lang w:val="ru-RU"/>
        </w:rPr>
        <w:t xml:space="preserve"> 202</w:t>
      </w:r>
      <w:r w:rsidR="00080BF8" w:rsidRPr="00946F14">
        <w:rPr>
          <w:rFonts w:ascii="Arial" w:hAnsi="Arial" w:cs="Arial"/>
          <w:lang w:val="ru-RU"/>
        </w:rPr>
        <w:t>5</w:t>
      </w:r>
      <w:r w:rsidR="002D1262">
        <w:rPr>
          <w:rFonts w:ascii="Arial" w:hAnsi="Arial" w:cs="Arial"/>
        </w:rPr>
        <w:t xml:space="preserve"> </w:t>
      </w:r>
      <w:r w:rsidR="007C4480" w:rsidRPr="00946F14">
        <w:rPr>
          <w:rFonts w:ascii="Arial" w:hAnsi="Arial" w:cs="Arial"/>
          <w:lang w:val="ru-RU"/>
        </w:rPr>
        <w:t xml:space="preserve">г. плащания </w:t>
      </w:r>
      <w:r w:rsidR="007C4480">
        <w:rPr>
          <w:rFonts w:ascii="Arial" w:hAnsi="Arial" w:cs="Arial"/>
        </w:rPr>
        <w:t>на лихва и главница</w:t>
      </w:r>
      <w:r w:rsidR="002326C3" w:rsidRPr="00946F14">
        <w:rPr>
          <w:rFonts w:ascii="Arial" w:hAnsi="Arial" w:cs="Arial"/>
          <w:lang w:val="ru-RU"/>
        </w:rPr>
        <w:t xml:space="preserve"> по </w:t>
      </w:r>
      <w:r w:rsidR="00D93FCB" w:rsidRPr="00946F14">
        <w:rPr>
          <w:rFonts w:ascii="Arial" w:hAnsi="Arial" w:cs="Arial"/>
          <w:lang w:val="ru-RU"/>
        </w:rPr>
        <w:t>настоящата</w:t>
      </w:r>
      <w:r w:rsidR="006559B2" w:rsidRPr="00946F14">
        <w:rPr>
          <w:rFonts w:ascii="Arial" w:hAnsi="Arial" w:cs="Arial"/>
          <w:lang w:val="ru-RU"/>
        </w:rPr>
        <w:t xml:space="preserve"> </w:t>
      </w:r>
      <w:r w:rsidR="002326C3" w:rsidRPr="00946F14">
        <w:rPr>
          <w:rFonts w:ascii="Arial" w:hAnsi="Arial" w:cs="Arial"/>
          <w:lang w:val="ru-RU"/>
        </w:rPr>
        <w:t>облигационна емисия</w:t>
      </w:r>
      <w:r w:rsidR="00D93FCB" w:rsidRPr="00946F14">
        <w:rPr>
          <w:rFonts w:ascii="Arial" w:hAnsi="Arial" w:cs="Arial"/>
          <w:lang w:val="ru-RU"/>
        </w:rPr>
        <w:t xml:space="preserve"> в рамките на гратисния 30 дневен период</w:t>
      </w:r>
      <w:r w:rsidR="007C4480" w:rsidRPr="00946F14">
        <w:rPr>
          <w:rFonts w:ascii="Arial" w:hAnsi="Arial" w:cs="Arial"/>
          <w:lang w:val="ru-RU"/>
        </w:rPr>
        <w:t xml:space="preserve">. </w:t>
      </w:r>
      <w:r w:rsidR="00080BF8">
        <w:rPr>
          <w:rFonts w:ascii="Arial" w:hAnsi="Arial" w:cs="Arial"/>
        </w:rPr>
        <w:t>/Виж стр.</w:t>
      </w:r>
      <w:r w:rsidR="00080BF8" w:rsidRPr="00946F14">
        <w:rPr>
          <w:rFonts w:ascii="Arial" w:hAnsi="Arial" w:cs="Arial"/>
          <w:lang w:val="ru-RU"/>
        </w:rPr>
        <w:t>7</w:t>
      </w:r>
      <w:r w:rsidR="00080BF8">
        <w:rPr>
          <w:rFonts w:ascii="Arial" w:hAnsi="Arial" w:cs="Arial"/>
        </w:rPr>
        <w:t xml:space="preserve"> по-долу: </w:t>
      </w:r>
      <w:r w:rsidR="00080BF8" w:rsidRPr="00326F01">
        <w:rPr>
          <w:rFonts w:ascii="Arial" w:hAnsi="Arial" w:cs="Arial"/>
          <w:b/>
          <w:i/>
          <w:u w:val="single"/>
        </w:rPr>
        <w:t>“</w:t>
      </w:r>
      <w:r w:rsidR="00080BF8">
        <w:rPr>
          <w:rFonts w:ascii="Arial" w:hAnsi="Arial" w:cs="Arial"/>
          <w:b/>
          <w:i/>
          <w:u w:val="single"/>
        </w:rPr>
        <w:t>Обстоятелства, настъпили след крайната дата на разглеждания в доклада период”</w:t>
      </w:r>
      <w:r w:rsidR="00080BF8">
        <w:rPr>
          <w:rFonts w:ascii="Arial" w:hAnsi="Arial" w:cs="Arial"/>
        </w:rPr>
        <w:t>/</w:t>
      </w:r>
    </w:p>
    <w:p w14:paraId="192716C2" w14:textId="77777777" w:rsidR="00576F4D" w:rsidRPr="00946F14" w:rsidRDefault="00576F4D" w:rsidP="0075559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ru-RU"/>
        </w:rPr>
      </w:pPr>
    </w:p>
    <w:p w14:paraId="0BA0D304" w14:textId="77777777" w:rsidR="006559B2" w:rsidRPr="00946F14" w:rsidRDefault="006559B2" w:rsidP="0075559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ru-RU"/>
        </w:rPr>
      </w:pPr>
    </w:p>
    <w:p w14:paraId="33CBFF52" w14:textId="77777777" w:rsidR="00803B4B" w:rsidRPr="00946F14" w:rsidRDefault="00803B4B" w:rsidP="00F226FA">
      <w:pPr>
        <w:pStyle w:val="Heading2"/>
        <w:numPr>
          <w:ilvl w:val="1"/>
          <w:numId w:val="14"/>
        </w:numPr>
        <w:rPr>
          <w:rFonts w:ascii="Arial" w:hAnsi="Arial" w:cs="Arial"/>
          <w:sz w:val="22"/>
          <w:szCs w:val="22"/>
          <w:lang w:val="ru-RU"/>
        </w:rPr>
      </w:pPr>
      <w:r w:rsidRPr="00086D70">
        <w:rPr>
          <w:rFonts w:ascii="Arial" w:hAnsi="Arial" w:cs="Arial"/>
          <w:sz w:val="22"/>
          <w:szCs w:val="22"/>
        </w:rPr>
        <w:t xml:space="preserve">Анализ на собствения капитал и пасивите на </w:t>
      </w:r>
      <w:r w:rsidR="00783226" w:rsidRPr="00086D70">
        <w:rPr>
          <w:rFonts w:ascii="Arial" w:hAnsi="Arial" w:cs="Arial"/>
          <w:sz w:val="22"/>
          <w:szCs w:val="22"/>
        </w:rPr>
        <w:t>Северкооп-</w:t>
      </w:r>
      <w:r w:rsidR="007B1208">
        <w:rPr>
          <w:rFonts w:ascii="Arial" w:hAnsi="Arial" w:cs="Arial"/>
          <w:sz w:val="22"/>
          <w:szCs w:val="22"/>
        </w:rPr>
        <w:t>Гъмза</w:t>
      </w:r>
      <w:r w:rsidR="00783226" w:rsidRPr="00086D70">
        <w:rPr>
          <w:rFonts w:ascii="Arial" w:hAnsi="Arial" w:cs="Arial"/>
          <w:sz w:val="22"/>
          <w:szCs w:val="22"/>
        </w:rPr>
        <w:t xml:space="preserve"> Холдинг АД</w:t>
      </w:r>
    </w:p>
    <w:p w14:paraId="340EAF7A" w14:textId="77777777" w:rsidR="000B3B86" w:rsidRPr="00946F14" w:rsidRDefault="000B3B86" w:rsidP="000B3B86">
      <w:pPr>
        <w:rPr>
          <w:lang w:val="ru-RU" w:eastAsia="x-none"/>
        </w:rPr>
      </w:pPr>
    </w:p>
    <w:p w14:paraId="326EA81F" w14:textId="77777777" w:rsidR="00D70591" w:rsidRPr="00946F14" w:rsidRDefault="00D70591" w:rsidP="00A2158B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 w:rsidRPr="00086D70">
        <w:rPr>
          <w:rFonts w:ascii="Arial" w:hAnsi="Arial" w:cs="Arial"/>
        </w:rPr>
        <w:t xml:space="preserve">Към </w:t>
      </w:r>
      <w:r w:rsidR="002E7CF1" w:rsidRPr="00946F14">
        <w:rPr>
          <w:rFonts w:ascii="Arial" w:hAnsi="Arial" w:cs="Arial"/>
          <w:lang w:val="ru-RU"/>
        </w:rPr>
        <w:t>31.12.2024</w:t>
      </w:r>
      <w:r w:rsidR="00C15083" w:rsidRPr="00946F14">
        <w:rPr>
          <w:rFonts w:ascii="Arial" w:hAnsi="Arial" w:cs="Arial"/>
          <w:lang w:val="ru-RU"/>
        </w:rPr>
        <w:t xml:space="preserve"> </w:t>
      </w:r>
      <w:r w:rsidR="002E7CF1" w:rsidRPr="00946F14">
        <w:rPr>
          <w:rFonts w:ascii="Arial" w:hAnsi="Arial" w:cs="Arial"/>
          <w:lang w:val="ru-RU"/>
        </w:rPr>
        <w:t>г.</w:t>
      </w:r>
      <w:r w:rsidR="00C42283" w:rsidRPr="00086D70">
        <w:rPr>
          <w:rFonts w:ascii="Arial" w:hAnsi="Arial" w:cs="Arial"/>
        </w:rPr>
        <w:t>,</w:t>
      </w:r>
      <w:r w:rsidRPr="00086D70">
        <w:rPr>
          <w:rFonts w:ascii="Arial" w:hAnsi="Arial" w:cs="Arial"/>
        </w:rPr>
        <w:t xml:space="preserve"> баланс</w:t>
      </w:r>
      <w:r w:rsidR="001451BC">
        <w:rPr>
          <w:rFonts w:ascii="Arial" w:hAnsi="Arial" w:cs="Arial"/>
        </w:rPr>
        <w:t>овото число</w:t>
      </w:r>
      <w:r w:rsidRPr="00086D70">
        <w:rPr>
          <w:rFonts w:ascii="Arial" w:hAnsi="Arial" w:cs="Arial"/>
        </w:rPr>
        <w:t xml:space="preserve"> на </w:t>
      </w:r>
      <w:r w:rsidR="00783226" w:rsidRPr="00086D70">
        <w:rPr>
          <w:rFonts w:ascii="Arial" w:hAnsi="Arial" w:cs="Arial"/>
        </w:rPr>
        <w:t>Северкооп-</w:t>
      </w:r>
      <w:r w:rsidR="007B1208">
        <w:rPr>
          <w:rFonts w:ascii="Arial" w:hAnsi="Arial" w:cs="Arial"/>
        </w:rPr>
        <w:t>Гъмза</w:t>
      </w:r>
      <w:r w:rsidR="00783226" w:rsidRPr="00086D70">
        <w:rPr>
          <w:rFonts w:ascii="Arial" w:hAnsi="Arial" w:cs="Arial"/>
        </w:rPr>
        <w:t xml:space="preserve"> Холдинг АД</w:t>
      </w:r>
      <w:r w:rsidR="00597299" w:rsidRPr="00946F14">
        <w:rPr>
          <w:rFonts w:ascii="Arial" w:hAnsi="Arial" w:cs="Arial"/>
          <w:lang w:val="ru-RU"/>
        </w:rPr>
        <w:t>, на консолидирана основа,</w:t>
      </w:r>
      <w:r w:rsidRPr="00086D70">
        <w:rPr>
          <w:rFonts w:ascii="Arial" w:hAnsi="Arial" w:cs="Arial"/>
        </w:rPr>
        <w:t xml:space="preserve"> </w:t>
      </w:r>
      <w:r w:rsidR="000205B4" w:rsidRPr="00946F14">
        <w:rPr>
          <w:rFonts w:ascii="Arial" w:hAnsi="Arial" w:cs="Arial"/>
          <w:lang w:val="ru-RU"/>
        </w:rPr>
        <w:t>спада</w:t>
      </w:r>
      <w:r w:rsidR="007076F1" w:rsidRPr="00946F14">
        <w:rPr>
          <w:rFonts w:ascii="Arial" w:hAnsi="Arial" w:cs="Arial"/>
          <w:lang w:val="ru-RU"/>
        </w:rPr>
        <w:t xml:space="preserve"> </w:t>
      </w:r>
      <w:r w:rsidR="007076F1" w:rsidRPr="00086D70">
        <w:rPr>
          <w:rFonts w:ascii="Arial" w:hAnsi="Arial" w:cs="Arial"/>
        </w:rPr>
        <w:t>до ниво от</w:t>
      </w:r>
      <w:r w:rsidR="007076F1" w:rsidRPr="00946F14">
        <w:rPr>
          <w:rFonts w:ascii="Arial" w:hAnsi="Arial" w:cs="Arial"/>
          <w:lang w:val="ru-RU"/>
        </w:rPr>
        <w:t xml:space="preserve"> </w:t>
      </w:r>
      <w:r w:rsidR="00176B98" w:rsidRPr="00946F14">
        <w:rPr>
          <w:rFonts w:ascii="Arial" w:hAnsi="Arial" w:cs="Arial"/>
          <w:lang w:val="ru-RU"/>
        </w:rPr>
        <w:t>8</w:t>
      </w:r>
      <w:r w:rsidR="002E7CF1" w:rsidRPr="00946F14">
        <w:rPr>
          <w:rFonts w:ascii="Arial" w:hAnsi="Arial" w:cs="Arial"/>
          <w:lang w:val="ru-RU"/>
        </w:rPr>
        <w:t>2</w:t>
      </w:r>
      <w:r w:rsidR="00176B98" w:rsidRPr="00946F14">
        <w:rPr>
          <w:rFonts w:ascii="Arial" w:hAnsi="Arial" w:cs="Arial"/>
          <w:lang w:val="ru-RU"/>
        </w:rPr>
        <w:t>,</w:t>
      </w:r>
      <w:r w:rsidR="002E7CF1" w:rsidRPr="00946F14">
        <w:rPr>
          <w:rFonts w:ascii="Arial" w:hAnsi="Arial" w:cs="Arial"/>
          <w:lang w:val="ru-RU"/>
        </w:rPr>
        <w:t>688</w:t>
      </w:r>
      <w:r w:rsidR="007076F1">
        <w:rPr>
          <w:rFonts w:ascii="Arial" w:hAnsi="Arial" w:cs="Arial"/>
        </w:rPr>
        <w:t xml:space="preserve"> млн. лева </w:t>
      </w:r>
      <w:r w:rsidR="007076F1" w:rsidRPr="00946F14">
        <w:rPr>
          <w:rFonts w:ascii="Arial" w:hAnsi="Arial" w:cs="Arial"/>
          <w:lang w:val="ru-RU"/>
        </w:rPr>
        <w:t>/</w:t>
      </w:r>
      <w:r w:rsidR="00355C0B" w:rsidRPr="00946F14">
        <w:rPr>
          <w:rFonts w:ascii="Arial" w:hAnsi="Arial" w:cs="Arial"/>
          <w:lang w:val="ru-RU"/>
        </w:rPr>
        <w:t>-</w:t>
      </w:r>
      <w:r w:rsidR="00176B98" w:rsidRPr="00946F14">
        <w:rPr>
          <w:rFonts w:ascii="Arial" w:hAnsi="Arial" w:cs="Arial"/>
          <w:lang w:val="ru-RU"/>
        </w:rPr>
        <w:t>1</w:t>
      </w:r>
      <w:r w:rsidR="007076F1">
        <w:rPr>
          <w:rFonts w:ascii="Arial" w:hAnsi="Arial" w:cs="Arial"/>
        </w:rPr>
        <w:t>.</w:t>
      </w:r>
      <w:r w:rsidR="002E7CF1" w:rsidRPr="00946F14">
        <w:rPr>
          <w:rFonts w:ascii="Arial" w:hAnsi="Arial" w:cs="Arial"/>
          <w:lang w:val="ru-RU"/>
        </w:rPr>
        <w:t>37</w:t>
      </w:r>
      <w:r w:rsidR="007076F1">
        <w:rPr>
          <w:rFonts w:ascii="Arial" w:hAnsi="Arial" w:cs="Arial"/>
        </w:rPr>
        <w:t>%</w:t>
      </w:r>
      <w:r w:rsidR="007076F1" w:rsidRPr="00946F14">
        <w:rPr>
          <w:rFonts w:ascii="Arial" w:hAnsi="Arial" w:cs="Arial"/>
          <w:lang w:val="ru-RU"/>
        </w:rPr>
        <w:t>/</w:t>
      </w:r>
      <w:r w:rsidR="007076F1" w:rsidRPr="00086D70">
        <w:rPr>
          <w:rFonts w:ascii="Arial" w:hAnsi="Arial" w:cs="Arial"/>
        </w:rPr>
        <w:t xml:space="preserve"> </w:t>
      </w:r>
      <w:r w:rsidR="007076F1">
        <w:rPr>
          <w:rFonts w:ascii="Arial" w:hAnsi="Arial" w:cs="Arial"/>
        </w:rPr>
        <w:t>спрямо</w:t>
      </w:r>
      <w:r w:rsidR="007076F1" w:rsidRPr="00946F14">
        <w:rPr>
          <w:rFonts w:ascii="Arial" w:hAnsi="Arial" w:cs="Arial"/>
          <w:lang w:val="ru-RU"/>
        </w:rPr>
        <w:t xml:space="preserve"> </w:t>
      </w:r>
      <w:r w:rsidR="000205B4" w:rsidRPr="00946F14">
        <w:rPr>
          <w:rFonts w:ascii="Arial" w:hAnsi="Arial" w:cs="Arial"/>
          <w:lang w:val="ru-RU"/>
        </w:rPr>
        <w:t>8</w:t>
      </w:r>
      <w:r w:rsidR="002E7CF1" w:rsidRPr="00946F14">
        <w:rPr>
          <w:rFonts w:ascii="Arial" w:hAnsi="Arial" w:cs="Arial"/>
          <w:lang w:val="ru-RU"/>
        </w:rPr>
        <w:t>3</w:t>
      </w:r>
      <w:r w:rsidR="000205B4" w:rsidRPr="00946F14">
        <w:rPr>
          <w:rFonts w:ascii="Arial" w:hAnsi="Arial" w:cs="Arial"/>
          <w:lang w:val="ru-RU"/>
        </w:rPr>
        <w:t>,</w:t>
      </w:r>
      <w:r w:rsidR="002E7CF1" w:rsidRPr="00946F14">
        <w:rPr>
          <w:rFonts w:ascii="Arial" w:hAnsi="Arial" w:cs="Arial"/>
          <w:lang w:val="ru-RU"/>
        </w:rPr>
        <w:t>835</w:t>
      </w:r>
      <w:r w:rsidR="000205B4">
        <w:rPr>
          <w:rFonts w:ascii="Arial" w:hAnsi="Arial" w:cs="Arial"/>
        </w:rPr>
        <w:t xml:space="preserve"> </w:t>
      </w:r>
      <w:r w:rsidR="007076F1" w:rsidRPr="00086D70">
        <w:rPr>
          <w:rFonts w:ascii="Arial" w:hAnsi="Arial" w:cs="Arial"/>
        </w:rPr>
        <w:t xml:space="preserve">млн. лева към </w:t>
      </w:r>
      <w:r w:rsidR="00176B98" w:rsidRPr="00946F14">
        <w:rPr>
          <w:rFonts w:ascii="Arial" w:hAnsi="Arial" w:cs="Arial"/>
          <w:lang w:val="ru-RU"/>
        </w:rPr>
        <w:t>3</w:t>
      </w:r>
      <w:r w:rsidR="00355C0B" w:rsidRPr="00946F14">
        <w:rPr>
          <w:rFonts w:ascii="Arial" w:hAnsi="Arial" w:cs="Arial"/>
          <w:lang w:val="ru-RU"/>
        </w:rPr>
        <w:t>0</w:t>
      </w:r>
      <w:r w:rsidR="00176B98" w:rsidRPr="00946F14">
        <w:rPr>
          <w:rFonts w:ascii="Arial" w:hAnsi="Arial" w:cs="Arial"/>
          <w:lang w:val="ru-RU"/>
        </w:rPr>
        <w:t>.0</w:t>
      </w:r>
      <w:r w:rsidR="002E7CF1" w:rsidRPr="00946F14">
        <w:rPr>
          <w:rFonts w:ascii="Arial" w:hAnsi="Arial" w:cs="Arial"/>
          <w:lang w:val="ru-RU"/>
        </w:rPr>
        <w:t>9</w:t>
      </w:r>
      <w:r w:rsidR="00176B98" w:rsidRPr="00946F14">
        <w:rPr>
          <w:rFonts w:ascii="Arial" w:hAnsi="Arial" w:cs="Arial"/>
          <w:lang w:val="ru-RU"/>
        </w:rPr>
        <w:t>.</w:t>
      </w:r>
      <w:r w:rsidR="007076F1" w:rsidRPr="00086D70">
        <w:rPr>
          <w:rFonts w:ascii="Arial" w:hAnsi="Arial" w:cs="Arial"/>
        </w:rPr>
        <w:t>20</w:t>
      </w:r>
      <w:r w:rsidR="00176B98" w:rsidRPr="00946F14">
        <w:rPr>
          <w:rFonts w:ascii="Arial" w:hAnsi="Arial" w:cs="Arial"/>
          <w:lang w:val="ru-RU"/>
        </w:rPr>
        <w:t>24</w:t>
      </w:r>
      <w:r w:rsidR="007076F1" w:rsidRPr="00946F14">
        <w:rPr>
          <w:rFonts w:ascii="Arial" w:hAnsi="Arial" w:cs="Arial"/>
          <w:lang w:val="ru-RU"/>
        </w:rPr>
        <w:t xml:space="preserve"> </w:t>
      </w:r>
      <w:r w:rsidR="007076F1" w:rsidRPr="00086D70">
        <w:rPr>
          <w:rFonts w:ascii="Arial" w:hAnsi="Arial" w:cs="Arial"/>
        </w:rPr>
        <w:t>г.</w:t>
      </w:r>
    </w:p>
    <w:p w14:paraId="5A348E11" w14:textId="77777777" w:rsidR="00086D70" w:rsidRPr="00946F14" w:rsidRDefault="00086D70" w:rsidP="00803B4B">
      <w:pPr>
        <w:rPr>
          <w:rFonts w:ascii="Arial" w:hAnsi="Arial" w:cs="Arial"/>
          <w:sz w:val="22"/>
          <w:szCs w:val="22"/>
          <w:lang w:val="ru-RU"/>
        </w:rPr>
      </w:pPr>
    </w:p>
    <w:p w14:paraId="2D3B1617" w14:textId="77777777" w:rsidR="00B5340B" w:rsidRPr="00946F14" w:rsidRDefault="006F4A66" w:rsidP="0082657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946F14">
        <w:rPr>
          <w:rFonts w:ascii="Arial" w:hAnsi="Arial" w:cs="Arial"/>
          <w:sz w:val="22"/>
          <w:szCs w:val="22"/>
          <w:lang w:val="ru-RU"/>
        </w:rPr>
        <w:t>Единствената по-съществена п</w:t>
      </w:r>
      <w:r w:rsidR="00660D5E" w:rsidRPr="00946F14">
        <w:rPr>
          <w:rFonts w:ascii="Arial" w:hAnsi="Arial" w:cs="Arial"/>
          <w:sz w:val="22"/>
          <w:szCs w:val="22"/>
          <w:lang w:val="ru-RU"/>
        </w:rPr>
        <w:t xml:space="preserve">ромяна е </w:t>
      </w:r>
      <w:r w:rsidR="00804C07" w:rsidRPr="00946F14">
        <w:rPr>
          <w:rFonts w:ascii="Arial" w:hAnsi="Arial" w:cs="Arial"/>
          <w:sz w:val="22"/>
          <w:szCs w:val="22"/>
          <w:lang w:val="ru-RU"/>
        </w:rPr>
        <w:t>спадът на дългосрочните банкови заеми от 9,299 млн. лева до 7,990 млн. лева при</w:t>
      </w:r>
      <w:r w:rsidR="00660D5E" w:rsidRPr="00946F14">
        <w:rPr>
          <w:rFonts w:ascii="Arial" w:hAnsi="Arial" w:cs="Arial"/>
          <w:sz w:val="22"/>
          <w:szCs w:val="22"/>
          <w:lang w:val="ru-RU"/>
        </w:rPr>
        <w:t xml:space="preserve"> дългосрочните пасиви</w:t>
      </w:r>
      <w:r w:rsidR="00804C07" w:rsidRPr="00946F14">
        <w:rPr>
          <w:rFonts w:ascii="Arial" w:hAnsi="Arial" w:cs="Arial"/>
          <w:sz w:val="22"/>
          <w:szCs w:val="22"/>
          <w:lang w:val="ru-RU"/>
        </w:rPr>
        <w:t>.</w:t>
      </w:r>
      <w:r w:rsidR="00660D5E" w:rsidRPr="00946F14">
        <w:rPr>
          <w:rFonts w:ascii="Arial" w:hAnsi="Arial" w:cs="Arial"/>
          <w:sz w:val="22"/>
          <w:szCs w:val="22"/>
          <w:lang w:val="ru-RU"/>
        </w:rPr>
        <w:t xml:space="preserve"> </w:t>
      </w:r>
      <w:r w:rsidR="00804C07" w:rsidRPr="00946F14">
        <w:rPr>
          <w:rFonts w:ascii="Arial" w:hAnsi="Arial" w:cs="Arial"/>
          <w:sz w:val="22"/>
          <w:szCs w:val="22"/>
          <w:lang w:val="ru-RU"/>
        </w:rPr>
        <w:t>При всички останали позиции няма съществени изменения, като данните към 31.12.2024</w:t>
      </w:r>
      <w:r w:rsidR="0085349F" w:rsidRPr="00946F14">
        <w:rPr>
          <w:rFonts w:ascii="Arial" w:hAnsi="Arial" w:cs="Arial"/>
          <w:sz w:val="22"/>
          <w:szCs w:val="22"/>
          <w:lang w:val="ru-RU"/>
        </w:rPr>
        <w:t xml:space="preserve"> </w:t>
      </w:r>
      <w:r w:rsidR="00804C07" w:rsidRPr="00946F14">
        <w:rPr>
          <w:rFonts w:ascii="Arial" w:hAnsi="Arial" w:cs="Arial"/>
          <w:sz w:val="22"/>
          <w:szCs w:val="22"/>
          <w:lang w:val="ru-RU"/>
        </w:rPr>
        <w:t>г. са консистентни с тези от края на третото тримесечие</w:t>
      </w:r>
      <w:r w:rsidR="00660D5E" w:rsidRPr="00946F14">
        <w:rPr>
          <w:rFonts w:ascii="Arial" w:hAnsi="Arial" w:cs="Arial"/>
          <w:sz w:val="22"/>
          <w:szCs w:val="22"/>
          <w:lang w:val="ru-RU"/>
        </w:rPr>
        <w:t xml:space="preserve"> </w:t>
      </w:r>
      <w:r w:rsidR="00804C07" w:rsidRPr="00946F14">
        <w:rPr>
          <w:rFonts w:ascii="Arial" w:hAnsi="Arial" w:cs="Arial"/>
          <w:sz w:val="22"/>
          <w:szCs w:val="22"/>
          <w:lang w:val="ru-RU"/>
        </w:rPr>
        <w:t>на годината.</w:t>
      </w:r>
    </w:p>
    <w:p w14:paraId="4ECB4A1E" w14:textId="77777777" w:rsidR="00660D5E" w:rsidRPr="00946F14" w:rsidRDefault="00660D5E" w:rsidP="00826571">
      <w:pPr>
        <w:jc w:val="both"/>
        <w:rPr>
          <w:rFonts w:ascii="Arial" w:hAnsi="Arial" w:cs="Arial"/>
          <w:sz w:val="22"/>
          <w:szCs w:val="22"/>
          <w:lang w:val="ru-RU"/>
        </w:rPr>
      </w:pPr>
    </w:p>
    <w:tbl>
      <w:tblPr>
        <w:tblW w:w="509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973"/>
        <w:gridCol w:w="975"/>
        <w:gridCol w:w="1253"/>
        <w:gridCol w:w="1534"/>
      </w:tblGrid>
      <w:tr w:rsidR="00DF4E23" w:rsidRPr="00946F14" w14:paraId="6DEDE176" w14:textId="77777777" w:rsidTr="00E91C9F">
        <w:trPr>
          <w:trHeight w:val="420"/>
        </w:trPr>
        <w:tc>
          <w:tcPr>
            <w:tcW w:w="2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751F7" w14:textId="77777777" w:rsidR="00DF4E23" w:rsidRPr="00086D70" w:rsidRDefault="00DF4E23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Собствен капитал и пасиви</w:t>
            </w:r>
          </w:p>
          <w:p w14:paraId="30404E3E" w14:textId="77777777" w:rsidR="00DF4E23" w:rsidRPr="00086D70" w:rsidRDefault="00DF4E23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66E60" w14:textId="77777777" w:rsidR="00DF4E23" w:rsidRDefault="00DF4E23" w:rsidP="00E91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31.12.</w:t>
            </w:r>
          </w:p>
          <w:p w14:paraId="47C52826" w14:textId="77777777" w:rsidR="00DF4E23" w:rsidRPr="00086D70" w:rsidRDefault="00DF4E23" w:rsidP="00E91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21A62" w14:textId="77777777" w:rsidR="00DF4E23" w:rsidRDefault="00DF4E23" w:rsidP="00E91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30.09.</w:t>
            </w:r>
          </w:p>
          <w:p w14:paraId="72DB26F9" w14:textId="77777777" w:rsidR="00DF4E23" w:rsidRPr="00086D70" w:rsidRDefault="00DF4E23" w:rsidP="00E91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5C730495" w14:textId="77777777" w:rsidR="00DF4E23" w:rsidRDefault="00DF4E23" w:rsidP="00E91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31.12.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 </w:t>
            </w:r>
          </w:p>
          <w:p w14:paraId="4383B826" w14:textId="77777777" w:rsidR="00DF4E23" w:rsidRPr="00086D70" w:rsidRDefault="00DF4E23" w:rsidP="00E91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14:paraId="2F3C527D" w14:textId="77777777" w:rsidR="00DF4E23" w:rsidRPr="00086D70" w:rsidRDefault="00DF4E23" w:rsidP="00E91C9F">
            <w:pP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30.09.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5403B" w14:textId="77777777" w:rsidR="00DF4E23" w:rsidRPr="00946F14" w:rsidRDefault="00DF4E23" w:rsidP="00E91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946F1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% от СК и Пасивите към 31.12.2024</w:t>
            </w:r>
          </w:p>
        </w:tc>
      </w:tr>
      <w:tr w:rsidR="00DF4E23" w:rsidRPr="00086D70" w14:paraId="71FCEEDB" w14:textId="77777777" w:rsidTr="00E91C9F">
        <w:trPr>
          <w:trHeight w:val="315"/>
        </w:trPr>
        <w:tc>
          <w:tcPr>
            <w:tcW w:w="2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F5763" w14:textId="77777777" w:rsidR="00DF4E23" w:rsidRPr="00946F14" w:rsidRDefault="00DF4E23" w:rsidP="00E91C9F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863FB" w14:textId="77777777" w:rsidR="00DF4E23" w:rsidRPr="00086D70" w:rsidRDefault="00DF4E23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‘000 лв.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0670E" w14:textId="77777777" w:rsidR="00DF4E23" w:rsidRPr="00086D70" w:rsidRDefault="00DF4E23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‘000 лв.</w:t>
            </w:r>
          </w:p>
        </w:tc>
        <w:tc>
          <w:tcPr>
            <w:tcW w:w="7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E59E0" w14:textId="77777777" w:rsidR="00DF4E23" w:rsidRPr="00086D70" w:rsidRDefault="00DF4E23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E5C0" w14:textId="77777777" w:rsidR="00DF4E23" w:rsidRPr="00086D70" w:rsidRDefault="00DF4E23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4E23" w:rsidRPr="00086D70" w14:paraId="75376FAA" w14:textId="77777777" w:rsidTr="00E91C9F">
        <w:trPr>
          <w:trHeight w:val="31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44E5C" w14:textId="77777777" w:rsidR="00DF4E23" w:rsidRPr="00086D70" w:rsidRDefault="00DF4E23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Собствен капитал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ECA35" w14:textId="77777777" w:rsidR="00DF4E23" w:rsidRPr="00086D70" w:rsidRDefault="00DF4E23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0223B" w14:textId="77777777" w:rsidR="00DF4E23" w:rsidRPr="00086D70" w:rsidRDefault="00DF4E23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DF624" w14:textId="77777777" w:rsidR="00DF4E23" w:rsidRPr="00086D70" w:rsidRDefault="00DF4E23" w:rsidP="00E91C9F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86D70">
              <w:rPr>
                <w:rFonts w:ascii="Arial" w:hAnsi="Arial" w:cs="Arial"/>
                <w:sz w:val="20"/>
                <w:szCs w:val="20"/>
                <w:lang w:val="bg-BG"/>
              </w:rPr>
              <w:t>%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B292" w14:textId="77777777" w:rsidR="00DF4E23" w:rsidRPr="00086D70" w:rsidRDefault="00DF4E23" w:rsidP="00E91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D70">
              <w:rPr>
                <w:rFonts w:ascii="Arial" w:hAnsi="Arial" w:cs="Arial"/>
                <w:sz w:val="20"/>
                <w:szCs w:val="20"/>
                <w:lang w:val="bg-BG"/>
              </w:rPr>
              <w:t>%</w:t>
            </w:r>
          </w:p>
        </w:tc>
      </w:tr>
      <w:tr w:rsidR="00DF4E23" w:rsidRPr="00086D70" w14:paraId="3C57B6AB" w14:textId="77777777" w:rsidTr="00E91C9F">
        <w:trPr>
          <w:trHeight w:val="31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3CADC" w14:textId="77777777" w:rsidR="00DF4E23" w:rsidRPr="00086D70" w:rsidRDefault="00DF4E23" w:rsidP="00E91C9F">
            <w:pPr>
              <w:rPr>
                <w:rFonts w:ascii="Arial" w:hAnsi="Arial" w:cs="Arial"/>
                <w:sz w:val="20"/>
                <w:szCs w:val="20"/>
              </w:rPr>
            </w:pPr>
            <w:r w:rsidRPr="00086D70">
              <w:rPr>
                <w:rFonts w:ascii="Arial" w:hAnsi="Arial" w:cs="Arial"/>
                <w:sz w:val="20"/>
                <w:szCs w:val="20"/>
                <w:lang w:val="bg-BG"/>
              </w:rPr>
              <w:t>Акционерен</w:t>
            </w:r>
            <w:r w:rsidRPr="00086D70">
              <w:rPr>
                <w:rFonts w:ascii="Arial" w:hAnsi="Arial" w:cs="Arial"/>
                <w:sz w:val="20"/>
                <w:szCs w:val="20"/>
              </w:rPr>
              <w:t xml:space="preserve"> капитал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4A4EBB" w14:textId="77777777" w:rsidR="00DF4E23" w:rsidRPr="00782F9D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BB62F4" w14:textId="77777777" w:rsidR="00DF4E23" w:rsidRPr="00782F9D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010C4" w14:textId="77777777" w:rsidR="00DF4E23" w:rsidRPr="00D53083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01F26" w14:textId="77777777" w:rsidR="00DF4E23" w:rsidRPr="00D95E99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12.93</w:t>
            </w:r>
          </w:p>
        </w:tc>
      </w:tr>
      <w:tr w:rsidR="00DF4E23" w:rsidRPr="00086D70" w14:paraId="661514EE" w14:textId="77777777" w:rsidTr="00E91C9F">
        <w:trPr>
          <w:trHeight w:val="322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78B00" w14:textId="77777777" w:rsidR="00DF4E23" w:rsidRPr="00086D70" w:rsidRDefault="00DF4E23" w:rsidP="00E91C9F">
            <w:pPr>
              <w:rPr>
                <w:rFonts w:ascii="Arial" w:hAnsi="Arial" w:cs="Arial"/>
                <w:sz w:val="20"/>
                <w:szCs w:val="20"/>
              </w:rPr>
            </w:pPr>
            <w:r w:rsidRPr="00086D70">
              <w:rPr>
                <w:rFonts w:ascii="Arial" w:hAnsi="Arial" w:cs="Arial"/>
                <w:sz w:val="20"/>
                <w:szCs w:val="20"/>
              </w:rPr>
              <w:t xml:space="preserve">Резерви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6C406A" w14:textId="77777777" w:rsidR="00DF4E23" w:rsidRPr="00450B0B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EFEBF1" w14:textId="77777777" w:rsidR="00DF4E23" w:rsidRPr="00450B0B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B3054" w14:textId="77777777" w:rsidR="00DF4E23" w:rsidRPr="00D53083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9CDB3" w14:textId="77777777" w:rsidR="00DF4E23" w:rsidRPr="00CD568D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8.63</w:t>
            </w:r>
          </w:p>
        </w:tc>
      </w:tr>
      <w:tr w:rsidR="00DF4E23" w:rsidRPr="00086D70" w14:paraId="3EAC7805" w14:textId="77777777" w:rsidTr="00E91C9F">
        <w:trPr>
          <w:trHeight w:val="302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D0E48C" w14:textId="77777777" w:rsidR="00DF4E23" w:rsidRPr="00086D70" w:rsidRDefault="00DF4E23" w:rsidP="00E91C9F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86D70">
              <w:rPr>
                <w:rFonts w:ascii="Arial" w:hAnsi="Arial" w:cs="Arial"/>
                <w:sz w:val="20"/>
                <w:szCs w:val="20"/>
                <w:lang w:val="bg-BG"/>
              </w:rPr>
              <w:t xml:space="preserve">Натрупана печалба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DCB2E3" w14:textId="77777777" w:rsidR="00DF4E23" w:rsidRPr="00450B0B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C79B1D" w14:textId="77777777" w:rsidR="00DF4E23" w:rsidRPr="00450B0B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6698D" w14:textId="77777777" w:rsidR="00DF4E23" w:rsidRPr="002C2270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BFAAD" w14:textId="77777777" w:rsidR="00DF4E23" w:rsidRPr="00CD568D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</w:t>
            </w:r>
          </w:p>
        </w:tc>
      </w:tr>
      <w:tr w:rsidR="00DF4E23" w:rsidRPr="00086D70" w14:paraId="7E21FE4A" w14:textId="77777777" w:rsidTr="00E91C9F">
        <w:trPr>
          <w:trHeight w:val="31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8521FE" w14:textId="77777777" w:rsidR="00DF4E23" w:rsidRPr="00086D70" w:rsidRDefault="00DF4E23" w:rsidP="00E91C9F">
            <w:pP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Собствен</w:t>
            </w:r>
            <w:r w:rsidRPr="00946F1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капитал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 отнасящ се до собствениците на предприятието-майка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37606BC" w14:textId="77777777" w:rsidR="00DF4E23" w:rsidRPr="002D5A33" w:rsidRDefault="00DF4E23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28668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1ED1EB4" w14:textId="77777777" w:rsidR="00DF4E23" w:rsidRPr="002D5A33" w:rsidRDefault="00DF4E23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28031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0BFD95F" w14:textId="77777777" w:rsidR="00DF4E23" w:rsidRPr="00D53083" w:rsidRDefault="00DF4E23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102.27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B0306A0" w14:textId="77777777" w:rsidR="00DF4E23" w:rsidRPr="00D3145A" w:rsidRDefault="00DF4E23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34.67</w:t>
            </w:r>
          </w:p>
        </w:tc>
      </w:tr>
      <w:tr w:rsidR="00DF4E23" w:rsidRPr="00086D70" w14:paraId="7305495E" w14:textId="77777777" w:rsidTr="00E91C9F">
        <w:trPr>
          <w:trHeight w:val="31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14:paraId="792558BC" w14:textId="77777777" w:rsidR="00DF4E23" w:rsidRPr="00086D70" w:rsidRDefault="00DF4E23" w:rsidP="00E91C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Cs/>
                <w:sz w:val="20"/>
                <w:szCs w:val="20"/>
                <w:lang w:val="bg-BG"/>
              </w:rPr>
              <w:t>Неконтролиращо участие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28CA2E3E" w14:textId="77777777" w:rsidR="00DF4E23" w:rsidRPr="002D5A33" w:rsidRDefault="00DF4E23" w:rsidP="00E91C9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6F5CC36F" w14:textId="77777777" w:rsidR="00DF4E23" w:rsidRPr="002D5A33" w:rsidRDefault="00DF4E23" w:rsidP="00E91C9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54C25B08" w14:textId="77777777" w:rsidR="00DF4E23" w:rsidRPr="00485D5B" w:rsidRDefault="00DF4E23" w:rsidP="00E91C9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3F2B165A" w14:textId="77777777" w:rsidR="00DF4E23" w:rsidRPr="00CD568D" w:rsidRDefault="00DF4E23" w:rsidP="00E91C9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0.04</w:t>
            </w:r>
          </w:p>
        </w:tc>
      </w:tr>
      <w:tr w:rsidR="00DF4E23" w:rsidRPr="00086D70" w14:paraId="36C479ED" w14:textId="77777777" w:rsidTr="00E91C9F">
        <w:trPr>
          <w:trHeight w:val="31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CDC90B6" w14:textId="77777777" w:rsidR="00DF4E23" w:rsidRPr="00086D70" w:rsidRDefault="00DF4E23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Собствен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капитал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24A86FCF" w14:textId="77777777" w:rsidR="00DF4E23" w:rsidRPr="002D5A33" w:rsidRDefault="00DF4E23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28704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CD61BEF" w14:textId="77777777" w:rsidR="00DF4E23" w:rsidRPr="002D5A33" w:rsidRDefault="00DF4E23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28067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CFA8174" w14:textId="77777777" w:rsidR="00DF4E23" w:rsidRPr="00D53083" w:rsidRDefault="00DF4E23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102.27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145330E" w14:textId="77777777" w:rsidR="00DF4E23" w:rsidRPr="00672721" w:rsidRDefault="00DF4E23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34.71</w:t>
            </w:r>
          </w:p>
        </w:tc>
      </w:tr>
      <w:tr w:rsidR="00DF4E23" w:rsidRPr="00086D70" w14:paraId="5C348BDA" w14:textId="77777777" w:rsidTr="00E91C9F">
        <w:trPr>
          <w:trHeight w:val="31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64AC5" w14:textId="77777777" w:rsidR="00DF4E23" w:rsidRPr="00086D70" w:rsidRDefault="00DF4E23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Пасиви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EF40F4" w14:textId="77777777" w:rsidR="00DF4E23" w:rsidRPr="00086D70" w:rsidRDefault="00DF4E23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9BC53C" w14:textId="77777777" w:rsidR="00DF4E23" w:rsidRPr="00086D70" w:rsidRDefault="00DF4E23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A342F" w14:textId="77777777" w:rsidR="00DF4E23" w:rsidRPr="00086D70" w:rsidRDefault="00DF4E23" w:rsidP="00E9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0E16A" w14:textId="77777777" w:rsidR="00DF4E23" w:rsidRPr="00086D70" w:rsidRDefault="00DF4E23" w:rsidP="00E9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E23" w:rsidRPr="00086D70" w14:paraId="07CDA398" w14:textId="77777777" w:rsidTr="00E91C9F">
        <w:trPr>
          <w:trHeight w:val="31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61D0F" w14:textId="77777777" w:rsidR="00DF4E23" w:rsidRPr="00086D70" w:rsidRDefault="00DF4E23" w:rsidP="00E91C9F">
            <w:pP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Нетекущи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 пасиви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F5B3C0" w14:textId="77777777" w:rsidR="00DF4E23" w:rsidRPr="00086D70" w:rsidRDefault="00DF4E23" w:rsidP="00E91C9F">
            <w:pP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FD846D" w14:textId="77777777" w:rsidR="00DF4E23" w:rsidRPr="00086D70" w:rsidRDefault="00DF4E23" w:rsidP="00E91C9F">
            <w:pP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DFB81" w14:textId="77777777" w:rsidR="00DF4E23" w:rsidRPr="00086D70" w:rsidRDefault="00DF4E23" w:rsidP="00E9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6364B" w14:textId="77777777" w:rsidR="00DF4E23" w:rsidRPr="00086D70" w:rsidRDefault="00DF4E23" w:rsidP="00E9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E23" w:rsidRPr="00086D70" w14:paraId="2CB27B82" w14:textId="77777777" w:rsidTr="00E91C9F">
        <w:trPr>
          <w:trHeight w:val="31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9ACDC" w14:textId="77777777" w:rsidR="00DF4E23" w:rsidRPr="00946F14" w:rsidRDefault="00DF4E23" w:rsidP="00E91C9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86D70">
              <w:rPr>
                <w:rFonts w:ascii="Arial" w:hAnsi="Arial" w:cs="Arial"/>
                <w:sz w:val="20"/>
                <w:szCs w:val="20"/>
                <w:lang w:val="bg-BG"/>
              </w:rPr>
              <w:t>Дългосрочн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а част на облигационен заем</w:t>
            </w:r>
            <w:r w:rsidRPr="00946F1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3963AD" w14:textId="77777777" w:rsidR="00DF4E23" w:rsidRPr="006C113E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B1CDB9" w14:textId="77777777" w:rsidR="00DF4E23" w:rsidRPr="006C113E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DFEEE" w14:textId="77777777" w:rsidR="00DF4E23" w:rsidRPr="00341946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9F0AB" w14:textId="77777777" w:rsidR="00DF4E23" w:rsidRPr="005E4A89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36.28</w:t>
            </w:r>
          </w:p>
        </w:tc>
      </w:tr>
      <w:tr w:rsidR="00DF4E23" w:rsidRPr="00086D70" w14:paraId="2D044C9F" w14:textId="77777777" w:rsidTr="00E91C9F">
        <w:trPr>
          <w:trHeight w:val="31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8E439" w14:textId="77777777" w:rsidR="00DF4E23" w:rsidRPr="00086D70" w:rsidRDefault="00DF4E23" w:rsidP="00E91C9F">
            <w:pPr>
              <w:rPr>
                <w:rFonts w:ascii="Arial" w:hAnsi="Arial" w:cs="Arial"/>
                <w:sz w:val="20"/>
                <w:szCs w:val="20"/>
              </w:rPr>
            </w:pPr>
            <w:r w:rsidRPr="00086D70">
              <w:rPr>
                <w:rFonts w:ascii="Arial" w:hAnsi="Arial" w:cs="Arial"/>
                <w:sz w:val="20"/>
                <w:szCs w:val="20"/>
                <w:lang w:val="bg-BG"/>
              </w:rPr>
              <w:t xml:space="preserve">Дългосрочни 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банкови заеми</w:t>
            </w:r>
            <w:r w:rsidRPr="00086D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983450" w14:textId="77777777" w:rsidR="00DF4E23" w:rsidRPr="006C113E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BBBE0" w14:textId="77777777" w:rsidR="00DF4E23" w:rsidRPr="006C113E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35FE8" w14:textId="77777777" w:rsidR="00DF4E23" w:rsidRPr="00341946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85.92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337E7" w14:textId="77777777" w:rsidR="00DF4E23" w:rsidRPr="005E4A89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9.66</w:t>
            </w:r>
          </w:p>
        </w:tc>
      </w:tr>
      <w:tr w:rsidR="00DF4E23" w:rsidRPr="00086D70" w14:paraId="2D07CE93" w14:textId="77777777" w:rsidTr="00E91C9F">
        <w:trPr>
          <w:trHeight w:val="31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C2FFA" w14:textId="77777777" w:rsidR="00DF4E23" w:rsidRPr="00086D70" w:rsidRDefault="00DF4E23" w:rsidP="00E91C9F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86D70">
              <w:rPr>
                <w:rFonts w:ascii="Arial" w:hAnsi="Arial" w:cs="Arial"/>
                <w:sz w:val="20"/>
                <w:szCs w:val="20"/>
                <w:lang w:val="bg-BG"/>
              </w:rPr>
              <w:t>Отсрочени данъци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C956D9" w14:textId="77777777" w:rsidR="00DF4E23" w:rsidRPr="006C113E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15922E" w14:textId="77777777" w:rsidR="00DF4E23" w:rsidRPr="006C113E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5D643" w14:textId="77777777" w:rsidR="00DF4E23" w:rsidRPr="00F927B9" w:rsidRDefault="00DF4E23" w:rsidP="00E91C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9A33B" w14:textId="77777777" w:rsidR="00DF4E23" w:rsidRPr="005E4A89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</w:tr>
      <w:tr w:rsidR="00DF4E23" w:rsidRPr="00086D70" w14:paraId="78288BFE" w14:textId="77777777" w:rsidTr="00E91C9F">
        <w:trPr>
          <w:trHeight w:val="31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F8CA376" w14:textId="77777777" w:rsidR="00DF4E23" w:rsidRPr="00086D70" w:rsidRDefault="00DF4E23" w:rsidP="00E91C9F">
            <w:pP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Нетекущи пасиви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167B956" w14:textId="77777777" w:rsidR="00DF4E23" w:rsidRPr="006C113E" w:rsidRDefault="00DF4E23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38632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33DFF6B" w14:textId="77777777" w:rsidR="00DF4E23" w:rsidRPr="006C113E" w:rsidRDefault="00DF4E23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39941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C7C8A5A" w14:textId="77777777" w:rsidR="00DF4E23" w:rsidRPr="002C2270" w:rsidRDefault="00DF4E23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96.72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0D4A0C6" w14:textId="77777777" w:rsidR="00DF4E23" w:rsidRPr="00672721" w:rsidRDefault="00DF4E23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46.72</w:t>
            </w:r>
          </w:p>
        </w:tc>
      </w:tr>
      <w:tr w:rsidR="00DF4E23" w:rsidRPr="00086D70" w14:paraId="22B3A22E" w14:textId="77777777" w:rsidTr="00E91C9F">
        <w:trPr>
          <w:trHeight w:val="31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F74BA" w14:textId="77777777" w:rsidR="00DF4E23" w:rsidRPr="00086D70" w:rsidRDefault="00DF4E23" w:rsidP="00E91C9F">
            <w:pP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Текущи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 пасиви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DE6B4" w14:textId="77777777" w:rsidR="00DF4E23" w:rsidRPr="00086D70" w:rsidRDefault="00DF4E23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0846C7" w14:textId="77777777" w:rsidR="00DF4E23" w:rsidRPr="00086D70" w:rsidRDefault="00DF4E23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033C3" w14:textId="77777777" w:rsidR="00DF4E23" w:rsidRPr="00086D70" w:rsidRDefault="00DF4E23" w:rsidP="00E9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E6FCB" w14:textId="77777777" w:rsidR="00DF4E23" w:rsidRPr="00086D70" w:rsidRDefault="00DF4E23" w:rsidP="00E9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E23" w:rsidRPr="00086D70" w14:paraId="53A4E2D0" w14:textId="77777777" w:rsidTr="00E91C9F">
        <w:trPr>
          <w:trHeight w:val="31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61739C" w14:textId="77777777" w:rsidR="00DF4E23" w:rsidRPr="00086D70" w:rsidRDefault="00DF4E23" w:rsidP="00E91C9F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Текущи заеми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9D0AA8" w14:textId="77777777" w:rsidR="00DF4E23" w:rsidRPr="00BB684D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AE807C" w14:textId="77777777" w:rsidR="00DF4E23" w:rsidRPr="00BB684D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3EA63" w14:textId="77777777" w:rsidR="00DF4E23" w:rsidRPr="001D3BA0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97.51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3D3E5" w14:textId="77777777" w:rsidR="00DF4E23" w:rsidRPr="005E4A89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12.84</w:t>
            </w:r>
          </w:p>
        </w:tc>
      </w:tr>
      <w:tr w:rsidR="00DF4E23" w:rsidRPr="00086D70" w14:paraId="752E7DD3" w14:textId="77777777" w:rsidTr="00E91C9F">
        <w:trPr>
          <w:trHeight w:val="31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9E319B" w14:textId="77777777" w:rsidR="00DF4E23" w:rsidRPr="00086D70" w:rsidRDefault="00DF4E23" w:rsidP="00E91C9F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86D70">
              <w:rPr>
                <w:rFonts w:ascii="Arial" w:hAnsi="Arial" w:cs="Arial"/>
                <w:sz w:val="20"/>
                <w:szCs w:val="20"/>
                <w:lang w:val="bg-BG"/>
              </w:rPr>
              <w:t>Краткосрочн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а част на облигационен заем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E204AB" w14:textId="77777777" w:rsidR="00DF4E23" w:rsidRPr="00575272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D9C341" w14:textId="77777777" w:rsidR="00DF4E23" w:rsidRPr="00575272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451C2" w14:textId="77777777" w:rsidR="00DF4E23" w:rsidRPr="002C2270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95.27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13B58" w14:textId="77777777" w:rsidR="00DF4E23" w:rsidRPr="005E4A89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</w:t>
            </w:r>
          </w:p>
        </w:tc>
      </w:tr>
      <w:tr w:rsidR="00DF4E23" w:rsidRPr="00086D70" w14:paraId="541F262D" w14:textId="77777777" w:rsidTr="00E91C9F">
        <w:trPr>
          <w:trHeight w:val="31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9E0636" w14:textId="77777777" w:rsidR="00DF4E23" w:rsidRPr="00946F14" w:rsidRDefault="00DF4E23" w:rsidP="00E91C9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46F14">
              <w:rPr>
                <w:rFonts w:ascii="Arial" w:hAnsi="Arial" w:cs="Arial"/>
                <w:sz w:val="20"/>
                <w:szCs w:val="20"/>
                <w:lang w:val="ru-RU"/>
              </w:rPr>
              <w:t>Задължения за данък върху дохода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60F127" w14:textId="77777777" w:rsidR="00DF4E23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102D1A" w14:textId="77777777" w:rsidR="00DF4E23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F004F" w14:textId="77777777" w:rsidR="00DF4E23" w:rsidRPr="00D53083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BA394" w14:textId="77777777" w:rsidR="00DF4E23" w:rsidRPr="001D2C54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</w:tr>
      <w:tr w:rsidR="00DF4E23" w:rsidRPr="00086D70" w14:paraId="13D86308" w14:textId="77777777" w:rsidTr="00E91C9F">
        <w:trPr>
          <w:trHeight w:val="31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087C24" w14:textId="77777777" w:rsidR="00DF4E23" w:rsidRPr="00086D70" w:rsidRDefault="00DF4E23" w:rsidP="00E91C9F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Търговски и д</w:t>
            </w:r>
            <w:r w:rsidRPr="00086D70">
              <w:rPr>
                <w:rFonts w:ascii="Arial" w:hAnsi="Arial" w:cs="Arial"/>
                <w:sz w:val="20"/>
                <w:szCs w:val="20"/>
                <w:lang w:val="bg-BG"/>
              </w:rPr>
              <w:t>руги задължения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8F4B38" w14:textId="77777777" w:rsidR="00DF4E23" w:rsidRPr="00575272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456A87" w14:textId="77777777" w:rsidR="00DF4E23" w:rsidRPr="00575272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485F3" w14:textId="77777777" w:rsidR="00DF4E23" w:rsidRPr="005E1C74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100.95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38B00" w14:textId="77777777" w:rsidR="00DF4E23" w:rsidRPr="00BC0248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</w:tr>
      <w:tr w:rsidR="00DF4E23" w:rsidRPr="00086D70" w14:paraId="4627CA73" w14:textId="77777777" w:rsidTr="00E91C9F">
        <w:trPr>
          <w:trHeight w:val="304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5BF030" w14:textId="77777777" w:rsidR="00DF4E23" w:rsidRPr="00086D70" w:rsidRDefault="00DF4E23" w:rsidP="00E91C9F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З</w:t>
            </w:r>
            <w:r w:rsidRPr="00086D70">
              <w:rPr>
                <w:rFonts w:ascii="Arial" w:hAnsi="Arial" w:cs="Arial"/>
                <w:sz w:val="20"/>
                <w:szCs w:val="20"/>
                <w:lang w:val="bg-BG"/>
              </w:rPr>
              <w:t>адължения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 към свързани лица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1A49D0" w14:textId="77777777" w:rsidR="00DF4E23" w:rsidRPr="00990F51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E8B73" w14:textId="77777777" w:rsidR="00DF4E23" w:rsidRPr="00990F51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8A148" w14:textId="77777777" w:rsidR="00DF4E23" w:rsidRPr="005E1C74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00D36" w14:textId="77777777" w:rsidR="00DF4E23" w:rsidRPr="00BC0248" w:rsidRDefault="00DF4E23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DF4E23" w:rsidRPr="00086D70" w14:paraId="6DFC65EA" w14:textId="77777777" w:rsidTr="00E91C9F">
        <w:trPr>
          <w:trHeight w:val="31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F8E851A" w14:textId="77777777" w:rsidR="00DF4E23" w:rsidRPr="00086D70" w:rsidRDefault="00DF4E23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Общо 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Текущи пасиви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199522CB" w14:textId="77777777" w:rsidR="00DF4E23" w:rsidRPr="00575272" w:rsidRDefault="00DF4E23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15352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9649267" w14:textId="77777777" w:rsidR="00DF4E23" w:rsidRPr="00575272" w:rsidRDefault="00DF4E23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15827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25125EC" w14:textId="77777777" w:rsidR="00DF4E23" w:rsidRPr="001A6ACC" w:rsidRDefault="00DF4E23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97.00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2E28CAE4" w14:textId="77777777" w:rsidR="00DF4E23" w:rsidRPr="009400EB" w:rsidRDefault="00DF4E23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18.57</w:t>
            </w:r>
          </w:p>
        </w:tc>
      </w:tr>
      <w:tr w:rsidR="00DF4E23" w:rsidRPr="00086D70" w14:paraId="48EB7D66" w14:textId="77777777" w:rsidTr="00E91C9F">
        <w:trPr>
          <w:trHeight w:val="31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6DEC117" w14:textId="77777777" w:rsidR="00DF4E23" w:rsidRPr="00086D70" w:rsidRDefault="00DF4E23" w:rsidP="00E91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Общо 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асиви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2AA2453B" w14:textId="77777777" w:rsidR="00DF4E23" w:rsidRPr="00575272" w:rsidRDefault="00DF4E23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53984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2E46B2EA" w14:textId="77777777" w:rsidR="00DF4E23" w:rsidRPr="00575272" w:rsidRDefault="00DF4E23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55768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94A839C" w14:textId="77777777" w:rsidR="00DF4E23" w:rsidRPr="0006051F" w:rsidRDefault="00DF4E23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96.80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AA7F83F" w14:textId="77777777" w:rsidR="00DF4E23" w:rsidRPr="00672721" w:rsidRDefault="00DF4E23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65.29</w:t>
            </w:r>
          </w:p>
        </w:tc>
      </w:tr>
      <w:tr w:rsidR="00DF4E23" w:rsidRPr="00086D70" w14:paraId="39F67BB2" w14:textId="77777777" w:rsidTr="00E91C9F">
        <w:trPr>
          <w:trHeight w:val="315"/>
        </w:trPr>
        <w:tc>
          <w:tcPr>
            <w:tcW w:w="2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D369D35" w14:textId="77777777" w:rsidR="00DF4E23" w:rsidRPr="00946F14" w:rsidRDefault="00DF4E23" w:rsidP="00E91C9F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946F1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Общо собствен капитал и пасиви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339A3FE" w14:textId="77777777" w:rsidR="00DF4E23" w:rsidRPr="00575272" w:rsidRDefault="00DF4E23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82688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5555016B" w14:textId="77777777" w:rsidR="00DF4E23" w:rsidRPr="00575272" w:rsidRDefault="00DF4E23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83835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9243DEA" w14:textId="77777777" w:rsidR="00DF4E23" w:rsidRPr="0006051F" w:rsidRDefault="00DF4E23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98.63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E6814E5" w14:textId="77777777" w:rsidR="00DF4E23" w:rsidRPr="00FA1079" w:rsidRDefault="00DF4E23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079">
              <w:rPr>
                <w:rFonts w:ascii="Arial" w:hAnsi="Arial" w:cs="Arial"/>
                <w:b/>
                <w:sz w:val="20"/>
                <w:szCs w:val="20"/>
              </w:rPr>
              <w:t>100.00</w:t>
            </w:r>
          </w:p>
        </w:tc>
      </w:tr>
    </w:tbl>
    <w:p w14:paraId="3FF421B9" w14:textId="77777777" w:rsidR="00010395" w:rsidRDefault="00010395" w:rsidP="00803B4B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13BE89AE" w14:textId="77777777" w:rsidR="00660D5E" w:rsidRPr="00946F14" w:rsidRDefault="00660D5E" w:rsidP="00803B4B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 w:rsidRPr="00946F14">
        <w:rPr>
          <w:rFonts w:ascii="Arial" w:hAnsi="Arial" w:cs="Arial"/>
          <w:lang w:val="ru-RU"/>
        </w:rPr>
        <w:t xml:space="preserve">Собственият капитал регистрира </w:t>
      </w:r>
      <w:r w:rsidR="00763D28" w:rsidRPr="00946F14">
        <w:rPr>
          <w:rFonts w:ascii="Arial" w:hAnsi="Arial" w:cs="Arial"/>
          <w:lang w:val="ru-RU"/>
        </w:rPr>
        <w:t>нарастване</w:t>
      </w:r>
      <w:r w:rsidRPr="00946F14">
        <w:rPr>
          <w:rFonts w:ascii="Arial" w:hAnsi="Arial" w:cs="Arial"/>
          <w:lang w:val="ru-RU"/>
        </w:rPr>
        <w:t xml:space="preserve"> до 28,</w:t>
      </w:r>
      <w:r w:rsidR="00763D28" w:rsidRPr="00946F14">
        <w:rPr>
          <w:rFonts w:ascii="Arial" w:hAnsi="Arial" w:cs="Arial"/>
          <w:lang w:val="ru-RU"/>
        </w:rPr>
        <w:t>704 млн. лева /+2</w:t>
      </w:r>
      <w:r w:rsidRPr="00946F14">
        <w:rPr>
          <w:rFonts w:ascii="Arial" w:hAnsi="Arial" w:cs="Arial"/>
          <w:lang w:val="ru-RU"/>
        </w:rPr>
        <w:t>.</w:t>
      </w:r>
      <w:r w:rsidR="00763D28" w:rsidRPr="00946F14">
        <w:rPr>
          <w:rFonts w:ascii="Arial" w:hAnsi="Arial" w:cs="Arial"/>
          <w:lang w:val="ru-RU"/>
        </w:rPr>
        <w:t>27</w:t>
      </w:r>
      <w:r w:rsidRPr="00946F14">
        <w:rPr>
          <w:rFonts w:ascii="Arial" w:hAnsi="Arial" w:cs="Arial"/>
          <w:lang w:val="ru-RU"/>
        </w:rPr>
        <w:t>%/ спрямо 28,0</w:t>
      </w:r>
      <w:r w:rsidR="00763D28" w:rsidRPr="00946F14">
        <w:rPr>
          <w:rFonts w:ascii="Arial" w:hAnsi="Arial" w:cs="Arial"/>
          <w:lang w:val="ru-RU"/>
        </w:rPr>
        <w:t>67</w:t>
      </w:r>
      <w:r w:rsidRPr="00946F14">
        <w:rPr>
          <w:rFonts w:ascii="Arial" w:hAnsi="Arial" w:cs="Arial"/>
          <w:lang w:val="ru-RU"/>
        </w:rPr>
        <w:t xml:space="preserve"> млн. лева към 3</w:t>
      </w:r>
      <w:r w:rsidR="00355C0B" w:rsidRPr="00946F14">
        <w:rPr>
          <w:rFonts w:ascii="Arial" w:hAnsi="Arial" w:cs="Arial"/>
          <w:lang w:val="ru-RU"/>
        </w:rPr>
        <w:t>0</w:t>
      </w:r>
      <w:r w:rsidRPr="00946F14">
        <w:rPr>
          <w:rFonts w:ascii="Arial" w:hAnsi="Arial" w:cs="Arial"/>
          <w:lang w:val="ru-RU"/>
        </w:rPr>
        <w:t>.0</w:t>
      </w:r>
      <w:r w:rsidR="00763D28" w:rsidRPr="00946F14">
        <w:rPr>
          <w:rFonts w:ascii="Arial" w:hAnsi="Arial" w:cs="Arial"/>
          <w:lang w:val="ru-RU"/>
        </w:rPr>
        <w:t>9</w:t>
      </w:r>
      <w:r w:rsidRPr="00946F14">
        <w:rPr>
          <w:rFonts w:ascii="Arial" w:hAnsi="Arial" w:cs="Arial"/>
          <w:lang w:val="ru-RU"/>
        </w:rPr>
        <w:t xml:space="preserve">.2024 година, вследствие на </w:t>
      </w:r>
      <w:r w:rsidR="00763D28" w:rsidRPr="00946F14">
        <w:rPr>
          <w:rFonts w:ascii="Arial" w:hAnsi="Arial" w:cs="Arial"/>
          <w:lang w:val="ru-RU"/>
        </w:rPr>
        <w:t xml:space="preserve">ръста на текущия финансов </w:t>
      </w:r>
      <w:r w:rsidR="00763D28" w:rsidRPr="00946F14">
        <w:rPr>
          <w:rFonts w:ascii="Arial" w:hAnsi="Arial" w:cs="Arial"/>
          <w:lang w:val="ru-RU"/>
        </w:rPr>
        <w:lastRenderedPageBreak/>
        <w:t>резултат</w:t>
      </w:r>
      <w:r w:rsidR="00355C0B" w:rsidRPr="00946F14">
        <w:rPr>
          <w:rFonts w:ascii="Arial" w:hAnsi="Arial" w:cs="Arial"/>
          <w:lang w:val="ru-RU"/>
        </w:rPr>
        <w:t xml:space="preserve"> през </w:t>
      </w:r>
      <w:r w:rsidR="00763D28" w:rsidRPr="00946F14">
        <w:rPr>
          <w:rFonts w:ascii="Arial" w:hAnsi="Arial" w:cs="Arial"/>
          <w:lang w:val="ru-RU"/>
        </w:rPr>
        <w:t>четвъртото</w:t>
      </w:r>
      <w:r w:rsidRPr="00946F14">
        <w:rPr>
          <w:rFonts w:ascii="Arial" w:hAnsi="Arial" w:cs="Arial"/>
          <w:lang w:val="ru-RU"/>
        </w:rPr>
        <w:t xml:space="preserve"> тримесечие на 2024</w:t>
      </w:r>
      <w:r w:rsidR="00355C0B">
        <w:rPr>
          <w:rFonts w:ascii="Arial" w:hAnsi="Arial" w:cs="Arial"/>
        </w:rPr>
        <w:t xml:space="preserve"> </w:t>
      </w:r>
      <w:r w:rsidR="00355C0B" w:rsidRPr="00946F14">
        <w:rPr>
          <w:rFonts w:ascii="Arial" w:hAnsi="Arial" w:cs="Arial"/>
          <w:lang w:val="ru-RU"/>
        </w:rPr>
        <w:t>г</w:t>
      </w:r>
      <w:r w:rsidRPr="00946F14">
        <w:rPr>
          <w:rFonts w:ascii="Arial" w:hAnsi="Arial" w:cs="Arial"/>
          <w:lang w:val="ru-RU"/>
        </w:rPr>
        <w:t>. В</w:t>
      </w:r>
      <w:r>
        <w:rPr>
          <w:rFonts w:ascii="Arial" w:hAnsi="Arial" w:cs="Arial"/>
        </w:rPr>
        <w:t>исокото ниво</w:t>
      </w:r>
      <w:r w:rsidRPr="00946F14">
        <w:rPr>
          <w:rFonts w:ascii="Arial" w:hAnsi="Arial" w:cs="Arial"/>
          <w:lang w:val="ru-RU"/>
        </w:rPr>
        <w:t xml:space="preserve"> на собствен капитал</w:t>
      </w:r>
      <w:r>
        <w:rPr>
          <w:rFonts w:ascii="Arial" w:hAnsi="Arial" w:cs="Arial"/>
        </w:rPr>
        <w:t xml:space="preserve"> поддържа показателите за </w:t>
      </w:r>
      <w:r w:rsidRPr="00946F14">
        <w:rPr>
          <w:rFonts w:ascii="Arial" w:hAnsi="Arial" w:cs="Arial"/>
          <w:lang w:val="ru-RU"/>
        </w:rPr>
        <w:t>платежоспособност</w:t>
      </w:r>
      <w:r>
        <w:rPr>
          <w:rFonts w:ascii="Arial" w:hAnsi="Arial" w:cs="Arial"/>
        </w:rPr>
        <w:t>, разгледани по-долу в доклада, на относително добри нива</w:t>
      </w:r>
      <w:r w:rsidRPr="00946F14">
        <w:rPr>
          <w:rFonts w:ascii="Arial" w:hAnsi="Arial" w:cs="Arial"/>
          <w:lang w:val="ru-RU"/>
        </w:rPr>
        <w:t>.</w:t>
      </w:r>
    </w:p>
    <w:p w14:paraId="0FB49907" w14:textId="77777777" w:rsidR="00080BF8" w:rsidRPr="00946F14" w:rsidRDefault="00080BF8" w:rsidP="00803B4B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1E5F5997" w14:textId="77777777" w:rsidR="00803B4B" w:rsidRPr="00086D70" w:rsidRDefault="00803B4B" w:rsidP="00F226FA">
      <w:pPr>
        <w:pStyle w:val="Heading2"/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086D70">
        <w:rPr>
          <w:rFonts w:ascii="Arial" w:hAnsi="Arial" w:cs="Arial"/>
          <w:sz w:val="22"/>
          <w:szCs w:val="22"/>
        </w:rPr>
        <w:t>Анализ на Приходите и Разходите</w:t>
      </w:r>
    </w:p>
    <w:p w14:paraId="4AFCCA99" w14:textId="77777777" w:rsidR="00086D70" w:rsidRPr="00DA0031" w:rsidRDefault="00086D70" w:rsidP="00803B4B">
      <w:pPr>
        <w:rPr>
          <w:rFonts w:ascii="Arial" w:hAnsi="Arial" w:cs="Arial"/>
          <w:sz w:val="22"/>
          <w:szCs w:val="22"/>
        </w:rPr>
      </w:pPr>
    </w:p>
    <w:tbl>
      <w:tblPr>
        <w:tblW w:w="86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276"/>
        <w:gridCol w:w="1275"/>
        <w:gridCol w:w="1276"/>
      </w:tblGrid>
      <w:tr w:rsidR="006C500A" w:rsidRPr="00086D70" w14:paraId="76F87214" w14:textId="77777777" w:rsidTr="00E91C9F">
        <w:trPr>
          <w:trHeight w:val="41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53A21" w14:textId="77777777" w:rsidR="006C500A" w:rsidRPr="00086D70" w:rsidRDefault="006C500A" w:rsidP="00E91C9F">
            <w:pPr>
              <w:rPr>
                <w:rFonts w:ascii="Arial" w:hAnsi="Arial" w:cs="Arial"/>
                <w:sz w:val="20"/>
                <w:szCs w:val="20"/>
              </w:rPr>
            </w:pPr>
            <w:r w:rsidRPr="00086D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E912" w14:textId="77777777" w:rsidR="006C500A" w:rsidRPr="00086D70" w:rsidRDefault="006C500A" w:rsidP="00E91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7E1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0C49" w14:textId="77777777" w:rsidR="006C500A" w:rsidRPr="00086D70" w:rsidRDefault="006C500A" w:rsidP="00E91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4467E1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4CD147ED" w14:textId="77777777" w:rsidR="006C500A" w:rsidRPr="00086D70" w:rsidRDefault="006C500A" w:rsidP="00E91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4467E1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 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 </w:t>
            </w:r>
            <w:r w:rsidRPr="004467E1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 </w:t>
            </w:r>
          </w:p>
          <w:p w14:paraId="13C13AC6" w14:textId="77777777" w:rsidR="006C500A" w:rsidRPr="00086D70" w:rsidRDefault="006C500A" w:rsidP="00E91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/%/</w:t>
            </w:r>
          </w:p>
        </w:tc>
      </w:tr>
      <w:tr w:rsidR="006C500A" w:rsidRPr="00086D70" w14:paraId="0039FCA7" w14:textId="77777777" w:rsidTr="00E91C9F">
        <w:trPr>
          <w:trHeight w:val="2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D534A" w14:textId="77777777" w:rsidR="006C500A" w:rsidRPr="00086D70" w:rsidRDefault="006C500A" w:rsidP="00E91C9F">
            <w:pPr>
              <w:rPr>
                <w:rFonts w:ascii="Arial" w:hAnsi="Arial" w:cs="Arial"/>
                <w:sz w:val="20"/>
                <w:szCs w:val="20"/>
              </w:rPr>
            </w:pPr>
            <w:r w:rsidRPr="00086D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189F" w14:textId="77777777" w:rsidR="006C500A" w:rsidRPr="00086D70" w:rsidRDefault="006C500A" w:rsidP="00E91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‘000 лв.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6454" w14:textId="77777777" w:rsidR="006C500A" w:rsidRPr="00086D70" w:rsidRDefault="006C500A" w:rsidP="00E91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‘000 лв.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7B8D2" w14:textId="77777777" w:rsidR="006C500A" w:rsidRPr="00086D70" w:rsidRDefault="006C500A" w:rsidP="00E91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500A" w:rsidRPr="00086D70" w14:paraId="111B314E" w14:textId="77777777" w:rsidTr="00E91C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E342A" w14:textId="77777777" w:rsidR="006C500A" w:rsidRPr="00086D70" w:rsidRDefault="006C500A" w:rsidP="00E91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40127" w14:textId="77777777" w:rsidR="006C500A" w:rsidRPr="00086D70" w:rsidRDefault="006C500A" w:rsidP="00E91C9F">
            <w:pPr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CECD7" w14:textId="77777777" w:rsidR="006C500A" w:rsidRPr="00086D70" w:rsidRDefault="006C500A" w:rsidP="00E91C9F">
            <w:pPr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6CC60" w14:textId="77777777" w:rsidR="006C500A" w:rsidRPr="00086D70" w:rsidRDefault="006C500A" w:rsidP="00E91C9F">
            <w:pPr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6C500A" w:rsidRPr="00086D70" w14:paraId="4A1801B6" w14:textId="77777777" w:rsidTr="00E91C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5B3F3A2D" w14:textId="77777777" w:rsidR="006C500A" w:rsidRPr="00086D70" w:rsidRDefault="006C500A" w:rsidP="00E91C9F">
            <w:pP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Печалба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 от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основна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 дейност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23A7BD12" w14:textId="77777777" w:rsidR="006C500A" w:rsidRPr="00EE1FB5" w:rsidRDefault="006C500A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50D2484" w14:textId="77777777" w:rsidR="006C500A" w:rsidRPr="00EE1FB5" w:rsidRDefault="006C500A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143ED903" w14:textId="77777777" w:rsidR="006C500A" w:rsidRPr="007F5A7B" w:rsidRDefault="006C500A" w:rsidP="00E91C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121.77</w:t>
            </w:r>
          </w:p>
        </w:tc>
      </w:tr>
      <w:tr w:rsidR="006C500A" w:rsidRPr="00086D70" w14:paraId="109DC493" w14:textId="77777777" w:rsidTr="00E91C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670BF" w14:textId="77777777" w:rsidR="006C500A" w:rsidRPr="00086D70" w:rsidRDefault="006C500A" w:rsidP="00E91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2009C2" w14:textId="77777777" w:rsidR="006C500A" w:rsidRPr="00086D70" w:rsidRDefault="006C500A" w:rsidP="00E91C9F">
            <w:pPr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31E0F" w14:textId="77777777" w:rsidR="006C500A" w:rsidRPr="00086D70" w:rsidRDefault="006C500A" w:rsidP="00E91C9F">
            <w:pPr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50356" w14:textId="77777777" w:rsidR="006C500A" w:rsidRPr="00086D70" w:rsidRDefault="006C500A" w:rsidP="00E91C9F">
            <w:pPr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6C500A" w:rsidRPr="00086D70" w14:paraId="17CE9ED1" w14:textId="77777777" w:rsidTr="00E91C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F8AF613" w14:textId="77777777" w:rsidR="006C500A" w:rsidRPr="00086D70" w:rsidRDefault="006C500A" w:rsidP="00E91C9F">
            <w:pP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946F1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Печалба / (Загуба)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 от финансова дейност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10EF2FE" w14:textId="77777777" w:rsidR="006C500A" w:rsidRPr="002F2AEE" w:rsidRDefault="006C500A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(1484)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158CEE0A" w14:textId="77777777" w:rsidR="006C500A" w:rsidRPr="0003356F" w:rsidRDefault="006C500A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5A94C175" w14:textId="77777777" w:rsidR="006C500A" w:rsidRPr="00375EC7" w:rsidRDefault="006C500A" w:rsidP="00E91C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***</w:t>
            </w:r>
          </w:p>
        </w:tc>
      </w:tr>
      <w:tr w:rsidR="006C500A" w:rsidRPr="00086D70" w14:paraId="28E8A812" w14:textId="77777777" w:rsidTr="00E91C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F6E52" w14:textId="77777777" w:rsidR="006C500A" w:rsidRPr="00086D70" w:rsidRDefault="006C500A" w:rsidP="00E91C9F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283B0C" w14:textId="77777777" w:rsidR="006C500A" w:rsidRDefault="006C500A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E0D8F" w14:textId="77777777" w:rsidR="006C500A" w:rsidRDefault="006C500A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AE464" w14:textId="77777777" w:rsidR="006C500A" w:rsidRPr="00A120FD" w:rsidRDefault="006C500A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00A" w:rsidRPr="0004227B" w14:paraId="447E6D84" w14:textId="77777777" w:rsidTr="00E91C9F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08488EB" w14:textId="77777777" w:rsidR="006C500A" w:rsidRPr="00946F14" w:rsidRDefault="006C500A" w:rsidP="00E91C9F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46F14">
              <w:rPr>
                <w:rFonts w:ascii="Arial" w:hAnsi="Arial" w:cs="Arial"/>
                <w:b/>
                <w:sz w:val="20"/>
                <w:szCs w:val="20"/>
                <w:lang w:val="ru-RU"/>
              </w:rPr>
              <w:t>Резултат от продажба на дъщерно дружество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78552B2" w14:textId="77777777" w:rsidR="006C500A" w:rsidRDefault="006C500A" w:rsidP="00E91C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0C260C3" w14:textId="77777777" w:rsidR="006C500A" w:rsidRDefault="006C500A" w:rsidP="00E91C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(135)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C070603" w14:textId="77777777" w:rsidR="006C500A" w:rsidRPr="0004227B" w:rsidRDefault="006C500A" w:rsidP="00E91C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***</w:t>
            </w:r>
          </w:p>
        </w:tc>
      </w:tr>
      <w:tr w:rsidR="006C500A" w:rsidRPr="0004227B" w14:paraId="04FDC317" w14:textId="77777777" w:rsidTr="00E91C9F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C4548" w14:textId="77777777" w:rsidR="006C500A" w:rsidRPr="0004227B" w:rsidRDefault="006C500A" w:rsidP="00E91C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ABD50" w14:textId="77777777" w:rsidR="006C500A" w:rsidRDefault="006C500A" w:rsidP="00E91C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D7DF5" w14:textId="77777777" w:rsidR="006C500A" w:rsidRDefault="006C500A" w:rsidP="00E91C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5D5F3" w14:textId="77777777" w:rsidR="006C500A" w:rsidRPr="0004227B" w:rsidRDefault="006C500A" w:rsidP="00E91C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500A" w:rsidRPr="0004227B" w14:paraId="403D3BB9" w14:textId="77777777" w:rsidTr="00E91C9F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16320DEB" w14:textId="77777777" w:rsidR="006C500A" w:rsidRPr="00946F14" w:rsidRDefault="006C500A" w:rsidP="00E91C9F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46F14">
              <w:rPr>
                <w:rFonts w:ascii="Arial" w:hAnsi="Arial" w:cs="Arial"/>
                <w:b/>
                <w:sz w:val="20"/>
                <w:szCs w:val="20"/>
                <w:lang w:val="ru-RU"/>
              </w:rPr>
              <w:t>Резултат от операции с инвестиционни имоти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94CAB91" w14:textId="77777777" w:rsidR="006C500A" w:rsidRPr="0004227B" w:rsidRDefault="006C500A" w:rsidP="00E91C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D5EA02F" w14:textId="77777777" w:rsidR="006C500A" w:rsidRPr="0004227B" w:rsidRDefault="006C500A" w:rsidP="00E91C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223401FE" w14:textId="77777777" w:rsidR="006C500A" w:rsidRPr="0004227B" w:rsidRDefault="006C500A" w:rsidP="00E91C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103.86</w:t>
            </w:r>
          </w:p>
        </w:tc>
      </w:tr>
      <w:tr w:rsidR="006C500A" w:rsidRPr="00086D70" w14:paraId="0C4E5D27" w14:textId="77777777" w:rsidTr="00E91C9F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082908DE" w14:textId="77777777" w:rsidR="006C500A" w:rsidRPr="007761B6" w:rsidRDefault="006C500A" w:rsidP="00E91C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2945EC44" w14:textId="77777777" w:rsidR="006C500A" w:rsidRDefault="006C500A" w:rsidP="00E91C9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7A85A858" w14:textId="77777777" w:rsidR="006C500A" w:rsidRDefault="006C500A" w:rsidP="00E91C9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74982849" w14:textId="77777777" w:rsidR="006C500A" w:rsidRPr="00C335D8" w:rsidRDefault="006C500A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00A" w:rsidRPr="0004227B" w14:paraId="5D083E12" w14:textId="77777777" w:rsidTr="00E91C9F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3558528C" w14:textId="77777777" w:rsidR="006C500A" w:rsidRPr="00D7728F" w:rsidRDefault="006C500A" w:rsidP="00E91C9F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Други приходи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863933D" w14:textId="77777777" w:rsidR="006C500A" w:rsidRPr="00B2455F" w:rsidRDefault="006C500A" w:rsidP="00E91C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F143E7D" w14:textId="77777777" w:rsidR="006C500A" w:rsidRPr="00B2455F" w:rsidRDefault="006C500A" w:rsidP="00E91C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6AE0526" w14:textId="77777777" w:rsidR="006C500A" w:rsidRPr="00B2455F" w:rsidRDefault="006C500A" w:rsidP="00E91C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12.50</w:t>
            </w:r>
          </w:p>
        </w:tc>
      </w:tr>
      <w:tr w:rsidR="006C500A" w:rsidRPr="00086D70" w14:paraId="1C4E43EF" w14:textId="77777777" w:rsidTr="00E91C9F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20422C61" w14:textId="77777777" w:rsidR="006C500A" w:rsidRPr="007761B6" w:rsidRDefault="006C500A" w:rsidP="00E91C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25AD5809" w14:textId="77777777" w:rsidR="006C500A" w:rsidRDefault="006C500A" w:rsidP="00E91C9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06172019" w14:textId="77777777" w:rsidR="006C500A" w:rsidRDefault="006C500A" w:rsidP="00E91C9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403715DB" w14:textId="77777777" w:rsidR="006C500A" w:rsidRPr="00C335D8" w:rsidRDefault="006C500A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00A" w:rsidRPr="00086D70" w14:paraId="71DD4B1D" w14:textId="77777777" w:rsidTr="00E91C9F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0190E558" w14:textId="77777777" w:rsidR="006C500A" w:rsidRPr="00FF084E" w:rsidRDefault="006C500A" w:rsidP="00E91C9F">
            <w:pPr>
              <w:rPr>
                <w:rFonts w:ascii="Arial" w:hAnsi="Arial" w:cs="Arial"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bg-BG"/>
              </w:rPr>
              <w:t>Разходи за материали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2EBB1951" w14:textId="77777777" w:rsidR="006C500A" w:rsidRPr="003832A1" w:rsidRDefault="006C500A" w:rsidP="00E91C9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(6)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5AC702AE" w14:textId="77777777" w:rsidR="006C500A" w:rsidRPr="003832A1" w:rsidRDefault="006C500A" w:rsidP="00E91C9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1FBEB2C7" w14:textId="77777777" w:rsidR="006C500A" w:rsidRPr="00E6233C" w:rsidRDefault="006C500A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</w:tr>
      <w:tr w:rsidR="006C500A" w:rsidRPr="00086D70" w14:paraId="70358F6F" w14:textId="77777777" w:rsidTr="00E91C9F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51979B09" w14:textId="77777777" w:rsidR="006C500A" w:rsidRPr="007761B6" w:rsidRDefault="006C500A" w:rsidP="00E91C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42A4">
              <w:rPr>
                <w:rFonts w:ascii="Arial" w:hAnsi="Arial" w:cs="Arial"/>
                <w:bCs/>
                <w:sz w:val="20"/>
                <w:szCs w:val="20"/>
              </w:rPr>
              <w:t>Разходи за външни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402379B8" w14:textId="77777777" w:rsidR="006C500A" w:rsidRDefault="006C500A" w:rsidP="00E91C9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(383)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2C014C54" w14:textId="77777777" w:rsidR="006C500A" w:rsidRDefault="006C500A" w:rsidP="00E91C9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(260)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48DA0D1B" w14:textId="77777777" w:rsidR="006C500A" w:rsidRPr="00C335D8" w:rsidRDefault="006C500A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147.31</w:t>
            </w:r>
          </w:p>
        </w:tc>
      </w:tr>
      <w:tr w:rsidR="006C500A" w:rsidRPr="00086D70" w14:paraId="348AFEE1" w14:textId="77777777" w:rsidTr="00E91C9F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51CC923B" w14:textId="77777777" w:rsidR="006C500A" w:rsidRPr="007761B6" w:rsidRDefault="006C500A" w:rsidP="00E91C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42A4">
              <w:rPr>
                <w:rFonts w:ascii="Arial" w:hAnsi="Arial" w:cs="Arial"/>
                <w:bCs/>
                <w:sz w:val="20"/>
                <w:szCs w:val="20"/>
              </w:rPr>
              <w:t>Разходи за амортизации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3012B37B" w14:textId="77777777" w:rsidR="006C500A" w:rsidRDefault="006C500A" w:rsidP="00E91C9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587C4B8D" w14:textId="77777777" w:rsidR="006C500A" w:rsidRDefault="006C500A" w:rsidP="00E91C9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336B4035" w14:textId="77777777" w:rsidR="006C500A" w:rsidRPr="00C335D8" w:rsidRDefault="006C500A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</w:tr>
      <w:tr w:rsidR="006C500A" w:rsidRPr="00086D70" w14:paraId="276E407A" w14:textId="77777777" w:rsidTr="00E91C9F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5360DE78" w14:textId="77777777" w:rsidR="006C500A" w:rsidRPr="007761B6" w:rsidRDefault="006C500A" w:rsidP="00E91C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4227B">
              <w:rPr>
                <w:rFonts w:ascii="Arial" w:hAnsi="Arial" w:cs="Arial"/>
                <w:bCs/>
                <w:sz w:val="20"/>
                <w:szCs w:val="20"/>
              </w:rPr>
              <w:t>Разходи за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46438E8A" w14:textId="77777777" w:rsidR="006C500A" w:rsidRDefault="006C500A" w:rsidP="00E91C9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(275)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28C02205" w14:textId="77777777" w:rsidR="006C500A" w:rsidRDefault="006C500A" w:rsidP="00E91C9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(208)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6DE5E425" w14:textId="77777777" w:rsidR="006C500A" w:rsidRPr="00C335D8" w:rsidRDefault="006C500A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132.21</w:t>
            </w:r>
          </w:p>
        </w:tc>
      </w:tr>
      <w:tr w:rsidR="006C500A" w:rsidRPr="00086D70" w14:paraId="3461CB0D" w14:textId="77777777" w:rsidTr="00E91C9F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4BAC447D" w14:textId="77777777" w:rsidR="006C500A" w:rsidRPr="0004227B" w:rsidRDefault="006C500A" w:rsidP="00E91C9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Други разходи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2ACC43C8" w14:textId="77777777" w:rsidR="006C500A" w:rsidRDefault="006C500A" w:rsidP="00E91C9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(93)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7951175C" w14:textId="77777777" w:rsidR="006C500A" w:rsidRDefault="006C500A" w:rsidP="00E91C9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(80)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36FA1E1B" w14:textId="77777777" w:rsidR="006C500A" w:rsidRPr="006509F6" w:rsidRDefault="006C500A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116.25</w:t>
            </w:r>
          </w:p>
        </w:tc>
      </w:tr>
      <w:tr w:rsidR="006C500A" w:rsidRPr="00086D70" w14:paraId="7B154E6E" w14:textId="77777777" w:rsidTr="00E91C9F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26B77203" w14:textId="77777777" w:rsidR="006C500A" w:rsidRPr="0004227B" w:rsidRDefault="006C500A" w:rsidP="00E91C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669DB115" w14:textId="77777777" w:rsidR="006C500A" w:rsidRDefault="006C500A" w:rsidP="00E91C9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4A9F6438" w14:textId="77777777" w:rsidR="006C500A" w:rsidRDefault="006C500A" w:rsidP="00E91C9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5FD4A045" w14:textId="77777777" w:rsidR="006C500A" w:rsidRPr="00C335D8" w:rsidRDefault="006C500A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00A" w:rsidRPr="00086D70" w14:paraId="799655F7" w14:textId="77777777" w:rsidTr="00E91C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B6ECA38" w14:textId="77777777" w:rsidR="006C500A" w:rsidRPr="00086D70" w:rsidRDefault="006C500A" w:rsidP="00E91C9F">
            <w:pP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Печалба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 преди данъци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450B4B6" w14:textId="77777777" w:rsidR="006C500A" w:rsidRPr="00EE1FB5" w:rsidRDefault="006C500A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7319964" w14:textId="77777777" w:rsidR="006C500A" w:rsidRPr="00EE1FB5" w:rsidRDefault="006C500A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14D63AB1" w14:textId="77777777" w:rsidR="006C500A" w:rsidRPr="0022441F" w:rsidRDefault="006C500A" w:rsidP="00E91C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29.16</w:t>
            </w:r>
          </w:p>
        </w:tc>
      </w:tr>
      <w:tr w:rsidR="006C500A" w:rsidRPr="00086D70" w14:paraId="52546BEA" w14:textId="77777777" w:rsidTr="00E91C9F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176CD161" w14:textId="77777777" w:rsidR="006C500A" w:rsidRPr="00946F14" w:rsidRDefault="006C500A" w:rsidP="00E91C9F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946F14">
              <w:rPr>
                <w:rFonts w:ascii="Arial" w:hAnsi="Arial" w:cs="Arial"/>
                <w:bCs/>
                <w:sz w:val="20"/>
                <w:szCs w:val="20"/>
                <w:lang w:val="ru-RU"/>
              </w:rPr>
              <w:t>Изменение на отсрочени данъци, нето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44A93866" w14:textId="77777777" w:rsidR="006C500A" w:rsidRPr="00002AE8" w:rsidRDefault="006C500A" w:rsidP="00E91C9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2AE589CE" w14:textId="77777777" w:rsidR="006C500A" w:rsidRPr="00002AE8" w:rsidRDefault="006C500A" w:rsidP="00E91C9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(231)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42E47B21" w14:textId="77777777" w:rsidR="006C500A" w:rsidRPr="00AF1D6A" w:rsidRDefault="006C500A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</w:tr>
      <w:tr w:rsidR="006C500A" w:rsidRPr="00086D70" w14:paraId="285F58E4" w14:textId="77777777" w:rsidTr="00E91C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BBCE26D" w14:textId="77777777" w:rsidR="006C500A" w:rsidRPr="00086D70" w:rsidRDefault="006C500A" w:rsidP="00E91C9F">
            <w:pP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Нетна п</w:t>
            </w:r>
            <w:r w:rsidRPr="00946F1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ечалба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/ (загуба) 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за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8473115" w14:textId="77777777" w:rsidR="006C500A" w:rsidRPr="00EE1FB5" w:rsidRDefault="006C500A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E32E965" w14:textId="77777777" w:rsidR="006C500A" w:rsidRPr="00EE1FB5" w:rsidRDefault="006C500A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52307758" w14:textId="77777777" w:rsidR="006C500A" w:rsidRPr="0022441F" w:rsidRDefault="006C500A" w:rsidP="00E91C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32.27</w:t>
            </w:r>
          </w:p>
        </w:tc>
      </w:tr>
      <w:tr w:rsidR="006C500A" w:rsidRPr="00086D70" w14:paraId="411D2175" w14:textId="77777777" w:rsidTr="00E91C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1E836" w14:textId="77777777" w:rsidR="006C500A" w:rsidRPr="00086D70" w:rsidRDefault="006C500A" w:rsidP="00E91C9F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86D70">
              <w:rPr>
                <w:rFonts w:ascii="Arial" w:hAnsi="Arial" w:cs="Arial"/>
                <w:sz w:val="20"/>
                <w:szCs w:val="20"/>
                <w:lang w:val="bg-BG"/>
              </w:rPr>
              <w:t>Друг всеобхватен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6411A" w14:textId="77777777" w:rsidR="006C500A" w:rsidRPr="00A02106" w:rsidRDefault="006C500A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C420F" w14:textId="77777777" w:rsidR="006C500A" w:rsidRPr="00A02106" w:rsidRDefault="006C500A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F1B75" w14:textId="77777777" w:rsidR="006C500A" w:rsidRPr="00BA3F70" w:rsidRDefault="006C500A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</w:tr>
      <w:tr w:rsidR="006C500A" w:rsidRPr="00086D70" w14:paraId="02BFDB63" w14:textId="77777777" w:rsidTr="00E91C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5996A10" w14:textId="77777777" w:rsidR="006C500A" w:rsidRPr="00946F14" w:rsidRDefault="006C500A" w:rsidP="00E91C9F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</w:t>
            </w:r>
            <w:r w:rsidRPr="00086D70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 всеобхватен доход</w:t>
            </w:r>
            <w:r w:rsidRPr="00946F1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за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9869226" w14:textId="77777777" w:rsidR="006C500A" w:rsidRPr="00EE1FB5" w:rsidRDefault="006C500A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AA18754" w14:textId="77777777" w:rsidR="006C500A" w:rsidRPr="00EE1FB5" w:rsidRDefault="006C500A" w:rsidP="00E91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21D1A551" w14:textId="77777777" w:rsidR="006C500A" w:rsidRPr="0022441F" w:rsidRDefault="006C500A" w:rsidP="00E91C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32.27</w:t>
            </w:r>
          </w:p>
        </w:tc>
      </w:tr>
      <w:tr w:rsidR="006C500A" w:rsidRPr="00086D70" w14:paraId="0C0499F9" w14:textId="77777777" w:rsidTr="00E91C9F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55018F8" w14:textId="77777777" w:rsidR="006C500A" w:rsidRPr="00946F14" w:rsidRDefault="006C500A" w:rsidP="00E91C9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46F14">
              <w:rPr>
                <w:rFonts w:ascii="Arial" w:hAnsi="Arial" w:cs="Arial"/>
                <w:sz w:val="20"/>
                <w:szCs w:val="20"/>
                <w:lang w:val="ru-RU"/>
              </w:rPr>
              <w:t xml:space="preserve">Печалба / 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(</w:t>
            </w:r>
            <w:r w:rsidRPr="00946F14">
              <w:rPr>
                <w:rFonts w:ascii="Arial" w:hAnsi="Arial" w:cs="Arial"/>
                <w:sz w:val="20"/>
                <w:szCs w:val="20"/>
                <w:lang w:val="ru-RU"/>
              </w:rPr>
              <w:t>загуба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)</w:t>
            </w:r>
            <w:r w:rsidRPr="00946F14">
              <w:rPr>
                <w:rFonts w:ascii="Arial" w:hAnsi="Arial" w:cs="Arial"/>
                <w:sz w:val="20"/>
                <w:szCs w:val="20"/>
                <w:lang w:val="ru-RU"/>
              </w:rPr>
              <w:t xml:space="preserve"> за периода контролно 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3CDA97D2" w14:textId="77777777" w:rsidR="006C500A" w:rsidRPr="00634C28" w:rsidRDefault="006C500A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28FF26D6" w14:textId="77777777" w:rsidR="006C500A" w:rsidRPr="006B7135" w:rsidRDefault="006C500A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5F81A786" w14:textId="77777777" w:rsidR="006C500A" w:rsidRPr="00E6233C" w:rsidRDefault="006C500A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32.82</w:t>
            </w:r>
          </w:p>
        </w:tc>
      </w:tr>
      <w:tr w:rsidR="006C500A" w:rsidRPr="00086D70" w14:paraId="2E275293" w14:textId="77777777" w:rsidTr="00E91C9F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7939437" w14:textId="77777777" w:rsidR="006C500A" w:rsidRPr="00946F14" w:rsidRDefault="006C500A" w:rsidP="00E91C9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46F14">
              <w:rPr>
                <w:rFonts w:ascii="Arial" w:hAnsi="Arial" w:cs="Arial"/>
                <w:sz w:val="20"/>
                <w:szCs w:val="20"/>
                <w:lang w:val="ru-RU"/>
              </w:rPr>
              <w:t xml:space="preserve">Печалба / 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(</w:t>
            </w:r>
            <w:r w:rsidRPr="00946F14">
              <w:rPr>
                <w:rFonts w:ascii="Arial" w:hAnsi="Arial" w:cs="Arial"/>
                <w:sz w:val="20"/>
                <w:szCs w:val="20"/>
                <w:lang w:val="ru-RU"/>
              </w:rPr>
              <w:t>загуба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)</w:t>
            </w:r>
            <w:r w:rsidRPr="00946F14">
              <w:rPr>
                <w:rFonts w:ascii="Arial" w:hAnsi="Arial" w:cs="Arial"/>
                <w:sz w:val="20"/>
                <w:szCs w:val="20"/>
                <w:lang w:val="ru-RU"/>
              </w:rPr>
              <w:t xml:space="preserve"> за периода неконтролиращо 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63A9C2A4" w14:textId="77777777" w:rsidR="006C500A" w:rsidRPr="00450B0B" w:rsidRDefault="006C500A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029D046B" w14:textId="77777777" w:rsidR="006C500A" w:rsidRPr="00450B0B" w:rsidRDefault="006C500A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5CBF337E" w14:textId="77777777" w:rsidR="006C500A" w:rsidRPr="00002AE8" w:rsidRDefault="006C500A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</w:tbl>
    <w:p w14:paraId="3597AE2A" w14:textId="77777777" w:rsidR="0095667C" w:rsidRDefault="0095667C" w:rsidP="00803B4B">
      <w:pPr>
        <w:rPr>
          <w:rFonts w:ascii="Arial" w:hAnsi="Arial" w:cs="Arial"/>
          <w:sz w:val="22"/>
          <w:szCs w:val="22"/>
        </w:rPr>
      </w:pPr>
    </w:p>
    <w:p w14:paraId="17015628" w14:textId="77777777" w:rsidR="008C5AD7" w:rsidRPr="00946F14" w:rsidRDefault="00E276C5" w:rsidP="000E139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946F14">
        <w:rPr>
          <w:rFonts w:ascii="Arial" w:hAnsi="Arial" w:cs="Arial"/>
          <w:sz w:val="22"/>
          <w:szCs w:val="22"/>
          <w:lang w:val="ru-RU"/>
        </w:rPr>
        <w:t xml:space="preserve">Емитентът реализира </w:t>
      </w:r>
      <w:r w:rsidR="00C51701" w:rsidRPr="00946F14">
        <w:rPr>
          <w:rFonts w:ascii="Arial" w:hAnsi="Arial" w:cs="Arial"/>
          <w:sz w:val="22"/>
          <w:szCs w:val="22"/>
          <w:lang w:val="ru-RU"/>
        </w:rPr>
        <w:t>положителен финансов резултат</w:t>
      </w:r>
      <w:r w:rsidR="009E5550" w:rsidRPr="00946F14">
        <w:rPr>
          <w:rFonts w:ascii="Arial" w:hAnsi="Arial" w:cs="Arial"/>
          <w:sz w:val="22"/>
          <w:szCs w:val="22"/>
          <w:lang w:val="ru-RU"/>
        </w:rPr>
        <w:t xml:space="preserve"> за 202</w:t>
      </w:r>
      <w:r w:rsidR="008A5FBA" w:rsidRPr="00946F14">
        <w:rPr>
          <w:rFonts w:ascii="Arial" w:hAnsi="Arial" w:cs="Arial"/>
          <w:sz w:val="22"/>
          <w:szCs w:val="22"/>
          <w:lang w:val="ru-RU"/>
        </w:rPr>
        <w:t>4</w:t>
      </w:r>
      <w:r w:rsidR="00437C65" w:rsidRPr="00946F14">
        <w:rPr>
          <w:rFonts w:ascii="Arial" w:hAnsi="Arial" w:cs="Arial"/>
          <w:sz w:val="22"/>
          <w:szCs w:val="22"/>
          <w:lang w:val="ru-RU"/>
        </w:rPr>
        <w:t xml:space="preserve"> </w:t>
      </w:r>
      <w:r w:rsidR="009E5550" w:rsidRPr="00946F14">
        <w:rPr>
          <w:rFonts w:ascii="Arial" w:hAnsi="Arial" w:cs="Arial"/>
          <w:sz w:val="22"/>
          <w:szCs w:val="22"/>
          <w:lang w:val="ru-RU"/>
        </w:rPr>
        <w:t>г.</w:t>
      </w:r>
      <w:r w:rsidRPr="00946F14">
        <w:rPr>
          <w:rFonts w:ascii="Arial" w:hAnsi="Arial" w:cs="Arial"/>
          <w:sz w:val="22"/>
          <w:szCs w:val="22"/>
          <w:lang w:val="ru-RU"/>
        </w:rPr>
        <w:t xml:space="preserve"> в размер на </w:t>
      </w:r>
      <w:r w:rsidR="00F03602" w:rsidRPr="00946F14">
        <w:rPr>
          <w:rFonts w:ascii="Arial" w:hAnsi="Arial" w:cs="Arial"/>
          <w:sz w:val="22"/>
          <w:szCs w:val="22"/>
          <w:lang w:val="ru-RU"/>
        </w:rPr>
        <w:t>698</w:t>
      </w:r>
      <w:r w:rsidR="00932500" w:rsidRPr="00946F14">
        <w:rPr>
          <w:rFonts w:ascii="Arial" w:hAnsi="Arial" w:cs="Arial"/>
          <w:sz w:val="22"/>
          <w:szCs w:val="22"/>
          <w:lang w:val="ru-RU"/>
        </w:rPr>
        <w:t xml:space="preserve"> </w:t>
      </w:r>
      <w:r w:rsidR="008A5FBA" w:rsidRPr="00946F14">
        <w:rPr>
          <w:rFonts w:ascii="Arial" w:hAnsi="Arial" w:cs="Arial"/>
          <w:sz w:val="22"/>
          <w:szCs w:val="22"/>
          <w:lang w:val="ru-RU"/>
        </w:rPr>
        <w:t>хиляди</w:t>
      </w:r>
      <w:r w:rsidR="0010621F">
        <w:rPr>
          <w:rFonts w:ascii="Arial" w:hAnsi="Arial" w:cs="Arial"/>
          <w:sz w:val="22"/>
          <w:szCs w:val="22"/>
          <w:lang w:val="bg-BG"/>
        </w:rPr>
        <w:t xml:space="preserve"> </w:t>
      </w:r>
      <w:r w:rsidR="00637DAD" w:rsidRPr="00946F14">
        <w:rPr>
          <w:rFonts w:ascii="Arial" w:hAnsi="Arial" w:cs="Arial"/>
          <w:sz w:val="22"/>
          <w:szCs w:val="22"/>
          <w:lang w:val="ru-RU"/>
        </w:rPr>
        <w:t>лева</w:t>
      </w:r>
      <w:r w:rsidR="00F03602" w:rsidRPr="00946F14">
        <w:rPr>
          <w:rFonts w:ascii="Arial" w:hAnsi="Arial" w:cs="Arial"/>
          <w:sz w:val="22"/>
          <w:szCs w:val="22"/>
          <w:lang w:val="ru-RU"/>
        </w:rPr>
        <w:t xml:space="preserve"> спрямо 2,163 млн. лева през предходната 2023 година</w:t>
      </w:r>
      <w:r w:rsidR="00DC25D5">
        <w:rPr>
          <w:rFonts w:ascii="Arial" w:hAnsi="Arial" w:cs="Arial"/>
          <w:sz w:val="22"/>
          <w:szCs w:val="22"/>
          <w:lang w:val="bg-BG"/>
        </w:rPr>
        <w:t>.</w:t>
      </w:r>
      <w:r w:rsidR="002C1960" w:rsidRPr="00946F14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2952E84B" w14:textId="77777777" w:rsidR="008A5FBA" w:rsidRPr="00946F14" w:rsidRDefault="008A5FBA" w:rsidP="00154D21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6CA63BB7" w14:textId="77777777" w:rsidR="00256121" w:rsidRPr="00946F14" w:rsidRDefault="008A5FBA" w:rsidP="00154D2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946F14">
        <w:rPr>
          <w:rFonts w:ascii="Arial" w:hAnsi="Arial" w:cs="Arial"/>
          <w:sz w:val="22"/>
          <w:szCs w:val="22"/>
          <w:lang w:val="ru-RU"/>
        </w:rPr>
        <w:t>П</w:t>
      </w:r>
      <w:r w:rsidR="00F03602" w:rsidRPr="00946F14">
        <w:rPr>
          <w:rFonts w:ascii="Arial" w:hAnsi="Arial" w:cs="Arial"/>
          <w:sz w:val="22"/>
          <w:szCs w:val="22"/>
          <w:lang w:val="ru-RU"/>
        </w:rPr>
        <w:t>ечалбата от основна дейност</w:t>
      </w:r>
      <w:r w:rsidR="009851A5" w:rsidRPr="00946F14">
        <w:rPr>
          <w:rFonts w:ascii="Arial" w:hAnsi="Arial" w:cs="Arial"/>
          <w:sz w:val="22"/>
          <w:szCs w:val="22"/>
          <w:lang w:val="ru-RU"/>
        </w:rPr>
        <w:t xml:space="preserve"> </w:t>
      </w:r>
      <w:r w:rsidR="00F03602" w:rsidRPr="00946F14">
        <w:rPr>
          <w:rFonts w:ascii="Arial" w:hAnsi="Arial" w:cs="Arial"/>
          <w:sz w:val="22"/>
          <w:szCs w:val="22"/>
          <w:lang w:val="ru-RU"/>
        </w:rPr>
        <w:t xml:space="preserve">нараства с 21.77% до 1,376 млн. лева спрямо 1,130 млн. лева година по-рано. </w:t>
      </w:r>
      <w:r w:rsidR="00256121" w:rsidRPr="00946F14">
        <w:rPr>
          <w:rFonts w:ascii="Arial" w:hAnsi="Arial" w:cs="Arial"/>
          <w:sz w:val="22"/>
          <w:szCs w:val="22"/>
          <w:lang w:val="ru-RU"/>
        </w:rPr>
        <w:t>Разликата в общия всеобхватен до</w:t>
      </w:r>
      <w:r w:rsidR="001B245D" w:rsidRPr="00946F14">
        <w:rPr>
          <w:rFonts w:ascii="Arial" w:hAnsi="Arial" w:cs="Arial"/>
          <w:sz w:val="22"/>
          <w:szCs w:val="22"/>
          <w:lang w:val="ru-RU"/>
        </w:rPr>
        <w:t>х</w:t>
      </w:r>
      <w:r w:rsidR="00256121" w:rsidRPr="00946F14">
        <w:rPr>
          <w:rFonts w:ascii="Arial" w:hAnsi="Arial" w:cs="Arial"/>
          <w:sz w:val="22"/>
          <w:szCs w:val="22"/>
          <w:lang w:val="ru-RU"/>
        </w:rPr>
        <w:t xml:space="preserve">од през двете години се дължи на финансовата дейност, където емитентът регистрира загуба от 1,484 млн. лева </w:t>
      </w:r>
      <w:r w:rsidR="001B245D" w:rsidRPr="00946F14">
        <w:rPr>
          <w:rFonts w:ascii="Arial" w:hAnsi="Arial" w:cs="Arial"/>
          <w:sz w:val="22"/>
          <w:szCs w:val="22"/>
          <w:lang w:val="ru-RU"/>
        </w:rPr>
        <w:t xml:space="preserve">през 2024 година </w:t>
      </w:r>
      <w:r w:rsidR="00256121" w:rsidRPr="00946F14">
        <w:rPr>
          <w:rFonts w:ascii="Arial" w:hAnsi="Arial" w:cs="Arial"/>
          <w:sz w:val="22"/>
          <w:szCs w:val="22"/>
          <w:lang w:val="ru-RU"/>
        </w:rPr>
        <w:t>спрямо печалба от 435 хиляди</w:t>
      </w:r>
      <w:r w:rsidR="001B245D" w:rsidRPr="00946F14">
        <w:rPr>
          <w:rFonts w:ascii="Arial" w:hAnsi="Arial" w:cs="Arial"/>
          <w:sz w:val="22"/>
          <w:szCs w:val="22"/>
          <w:lang w:val="ru-RU"/>
        </w:rPr>
        <w:t xml:space="preserve"> лева</w:t>
      </w:r>
      <w:r w:rsidR="00256121" w:rsidRPr="00946F14">
        <w:rPr>
          <w:rFonts w:ascii="Arial" w:hAnsi="Arial" w:cs="Arial"/>
          <w:sz w:val="22"/>
          <w:szCs w:val="22"/>
          <w:lang w:val="ru-RU"/>
        </w:rPr>
        <w:t xml:space="preserve"> през предходната 2023 година.</w:t>
      </w:r>
    </w:p>
    <w:p w14:paraId="404DDDB5" w14:textId="77777777" w:rsidR="00256121" w:rsidRPr="00946F14" w:rsidRDefault="00256121" w:rsidP="00154D21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063F36E8" w14:textId="77777777" w:rsidR="00736543" w:rsidRPr="00946F14" w:rsidRDefault="00256121" w:rsidP="00154D2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946F14">
        <w:rPr>
          <w:rFonts w:ascii="Arial" w:hAnsi="Arial" w:cs="Arial"/>
          <w:sz w:val="22"/>
          <w:szCs w:val="22"/>
          <w:lang w:val="ru-RU"/>
        </w:rPr>
        <w:t>Както и през предходната 2023 година, емитентът отчита значителен положителен резултат от операции с инвестиционни имоти в размер на 1,562 млн. лева, който е</w:t>
      </w:r>
      <w:r w:rsidR="008A5FBA" w:rsidRPr="00946F14">
        <w:rPr>
          <w:rFonts w:ascii="Arial" w:hAnsi="Arial" w:cs="Arial"/>
          <w:sz w:val="22"/>
          <w:szCs w:val="22"/>
          <w:lang w:val="ru-RU"/>
        </w:rPr>
        <w:t xml:space="preserve"> достатъч</w:t>
      </w:r>
      <w:r w:rsidRPr="00946F14">
        <w:rPr>
          <w:rFonts w:ascii="Arial" w:hAnsi="Arial" w:cs="Arial"/>
          <w:sz w:val="22"/>
          <w:szCs w:val="22"/>
          <w:lang w:val="ru-RU"/>
        </w:rPr>
        <w:t>ен</w:t>
      </w:r>
      <w:r w:rsidR="008A5FBA" w:rsidRPr="00946F14">
        <w:rPr>
          <w:rFonts w:ascii="Arial" w:hAnsi="Arial" w:cs="Arial"/>
          <w:sz w:val="22"/>
          <w:szCs w:val="22"/>
          <w:lang w:val="ru-RU"/>
        </w:rPr>
        <w:t xml:space="preserve"> да покрие загубата от финансова дейност и административните разходи и така </w:t>
      </w:r>
      <w:r w:rsidRPr="00946F14">
        <w:rPr>
          <w:rFonts w:ascii="Arial" w:hAnsi="Arial" w:cs="Arial"/>
          <w:sz w:val="22"/>
          <w:szCs w:val="22"/>
          <w:lang w:val="ru-RU"/>
        </w:rPr>
        <w:t>да бъде</w:t>
      </w:r>
      <w:r w:rsidR="008A5FBA" w:rsidRPr="00946F14">
        <w:rPr>
          <w:rFonts w:ascii="Arial" w:hAnsi="Arial" w:cs="Arial"/>
          <w:sz w:val="22"/>
          <w:szCs w:val="22"/>
          <w:lang w:val="ru-RU"/>
        </w:rPr>
        <w:t xml:space="preserve"> регистрира</w:t>
      </w:r>
      <w:r w:rsidRPr="00946F14">
        <w:rPr>
          <w:rFonts w:ascii="Arial" w:hAnsi="Arial" w:cs="Arial"/>
          <w:sz w:val="22"/>
          <w:szCs w:val="22"/>
          <w:lang w:val="ru-RU"/>
        </w:rPr>
        <w:t>н общ</w:t>
      </w:r>
      <w:r w:rsidR="008A5FBA" w:rsidRPr="00946F14">
        <w:rPr>
          <w:rFonts w:ascii="Arial" w:hAnsi="Arial" w:cs="Arial"/>
          <w:sz w:val="22"/>
          <w:szCs w:val="22"/>
          <w:lang w:val="ru-RU"/>
        </w:rPr>
        <w:t xml:space="preserve"> положителен резултат за </w:t>
      </w:r>
      <w:r w:rsidR="001B245D" w:rsidRPr="00946F14">
        <w:rPr>
          <w:rFonts w:ascii="Arial" w:hAnsi="Arial" w:cs="Arial"/>
          <w:sz w:val="22"/>
          <w:szCs w:val="22"/>
          <w:lang w:val="ru-RU"/>
        </w:rPr>
        <w:t>годината</w:t>
      </w:r>
      <w:r w:rsidR="00DA0031" w:rsidRPr="00946F14">
        <w:rPr>
          <w:rFonts w:ascii="Arial" w:hAnsi="Arial" w:cs="Arial"/>
          <w:sz w:val="22"/>
          <w:szCs w:val="22"/>
          <w:lang w:val="ru-RU"/>
        </w:rPr>
        <w:t>.</w:t>
      </w:r>
    </w:p>
    <w:p w14:paraId="422A2711" w14:textId="77777777" w:rsidR="00F31DF4" w:rsidRPr="00946F14" w:rsidRDefault="00F31DF4" w:rsidP="00736543">
      <w:pPr>
        <w:rPr>
          <w:rFonts w:ascii="Arial" w:hAnsi="Arial" w:cs="Arial"/>
          <w:sz w:val="22"/>
          <w:szCs w:val="22"/>
          <w:lang w:val="ru-RU"/>
        </w:rPr>
      </w:pPr>
    </w:p>
    <w:p w14:paraId="66298746" w14:textId="77777777" w:rsidR="00803B4B" w:rsidRPr="00086D70" w:rsidRDefault="00803B4B" w:rsidP="00F226FA">
      <w:pPr>
        <w:pStyle w:val="Heading2"/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086D70">
        <w:rPr>
          <w:rFonts w:ascii="Arial" w:hAnsi="Arial" w:cs="Arial"/>
          <w:sz w:val="22"/>
          <w:szCs w:val="22"/>
        </w:rPr>
        <w:t>Анализ на Ликвидността</w:t>
      </w:r>
    </w:p>
    <w:p w14:paraId="623768F0" w14:textId="77777777" w:rsidR="007C5187" w:rsidRPr="00086D70" w:rsidRDefault="007C5187" w:rsidP="00CA5F8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02C1973B" w14:textId="77777777" w:rsidR="00890115" w:rsidRPr="00946F14" w:rsidRDefault="00803B4B" w:rsidP="00CA5F8A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 w:rsidRPr="00086D70">
        <w:rPr>
          <w:rFonts w:ascii="Arial" w:hAnsi="Arial" w:cs="Arial"/>
        </w:rPr>
        <w:t>Показателите за ликвидност са количествени характеристики на способността на предприятието да изплаща текущите си задължения с краткотрайни активи.</w:t>
      </w:r>
    </w:p>
    <w:p w14:paraId="57D37651" w14:textId="77777777" w:rsidR="003B7D37" w:rsidRPr="00946F14" w:rsidRDefault="003B7D37" w:rsidP="00CA5F8A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tbl>
      <w:tblPr>
        <w:tblW w:w="87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9"/>
        <w:gridCol w:w="908"/>
        <w:gridCol w:w="908"/>
        <w:gridCol w:w="908"/>
        <w:gridCol w:w="908"/>
        <w:gridCol w:w="908"/>
      </w:tblGrid>
      <w:tr w:rsidR="00B41A6D" w:rsidRPr="00086D70" w14:paraId="078C04DA" w14:textId="77777777" w:rsidTr="00B41A6D">
        <w:trPr>
          <w:trHeight w:val="330"/>
          <w:jc w:val="center"/>
        </w:trPr>
        <w:tc>
          <w:tcPr>
            <w:tcW w:w="4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66EF0FF" w14:textId="77777777" w:rsidR="00B41A6D" w:rsidRPr="00086D70" w:rsidRDefault="00B41A6D" w:rsidP="002C3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Показатели за ликвидност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492042E0" w14:textId="77777777" w:rsidR="00B41A6D" w:rsidRPr="00E316E1" w:rsidRDefault="00B41A6D" w:rsidP="00B41A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E1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E316E1">
              <w:rPr>
                <w:rFonts w:ascii="Arial" w:hAnsi="Arial" w:cs="Arial"/>
                <w:b/>
                <w:bCs/>
                <w:sz w:val="20"/>
                <w:szCs w:val="20"/>
              </w:rPr>
              <w:t>’2024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75B255DA" w14:textId="77777777" w:rsidR="00B41A6D" w:rsidRPr="00FE7967" w:rsidRDefault="00B41A6D" w:rsidP="00FC458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E1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316E1">
              <w:rPr>
                <w:rFonts w:ascii="Arial" w:hAnsi="Arial" w:cs="Arial"/>
                <w:b/>
                <w:bCs/>
                <w:sz w:val="20"/>
                <w:szCs w:val="20"/>
              </w:rPr>
              <w:t>’2024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5947B2A" w14:textId="77777777" w:rsidR="00B41A6D" w:rsidRPr="00FE7967" w:rsidRDefault="00B41A6D" w:rsidP="00E316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E1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316E1">
              <w:rPr>
                <w:rFonts w:ascii="Arial" w:hAnsi="Arial" w:cs="Arial"/>
                <w:b/>
                <w:bCs/>
                <w:sz w:val="20"/>
                <w:szCs w:val="20"/>
              </w:rPr>
              <w:t>’2024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C45D48C" w14:textId="77777777" w:rsidR="00B41A6D" w:rsidRPr="00FE7967" w:rsidRDefault="00B41A6D" w:rsidP="003832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967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FE7967">
              <w:rPr>
                <w:rFonts w:ascii="Arial" w:hAnsi="Arial" w:cs="Arial"/>
                <w:b/>
                <w:bCs/>
                <w:sz w:val="20"/>
                <w:szCs w:val="20"/>
              </w:rPr>
              <w:t>’202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DF7D3FA" w14:textId="77777777" w:rsidR="00B41A6D" w:rsidRPr="00E46E55" w:rsidRDefault="00B41A6D" w:rsidP="00FE79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967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FE7967">
              <w:rPr>
                <w:rFonts w:ascii="Arial" w:hAnsi="Arial" w:cs="Arial"/>
                <w:b/>
                <w:bCs/>
                <w:sz w:val="20"/>
                <w:szCs w:val="20"/>
              </w:rPr>
              <w:t>’2023</w:t>
            </w:r>
          </w:p>
        </w:tc>
      </w:tr>
      <w:tr w:rsidR="00B41A6D" w:rsidRPr="00086D70" w14:paraId="2A1F87BD" w14:textId="77777777" w:rsidTr="00B41A6D">
        <w:trPr>
          <w:trHeight w:val="330"/>
          <w:jc w:val="center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A2C94F" w14:textId="77777777" w:rsidR="00B41A6D" w:rsidRPr="00086D70" w:rsidRDefault="00B41A6D" w:rsidP="002C3181">
            <w:pPr>
              <w:rPr>
                <w:rFonts w:ascii="Arial" w:hAnsi="Arial" w:cs="Arial"/>
                <w:sz w:val="20"/>
                <w:szCs w:val="20"/>
              </w:rPr>
            </w:pPr>
            <w:r w:rsidRPr="00086D70">
              <w:rPr>
                <w:rFonts w:ascii="Arial" w:hAnsi="Arial" w:cs="Arial"/>
                <w:sz w:val="20"/>
                <w:szCs w:val="20"/>
              </w:rPr>
              <w:t>Текуща ликвидност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119252" w14:textId="77777777" w:rsidR="00B41A6D" w:rsidRDefault="008D0A24" w:rsidP="00B41A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3.7688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273D97" w14:textId="77777777" w:rsidR="00B41A6D" w:rsidRDefault="00B41A6D" w:rsidP="007F70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3.7178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728F9D" w14:textId="77777777" w:rsidR="00B41A6D" w:rsidRDefault="00B41A6D" w:rsidP="00E316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4.5946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FC57FF" w14:textId="77777777" w:rsidR="00B41A6D" w:rsidRDefault="00B41A6D" w:rsidP="003832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2.6999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C8A2F0" w14:textId="77777777" w:rsidR="00B41A6D" w:rsidRDefault="00B41A6D" w:rsidP="004C07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2.3263</w:t>
            </w:r>
          </w:p>
        </w:tc>
      </w:tr>
      <w:tr w:rsidR="00B41A6D" w:rsidRPr="00086D70" w14:paraId="1CF9375A" w14:textId="77777777" w:rsidTr="00B41A6D">
        <w:trPr>
          <w:trHeight w:val="330"/>
          <w:jc w:val="center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A71A21" w14:textId="77777777" w:rsidR="00B41A6D" w:rsidRPr="00086D70" w:rsidRDefault="00B41A6D" w:rsidP="002C3181">
            <w:pPr>
              <w:rPr>
                <w:rFonts w:ascii="Arial" w:hAnsi="Arial" w:cs="Arial"/>
                <w:sz w:val="20"/>
                <w:szCs w:val="20"/>
              </w:rPr>
            </w:pPr>
            <w:r w:rsidRPr="00086D70">
              <w:rPr>
                <w:rFonts w:ascii="Arial" w:hAnsi="Arial" w:cs="Arial"/>
                <w:sz w:val="20"/>
                <w:szCs w:val="20"/>
              </w:rPr>
              <w:t>Бърза ликвидност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A22DDF" w14:textId="77777777" w:rsidR="00B41A6D" w:rsidRDefault="008D0A24" w:rsidP="00B41A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3.7498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C67B3C" w14:textId="77777777" w:rsidR="00B41A6D" w:rsidRDefault="00B41A6D" w:rsidP="00620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3.6972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72819E" w14:textId="77777777" w:rsidR="00B41A6D" w:rsidRDefault="00B41A6D" w:rsidP="00E316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4.5690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E3558D" w14:textId="77777777" w:rsidR="00B41A6D" w:rsidRDefault="00B41A6D" w:rsidP="003832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2.6738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55E32D" w14:textId="77777777" w:rsidR="00B41A6D" w:rsidRDefault="00B41A6D" w:rsidP="004C07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2.3042</w:t>
            </w:r>
          </w:p>
        </w:tc>
      </w:tr>
      <w:tr w:rsidR="00B41A6D" w:rsidRPr="00086D70" w14:paraId="01F50B49" w14:textId="77777777" w:rsidTr="00B41A6D">
        <w:trPr>
          <w:trHeight w:val="330"/>
          <w:jc w:val="center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CD30DE" w14:textId="77777777" w:rsidR="00B41A6D" w:rsidRPr="00086D70" w:rsidRDefault="00B41A6D" w:rsidP="002C3181">
            <w:pPr>
              <w:rPr>
                <w:rFonts w:ascii="Arial" w:hAnsi="Arial" w:cs="Arial"/>
                <w:sz w:val="20"/>
                <w:szCs w:val="20"/>
              </w:rPr>
            </w:pPr>
            <w:r w:rsidRPr="00086D70">
              <w:rPr>
                <w:rFonts w:ascii="Arial" w:hAnsi="Arial" w:cs="Arial"/>
                <w:sz w:val="20"/>
                <w:szCs w:val="20"/>
              </w:rPr>
              <w:t>Незабавна ликвидност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D87ED4" w14:textId="77777777" w:rsidR="00B41A6D" w:rsidRDefault="008D0A24" w:rsidP="00073F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2.184</w:t>
            </w:r>
            <w:r w:rsidR="00073F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865E1D" w14:textId="77777777" w:rsidR="00B41A6D" w:rsidRDefault="00B41A6D" w:rsidP="000321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2.6118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D542DE" w14:textId="77777777" w:rsidR="00B41A6D" w:rsidRDefault="00B41A6D" w:rsidP="00E316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3.4263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7331AA" w14:textId="77777777" w:rsidR="00B41A6D" w:rsidRDefault="00B41A6D" w:rsidP="003832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1.8046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4519A0" w14:textId="77777777" w:rsidR="00B41A6D" w:rsidRDefault="00B41A6D" w:rsidP="006468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1.4516</w:t>
            </w:r>
          </w:p>
        </w:tc>
      </w:tr>
    </w:tbl>
    <w:p w14:paraId="30BEA23F" w14:textId="77777777" w:rsidR="00803B4B" w:rsidRPr="00086D70" w:rsidRDefault="00803B4B" w:rsidP="00803B4B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1C63239B" w14:textId="77777777" w:rsidR="00D31B43" w:rsidRPr="00946F14" w:rsidRDefault="008D0A24" w:rsidP="00713ECE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 w:rsidRPr="00946F14">
        <w:rPr>
          <w:rFonts w:ascii="Arial" w:hAnsi="Arial" w:cs="Arial"/>
          <w:lang w:val="ru-RU"/>
        </w:rPr>
        <w:t>П</w:t>
      </w:r>
      <w:r w:rsidR="00071A5D" w:rsidRPr="00946F14">
        <w:rPr>
          <w:rFonts w:ascii="Arial" w:hAnsi="Arial" w:cs="Arial"/>
          <w:lang w:val="ru-RU"/>
        </w:rPr>
        <w:t xml:space="preserve">рез </w:t>
      </w:r>
      <w:r w:rsidRPr="00946F14">
        <w:rPr>
          <w:rFonts w:ascii="Arial" w:hAnsi="Arial" w:cs="Arial"/>
          <w:lang w:val="ru-RU"/>
        </w:rPr>
        <w:t>четвъртото</w:t>
      </w:r>
      <w:r w:rsidR="00071A5D" w:rsidRPr="00946F14">
        <w:rPr>
          <w:rFonts w:ascii="Arial" w:hAnsi="Arial" w:cs="Arial"/>
          <w:lang w:val="ru-RU"/>
        </w:rPr>
        <w:t xml:space="preserve"> тримесечие на 202</w:t>
      </w:r>
      <w:r w:rsidR="00A83713" w:rsidRPr="00946F14">
        <w:rPr>
          <w:rFonts w:ascii="Arial" w:hAnsi="Arial" w:cs="Arial"/>
          <w:lang w:val="ru-RU"/>
        </w:rPr>
        <w:t>4</w:t>
      </w:r>
      <w:r w:rsidR="00F317CA" w:rsidRPr="00946F14">
        <w:rPr>
          <w:rFonts w:ascii="Arial" w:hAnsi="Arial" w:cs="Arial"/>
          <w:lang w:val="ru-RU"/>
        </w:rPr>
        <w:t xml:space="preserve"> </w:t>
      </w:r>
      <w:r w:rsidR="008D06C5" w:rsidRPr="00946F14">
        <w:rPr>
          <w:rFonts w:ascii="Arial" w:hAnsi="Arial" w:cs="Arial"/>
          <w:lang w:val="ru-RU"/>
        </w:rPr>
        <w:t>г.</w:t>
      </w:r>
      <w:r w:rsidR="009B7BBB" w:rsidRPr="00946F14">
        <w:rPr>
          <w:rFonts w:ascii="Arial" w:hAnsi="Arial" w:cs="Arial"/>
          <w:lang w:val="ru-RU"/>
        </w:rPr>
        <w:t xml:space="preserve"> </w:t>
      </w:r>
      <w:r w:rsidRPr="00946F14">
        <w:rPr>
          <w:rFonts w:ascii="Arial" w:hAnsi="Arial" w:cs="Arial"/>
          <w:lang w:val="ru-RU"/>
        </w:rPr>
        <w:t>не наблюдаваме съществени изменения при</w:t>
      </w:r>
      <w:r w:rsidR="008D06C5" w:rsidRPr="00946F14">
        <w:rPr>
          <w:rFonts w:ascii="Arial" w:hAnsi="Arial" w:cs="Arial"/>
          <w:lang w:val="ru-RU"/>
        </w:rPr>
        <w:t xml:space="preserve"> </w:t>
      </w:r>
      <w:r w:rsidR="00803B4B" w:rsidRPr="00086D70">
        <w:rPr>
          <w:rFonts w:ascii="Arial" w:hAnsi="Arial" w:cs="Arial"/>
        </w:rPr>
        <w:t>показател</w:t>
      </w:r>
      <w:r w:rsidR="00071A5D" w:rsidRPr="00946F14">
        <w:rPr>
          <w:rFonts w:ascii="Arial" w:hAnsi="Arial" w:cs="Arial"/>
          <w:lang w:val="ru-RU"/>
        </w:rPr>
        <w:t xml:space="preserve">ите за </w:t>
      </w:r>
      <w:r w:rsidR="00803B4B" w:rsidRPr="00086D70">
        <w:rPr>
          <w:rFonts w:ascii="Arial" w:hAnsi="Arial" w:cs="Arial"/>
        </w:rPr>
        <w:t xml:space="preserve">ликвидност </w:t>
      </w:r>
      <w:r w:rsidR="008D06C5" w:rsidRPr="00946F14">
        <w:rPr>
          <w:rFonts w:ascii="Arial" w:hAnsi="Arial" w:cs="Arial"/>
          <w:lang w:val="ru-RU"/>
        </w:rPr>
        <w:t>на емитента</w:t>
      </w:r>
      <w:r w:rsidR="009B7BBB" w:rsidRPr="00946F14">
        <w:rPr>
          <w:rFonts w:ascii="Arial" w:hAnsi="Arial" w:cs="Arial"/>
          <w:lang w:val="ru-RU"/>
        </w:rPr>
        <w:t>.</w:t>
      </w:r>
      <w:r w:rsidR="00E44167" w:rsidRPr="00946F14">
        <w:rPr>
          <w:rFonts w:ascii="Arial" w:hAnsi="Arial" w:cs="Arial"/>
          <w:lang w:val="ru-RU"/>
        </w:rPr>
        <w:t xml:space="preserve"> </w:t>
      </w:r>
      <w:r w:rsidR="009B7BBB" w:rsidRPr="00946F14">
        <w:rPr>
          <w:rFonts w:ascii="Arial" w:hAnsi="Arial" w:cs="Arial"/>
          <w:lang w:val="ru-RU"/>
        </w:rPr>
        <w:t>Д</w:t>
      </w:r>
      <w:r w:rsidR="00E44167" w:rsidRPr="00946F14">
        <w:rPr>
          <w:rFonts w:ascii="Arial" w:hAnsi="Arial" w:cs="Arial"/>
          <w:lang w:val="ru-RU"/>
        </w:rPr>
        <w:t xml:space="preserve">околкото набраните средства от новата облигационна емисия </w:t>
      </w:r>
      <w:r w:rsidR="009B7BBB" w:rsidRPr="00946F14">
        <w:rPr>
          <w:rFonts w:ascii="Arial" w:hAnsi="Arial" w:cs="Arial"/>
          <w:lang w:val="ru-RU"/>
        </w:rPr>
        <w:t xml:space="preserve">/издадена през </w:t>
      </w:r>
      <w:r w:rsidR="00393400">
        <w:rPr>
          <w:rFonts w:ascii="Arial" w:hAnsi="Arial" w:cs="Arial"/>
          <w:lang w:val="en-US"/>
        </w:rPr>
        <w:t>Q</w:t>
      </w:r>
      <w:r w:rsidR="00393400" w:rsidRPr="00946F14">
        <w:rPr>
          <w:rFonts w:ascii="Arial" w:hAnsi="Arial" w:cs="Arial"/>
          <w:lang w:val="ru-RU"/>
        </w:rPr>
        <w:t xml:space="preserve">2 2024/ </w:t>
      </w:r>
      <w:r w:rsidR="00E44167" w:rsidRPr="00946F14">
        <w:rPr>
          <w:rFonts w:ascii="Arial" w:hAnsi="Arial" w:cs="Arial"/>
          <w:lang w:val="ru-RU"/>
        </w:rPr>
        <w:t>са инвестирани основно в к</w:t>
      </w:r>
      <w:r w:rsidR="00095061" w:rsidRPr="00946F14">
        <w:rPr>
          <w:rFonts w:ascii="Arial" w:hAnsi="Arial" w:cs="Arial"/>
          <w:lang w:val="ru-RU"/>
        </w:rPr>
        <w:t xml:space="preserve">раткосрочни финансови </w:t>
      </w:r>
      <w:r w:rsidR="002A4248">
        <w:rPr>
          <w:rFonts w:ascii="Arial" w:hAnsi="Arial" w:cs="Arial"/>
        </w:rPr>
        <w:t>активи</w:t>
      </w:r>
      <w:r w:rsidR="009B7BBB" w:rsidRPr="00946F14">
        <w:rPr>
          <w:rFonts w:ascii="Arial" w:hAnsi="Arial" w:cs="Arial"/>
          <w:lang w:val="ru-RU"/>
        </w:rPr>
        <w:t xml:space="preserve">, то </w:t>
      </w:r>
      <w:r w:rsidR="00E7579B" w:rsidRPr="00946F14">
        <w:rPr>
          <w:rFonts w:ascii="Arial" w:hAnsi="Arial" w:cs="Arial"/>
          <w:lang w:val="ru-RU"/>
        </w:rPr>
        <w:t xml:space="preserve">качеството и ликвидността на тези </w:t>
      </w:r>
      <w:r w:rsidR="00E44167" w:rsidRPr="00946F14">
        <w:rPr>
          <w:rFonts w:ascii="Arial" w:hAnsi="Arial" w:cs="Arial"/>
          <w:lang w:val="ru-RU"/>
        </w:rPr>
        <w:t xml:space="preserve">краткосрочни финансови </w:t>
      </w:r>
      <w:r w:rsidR="00E7579B" w:rsidRPr="00946F14">
        <w:rPr>
          <w:rFonts w:ascii="Arial" w:hAnsi="Arial" w:cs="Arial"/>
          <w:lang w:val="ru-RU"/>
        </w:rPr>
        <w:t xml:space="preserve">активи се явяват основен фактор за </w:t>
      </w:r>
      <w:r w:rsidR="007D2A89" w:rsidRPr="00946F14">
        <w:rPr>
          <w:rFonts w:ascii="Arial" w:hAnsi="Arial" w:cs="Arial"/>
          <w:lang w:val="ru-RU"/>
        </w:rPr>
        <w:t>сп</w:t>
      </w:r>
      <w:r w:rsidR="00E7579B" w:rsidRPr="00946F14">
        <w:rPr>
          <w:rFonts w:ascii="Arial" w:hAnsi="Arial" w:cs="Arial"/>
          <w:lang w:val="ru-RU"/>
        </w:rPr>
        <w:t>особността на емитента да погасява</w:t>
      </w:r>
      <w:r w:rsidR="007D2A89" w:rsidRPr="00946F14">
        <w:rPr>
          <w:rFonts w:ascii="Arial" w:hAnsi="Arial" w:cs="Arial"/>
          <w:lang w:val="ru-RU"/>
        </w:rPr>
        <w:t xml:space="preserve"> в срок </w:t>
      </w:r>
      <w:r w:rsidR="009E548F" w:rsidRPr="00946F14">
        <w:rPr>
          <w:rFonts w:ascii="Arial" w:hAnsi="Arial" w:cs="Arial"/>
          <w:lang w:val="ru-RU"/>
        </w:rPr>
        <w:t>дължимите</w:t>
      </w:r>
      <w:r w:rsidR="007D2A89" w:rsidRPr="00946F14">
        <w:rPr>
          <w:rFonts w:ascii="Arial" w:hAnsi="Arial" w:cs="Arial"/>
          <w:lang w:val="ru-RU"/>
        </w:rPr>
        <w:t xml:space="preserve"> плащания на лихва и главница по облигационн</w:t>
      </w:r>
      <w:r w:rsidR="00A87C3F" w:rsidRPr="00946F14">
        <w:rPr>
          <w:rFonts w:ascii="Arial" w:hAnsi="Arial" w:cs="Arial"/>
          <w:lang w:val="ru-RU"/>
        </w:rPr>
        <w:t>ата</w:t>
      </w:r>
      <w:r w:rsidR="007D2A89" w:rsidRPr="00946F14">
        <w:rPr>
          <w:rFonts w:ascii="Arial" w:hAnsi="Arial" w:cs="Arial"/>
          <w:lang w:val="ru-RU"/>
        </w:rPr>
        <w:t xml:space="preserve"> емисия</w:t>
      </w:r>
      <w:r w:rsidR="00777616" w:rsidRPr="00946F14">
        <w:rPr>
          <w:rFonts w:ascii="Arial" w:hAnsi="Arial" w:cs="Arial"/>
          <w:lang w:val="ru-RU"/>
        </w:rPr>
        <w:t>.</w:t>
      </w:r>
      <w:r w:rsidR="007D2A89" w:rsidRPr="00946F14">
        <w:rPr>
          <w:rFonts w:ascii="Arial" w:hAnsi="Arial" w:cs="Arial"/>
          <w:lang w:val="ru-RU"/>
        </w:rPr>
        <w:t xml:space="preserve"> </w:t>
      </w:r>
    </w:p>
    <w:p w14:paraId="2259BE30" w14:textId="77777777" w:rsidR="007D2A89" w:rsidRPr="00946F14" w:rsidRDefault="007D2A89" w:rsidP="00713ECE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67E1F8D9" w14:textId="77777777" w:rsidR="00986CFB" w:rsidRPr="00946F14" w:rsidRDefault="00986CFB" w:rsidP="00803B4B">
      <w:pPr>
        <w:pStyle w:val="ListParagraph"/>
        <w:spacing w:after="0" w:line="240" w:lineRule="auto"/>
        <w:jc w:val="both"/>
        <w:rPr>
          <w:rFonts w:ascii="Arial" w:hAnsi="Arial" w:cs="Arial"/>
          <w:lang w:val="ru-RU"/>
        </w:rPr>
      </w:pPr>
    </w:p>
    <w:p w14:paraId="63148CA0" w14:textId="77777777" w:rsidR="00803B4B" w:rsidRPr="00086D70" w:rsidRDefault="00803B4B" w:rsidP="00F226FA">
      <w:pPr>
        <w:pStyle w:val="Heading2"/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086D70">
        <w:rPr>
          <w:rFonts w:ascii="Arial" w:hAnsi="Arial" w:cs="Arial"/>
          <w:sz w:val="22"/>
          <w:szCs w:val="22"/>
        </w:rPr>
        <w:t>Анализ на Платежоспособността</w:t>
      </w:r>
    </w:p>
    <w:p w14:paraId="2663B044" w14:textId="77777777" w:rsidR="00CA5F8A" w:rsidRPr="00086D70" w:rsidRDefault="00CA5F8A" w:rsidP="00CA5F8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596DE7E2" w14:textId="77777777" w:rsidR="00803B4B" w:rsidRPr="00086D70" w:rsidRDefault="00803B4B" w:rsidP="00CA5F8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086D70">
        <w:rPr>
          <w:rFonts w:ascii="Arial" w:hAnsi="Arial" w:cs="Arial"/>
        </w:rPr>
        <w:t xml:space="preserve">Показателите за платежоспособност измерват степента на задлъжнялост на Дружеството и възможностите </w:t>
      </w:r>
      <w:r w:rsidR="007F00E0" w:rsidRPr="00086D70">
        <w:rPr>
          <w:rFonts w:ascii="Arial" w:hAnsi="Arial" w:cs="Arial"/>
        </w:rPr>
        <w:t>му</w:t>
      </w:r>
      <w:r w:rsidRPr="00086D70">
        <w:rPr>
          <w:rFonts w:ascii="Arial" w:hAnsi="Arial" w:cs="Arial"/>
        </w:rPr>
        <w:t xml:space="preserve"> да посрещне своите задължения.</w:t>
      </w:r>
    </w:p>
    <w:p w14:paraId="6865B85E" w14:textId="77777777" w:rsidR="00B44A0B" w:rsidRDefault="00B44A0B" w:rsidP="00C91C3B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215EE43D" w14:textId="77777777" w:rsidR="00C91C3B" w:rsidRPr="00946F14" w:rsidRDefault="009B7BBB" w:rsidP="00C91C3B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 w:rsidRPr="00946F14">
        <w:rPr>
          <w:rFonts w:ascii="Arial" w:hAnsi="Arial" w:cs="Arial"/>
          <w:lang w:val="ru-RU"/>
        </w:rPr>
        <w:t>След нарастването на дългосрочния дълг през второто тримесечие на</w:t>
      </w:r>
      <w:r w:rsidR="008D0A24" w:rsidRPr="00946F14">
        <w:rPr>
          <w:rFonts w:ascii="Arial" w:hAnsi="Arial" w:cs="Arial"/>
          <w:lang w:val="ru-RU"/>
        </w:rPr>
        <w:t xml:space="preserve"> 2024</w:t>
      </w:r>
      <w:r w:rsidRPr="00946F14">
        <w:rPr>
          <w:rFonts w:ascii="Arial" w:hAnsi="Arial" w:cs="Arial"/>
          <w:lang w:val="ru-RU"/>
        </w:rPr>
        <w:t xml:space="preserve"> година</w:t>
      </w:r>
      <w:r w:rsidR="008D0A24" w:rsidRPr="00946F14">
        <w:rPr>
          <w:rFonts w:ascii="Arial" w:hAnsi="Arial" w:cs="Arial"/>
          <w:lang w:val="ru-RU"/>
        </w:rPr>
        <w:t>,</w:t>
      </w:r>
      <w:r w:rsidRPr="00946F14">
        <w:rPr>
          <w:rFonts w:ascii="Arial" w:hAnsi="Arial" w:cs="Arial"/>
          <w:lang w:val="ru-RU"/>
        </w:rPr>
        <w:t xml:space="preserve"> вследствие на издадената нова облигационна емисия, през разглежданото тримесечие </w:t>
      </w:r>
      <w:r w:rsidR="00BB6A25" w:rsidRPr="00946F14">
        <w:rPr>
          <w:rFonts w:ascii="Arial" w:hAnsi="Arial" w:cs="Arial"/>
          <w:lang w:val="ru-RU"/>
        </w:rPr>
        <w:t>п</w:t>
      </w:r>
      <w:r w:rsidR="00FC56F7">
        <w:rPr>
          <w:rFonts w:ascii="Arial" w:hAnsi="Arial" w:cs="Arial"/>
        </w:rPr>
        <w:t>оказател</w:t>
      </w:r>
      <w:r w:rsidR="009D7528" w:rsidRPr="00946F14">
        <w:rPr>
          <w:rFonts w:ascii="Arial" w:hAnsi="Arial" w:cs="Arial"/>
          <w:lang w:val="ru-RU"/>
        </w:rPr>
        <w:t>ите</w:t>
      </w:r>
      <w:r w:rsidR="00FC56F7">
        <w:rPr>
          <w:rFonts w:ascii="Arial" w:hAnsi="Arial" w:cs="Arial"/>
        </w:rPr>
        <w:t xml:space="preserve"> за платежоспособност</w:t>
      </w:r>
      <w:r w:rsidR="00A87C3F" w:rsidRPr="00946F14">
        <w:rPr>
          <w:rFonts w:ascii="Arial" w:hAnsi="Arial" w:cs="Arial"/>
          <w:lang w:val="ru-RU"/>
        </w:rPr>
        <w:t xml:space="preserve"> </w:t>
      </w:r>
      <w:r w:rsidRPr="00946F14">
        <w:rPr>
          <w:rFonts w:ascii="Arial" w:hAnsi="Arial" w:cs="Arial"/>
          <w:lang w:val="ru-RU"/>
        </w:rPr>
        <w:t>остават без съществени изменения.</w:t>
      </w:r>
      <w:r w:rsidR="009D7528" w:rsidRPr="00946F14">
        <w:rPr>
          <w:rFonts w:ascii="Arial" w:hAnsi="Arial" w:cs="Arial"/>
          <w:lang w:val="ru-RU"/>
        </w:rPr>
        <w:t xml:space="preserve"> </w:t>
      </w:r>
      <w:r w:rsidRPr="00946F14">
        <w:rPr>
          <w:rFonts w:ascii="Arial" w:hAnsi="Arial" w:cs="Arial"/>
          <w:lang w:val="ru-RU"/>
        </w:rPr>
        <w:t>В</w:t>
      </w:r>
      <w:r w:rsidR="00E9508D">
        <w:rPr>
          <w:rFonts w:ascii="Arial" w:hAnsi="Arial" w:cs="Arial"/>
        </w:rPr>
        <w:t>исокия</w:t>
      </w:r>
      <w:r w:rsidR="00BE19BE">
        <w:rPr>
          <w:rFonts w:ascii="Arial" w:hAnsi="Arial" w:cs="Arial"/>
        </w:rPr>
        <w:t>т</w:t>
      </w:r>
      <w:r w:rsidR="00E9508D">
        <w:rPr>
          <w:rFonts w:ascii="Arial" w:hAnsi="Arial" w:cs="Arial"/>
        </w:rPr>
        <w:t xml:space="preserve"> </w:t>
      </w:r>
      <w:r w:rsidR="00D72E5B">
        <w:rPr>
          <w:rFonts w:ascii="Arial" w:hAnsi="Arial" w:cs="Arial"/>
        </w:rPr>
        <w:t>собствен капитал на емитента</w:t>
      </w:r>
      <w:r w:rsidR="00E071A2" w:rsidRPr="00946F14">
        <w:rPr>
          <w:rFonts w:ascii="Arial" w:hAnsi="Arial" w:cs="Arial"/>
          <w:lang w:val="ru-RU"/>
        </w:rPr>
        <w:t xml:space="preserve"> </w:t>
      </w:r>
      <w:r w:rsidR="00183DCF">
        <w:rPr>
          <w:rFonts w:ascii="Arial" w:hAnsi="Arial" w:cs="Arial"/>
        </w:rPr>
        <w:t>поддържа</w:t>
      </w:r>
      <w:r w:rsidR="00A01B2E" w:rsidRPr="00086D70">
        <w:rPr>
          <w:rFonts w:ascii="Arial" w:hAnsi="Arial" w:cs="Arial"/>
        </w:rPr>
        <w:t xml:space="preserve"> нивото на ливъридж в разумни граници</w:t>
      </w:r>
      <w:r w:rsidR="00C91C3B" w:rsidRPr="00086D70">
        <w:rPr>
          <w:rFonts w:ascii="Arial" w:hAnsi="Arial" w:cs="Arial"/>
        </w:rPr>
        <w:t>.</w:t>
      </w:r>
      <w:r w:rsidR="000A1C57" w:rsidRPr="00946F14">
        <w:rPr>
          <w:rFonts w:ascii="Arial" w:hAnsi="Arial" w:cs="Arial"/>
          <w:lang w:val="ru-RU"/>
        </w:rPr>
        <w:t xml:space="preserve"> </w:t>
      </w:r>
    </w:p>
    <w:p w14:paraId="5066B5D3" w14:textId="77777777" w:rsidR="00C91C3B" w:rsidRPr="00086D70" w:rsidRDefault="00C91C3B" w:rsidP="00803B4B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</w:rPr>
      </w:pPr>
    </w:p>
    <w:tbl>
      <w:tblPr>
        <w:tblW w:w="88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4"/>
        <w:gridCol w:w="908"/>
        <w:gridCol w:w="908"/>
        <w:gridCol w:w="908"/>
        <w:gridCol w:w="908"/>
        <w:gridCol w:w="908"/>
      </w:tblGrid>
      <w:tr w:rsidR="00B41A6D" w:rsidRPr="00086D70" w14:paraId="5C6DD635" w14:textId="77777777" w:rsidTr="00B41A6D">
        <w:trPr>
          <w:trHeight w:val="330"/>
          <w:jc w:val="center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F5A4C4D" w14:textId="77777777" w:rsidR="00B41A6D" w:rsidRPr="00086D70" w:rsidRDefault="00B41A6D" w:rsidP="00B219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D70">
              <w:rPr>
                <w:rFonts w:ascii="Arial" w:hAnsi="Arial" w:cs="Arial"/>
                <w:b/>
                <w:bCs/>
                <w:sz w:val="20"/>
                <w:szCs w:val="20"/>
              </w:rPr>
              <w:t>Платежоспособност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162DE7FD" w14:textId="77777777" w:rsidR="00B41A6D" w:rsidRPr="00E316E1" w:rsidRDefault="00B41A6D" w:rsidP="00B41A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A6D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41A6D">
              <w:rPr>
                <w:rFonts w:ascii="Arial" w:hAnsi="Arial" w:cs="Arial"/>
                <w:b/>
                <w:bCs/>
                <w:sz w:val="20"/>
                <w:szCs w:val="20"/>
              </w:rPr>
              <w:t>’2024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7A29895B" w14:textId="77777777" w:rsidR="00B41A6D" w:rsidRPr="00FE7967" w:rsidRDefault="00B41A6D" w:rsidP="00FC458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E1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316E1">
              <w:rPr>
                <w:rFonts w:ascii="Arial" w:hAnsi="Arial" w:cs="Arial"/>
                <w:b/>
                <w:bCs/>
                <w:sz w:val="20"/>
                <w:szCs w:val="20"/>
              </w:rPr>
              <w:t>’2024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6876DF5" w14:textId="77777777" w:rsidR="00B41A6D" w:rsidRPr="00FE7967" w:rsidRDefault="00B41A6D" w:rsidP="00E316E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6E1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316E1">
              <w:rPr>
                <w:rFonts w:ascii="Arial" w:hAnsi="Arial" w:cs="Arial"/>
                <w:b/>
                <w:bCs/>
                <w:sz w:val="20"/>
                <w:szCs w:val="20"/>
              </w:rPr>
              <w:t>’2024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4921A42" w14:textId="77777777" w:rsidR="00B41A6D" w:rsidRPr="00FE7967" w:rsidRDefault="00B41A6D" w:rsidP="00A92B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967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FE7967">
              <w:rPr>
                <w:rFonts w:ascii="Arial" w:hAnsi="Arial" w:cs="Arial"/>
                <w:b/>
                <w:bCs/>
                <w:sz w:val="20"/>
                <w:szCs w:val="20"/>
              </w:rPr>
              <w:t>’202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6406300A" w14:textId="77777777" w:rsidR="00B41A6D" w:rsidRPr="00640303" w:rsidRDefault="00B41A6D" w:rsidP="00FE79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967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FE7967">
              <w:rPr>
                <w:rFonts w:ascii="Arial" w:hAnsi="Arial" w:cs="Arial"/>
                <w:b/>
                <w:bCs/>
                <w:sz w:val="20"/>
                <w:szCs w:val="20"/>
              </w:rPr>
              <w:t>’2023</w:t>
            </w:r>
          </w:p>
        </w:tc>
      </w:tr>
      <w:tr w:rsidR="001E117C" w:rsidRPr="00086D70" w14:paraId="4CAA9780" w14:textId="77777777" w:rsidTr="00B41A6D">
        <w:trPr>
          <w:trHeight w:val="330"/>
          <w:jc w:val="center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BFA2A4" w14:textId="77777777" w:rsidR="001E117C" w:rsidRPr="00086D70" w:rsidRDefault="001E117C" w:rsidP="00B21937">
            <w:pPr>
              <w:rPr>
                <w:rFonts w:ascii="Arial" w:hAnsi="Arial" w:cs="Arial"/>
                <w:sz w:val="20"/>
                <w:szCs w:val="20"/>
              </w:rPr>
            </w:pPr>
            <w:r w:rsidRPr="00086D70">
              <w:rPr>
                <w:rFonts w:ascii="Arial" w:hAnsi="Arial" w:cs="Arial"/>
                <w:sz w:val="20"/>
                <w:szCs w:val="20"/>
              </w:rPr>
              <w:t>Дългосрочен дълг/Активи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CF634A" w14:textId="77777777" w:rsidR="001E117C" w:rsidRDefault="001E117C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0.4672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20F582" w14:textId="77777777" w:rsidR="001E117C" w:rsidRDefault="001E117C" w:rsidP="000321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0.4764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775E15" w14:textId="77777777" w:rsidR="001E117C" w:rsidRDefault="001E117C" w:rsidP="00E316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0.5178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612E03" w14:textId="77777777" w:rsidR="001E117C" w:rsidRDefault="001E117C" w:rsidP="00327C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0.3161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2EEF99" w14:textId="77777777" w:rsidR="001E117C" w:rsidRDefault="001E117C" w:rsidP="00EC7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0.3097</w:t>
            </w:r>
          </w:p>
        </w:tc>
      </w:tr>
      <w:tr w:rsidR="001E117C" w:rsidRPr="00086D70" w14:paraId="32916760" w14:textId="77777777" w:rsidTr="00B41A6D">
        <w:trPr>
          <w:trHeight w:val="330"/>
          <w:jc w:val="center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782D7F3" w14:textId="77777777" w:rsidR="001E117C" w:rsidRPr="00086D70" w:rsidRDefault="001E117C" w:rsidP="00B21937">
            <w:pPr>
              <w:rPr>
                <w:rFonts w:ascii="Arial" w:hAnsi="Arial" w:cs="Arial"/>
                <w:sz w:val="20"/>
                <w:szCs w:val="20"/>
              </w:rPr>
            </w:pPr>
            <w:r w:rsidRPr="00086D70">
              <w:rPr>
                <w:rFonts w:ascii="Arial" w:hAnsi="Arial" w:cs="Arial"/>
                <w:sz w:val="20"/>
                <w:szCs w:val="20"/>
              </w:rPr>
              <w:t>Общ дълг/Активи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A365F0" w14:textId="77777777" w:rsidR="001E117C" w:rsidRDefault="001E117C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0.6529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8A67CC" w14:textId="77777777" w:rsidR="001E117C" w:rsidRDefault="001E117C" w:rsidP="000321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0.6652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BD057A" w14:textId="77777777" w:rsidR="001E117C" w:rsidRDefault="001E117C" w:rsidP="00E316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0.6714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88152C" w14:textId="77777777" w:rsidR="001E117C" w:rsidRDefault="001E117C" w:rsidP="00E415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0.5357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A142ED" w14:textId="77777777" w:rsidR="001E117C" w:rsidRDefault="001E117C" w:rsidP="00EC7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0.5629</w:t>
            </w:r>
          </w:p>
        </w:tc>
      </w:tr>
      <w:tr w:rsidR="001E117C" w:rsidRPr="00086D70" w14:paraId="289C9A41" w14:textId="77777777" w:rsidTr="00B41A6D">
        <w:trPr>
          <w:trHeight w:val="330"/>
          <w:jc w:val="center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F378939" w14:textId="77777777" w:rsidR="001E117C" w:rsidRPr="00086D70" w:rsidRDefault="001E117C" w:rsidP="00B21937">
            <w:pPr>
              <w:rPr>
                <w:rFonts w:ascii="Arial" w:hAnsi="Arial" w:cs="Arial"/>
                <w:sz w:val="20"/>
                <w:szCs w:val="20"/>
              </w:rPr>
            </w:pPr>
            <w:r w:rsidRPr="00086D70">
              <w:rPr>
                <w:rFonts w:ascii="Arial" w:hAnsi="Arial" w:cs="Arial"/>
                <w:sz w:val="20"/>
                <w:szCs w:val="20"/>
              </w:rPr>
              <w:t>Общ дълг/Собствен капитал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97FDC9" w14:textId="77777777" w:rsidR="001E117C" w:rsidRDefault="001E117C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1.8807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EFFD0F" w14:textId="77777777" w:rsidR="001E117C" w:rsidRDefault="001E117C" w:rsidP="000321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1.9870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CBF7A6" w14:textId="77777777" w:rsidR="001E117C" w:rsidRDefault="001E117C" w:rsidP="00E316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2.0429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E874EB" w14:textId="77777777" w:rsidR="001E117C" w:rsidRDefault="001E117C" w:rsidP="00327C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1.1539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DA3E81" w14:textId="77777777" w:rsidR="001E117C" w:rsidRDefault="001E117C" w:rsidP="00EC7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1.2879</w:t>
            </w:r>
          </w:p>
        </w:tc>
      </w:tr>
      <w:tr w:rsidR="001E117C" w:rsidRPr="00086D70" w14:paraId="37F13152" w14:textId="77777777" w:rsidTr="00B41A6D">
        <w:trPr>
          <w:trHeight w:val="310"/>
          <w:jc w:val="center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D67CB8" w14:textId="77777777" w:rsidR="001E117C" w:rsidRPr="00946F14" w:rsidRDefault="001E117C" w:rsidP="00B2193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46F14">
              <w:rPr>
                <w:rFonts w:ascii="Arial" w:hAnsi="Arial" w:cs="Arial"/>
                <w:sz w:val="20"/>
                <w:szCs w:val="20"/>
                <w:lang w:val="ru-RU"/>
              </w:rPr>
              <w:t>Ливъридж (Общо активи/Собствен капитал)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7B4ECD" w14:textId="77777777" w:rsidR="001E117C" w:rsidRDefault="001E117C" w:rsidP="00E91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2.8807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8ACB8A" w14:textId="77777777" w:rsidR="001E117C" w:rsidRDefault="001E117C" w:rsidP="000321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2.9870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AF4866" w14:textId="77777777" w:rsidR="001E117C" w:rsidRDefault="001E117C" w:rsidP="00E316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3.0429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792DAC" w14:textId="77777777" w:rsidR="001E117C" w:rsidRDefault="001E117C" w:rsidP="00327C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2.1539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D9F74E" w14:textId="77777777" w:rsidR="001E117C" w:rsidRDefault="001E117C" w:rsidP="00EC7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2.2879</w:t>
            </w:r>
          </w:p>
        </w:tc>
      </w:tr>
    </w:tbl>
    <w:p w14:paraId="3AFDE34B" w14:textId="77777777" w:rsidR="00803B4B" w:rsidRPr="00086D70" w:rsidRDefault="00803B4B" w:rsidP="00803B4B">
      <w:pPr>
        <w:jc w:val="both"/>
        <w:rPr>
          <w:rFonts w:ascii="Arial" w:hAnsi="Arial" w:cs="Arial"/>
          <w:sz w:val="22"/>
          <w:szCs w:val="22"/>
        </w:rPr>
      </w:pPr>
    </w:p>
    <w:p w14:paraId="3905792E" w14:textId="77777777" w:rsidR="00D31B43" w:rsidRPr="00086D70" w:rsidRDefault="00D31B43" w:rsidP="00803B4B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2206B7C0" w14:textId="77777777" w:rsidR="00803B4B" w:rsidRPr="00086D70" w:rsidRDefault="00803B4B" w:rsidP="00F226FA">
      <w:pPr>
        <w:pStyle w:val="Heading1"/>
        <w:numPr>
          <w:ilvl w:val="0"/>
          <w:numId w:val="9"/>
        </w:numPr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086D70">
        <w:rPr>
          <w:rFonts w:ascii="Arial" w:hAnsi="Arial" w:cs="Arial"/>
          <w:color w:val="auto"/>
          <w:sz w:val="22"/>
          <w:szCs w:val="22"/>
        </w:rPr>
        <w:t>Състояние на обезпечението на облигационната емисия.</w:t>
      </w:r>
    </w:p>
    <w:p w14:paraId="76C3F2A6" w14:textId="77777777" w:rsidR="00803B4B" w:rsidRPr="00086D70" w:rsidRDefault="00803B4B" w:rsidP="00803B4B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</w:rPr>
      </w:pPr>
    </w:p>
    <w:p w14:paraId="5640C975" w14:textId="77777777" w:rsidR="00450FBA" w:rsidRPr="00086D70" w:rsidRDefault="00450FBA" w:rsidP="00450FB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086D70">
        <w:rPr>
          <w:rFonts w:ascii="Arial" w:hAnsi="Arial" w:cs="Arial"/>
        </w:rPr>
        <w:t xml:space="preserve">За обезпечаване на вземането по главницата и всички дължими лихви по облигационния заем </w:t>
      </w:r>
      <w:r w:rsidR="00783226" w:rsidRPr="00086D70">
        <w:rPr>
          <w:rFonts w:ascii="Arial" w:hAnsi="Arial" w:cs="Arial"/>
        </w:rPr>
        <w:t>Северкооп-</w:t>
      </w:r>
      <w:r w:rsidR="007B1208">
        <w:rPr>
          <w:rFonts w:ascii="Arial" w:hAnsi="Arial" w:cs="Arial"/>
        </w:rPr>
        <w:t>Гъмза</w:t>
      </w:r>
      <w:r w:rsidR="00783226" w:rsidRPr="00086D70">
        <w:rPr>
          <w:rFonts w:ascii="Arial" w:hAnsi="Arial" w:cs="Arial"/>
        </w:rPr>
        <w:t xml:space="preserve"> Холдинг АД</w:t>
      </w:r>
      <w:r w:rsidRPr="00086D70">
        <w:rPr>
          <w:rFonts w:ascii="Arial" w:hAnsi="Arial" w:cs="Arial"/>
        </w:rPr>
        <w:t xml:space="preserve"> е сключило застраховка при ЗАД </w:t>
      </w:r>
      <w:r w:rsidR="00D65D55" w:rsidRPr="00086D70">
        <w:rPr>
          <w:rFonts w:ascii="Arial" w:hAnsi="Arial" w:cs="Arial"/>
        </w:rPr>
        <w:t>АРМЕЕЦ</w:t>
      </w:r>
      <w:r w:rsidR="00D65D55" w:rsidRPr="00946F14">
        <w:rPr>
          <w:rFonts w:ascii="Arial" w:hAnsi="Arial" w:cs="Arial"/>
          <w:lang w:val="ru-RU"/>
        </w:rPr>
        <w:t xml:space="preserve"> </w:t>
      </w:r>
      <w:r w:rsidRPr="00086D70">
        <w:rPr>
          <w:rFonts w:ascii="Arial" w:hAnsi="Arial" w:cs="Arial"/>
        </w:rPr>
        <w:t xml:space="preserve">на всички плащания по облигационната емисия срещу риск от неплащане, с действие на полицата до датата на пълно погасяване на облигационния заем, включително в случаите на удължаване на срока/падежа на емисията. </w:t>
      </w:r>
    </w:p>
    <w:p w14:paraId="0E7D70CA" w14:textId="77777777" w:rsidR="00450FBA" w:rsidRPr="00086D70" w:rsidRDefault="00450FBA" w:rsidP="00450FB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7D5C9C58" w14:textId="77777777" w:rsidR="00454F6A" w:rsidRPr="00946F14" w:rsidRDefault="00890115" w:rsidP="00803B4B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Към </w:t>
      </w:r>
      <w:r w:rsidR="00F63696" w:rsidRPr="00946F14">
        <w:rPr>
          <w:rFonts w:ascii="Arial" w:hAnsi="Arial" w:cs="Arial"/>
          <w:lang w:val="ru-RU"/>
        </w:rPr>
        <w:t>3</w:t>
      </w:r>
      <w:r w:rsidR="00B41A6D" w:rsidRPr="00946F14">
        <w:rPr>
          <w:rFonts w:ascii="Arial" w:hAnsi="Arial" w:cs="Arial"/>
          <w:lang w:val="ru-RU"/>
        </w:rPr>
        <w:t>1</w:t>
      </w:r>
      <w:r w:rsidR="00F63696" w:rsidRPr="00946F14">
        <w:rPr>
          <w:rFonts w:ascii="Arial" w:hAnsi="Arial" w:cs="Arial"/>
          <w:lang w:val="ru-RU"/>
        </w:rPr>
        <w:t>.</w:t>
      </w:r>
      <w:r w:rsidR="00B41A6D" w:rsidRPr="00946F14">
        <w:rPr>
          <w:rFonts w:ascii="Arial" w:hAnsi="Arial" w:cs="Arial"/>
          <w:lang w:val="ru-RU"/>
        </w:rPr>
        <w:t>12</w:t>
      </w:r>
      <w:r w:rsidR="00F63696" w:rsidRPr="00946F14">
        <w:rPr>
          <w:rFonts w:ascii="Arial" w:hAnsi="Arial" w:cs="Arial"/>
          <w:lang w:val="ru-RU"/>
        </w:rPr>
        <w:t>.202</w:t>
      </w:r>
      <w:r w:rsidR="005E5720" w:rsidRPr="00946F14">
        <w:rPr>
          <w:rFonts w:ascii="Arial" w:hAnsi="Arial" w:cs="Arial"/>
          <w:lang w:val="ru-RU"/>
        </w:rPr>
        <w:t>4</w:t>
      </w:r>
      <w:r w:rsidR="00FE67AF" w:rsidRPr="00946F14">
        <w:rPr>
          <w:rFonts w:ascii="Arial" w:hAnsi="Arial" w:cs="Arial"/>
          <w:lang w:val="ru-RU"/>
        </w:rPr>
        <w:t xml:space="preserve"> </w:t>
      </w:r>
      <w:r w:rsidR="00F63696" w:rsidRPr="00946F14">
        <w:rPr>
          <w:rFonts w:ascii="Arial" w:hAnsi="Arial" w:cs="Arial"/>
          <w:lang w:val="ru-RU"/>
        </w:rPr>
        <w:t>г.</w:t>
      </w:r>
      <w:r w:rsidR="00CB4E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застраховката е валидна.</w:t>
      </w:r>
      <w:r w:rsidR="00D355E9" w:rsidRPr="00946F14">
        <w:rPr>
          <w:rFonts w:ascii="Arial" w:hAnsi="Arial" w:cs="Arial"/>
          <w:lang w:val="ru-RU"/>
        </w:rPr>
        <w:t xml:space="preserve"> </w:t>
      </w:r>
    </w:p>
    <w:p w14:paraId="64E6C730" w14:textId="77777777" w:rsidR="004D0799" w:rsidRPr="00946F14" w:rsidRDefault="004D0799" w:rsidP="00803B4B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047479F2" w14:textId="77777777" w:rsidR="001526CA" w:rsidRPr="00946F14" w:rsidRDefault="001526CA" w:rsidP="00803B4B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0376F5E9" w14:textId="77777777" w:rsidR="001526CA" w:rsidRPr="00946F14" w:rsidRDefault="001526CA" w:rsidP="00803B4B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05C49994" w14:textId="77777777" w:rsidR="004D0799" w:rsidRPr="00946F14" w:rsidRDefault="004D0799" w:rsidP="00803B4B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62448380" w14:textId="77777777" w:rsidR="00803B4B" w:rsidRPr="00086D70" w:rsidRDefault="00803B4B" w:rsidP="007B0D32">
      <w:pPr>
        <w:pStyle w:val="Heading1"/>
        <w:numPr>
          <w:ilvl w:val="0"/>
          <w:numId w:val="9"/>
        </w:numPr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086D70">
        <w:rPr>
          <w:rFonts w:ascii="Arial" w:hAnsi="Arial" w:cs="Arial"/>
          <w:color w:val="auto"/>
          <w:sz w:val="22"/>
          <w:szCs w:val="22"/>
        </w:rPr>
        <w:t>Изразходване на средствата от облигационния заем.</w:t>
      </w:r>
    </w:p>
    <w:p w14:paraId="7975C34D" w14:textId="77777777" w:rsidR="00803B4B" w:rsidRPr="00086D70" w:rsidRDefault="00803B4B" w:rsidP="00803B4B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</w:rPr>
      </w:pPr>
    </w:p>
    <w:p w14:paraId="35D26034" w14:textId="77777777" w:rsidR="00803B4B" w:rsidRPr="00946F14" w:rsidRDefault="00803B4B" w:rsidP="00450FBA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 w:rsidRPr="00086D70">
        <w:rPr>
          <w:rFonts w:ascii="Arial" w:hAnsi="Arial" w:cs="Arial"/>
        </w:rPr>
        <w:t xml:space="preserve">Набраните от емисията средства </w:t>
      </w:r>
      <w:r w:rsidR="00376D2D" w:rsidRPr="00086D70">
        <w:rPr>
          <w:rFonts w:ascii="Arial" w:hAnsi="Arial" w:cs="Arial"/>
        </w:rPr>
        <w:t>са</w:t>
      </w:r>
      <w:r w:rsidRPr="00086D70">
        <w:rPr>
          <w:rFonts w:ascii="Arial" w:hAnsi="Arial" w:cs="Arial"/>
        </w:rPr>
        <w:t xml:space="preserve"> използвани от Дружеството </w:t>
      </w:r>
      <w:r w:rsidR="00C3085E" w:rsidRPr="00086D70">
        <w:rPr>
          <w:rFonts w:ascii="Arial" w:hAnsi="Arial" w:cs="Arial"/>
        </w:rPr>
        <w:t xml:space="preserve">съгласно заложеното в Предложението за записване на корпоративни облигации - </w:t>
      </w:r>
      <w:r w:rsidRPr="00086D70">
        <w:rPr>
          <w:rFonts w:ascii="Arial" w:hAnsi="Arial" w:cs="Arial"/>
        </w:rPr>
        <w:t xml:space="preserve">за </w:t>
      </w:r>
      <w:r w:rsidR="00C3085E" w:rsidRPr="00086D70">
        <w:rPr>
          <w:rFonts w:ascii="Arial" w:hAnsi="Arial" w:cs="Arial"/>
        </w:rPr>
        <w:t xml:space="preserve">придобиване на </w:t>
      </w:r>
      <w:r w:rsidRPr="00086D70">
        <w:rPr>
          <w:rFonts w:ascii="Arial" w:hAnsi="Arial" w:cs="Arial"/>
        </w:rPr>
        <w:t xml:space="preserve">дялови </w:t>
      </w:r>
      <w:r w:rsidR="00A02EAA" w:rsidRPr="00086D70">
        <w:rPr>
          <w:rFonts w:ascii="Arial" w:hAnsi="Arial" w:cs="Arial"/>
        </w:rPr>
        <w:t>участия</w:t>
      </w:r>
      <w:r w:rsidR="00C3085E" w:rsidRPr="00086D70">
        <w:rPr>
          <w:rFonts w:ascii="Arial" w:hAnsi="Arial" w:cs="Arial"/>
        </w:rPr>
        <w:t xml:space="preserve"> в дъщерни и асоциирани предприятия, структуриране на диверсифициран инвестиционен портфейл от финансови инструменти</w:t>
      </w:r>
      <w:r w:rsidRPr="00086D70">
        <w:rPr>
          <w:rFonts w:ascii="Arial" w:hAnsi="Arial" w:cs="Arial"/>
        </w:rPr>
        <w:t xml:space="preserve">, </w:t>
      </w:r>
      <w:r w:rsidR="00A02EAA" w:rsidRPr="00086D70">
        <w:rPr>
          <w:rFonts w:ascii="Arial" w:hAnsi="Arial" w:cs="Arial"/>
        </w:rPr>
        <w:t>придобиване на вземания</w:t>
      </w:r>
      <w:r w:rsidR="00C3085E" w:rsidRPr="00086D70">
        <w:rPr>
          <w:rFonts w:ascii="Arial" w:hAnsi="Arial" w:cs="Arial"/>
        </w:rPr>
        <w:t xml:space="preserve">, инвестиции на паричните, капиталовите и стоковите пазари, вкл. </w:t>
      </w:r>
      <w:r w:rsidR="00853F89">
        <w:rPr>
          <w:rFonts w:ascii="Arial" w:hAnsi="Arial" w:cs="Arial"/>
        </w:rPr>
        <w:t>и</w:t>
      </w:r>
      <w:r w:rsidR="00C3085E" w:rsidRPr="00086D70">
        <w:rPr>
          <w:rFonts w:ascii="Arial" w:hAnsi="Arial" w:cs="Arial"/>
        </w:rPr>
        <w:t>нвестиции в борсово търгувани стоки и производни деривативни инструменти</w:t>
      </w:r>
      <w:r w:rsidRPr="00086D70">
        <w:rPr>
          <w:rFonts w:ascii="Arial" w:hAnsi="Arial" w:cs="Arial"/>
        </w:rPr>
        <w:t>.</w:t>
      </w:r>
    </w:p>
    <w:p w14:paraId="62C16ED9" w14:textId="77777777" w:rsidR="00BD2C3E" w:rsidRPr="00946F14" w:rsidRDefault="00BD2C3E" w:rsidP="00450FBA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31C6715F" w14:textId="77777777" w:rsidR="00BD2C3E" w:rsidRPr="00086D70" w:rsidRDefault="00BD2C3E" w:rsidP="00BD2C3E">
      <w:pPr>
        <w:jc w:val="both"/>
        <w:rPr>
          <w:rFonts w:ascii="Arial" w:hAnsi="Arial" w:cs="Arial"/>
          <w:sz w:val="22"/>
          <w:szCs w:val="22"/>
          <w:lang w:val="bg-BG"/>
        </w:rPr>
      </w:pPr>
      <w:r w:rsidRPr="00086D70">
        <w:rPr>
          <w:rFonts w:ascii="Arial" w:hAnsi="Arial" w:cs="Arial"/>
          <w:sz w:val="22"/>
          <w:szCs w:val="22"/>
          <w:lang w:val="bg-BG"/>
        </w:rPr>
        <w:t xml:space="preserve">Де Ново ЕАД е поискало от </w:t>
      </w:r>
      <w:r w:rsidR="00783226" w:rsidRPr="00946F14">
        <w:rPr>
          <w:rFonts w:ascii="Arial" w:hAnsi="Arial" w:cs="Arial"/>
          <w:sz w:val="22"/>
          <w:szCs w:val="22"/>
          <w:lang w:val="ru-RU"/>
        </w:rPr>
        <w:t>Северкооп-</w:t>
      </w:r>
      <w:r w:rsidR="007B1208" w:rsidRPr="00946F14">
        <w:rPr>
          <w:rFonts w:ascii="Arial" w:hAnsi="Arial" w:cs="Arial"/>
          <w:sz w:val="22"/>
          <w:szCs w:val="22"/>
          <w:lang w:val="ru-RU"/>
        </w:rPr>
        <w:t>Гъмза</w:t>
      </w:r>
      <w:r w:rsidR="00783226" w:rsidRPr="00946F14">
        <w:rPr>
          <w:rFonts w:ascii="Arial" w:hAnsi="Arial" w:cs="Arial"/>
          <w:sz w:val="22"/>
          <w:szCs w:val="22"/>
          <w:lang w:val="ru-RU"/>
        </w:rPr>
        <w:t xml:space="preserve"> Холдинг АД</w:t>
      </w:r>
      <w:r w:rsidRPr="00086D70">
        <w:rPr>
          <w:rFonts w:ascii="Arial" w:hAnsi="Arial" w:cs="Arial"/>
          <w:sz w:val="22"/>
          <w:szCs w:val="22"/>
          <w:lang w:val="bg-BG"/>
        </w:rPr>
        <w:t xml:space="preserve"> конкретна, детайлна информация относно изразходване на набраните средства от емисията, включваща </w:t>
      </w:r>
      <w:r w:rsidRPr="00086D70">
        <w:rPr>
          <w:rFonts w:ascii="Arial" w:hAnsi="Arial" w:cs="Arial"/>
          <w:sz w:val="22"/>
          <w:szCs w:val="22"/>
        </w:rPr>
        <w:t>ISIN</w:t>
      </w:r>
      <w:r w:rsidRPr="00946F14">
        <w:rPr>
          <w:rFonts w:ascii="Arial" w:hAnsi="Arial" w:cs="Arial"/>
          <w:sz w:val="22"/>
          <w:szCs w:val="22"/>
          <w:lang w:val="ru-RU"/>
        </w:rPr>
        <w:t xml:space="preserve"> </w:t>
      </w:r>
      <w:r w:rsidRPr="00086D70">
        <w:rPr>
          <w:rFonts w:ascii="Arial" w:hAnsi="Arial" w:cs="Arial"/>
          <w:sz w:val="22"/>
          <w:szCs w:val="22"/>
          <w:lang w:val="bg-BG"/>
        </w:rPr>
        <w:t>код, брой/номинал и балансова стойност на придобитите финансови инструменти. Към момента на изготвяне и предоставяне на настоящия доклад пред КФН и БФБ АД такава информация не е предоставена от емитента.</w:t>
      </w:r>
    </w:p>
    <w:p w14:paraId="24F80AA0" w14:textId="77777777" w:rsidR="00BD2C3E" w:rsidRPr="00946F14" w:rsidRDefault="00BD2C3E" w:rsidP="00450FBA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5ABC700B" w14:textId="77777777" w:rsidR="00803B4B" w:rsidRPr="00086D70" w:rsidRDefault="00803B4B" w:rsidP="0018755E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086D70">
        <w:rPr>
          <w:rFonts w:ascii="Arial" w:hAnsi="Arial" w:cs="Arial"/>
        </w:rPr>
        <w:t xml:space="preserve">Лихвата по настоящата облигационна емисия е фиксирана на </w:t>
      </w:r>
      <w:r w:rsidR="00DE1201" w:rsidRPr="00086D70">
        <w:rPr>
          <w:rFonts w:ascii="Arial" w:hAnsi="Arial" w:cs="Arial"/>
        </w:rPr>
        <w:t>5</w:t>
      </w:r>
      <w:r w:rsidR="00F810B9" w:rsidRPr="00946F14">
        <w:rPr>
          <w:rFonts w:ascii="Arial" w:hAnsi="Arial" w:cs="Arial"/>
          <w:lang w:val="ru-RU"/>
        </w:rPr>
        <w:t>.</w:t>
      </w:r>
      <w:r w:rsidR="00DE1201" w:rsidRPr="00086D70">
        <w:rPr>
          <w:rFonts w:ascii="Arial" w:hAnsi="Arial" w:cs="Arial"/>
        </w:rPr>
        <w:t>0</w:t>
      </w:r>
      <w:r w:rsidRPr="00086D70">
        <w:rPr>
          <w:rFonts w:ascii="Arial" w:hAnsi="Arial" w:cs="Arial"/>
        </w:rPr>
        <w:t>0% проста</w:t>
      </w:r>
      <w:r w:rsidR="00DD7201" w:rsidRPr="00946F14">
        <w:rPr>
          <w:rFonts w:ascii="Arial" w:hAnsi="Arial" w:cs="Arial"/>
          <w:lang w:val="ru-RU"/>
        </w:rPr>
        <w:t>,</w:t>
      </w:r>
      <w:r w:rsidRPr="00086D70">
        <w:rPr>
          <w:rFonts w:ascii="Arial" w:hAnsi="Arial" w:cs="Arial"/>
        </w:rPr>
        <w:t xml:space="preserve"> годишна лихва. </w:t>
      </w:r>
    </w:p>
    <w:p w14:paraId="0A23409F" w14:textId="77777777" w:rsidR="0018755E" w:rsidRPr="00086D70" w:rsidRDefault="0018755E" w:rsidP="0018755E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0572D973" w14:textId="77777777" w:rsidR="00803B4B" w:rsidRPr="00086D70" w:rsidRDefault="00803B4B" w:rsidP="0018755E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086D70">
        <w:rPr>
          <w:rFonts w:ascii="Arial" w:hAnsi="Arial" w:cs="Arial"/>
        </w:rPr>
        <w:t>Облигационния</w:t>
      </w:r>
      <w:r w:rsidR="008C3850" w:rsidRPr="00086D70">
        <w:rPr>
          <w:rFonts w:ascii="Arial" w:hAnsi="Arial" w:cs="Arial"/>
        </w:rPr>
        <w:t>т</w:t>
      </w:r>
      <w:r w:rsidRPr="00086D70">
        <w:rPr>
          <w:rFonts w:ascii="Arial" w:hAnsi="Arial" w:cs="Arial"/>
        </w:rPr>
        <w:t xml:space="preserve"> заем е за период от </w:t>
      </w:r>
      <w:r w:rsidR="00DE1201" w:rsidRPr="00086D70">
        <w:rPr>
          <w:rFonts w:ascii="Arial" w:hAnsi="Arial" w:cs="Arial"/>
        </w:rPr>
        <w:t>8</w:t>
      </w:r>
      <w:r w:rsidRPr="00086D70">
        <w:rPr>
          <w:rFonts w:ascii="Arial" w:hAnsi="Arial" w:cs="Arial"/>
        </w:rPr>
        <w:t xml:space="preserve"> години с шестмесечни купонни плащания, изчислени на база фиксирана годишна лихва, начислявана при лихвена конвенция Реален брой дни в периода към Реален брой дни в годината (Actual/365L (ISMA – Year, Actual/</w:t>
      </w:r>
      <w:r w:rsidR="00B359C0">
        <w:rPr>
          <w:rFonts w:ascii="Arial" w:hAnsi="Arial" w:cs="Arial"/>
        </w:rPr>
        <w:t>365</w:t>
      </w:r>
      <w:r w:rsidR="00B359C0">
        <w:rPr>
          <w:rFonts w:ascii="Arial" w:hAnsi="Arial" w:cs="Arial"/>
          <w:lang w:val="en-US"/>
        </w:rPr>
        <w:t>L</w:t>
      </w:r>
      <w:r w:rsidRPr="00086D70">
        <w:rPr>
          <w:rFonts w:ascii="Arial" w:hAnsi="Arial" w:cs="Arial"/>
        </w:rPr>
        <w:t>).</w:t>
      </w:r>
    </w:p>
    <w:p w14:paraId="220CC168" w14:textId="77777777" w:rsidR="0018755E" w:rsidRPr="00086D70" w:rsidRDefault="0018755E" w:rsidP="0018755E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5E648833" w14:textId="77777777" w:rsidR="006E2CE7" w:rsidRPr="00946F14" w:rsidRDefault="00B33625" w:rsidP="00A92BED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 w:rsidRPr="00946F14">
        <w:rPr>
          <w:rFonts w:ascii="Arial" w:hAnsi="Arial" w:cs="Arial"/>
          <w:lang w:val="ru-RU"/>
        </w:rPr>
        <w:t xml:space="preserve">През разглеждания в доклада период няма дължими плащания по облигационната емисия. </w:t>
      </w:r>
      <w:r>
        <w:rPr>
          <w:rFonts w:ascii="Arial" w:hAnsi="Arial" w:cs="Arial"/>
        </w:rPr>
        <w:t>/Виж стр.</w:t>
      </w:r>
      <w:r w:rsidRPr="00946F14">
        <w:rPr>
          <w:rFonts w:ascii="Arial" w:hAnsi="Arial" w:cs="Arial"/>
          <w:lang w:val="ru-RU"/>
        </w:rPr>
        <w:t>7</w:t>
      </w:r>
      <w:r>
        <w:rPr>
          <w:rFonts w:ascii="Arial" w:hAnsi="Arial" w:cs="Arial"/>
        </w:rPr>
        <w:t xml:space="preserve"> по-долу: </w:t>
      </w:r>
      <w:r w:rsidRPr="00326F01">
        <w:rPr>
          <w:rFonts w:ascii="Arial" w:hAnsi="Arial" w:cs="Arial"/>
          <w:b/>
          <w:i/>
          <w:u w:val="single"/>
        </w:rPr>
        <w:t>“</w:t>
      </w:r>
      <w:r>
        <w:rPr>
          <w:rFonts w:ascii="Arial" w:hAnsi="Arial" w:cs="Arial"/>
          <w:b/>
          <w:i/>
          <w:u w:val="single"/>
        </w:rPr>
        <w:t>Обстоятелства, настъпили след крайната дата на разглеждания в доклада период”</w:t>
      </w:r>
      <w:r>
        <w:rPr>
          <w:rFonts w:ascii="Arial" w:hAnsi="Arial" w:cs="Arial"/>
        </w:rPr>
        <w:t>/</w:t>
      </w:r>
    </w:p>
    <w:p w14:paraId="51C9E910" w14:textId="77777777" w:rsidR="00A36E43" w:rsidRPr="00946F14" w:rsidRDefault="00A36E43" w:rsidP="00803B4B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49FEF12A" w14:textId="77777777" w:rsidR="004F30F5" w:rsidRPr="00946F14" w:rsidRDefault="004F30F5" w:rsidP="00803B4B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5476B6BE" w14:textId="77777777" w:rsidR="00803B4B" w:rsidRPr="00086D70" w:rsidRDefault="00803B4B" w:rsidP="007B0D32">
      <w:pPr>
        <w:pStyle w:val="Heading1"/>
        <w:numPr>
          <w:ilvl w:val="0"/>
          <w:numId w:val="9"/>
        </w:numPr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086D70">
        <w:rPr>
          <w:rFonts w:ascii="Arial" w:hAnsi="Arial" w:cs="Arial"/>
          <w:color w:val="auto"/>
          <w:sz w:val="22"/>
          <w:szCs w:val="22"/>
        </w:rPr>
        <w:t>Финансови показатели.</w:t>
      </w:r>
    </w:p>
    <w:p w14:paraId="694D72BC" w14:textId="77777777" w:rsidR="00803B4B" w:rsidRPr="00086D70" w:rsidRDefault="00803B4B" w:rsidP="00803B4B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</w:rPr>
      </w:pPr>
    </w:p>
    <w:p w14:paraId="5B377CB9" w14:textId="77777777" w:rsidR="00803B4B" w:rsidRPr="00946F14" w:rsidRDefault="00803B4B" w:rsidP="00A02EAA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 w:rsidRPr="00086D70">
        <w:rPr>
          <w:rFonts w:ascii="Arial" w:hAnsi="Arial" w:cs="Arial"/>
        </w:rPr>
        <w:t>Емитентът е поел да спазва следните финансови показатели до пълното погасяване на облигационния заем:</w:t>
      </w:r>
    </w:p>
    <w:p w14:paraId="7AB8AAA8" w14:textId="77777777" w:rsidR="006807CF" w:rsidRPr="00946F14" w:rsidRDefault="006807CF" w:rsidP="00A02EAA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1977ECFD" w14:textId="77777777" w:rsidR="00D17066" w:rsidRPr="00946F14" w:rsidRDefault="00803B4B" w:rsidP="00803B4B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  <w:lang w:val="ru-RU"/>
        </w:rPr>
      </w:pPr>
      <w:r w:rsidRPr="00086D70">
        <w:rPr>
          <w:rFonts w:ascii="Arial" w:hAnsi="Arial" w:cs="Arial"/>
        </w:rPr>
        <w:t xml:space="preserve">-- Коефициент на максимална стойност на отношението </w:t>
      </w:r>
      <w:r w:rsidR="003664BD" w:rsidRPr="00086D70">
        <w:rPr>
          <w:rFonts w:ascii="Arial" w:hAnsi="Arial" w:cs="Arial"/>
        </w:rPr>
        <w:t>“</w:t>
      </w:r>
      <w:r w:rsidRPr="00086D70">
        <w:rPr>
          <w:rFonts w:ascii="Arial" w:hAnsi="Arial" w:cs="Arial"/>
        </w:rPr>
        <w:t>Пасиви</w:t>
      </w:r>
      <w:r w:rsidR="00456A86" w:rsidRPr="00946F14">
        <w:rPr>
          <w:rFonts w:ascii="Arial" w:hAnsi="Arial" w:cs="Arial"/>
          <w:lang w:val="ru-RU"/>
        </w:rPr>
        <w:t xml:space="preserve"> </w:t>
      </w:r>
      <w:r w:rsidRPr="00086D70">
        <w:rPr>
          <w:rFonts w:ascii="Arial" w:hAnsi="Arial" w:cs="Arial"/>
        </w:rPr>
        <w:t xml:space="preserve">/ Активи” от максимум 97%. </w:t>
      </w:r>
    </w:p>
    <w:p w14:paraId="28CB666D" w14:textId="77777777" w:rsidR="00EC7674" w:rsidRPr="00946F14" w:rsidRDefault="00EC7674" w:rsidP="00A36E43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  <w:lang w:val="ru-RU"/>
        </w:rPr>
      </w:pPr>
    </w:p>
    <w:p w14:paraId="1E252623" w14:textId="77777777" w:rsidR="00803B4B" w:rsidRPr="00086D70" w:rsidRDefault="00803B4B" w:rsidP="00A36E43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86D70">
        <w:rPr>
          <w:rFonts w:ascii="Arial" w:hAnsi="Arial" w:cs="Arial"/>
        </w:rPr>
        <w:t>Към 3</w:t>
      </w:r>
      <w:r w:rsidR="00B41A6D" w:rsidRPr="00946F14">
        <w:rPr>
          <w:rFonts w:ascii="Arial" w:hAnsi="Arial" w:cs="Arial"/>
          <w:lang w:val="ru-RU"/>
        </w:rPr>
        <w:t>1</w:t>
      </w:r>
      <w:r w:rsidRPr="00086D70">
        <w:rPr>
          <w:rFonts w:ascii="Arial" w:hAnsi="Arial" w:cs="Arial"/>
        </w:rPr>
        <w:t>.</w:t>
      </w:r>
      <w:r w:rsidR="00B41A6D" w:rsidRPr="00946F14">
        <w:rPr>
          <w:rFonts w:ascii="Arial" w:hAnsi="Arial" w:cs="Arial"/>
          <w:lang w:val="ru-RU"/>
        </w:rPr>
        <w:t>12</w:t>
      </w:r>
      <w:r w:rsidRPr="00086D70">
        <w:rPr>
          <w:rFonts w:ascii="Arial" w:hAnsi="Arial" w:cs="Arial"/>
        </w:rPr>
        <w:t>.</w:t>
      </w:r>
      <w:r w:rsidR="00E950F5" w:rsidRPr="00086D70">
        <w:rPr>
          <w:rFonts w:ascii="Arial" w:hAnsi="Arial" w:cs="Arial"/>
        </w:rPr>
        <w:t>20</w:t>
      </w:r>
      <w:r w:rsidR="005E4A89" w:rsidRPr="00946F14">
        <w:rPr>
          <w:rFonts w:ascii="Arial" w:hAnsi="Arial" w:cs="Arial"/>
          <w:lang w:val="ru-RU"/>
        </w:rPr>
        <w:t>2</w:t>
      </w:r>
      <w:r w:rsidR="00A92BED" w:rsidRPr="00946F14">
        <w:rPr>
          <w:rFonts w:ascii="Arial" w:hAnsi="Arial" w:cs="Arial"/>
          <w:lang w:val="ru-RU"/>
        </w:rPr>
        <w:t>4</w:t>
      </w:r>
      <w:r w:rsidR="001D760B" w:rsidRPr="00946F14">
        <w:rPr>
          <w:rFonts w:ascii="Arial" w:hAnsi="Arial" w:cs="Arial"/>
          <w:lang w:val="ru-RU"/>
        </w:rPr>
        <w:t xml:space="preserve"> </w:t>
      </w:r>
      <w:r w:rsidRPr="00086D70">
        <w:rPr>
          <w:rFonts w:ascii="Arial" w:hAnsi="Arial" w:cs="Arial"/>
        </w:rPr>
        <w:t>г. стойността на показ</w:t>
      </w:r>
      <w:r w:rsidR="00A02EAA" w:rsidRPr="00086D70">
        <w:rPr>
          <w:rFonts w:ascii="Arial" w:hAnsi="Arial" w:cs="Arial"/>
        </w:rPr>
        <w:t xml:space="preserve">ателя е </w:t>
      </w:r>
      <w:r w:rsidR="0086332C" w:rsidRPr="00946F14">
        <w:rPr>
          <w:rFonts w:ascii="Arial" w:hAnsi="Arial" w:cs="Arial"/>
          <w:lang w:val="ru-RU"/>
        </w:rPr>
        <w:t>6</w:t>
      </w:r>
      <w:r w:rsidR="00074D90" w:rsidRPr="00946F14">
        <w:rPr>
          <w:rFonts w:ascii="Arial" w:hAnsi="Arial" w:cs="Arial"/>
          <w:lang w:val="ru-RU"/>
        </w:rPr>
        <w:t>5</w:t>
      </w:r>
      <w:r w:rsidR="00593603" w:rsidRPr="00946F14">
        <w:rPr>
          <w:rFonts w:ascii="Arial" w:hAnsi="Arial" w:cs="Arial"/>
          <w:lang w:val="ru-RU"/>
        </w:rPr>
        <w:t>.</w:t>
      </w:r>
      <w:r w:rsidR="00074D90" w:rsidRPr="00946F14">
        <w:rPr>
          <w:rFonts w:ascii="Arial" w:hAnsi="Arial" w:cs="Arial"/>
          <w:lang w:val="ru-RU"/>
        </w:rPr>
        <w:t>29</w:t>
      </w:r>
      <w:r w:rsidR="00A01B2E" w:rsidRPr="00086D70">
        <w:rPr>
          <w:rFonts w:ascii="Arial" w:hAnsi="Arial" w:cs="Arial"/>
        </w:rPr>
        <w:t>%</w:t>
      </w:r>
      <w:r w:rsidRPr="00086D70">
        <w:rPr>
          <w:rFonts w:ascii="Arial" w:hAnsi="Arial" w:cs="Arial"/>
        </w:rPr>
        <w:t>.</w:t>
      </w:r>
    </w:p>
    <w:p w14:paraId="1234CB95" w14:textId="77777777" w:rsidR="00870881" w:rsidRPr="00086D70" w:rsidRDefault="00870881" w:rsidP="00803B4B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</w:rPr>
      </w:pPr>
    </w:p>
    <w:p w14:paraId="0E72D5D2" w14:textId="77777777" w:rsidR="000A54B1" w:rsidRPr="00946F14" w:rsidRDefault="00803B4B" w:rsidP="00A36E43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  <w:lang w:val="ru-RU"/>
        </w:rPr>
      </w:pPr>
      <w:r w:rsidRPr="00086D70">
        <w:rPr>
          <w:rFonts w:ascii="Arial" w:hAnsi="Arial" w:cs="Arial"/>
        </w:rPr>
        <w:t xml:space="preserve">-- Коефициент на покритие на разходите за лихви, изчислен като печалбата от обичайната дейност, увеличена с разходи за лихви, се раздели на разходи за лихви - минимална стойност на показателя за </w:t>
      </w:r>
      <w:r w:rsidR="002E17A0">
        <w:rPr>
          <w:rFonts w:ascii="Arial" w:hAnsi="Arial" w:cs="Arial"/>
        </w:rPr>
        <w:t>срока на облигационния заем е 1</w:t>
      </w:r>
      <w:r w:rsidR="00660069" w:rsidRPr="00946F14">
        <w:rPr>
          <w:rFonts w:ascii="Arial" w:hAnsi="Arial" w:cs="Arial"/>
          <w:lang w:val="ru-RU"/>
        </w:rPr>
        <w:t>.</w:t>
      </w:r>
      <w:r w:rsidRPr="00086D70">
        <w:rPr>
          <w:rFonts w:ascii="Arial" w:hAnsi="Arial" w:cs="Arial"/>
        </w:rPr>
        <w:t>05.</w:t>
      </w:r>
    </w:p>
    <w:p w14:paraId="66817FBA" w14:textId="77777777" w:rsidR="00EC7674" w:rsidRPr="00946F14" w:rsidRDefault="00EC7674" w:rsidP="00803B4B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  <w:lang w:val="ru-RU"/>
        </w:rPr>
      </w:pPr>
    </w:p>
    <w:p w14:paraId="110DE361" w14:textId="77777777" w:rsidR="00803B4B" w:rsidRPr="00086D70" w:rsidRDefault="00803B4B" w:rsidP="00803B4B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86D70">
        <w:rPr>
          <w:rFonts w:ascii="Arial" w:hAnsi="Arial" w:cs="Arial"/>
        </w:rPr>
        <w:t xml:space="preserve">Към </w:t>
      </w:r>
      <w:r w:rsidR="00BE1B7A" w:rsidRPr="00086D70">
        <w:rPr>
          <w:rFonts w:ascii="Arial" w:hAnsi="Arial" w:cs="Arial"/>
        </w:rPr>
        <w:t>3</w:t>
      </w:r>
      <w:r w:rsidR="00B41A6D" w:rsidRPr="00946F14">
        <w:rPr>
          <w:rFonts w:ascii="Arial" w:hAnsi="Arial" w:cs="Arial"/>
          <w:lang w:val="ru-RU"/>
        </w:rPr>
        <w:t>1</w:t>
      </w:r>
      <w:r w:rsidR="00BE1B7A" w:rsidRPr="00086D70">
        <w:rPr>
          <w:rFonts w:ascii="Arial" w:hAnsi="Arial" w:cs="Arial"/>
        </w:rPr>
        <w:t>.</w:t>
      </w:r>
      <w:r w:rsidR="00B41A6D" w:rsidRPr="00946F14">
        <w:rPr>
          <w:rFonts w:ascii="Arial" w:hAnsi="Arial" w:cs="Arial"/>
          <w:lang w:val="ru-RU"/>
        </w:rPr>
        <w:t>12</w:t>
      </w:r>
      <w:r w:rsidR="00AC3B99">
        <w:rPr>
          <w:rFonts w:ascii="Arial" w:hAnsi="Arial" w:cs="Arial"/>
        </w:rPr>
        <w:t>.20</w:t>
      </w:r>
      <w:r w:rsidR="005E4A89" w:rsidRPr="00946F14">
        <w:rPr>
          <w:rFonts w:ascii="Arial" w:hAnsi="Arial" w:cs="Arial"/>
          <w:lang w:val="ru-RU"/>
        </w:rPr>
        <w:t>2</w:t>
      </w:r>
      <w:r w:rsidR="00A92BED" w:rsidRPr="00946F14">
        <w:rPr>
          <w:rFonts w:ascii="Arial" w:hAnsi="Arial" w:cs="Arial"/>
          <w:lang w:val="ru-RU"/>
        </w:rPr>
        <w:t>4</w:t>
      </w:r>
      <w:r w:rsidR="001D760B" w:rsidRPr="00946F14">
        <w:rPr>
          <w:rFonts w:ascii="Arial" w:hAnsi="Arial" w:cs="Arial"/>
          <w:lang w:val="ru-RU"/>
        </w:rPr>
        <w:t xml:space="preserve"> </w:t>
      </w:r>
      <w:r w:rsidR="00BE1B7A" w:rsidRPr="00086D70">
        <w:rPr>
          <w:rFonts w:ascii="Arial" w:hAnsi="Arial" w:cs="Arial"/>
        </w:rPr>
        <w:t>г.</w:t>
      </w:r>
      <w:r w:rsidR="00A02EAA" w:rsidRPr="00086D70">
        <w:rPr>
          <w:rFonts w:ascii="Arial" w:hAnsi="Arial" w:cs="Arial"/>
        </w:rPr>
        <w:t xml:space="preserve"> стойността на показателя е </w:t>
      </w:r>
      <w:r w:rsidR="00074D90" w:rsidRPr="00946F14">
        <w:rPr>
          <w:rFonts w:ascii="Arial" w:hAnsi="Arial" w:cs="Arial"/>
          <w:lang w:val="ru-RU"/>
        </w:rPr>
        <w:t>1</w:t>
      </w:r>
      <w:r w:rsidR="00B5408A" w:rsidRPr="00946F14">
        <w:rPr>
          <w:rFonts w:ascii="Arial" w:hAnsi="Arial" w:cs="Arial"/>
          <w:lang w:val="ru-RU"/>
        </w:rPr>
        <w:t>.</w:t>
      </w:r>
      <w:r w:rsidR="00074D90" w:rsidRPr="00946F14">
        <w:rPr>
          <w:rFonts w:ascii="Arial" w:hAnsi="Arial" w:cs="Arial"/>
          <w:lang w:val="ru-RU"/>
        </w:rPr>
        <w:t>28</w:t>
      </w:r>
      <w:r w:rsidRPr="00086D70">
        <w:rPr>
          <w:rFonts w:ascii="Arial" w:hAnsi="Arial" w:cs="Arial"/>
        </w:rPr>
        <w:t xml:space="preserve">. </w:t>
      </w:r>
    </w:p>
    <w:p w14:paraId="5CD8CDCA" w14:textId="77777777" w:rsidR="00870881" w:rsidRPr="00086D70" w:rsidRDefault="00870881" w:rsidP="00803B4B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</w:rPr>
      </w:pPr>
    </w:p>
    <w:p w14:paraId="045B9827" w14:textId="77777777" w:rsidR="00803B4B" w:rsidRPr="00946F14" w:rsidRDefault="00803B4B" w:rsidP="00AA5FC0">
      <w:pPr>
        <w:contextualSpacing/>
        <w:jc w:val="both"/>
        <w:rPr>
          <w:rFonts w:ascii="Arial" w:hAnsi="Arial" w:cs="Arial"/>
          <w:sz w:val="22"/>
          <w:szCs w:val="22"/>
          <w:lang w:val="ru-RU"/>
        </w:rPr>
      </w:pPr>
      <w:r w:rsidRPr="00946F14">
        <w:rPr>
          <w:rFonts w:ascii="Arial" w:hAnsi="Arial" w:cs="Arial"/>
          <w:sz w:val="22"/>
          <w:szCs w:val="22"/>
          <w:lang w:val="ru-RU"/>
        </w:rPr>
        <w:t xml:space="preserve">Ако наруши </w:t>
      </w:r>
      <w:r w:rsidR="006728FB">
        <w:rPr>
          <w:rFonts w:ascii="Arial" w:hAnsi="Arial" w:cs="Arial"/>
          <w:sz w:val="22"/>
          <w:szCs w:val="22"/>
          <w:lang w:val="bg-BG"/>
        </w:rPr>
        <w:t>и двете</w:t>
      </w:r>
      <w:r w:rsidRPr="00946F14">
        <w:rPr>
          <w:rFonts w:ascii="Arial" w:hAnsi="Arial" w:cs="Arial"/>
          <w:sz w:val="22"/>
          <w:szCs w:val="22"/>
          <w:lang w:val="ru-RU"/>
        </w:rPr>
        <w:t xml:space="preserve"> определени финансови съотношения, Емитентът се задължава да предприеме действия, които в срок до 6 месеца от настъпването на съответното обстоятелство да приведат показателите/съотношенията в съответствие с изискванията по-горе. Ако в този срок не се постигнат заложените параметри, Емитентът е длъжен да предложи на </w:t>
      </w:r>
      <w:r w:rsidR="002E17A0" w:rsidRPr="00946F14">
        <w:rPr>
          <w:rFonts w:ascii="Arial" w:hAnsi="Arial" w:cs="Arial"/>
          <w:sz w:val="22"/>
          <w:szCs w:val="22"/>
          <w:lang w:val="ru-RU"/>
        </w:rPr>
        <w:t xml:space="preserve">Общото </w:t>
      </w:r>
      <w:r w:rsidRPr="00946F14">
        <w:rPr>
          <w:rFonts w:ascii="Arial" w:hAnsi="Arial" w:cs="Arial"/>
          <w:sz w:val="22"/>
          <w:szCs w:val="22"/>
          <w:lang w:val="ru-RU"/>
        </w:rPr>
        <w:t xml:space="preserve">събрание на Облигационерите програма за привеждане в съответствие с изискванията. Програмата подлежи на одобрение от </w:t>
      </w:r>
      <w:r w:rsidR="002E17A0" w:rsidRPr="00946F14">
        <w:rPr>
          <w:rFonts w:ascii="Arial" w:hAnsi="Arial" w:cs="Arial"/>
          <w:sz w:val="22"/>
          <w:szCs w:val="22"/>
          <w:lang w:val="ru-RU"/>
        </w:rPr>
        <w:t xml:space="preserve">Общото </w:t>
      </w:r>
      <w:r w:rsidRPr="00946F14">
        <w:rPr>
          <w:rFonts w:ascii="Arial" w:hAnsi="Arial" w:cs="Arial"/>
          <w:sz w:val="22"/>
          <w:szCs w:val="22"/>
          <w:lang w:val="ru-RU"/>
        </w:rPr>
        <w:t>събрание на Облигационерите, като решението се взима с обикновено мнозинство от представените облигации, имащи право на глас.</w:t>
      </w:r>
    </w:p>
    <w:p w14:paraId="48E8B482" w14:textId="77777777" w:rsidR="00AA5FC0" w:rsidRPr="00086D70" w:rsidRDefault="00AA5FC0" w:rsidP="00AA5FC0">
      <w:pPr>
        <w:contextualSpacing/>
        <w:jc w:val="both"/>
        <w:rPr>
          <w:rFonts w:ascii="Arial" w:hAnsi="Arial" w:cs="Arial"/>
          <w:sz w:val="22"/>
          <w:szCs w:val="22"/>
          <w:lang w:val="bg-BG"/>
        </w:rPr>
      </w:pPr>
    </w:p>
    <w:p w14:paraId="2261BCBD" w14:textId="77777777" w:rsidR="002E17A0" w:rsidRPr="00946F14" w:rsidRDefault="00BC53BB" w:rsidP="00A36E43">
      <w:pPr>
        <w:pStyle w:val="ListParagraph"/>
        <w:spacing w:after="0" w:line="240" w:lineRule="auto"/>
        <w:ind w:left="0" w:hanging="11"/>
        <w:jc w:val="both"/>
        <w:rPr>
          <w:rFonts w:ascii="Arial" w:eastAsia="Times New Roman" w:hAnsi="Arial" w:cs="Arial"/>
          <w:lang w:val="ru-RU" w:eastAsia="en-US"/>
        </w:rPr>
      </w:pPr>
      <w:r w:rsidRPr="00BC53BB">
        <w:rPr>
          <w:rFonts w:ascii="Arial" w:eastAsia="Times New Roman" w:hAnsi="Arial" w:cs="Arial"/>
          <w:lang w:eastAsia="en-US"/>
        </w:rPr>
        <w:lastRenderedPageBreak/>
        <w:t>Към 3</w:t>
      </w:r>
      <w:r w:rsidR="00B41A6D" w:rsidRPr="00946F14">
        <w:rPr>
          <w:rFonts w:ascii="Arial" w:eastAsia="Times New Roman" w:hAnsi="Arial" w:cs="Arial"/>
          <w:lang w:val="ru-RU" w:eastAsia="en-US"/>
        </w:rPr>
        <w:t>1</w:t>
      </w:r>
      <w:r w:rsidRPr="00BC53BB">
        <w:rPr>
          <w:rFonts w:ascii="Arial" w:eastAsia="Times New Roman" w:hAnsi="Arial" w:cs="Arial"/>
          <w:lang w:eastAsia="en-US"/>
        </w:rPr>
        <w:t>.</w:t>
      </w:r>
      <w:r w:rsidR="00B41A6D" w:rsidRPr="00946F14">
        <w:rPr>
          <w:rFonts w:ascii="Arial" w:eastAsia="Times New Roman" w:hAnsi="Arial" w:cs="Arial"/>
          <w:lang w:val="ru-RU" w:eastAsia="en-US"/>
        </w:rPr>
        <w:t>12</w:t>
      </w:r>
      <w:r w:rsidRPr="00BC53BB">
        <w:rPr>
          <w:rFonts w:ascii="Arial" w:eastAsia="Times New Roman" w:hAnsi="Arial" w:cs="Arial"/>
          <w:lang w:eastAsia="en-US"/>
        </w:rPr>
        <w:t>.20</w:t>
      </w:r>
      <w:r w:rsidRPr="00946F14">
        <w:rPr>
          <w:rFonts w:ascii="Arial" w:eastAsia="Times New Roman" w:hAnsi="Arial" w:cs="Arial"/>
          <w:lang w:val="ru-RU" w:eastAsia="en-US"/>
        </w:rPr>
        <w:t>2</w:t>
      </w:r>
      <w:r w:rsidR="00A92BED" w:rsidRPr="00946F14">
        <w:rPr>
          <w:rFonts w:ascii="Arial" w:eastAsia="Times New Roman" w:hAnsi="Arial" w:cs="Arial"/>
          <w:lang w:val="ru-RU" w:eastAsia="en-US"/>
        </w:rPr>
        <w:t>4</w:t>
      </w:r>
      <w:r w:rsidR="004F5262" w:rsidRPr="00946F14">
        <w:rPr>
          <w:rFonts w:ascii="Arial" w:eastAsia="Times New Roman" w:hAnsi="Arial" w:cs="Arial"/>
          <w:lang w:val="ru-RU" w:eastAsia="en-US"/>
        </w:rPr>
        <w:t xml:space="preserve"> </w:t>
      </w:r>
      <w:r w:rsidRPr="00BC53BB">
        <w:rPr>
          <w:rFonts w:ascii="Arial" w:eastAsia="Times New Roman" w:hAnsi="Arial" w:cs="Arial"/>
          <w:lang w:eastAsia="en-US"/>
        </w:rPr>
        <w:t>г., стойностите и на двата показателя са по-добри от съответната минимална/максимална стойност, която Емитентът се е задължил да поддържа в рамките на срока на облигационния заем.</w:t>
      </w:r>
    </w:p>
    <w:p w14:paraId="1A926C83" w14:textId="77777777" w:rsidR="006E3908" w:rsidRPr="00946F14" w:rsidRDefault="006E3908" w:rsidP="00A36E43">
      <w:pPr>
        <w:pStyle w:val="ListParagraph"/>
        <w:spacing w:after="0" w:line="240" w:lineRule="auto"/>
        <w:ind w:left="0" w:hanging="11"/>
        <w:jc w:val="both"/>
        <w:rPr>
          <w:rFonts w:ascii="Arial" w:hAnsi="Arial" w:cs="Arial"/>
          <w:lang w:val="ru-RU"/>
        </w:rPr>
      </w:pPr>
    </w:p>
    <w:p w14:paraId="7E59ACDC" w14:textId="77777777" w:rsidR="00493222" w:rsidRPr="00946F14" w:rsidRDefault="00493222" w:rsidP="00803B4B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  <w:lang w:val="ru-RU"/>
        </w:rPr>
      </w:pPr>
    </w:p>
    <w:p w14:paraId="51497ADE" w14:textId="77777777" w:rsidR="00803B4B" w:rsidRPr="00086D70" w:rsidRDefault="00803B4B" w:rsidP="007B0D32">
      <w:pPr>
        <w:pStyle w:val="Heading1"/>
        <w:numPr>
          <w:ilvl w:val="0"/>
          <w:numId w:val="9"/>
        </w:numPr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086D70">
        <w:rPr>
          <w:rFonts w:ascii="Arial" w:hAnsi="Arial" w:cs="Arial"/>
          <w:color w:val="auto"/>
          <w:sz w:val="22"/>
          <w:szCs w:val="22"/>
        </w:rPr>
        <w:t>Обстоятелства по чл. 100г, ал. 3 от ЗППЦК.</w:t>
      </w:r>
    </w:p>
    <w:p w14:paraId="0AFB75BC" w14:textId="77777777" w:rsidR="00AA5FC0" w:rsidRPr="00086D70" w:rsidRDefault="00AA5FC0" w:rsidP="00AA5FC0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6BE07407" w14:textId="77777777" w:rsidR="009278C8" w:rsidRPr="00946F14" w:rsidRDefault="00AA5FC0" w:rsidP="004D0799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 w:rsidRPr="00086D70">
        <w:rPr>
          <w:rFonts w:ascii="Arial" w:hAnsi="Arial" w:cs="Arial"/>
        </w:rPr>
        <w:t>По отно</w:t>
      </w:r>
      <w:r w:rsidR="00085819" w:rsidRPr="00086D70">
        <w:rPr>
          <w:rFonts w:ascii="Arial" w:hAnsi="Arial" w:cs="Arial"/>
        </w:rPr>
        <w:t>ш</w:t>
      </w:r>
      <w:r w:rsidRPr="00086D70">
        <w:rPr>
          <w:rFonts w:ascii="Arial" w:hAnsi="Arial" w:cs="Arial"/>
        </w:rPr>
        <w:t>ение на Де Ново ЕАД не са налице обстоятелства по чл.100г, ал.3 от ЗППЦК.</w:t>
      </w:r>
    </w:p>
    <w:p w14:paraId="1CD01C5E" w14:textId="77777777" w:rsidR="00A36E43" w:rsidRPr="00946F14" w:rsidRDefault="00A36E43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76DD044F" w14:textId="77777777" w:rsidR="00074D90" w:rsidRPr="00946F14" w:rsidRDefault="00074D90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17FB3374" w14:textId="77777777" w:rsidR="00B33625" w:rsidRPr="00946F14" w:rsidRDefault="00B33625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i/>
          <w:u w:val="single"/>
        </w:rPr>
        <w:t>Обстоятелства, настъпили след крайната дата на разглеждания в доклада период</w:t>
      </w:r>
    </w:p>
    <w:p w14:paraId="1AF19A39" w14:textId="77777777" w:rsidR="00B33625" w:rsidRPr="00946F14" w:rsidRDefault="00B33625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41B62F35" w14:textId="77777777" w:rsidR="00074D90" w:rsidRPr="00946F14" w:rsidRDefault="00074D90" w:rsidP="00074D90">
      <w:pPr>
        <w:pStyle w:val="ListParagraph"/>
        <w:spacing w:line="240" w:lineRule="auto"/>
        <w:ind w:left="0"/>
        <w:jc w:val="both"/>
        <w:rPr>
          <w:rFonts w:ascii="Arial" w:hAnsi="Arial" w:cs="Arial"/>
          <w:lang w:val="ru-RU"/>
        </w:rPr>
      </w:pPr>
      <w:r w:rsidRPr="00946F14">
        <w:rPr>
          <w:rFonts w:ascii="Arial" w:hAnsi="Arial" w:cs="Arial"/>
          <w:lang w:val="ru-RU"/>
        </w:rPr>
        <w:t xml:space="preserve">Съгласно условията на емисията, на 16.01.2025 г. бяха дължими лихвено плащане и частично плащане на главница, които не са извършени на датата на падежа. </w:t>
      </w:r>
    </w:p>
    <w:p w14:paraId="053DEE6E" w14:textId="77777777" w:rsidR="00074D90" w:rsidRPr="00946F14" w:rsidRDefault="00074D90" w:rsidP="00074D90">
      <w:pPr>
        <w:pStyle w:val="ListParagraph"/>
        <w:spacing w:line="240" w:lineRule="auto"/>
        <w:ind w:left="0"/>
        <w:jc w:val="both"/>
        <w:rPr>
          <w:rFonts w:ascii="Arial" w:hAnsi="Arial" w:cs="Arial"/>
          <w:lang w:val="ru-RU"/>
        </w:rPr>
      </w:pPr>
    </w:p>
    <w:p w14:paraId="33F0B433" w14:textId="77777777" w:rsidR="00074D90" w:rsidRPr="00946F14" w:rsidRDefault="00074D90" w:rsidP="00074D90">
      <w:pPr>
        <w:pStyle w:val="ListParagraph"/>
        <w:spacing w:line="240" w:lineRule="auto"/>
        <w:ind w:left="0"/>
        <w:jc w:val="both"/>
        <w:rPr>
          <w:rFonts w:ascii="Arial" w:hAnsi="Arial" w:cs="Arial"/>
          <w:lang w:val="ru-RU"/>
        </w:rPr>
      </w:pPr>
      <w:r w:rsidRPr="00946F14">
        <w:rPr>
          <w:rFonts w:ascii="Arial" w:hAnsi="Arial" w:cs="Arial"/>
          <w:lang w:val="ru-RU"/>
        </w:rPr>
        <w:t xml:space="preserve">Съгласно уведомление от емитента, дължимите на 16.01.2025 г. лихвено плащане и частично плащане на главница по облигационната емисия са извършени на </w:t>
      </w:r>
      <w:r w:rsidR="00D9013A" w:rsidRPr="00946F14">
        <w:rPr>
          <w:rFonts w:ascii="Arial" w:hAnsi="Arial" w:cs="Arial"/>
          <w:lang w:val="ru-RU"/>
        </w:rPr>
        <w:t>13</w:t>
      </w:r>
      <w:r w:rsidRPr="00946F14">
        <w:rPr>
          <w:rFonts w:ascii="Arial" w:hAnsi="Arial" w:cs="Arial"/>
          <w:lang w:val="ru-RU"/>
        </w:rPr>
        <w:t>.0</w:t>
      </w:r>
      <w:r w:rsidR="00D9013A" w:rsidRPr="00946F14">
        <w:rPr>
          <w:rFonts w:ascii="Arial" w:hAnsi="Arial" w:cs="Arial"/>
          <w:lang w:val="ru-RU"/>
        </w:rPr>
        <w:t>2</w:t>
      </w:r>
      <w:r w:rsidRPr="00946F14">
        <w:rPr>
          <w:rFonts w:ascii="Arial" w:hAnsi="Arial" w:cs="Arial"/>
          <w:lang w:val="ru-RU"/>
        </w:rPr>
        <w:t>.202</w:t>
      </w:r>
      <w:r w:rsidR="00D9013A" w:rsidRPr="00946F14">
        <w:rPr>
          <w:rFonts w:ascii="Arial" w:hAnsi="Arial" w:cs="Arial"/>
          <w:lang w:val="ru-RU"/>
        </w:rPr>
        <w:t>5</w:t>
      </w:r>
      <w:r w:rsidRPr="00946F14">
        <w:rPr>
          <w:rFonts w:ascii="Arial" w:hAnsi="Arial" w:cs="Arial"/>
          <w:lang w:val="ru-RU"/>
        </w:rPr>
        <w:t xml:space="preserve"> г., в рамките на гратисния 30-дневен период.</w:t>
      </w:r>
    </w:p>
    <w:p w14:paraId="343DD1E2" w14:textId="77777777" w:rsidR="00074D90" w:rsidRPr="00946F14" w:rsidRDefault="00074D90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42A99E46" w14:textId="77777777" w:rsidR="00074D90" w:rsidRPr="00946F14" w:rsidRDefault="00074D90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0029AEBD" w14:textId="77777777" w:rsidR="004F30F5" w:rsidRPr="00946F14" w:rsidRDefault="004F30F5" w:rsidP="004F30F5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lang w:val="ru-RU"/>
        </w:rPr>
      </w:pPr>
      <w:r w:rsidRPr="002E3DD3">
        <w:rPr>
          <w:rFonts w:ascii="Arial" w:hAnsi="Arial" w:cs="Arial"/>
          <w:b/>
          <w:i/>
        </w:rPr>
        <w:t xml:space="preserve">Предвид фактите и обстоятелствата, изложени в доклада, </w:t>
      </w:r>
      <w:r>
        <w:rPr>
          <w:rFonts w:ascii="Arial" w:hAnsi="Arial" w:cs="Arial"/>
          <w:b/>
          <w:i/>
        </w:rPr>
        <w:t xml:space="preserve">включително тези </w:t>
      </w:r>
      <w:r w:rsidRPr="005E073D">
        <w:rPr>
          <w:rFonts w:ascii="Arial" w:hAnsi="Arial" w:cs="Arial"/>
          <w:b/>
          <w:i/>
        </w:rPr>
        <w:t>настъпили след крайната дата на разглеждания в доклада период</w:t>
      </w:r>
      <w:r>
        <w:rPr>
          <w:rFonts w:ascii="Arial" w:hAnsi="Arial" w:cs="Arial"/>
          <w:b/>
          <w:i/>
        </w:rPr>
        <w:t>,</w:t>
      </w:r>
      <w:r w:rsidRPr="00946F14">
        <w:rPr>
          <w:rFonts w:ascii="Arial" w:hAnsi="Arial" w:cs="Arial"/>
          <w:b/>
          <w:i/>
          <w:lang w:val="ru-RU"/>
        </w:rPr>
        <w:t xml:space="preserve"> </w:t>
      </w:r>
      <w:r w:rsidRPr="002E3DD3">
        <w:rPr>
          <w:rFonts w:ascii="Arial" w:hAnsi="Arial" w:cs="Arial"/>
          <w:b/>
          <w:i/>
        </w:rPr>
        <w:t xml:space="preserve">може да бъде направен обоснован извод, че Емитентът </w:t>
      </w:r>
      <w:r w:rsidRPr="00946F14">
        <w:rPr>
          <w:rFonts w:ascii="Arial" w:hAnsi="Arial" w:cs="Arial"/>
          <w:b/>
          <w:i/>
          <w:lang w:val="ru-RU"/>
        </w:rPr>
        <w:t>изпълнява добросъвестно</w:t>
      </w:r>
      <w:r w:rsidRPr="002E3DD3">
        <w:rPr>
          <w:rFonts w:ascii="Arial" w:hAnsi="Arial" w:cs="Arial"/>
          <w:b/>
          <w:i/>
        </w:rPr>
        <w:t xml:space="preserve"> задължения</w:t>
      </w:r>
      <w:r w:rsidRPr="00946F14">
        <w:rPr>
          <w:rFonts w:ascii="Arial" w:hAnsi="Arial" w:cs="Arial"/>
          <w:b/>
          <w:i/>
          <w:lang w:val="ru-RU"/>
        </w:rPr>
        <w:t>та си</w:t>
      </w:r>
      <w:r w:rsidRPr="002E3DD3">
        <w:rPr>
          <w:rFonts w:ascii="Arial" w:hAnsi="Arial" w:cs="Arial"/>
          <w:b/>
          <w:i/>
        </w:rPr>
        <w:t xml:space="preserve"> към облигационерите, съгласно условията на сключения облигационен заем</w:t>
      </w:r>
      <w:r w:rsidRPr="00946F14">
        <w:rPr>
          <w:rFonts w:ascii="Arial" w:hAnsi="Arial" w:cs="Arial"/>
          <w:b/>
          <w:i/>
          <w:lang w:val="ru-RU"/>
        </w:rPr>
        <w:t xml:space="preserve">. </w:t>
      </w:r>
    </w:p>
    <w:p w14:paraId="5A212AD4" w14:textId="77777777" w:rsidR="006E2CE7" w:rsidRPr="00946F14" w:rsidRDefault="006E2CE7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4574DA43" w14:textId="77777777" w:rsidR="004F30F5" w:rsidRPr="00946F14" w:rsidRDefault="004F30F5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2EE61D00" w14:textId="77777777" w:rsidR="004F30F5" w:rsidRPr="00946F14" w:rsidRDefault="004F30F5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4CF3489D" w14:textId="77777777" w:rsidR="00114377" w:rsidRPr="00946F14" w:rsidRDefault="00074D90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 w:rsidRPr="00946F14">
        <w:rPr>
          <w:rFonts w:ascii="Arial" w:hAnsi="Arial" w:cs="Arial"/>
          <w:lang w:val="ru-RU"/>
        </w:rPr>
        <w:t>2</w:t>
      </w:r>
      <w:r w:rsidR="00080BF8" w:rsidRPr="00946F14">
        <w:rPr>
          <w:rFonts w:ascii="Arial" w:hAnsi="Arial" w:cs="Arial"/>
          <w:lang w:val="ru-RU"/>
        </w:rPr>
        <w:t>7</w:t>
      </w:r>
      <w:r w:rsidR="00566947" w:rsidRPr="00086D70">
        <w:rPr>
          <w:rFonts w:ascii="Arial" w:hAnsi="Arial" w:cs="Arial"/>
        </w:rPr>
        <w:t>.</w:t>
      </w:r>
      <w:r w:rsidRPr="00946F14">
        <w:rPr>
          <w:rFonts w:ascii="Arial" w:hAnsi="Arial" w:cs="Arial"/>
          <w:lang w:val="ru-RU"/>
        </w:rPr>
        <w:t>0</w:t>
      </w:r>
      <w:r w:rsidR="00D9013A" w:rsidRPr="00946F14">
        <w:rPr>
          <w:rFonts w:ascii="Arial" w:hAnsi="Arial" w:cs="Arial"/>
          <w:lang w:val="ru-RU"/>
        </w:rPr>
        <w:t>3</w:t>
      </w:r>
      <w:r w:rsidR="00566947" w:rsidRPr="00086D70">
        <w:rPr>
          <w:rFonts w:ascii="Arial" w:hAnsi="Arial" w:cs="Arial"/>
        </w:rPr>
        <w:t>.20</w:t>
      </w:r>
      <w:r w:rsidR="000B61AB">
        <w:rPr>
          <w:rFonts w:ascii="Arial" w:hAnsi="Arial" w:cs="Arial"/>
        </w:rPr>
        <w:t>2</w:t>
      </w:r>
      <w:r w:rsidRPr="00946F14">
        <w:rPr>
          <w:rFonts w:ascii="Arial" w:hAnsi="Arial" w:cs="Arial"/>
          <w:lang w:val="ru-RU"/>
        </w:rPr>
        <w:t>5</w:t>
      </w:r>
      <w:r w:rsidR="000F31DC" w:rsidRPr="00946F14">
        <w:rPr>
          <w:rFonts w:ascii="Arial" w:hAnsi="Arial" w:cs="Arial"/>
          <w:lang w:val="ru-RU"/>
        </w:rPr>
        <w:t xml:space="preserve"> </w:t>
      </w:r>
      <w:r w:rsidR="00566947" w:rsidRPr="00086D70">
        <w:rPr>
          <w:rFonts w:ascii="Arial" w:hAnsi="Arial" w:cs="Arial"/>
        </w:rPr>
        <w:t>г</w:t>
      </w:r>
      <w:r w:rsidR="00AD2D92" w:rsidRPr="00946F14">
        <w:rPr>
          <w:rFonts w:ascii="Arial" w:hAnsi="Arial" w:cs="Arial"/>
          <w:lang w:val="ru-RU"/>
        </w:rPr>
        <w:t>.</w:t>
      </w:r>
      <w:r w:rsidR="00064D3B" w:rsidRPr="00946F14">
        <w:rPr>
          <w:rFonts w:ascii="Arial" w:hAnsi="Arial" w:cs="Arial"/>
          <w:lang w:val="ru-RU"/>
        </w:rPr>
        <w:t>,</w:t>
      </w:r>
      <w:r w:rsidR="00566947" w:rsidRPr="00086D70">
        <w:rPr>
          <w:rFonts w:ascii="Arial" w:hAnsi="Arial" w:cs="Arial"/>
        </w:rPr>
        <w:t xml:space="preserve"> София</w:t>
      </w:r>
    </w:p>
    <w:p w14:paraId="2C35910B" w14:textId="77777777" w:rsidR="004D0799" w:rsidRPr="00946F14" w:rsidRDefault="004D0799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1E0A1CF4" w14:textId="77777777" w:rsidR="00D02CFF" w:rsidRPr="00946F14" w:rsidRDefault="00D02CFF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05057AD6" w14:textId="77777777" w:rsidR="00CF722F" w:rsidRPr="00946F14" w:rsidRDefault="005B21C5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За Де Ново ЕАД</w:t>
      </w:r>
      <w:r w:rsidR="00A36C47" w:rsidRPr="00946F14">
        <w:rPr>
          <w:rFonts w:ascii="Arial" w:hAnsi="Arial" w:cs="Arial"/>
          <w:lang w:val="ru-RU"/>
        </w:rPr>
        <w:t>:</w:t>
      </w:r>
    </w:p>
    <w:p w14:paraId="3E460E14" w14:textId="77777777" w:rsidR="00A81754" w:rsidRPr="00946F14" w:rsidRDefault="00A81754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2096E0CC" w14:textId="77777777" w:rsidR="00D02CFF" w:rsidRPr="00946F14" w:rsidRDefault="00D02CFF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573AA92E" w14:textId="77777777" w:rsidR="00A36E43" w:rsidRPr="00946F14" w:rsidRDefault="00A36E43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007936F6" w14:textId="77777777" w:rsidR="00393400" w:rsidRPr="00946F14" w:rsidRDefault="00393400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453E2866" w14:textId="77777777" w:rsidR="006C5330" w:rsidRPr="00086D70" w:rsidRDefault="00E53202" w:rsidP="00D9764F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Симеон Петков</w:t>
      </w:r>
      <w:r w:rsidR="00566947" w:rsidRPr="00086D70">
        <w:rPr>
          <w:rFonts w:ascii="Arial" w:hAnsi="Arial" w:cs="Arial"/>
        </w:rPr>
        <w:t>:...............................</w:t>
      </w:r>
      <w:r w:rsidR="00E93304" w:rsidRPr="00946F14">
        <w:rPr>
          <w:rFonts w:ascii="Arial" w:hAnsi="Arial" w:cs="Arial"/>
          <w:lang w:val="ru-RU"/>
        </w:rPr>
        <w:t>…</w:t>
      </w:r>
      <w:r w:rsidR="006C5330" w:rsidRPr="00086D70">
        <w:rPr>
          <w:rFonts w:ascii="Arial" w:hAnsi="Arial" w:cs="Arial"/>
        </w:rPr>
        <w:tab/>
      </w:r>
      <w:r w:rsidR="00E95AA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Йордан Попов</w:t>
      </w:r>
      <w:r w:rsidR="00566947" w:rsidRPr="00086D70">
        <w:rPr>
          <w:rFonts w:ascii="Arial" w:hAnsi="Arial" w:cs="Arial"/>
        </w:rPr>
        <w:t>:...............................</w:t>
      </w:r>
    </w:p>
    <w:p w14:paraId="7CA0B143" w14:textId="77777777" w:rsidR="002E17A0" w:rsidRPr="00986CFB" w:rsidRDefault="00566947" w:rsidP="00336745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 w:rsidRPr="00086D70">
        <w:rPr>
          <w:rFonts w:ascii="Arial" w:hAnsi="Arial" w:cs="Arial"/>
        </w:rPr>
        <w:tab/>
      </w:r>
      <w:r w:rsidRPr="00086D70">
        <w:rPr>
          <w:rFonts w:ascii="Arial" w:hAnsi="Arial" w:cs="Arial"/>
        </w:rPr>
        <w:tab/>
      </w:r>
      <w:r w:rsidR="00CD3B0C" w:rsidRPr="00946F14">
        <w:rPr>
          <w:rFonts w:ascii="Arial" w:hAnsi="Arial" w:cs="Arial"/>
          <w:lang w:val="ru-RU"/>
        </w:rPr>
        <w:t xml:space="preserve">  </w:t>
      </w:r>
      <w:r w:rsidR="002D6AE0" w:rsidRPr="00946F14">
        <w:rPr>
          <w:rFonts w:ascii="Arial" w:hAnsi="Arial" w:cs="Arial"/>
          <w:lang w:val="ru-RU"/>
        </w:rPr>
        <w:t xml:space="preserve"> </w:t>
      </w:r>
      <w:r w:rsidRPr="00086D70">
        <w:rPr>
          <w:rFonts w:ascii="Arial" w:hAnsi="Arial" w:cs="Arial"/>
        </w:rPr>
        <w:t>/</w:t>
      </w:r>
      <w:r w:rsidR="00E53202">
        <w:rPr>
          <w:rFonts w:ascii="Arial" w:hAnsi="Arial" w:cs="Arial"/>
        </w:rPr>
        <w:t>Пр</w:t>
      </w:r>
      <w:r w:rsidR="006559B2" w:rsidRPr="00946F14">
        <w:rPr>
          <w:rFonts w:ascii="Arial" w:hAnsi="Arial" w:cs="Arial"/>
          <w:lang w:val="ru-RU"/>
        </w:rPr>
        <w:t>окурист</w:t>
      </w:r>
      <w:r w:rsidRPr="00086D70">
        <w:rPr>
          <w:rFonts w:ascii="Arial" w:hAnsi="Arial" w:cs="Arial"/>
        </w:rPr>
        <w:t>/</w:t>
      </w:r>
      <w:r w:rsidRPr="00086D70">
        <w:rPr>
          <w:rFonts w:ascii="Arial" w:hAnsi="Arial" w:cs="Arial"/>
        </w:rPr>
        <w:tab/>
      </w:r>
      <w:r w:rsidRPr="00086D70">
        <w:rPr>
          <w:rFonts w:ascii="Arial" w:hAnsi="Arial" w:cs="Arial"/>
        </w:rPr>
        <w:tab/>
      </w:r>
      <w:r w:rsidRPr="00086D70">
        <w:rPr>
          <w:rFonts w:ascii="Arial" w:hAnsi="Arial" w:cs="Arial"/>
        </w:rPr>
        <w:tab/>
      </w:r>
      <w:r w:rsidR="00CD3B0C" w:rsidRPr="00946F14">
        <w:rPr>
          <w:rFonts w:ascii="Arial" w:hAnsi="Arial" w:cs="Arial"/>
          <w:lang w:val="ru-RU"/>
        </w:rPr>
        <w:t xml:space="preserve">         </w:t>
      </w:r>
      <w:r w:rsidR="00DB431A" w:rsidRPr="00946F14">
        <w:rPr>
          <w:rFonts w:ascii="Arial" w:hAnsi="Arial" w:cs="Arial"/>
          <w:lang w:val="ru-RU"/>
        </w:rPr>
        <w:tab/>
      </w:r>
      <w:r w:rsidR="00DB431A" w:rsidRPr="00946F14">
        <w:rPr>
          <w:rFonts w:ascii="Arial" w:hAnsi="Arial" w:cs="Arial"/>
          <w:lang w:val="ru-RU"/>
        </w:rPr>
        <w:tab/>
        <w:t xml:space="preserve">         </w:t>
      </w:r>
      <w:r w:rsidRPr="00086D70">
        <w:rPr>
          <w:rFonts w:ascii="Arial" w:hAnsi="Arial" w:cs="Arial"/>
        </w:rPr>
        <w:t>/</w:t>
      </w:r>
      <w:r w:rsidR="00E53202" w:rsidRPr="00086D70">
        <w:rPr>
          <w:rFonts w:ascii="Arial" w:hAnsi="Arial" w:cs="Arial"/>
        </w:rPr>
        <w:t>Изп. Директор</w:t>
      </w:r>
      <w:r w:rsidRPr="00086D70">
        <w:rPr>
          <w:rFonts w:ascii="Arial" w:hAnsi="Arial" w:cs="Arial"/>
        </w:rPr>
        <w:t>/</w:t>
      </w:r>
    </w:p>
    <w:sectPr w:rsidR="002E17A0" w:rsidRPr="00986CFB" w:rsidSect="00A138C6">
      <w:headerReference w:type="default" r:id="rId8"/>
      <w:footerReference w:type="default" r:id="rId9"/>
      <w:pgSz w:w="11909" w:h="16834" w:code="9"/>
      <w:pgMar w:top="1152" w:right="1419" w:bottom="12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8926C" w14:textId="77777777" w:rsidR="007B3DF8" w:rsidRDefault="007B3DF8">
      <w:r>
        <w:separator/>
      </w:r>
    </w:p>
  </w:endnote>
  <w:endnote w:type="continuationSeparator" w:id="0">
    <w:p w14:paraId="771B1C7E" w14:textId="77777777" w:rsidR="007B3DF8" w:rsidRDefault="007B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42B57" w14:textId="77777777" w:rsidR="004E145C" w:rsidRDefault="004E145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3F0B">
      <w:rPr>
        <w:noProof/>
      </w:rPr>
      <w:t>5</w:t>
    </w:r>
    <w:r>
      <w:rPr>
        <w:noProof/>
      </w:rPr>
      <w:fldChar w:fldCharType="end"/>
    </w:r>
  </w:p>
  <w:p w14:paraId="106FAE48" w14:textId="77777777" w:rsidR="004E145C" w:rsidRDefault="004E145C">
    <w:pPr>
      <w:pStyle w:val="Footer"/>
      <w:rPr>
        <w:rFonts w:ascii="Arial" w:hAnsi="Arial"/>
        <w:sz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9C098" w14:textId="77777777" w:rsidR="007B3DF8" w:rsidRDefault="007B3DF8">
      <w:r>
        <w:separator/>
      </w:r>
    </w:p>
  </w:footnote>
  <w:footnote w:type="continuationSeparator" w:id="0">
    <w:p w14:paraId="7765680A" w14:textId="77777777" w:rsidR="007B3DF8" w:rsidRDefault="007B3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28406" w14:textId="7938662F" w:rsidR="004E145C" w:rsidRDefault="00946F14">
    <w:pPr>
      <w:pStyle w:val="Header"/>
    </w:pPr>
    <w:r>
      <w:rPr>
        <w:noProof/>
      </w:rPr>
      <w:drawing>
        <wp:inline distT="0" distB="0" distL="0" distR="0" wp14:anchorId="2B9D1E72" wp14:editId="2DB0F875">
          <wp:extent cx="1447800" cy="581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05C0"/>
    <w:multiLevelType w:val="hybridMultilevel"/>
    <w:tmpl w:val="A8F0B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58A1"/>
    <w:multiLevelType w:val="hybridMultilevel"/>
    <w:tmpl w:val="ED9C4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D0EA5"/>
    <w:multiLevelType w:val="hybridMultilevel"/>
    <w:tmpl w:val="DDDA9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50998"/>
    <w:multiLevelType w:val="hybridMultilevel"/>
    <w:tmpl w:val="ED9C4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806A6"/>
    <w:multiLevelType w:val="hybridMultilevel"/>
    <w:tmpl w:val="0532B478"/>
    <w:lvl w:ilvl="0" w:tplc="3E521D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465ED"/>
    <w:multiLevelType w:val="multilevel"/>
    <w:tmpl w:val="41860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7D9075A"/>
    <w:multiLevelType w:val="hybridMultilevel"/>
    <w:tmpl w:val="28EAE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32D87"/>
    <w:multiLevelType w:val="hybridMultilevel"/>
    <w:tmpl w:val="62908946"/>
    <w:lvl w:ilvl="0" w:tplc="F5A44E2C">
      <w:start w:val="25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C309C"/>
    <w:multiLevelType w:val="hybridMultilevel"/>
    <w:tmpl w:val="0E0E7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47614"/>
    <w:multiLevelType w:val="hybridMultilevel"/>
    <w:tmpl w:val="10E6C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0735C"/>
    <w:multiLevelType w:val="hybridMultilevel"/>
    <w:tmpl w:val="F348A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10A69"/>
    <w:multiLevelType w:val="hybridMultilevel"/>
    <w:tmpl w:val="74FC6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A1199"/>
    <w:multiLevelType w:val="multilevel"/>
    <w:tmpl w:val="4A749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C2570DD"/>
    <w:multiLevelType w:val="hybridMultilevel"/>
    <w:tmpl w:val="12AA8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1078D"/>
    <w:multiLevelType w:val="hybridMultilevel"/>
    <w:tmpl w:val="C73A8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93A4D"/>
    <w:multiLevelType w:val="hybridMultilevel"/>
    <w:tmpl w:val="9574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5118F"/>
    <w:multiLevelType w:val="multilevel"/>
    <w:tmpl w:val="4A749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57D5CC3"/>
    <w:multiLevelType w:val="hybridMultilevel"/>
    <w:tmpl w:val="E76E1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86F"/>
    <w:multiLevelType w:val="hybridMultilevel"/>
    <w:tmpl w:val="8D06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C34EF"/>
    <w:multiLevelType w:val="hybridMultilevel"/>
    <w:tmpl w:val="6EB69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C2D5E"/>
    <w:multiLevelType w:val="hybridMultilevel"/>
    <w:tmpl w:val="17325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112D9"/>
    <w:multiLevelType w:val="multilevel"/>
    <w:tmpl w:val="0402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6BED1F03"/>
    <w:multiLevelType w:val="hybridMultilevel"/>
    <w:tmpl w:val="28C8D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330D0"/>
    <w:multiLevelType w:val="hybridMultilevel"/>
    <w:tmpl w:val="4784F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A74C3"/>
    <w:multiLevelType w:val="hybridMultilevel"/>
    <w:tmpl w:val="7EE8E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C1F79"/>
    <w:multiLevelType w:val="hybridMultilevel"/>
    <w:tmpl w:val="FC224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37189">
    <w:abstractNumId w:val="21"/>
  </w:num>
  <w:num w:numId="2" w16cid:durableId="528570339">
    <w:abstractNumId w:val="11"/>
  </w:num>
  <w:num w:numId="3" w16cid:durableId="1635408990">
    <w:abstractNumId w:val="2"/>
  </w:num>
  <w:num w:numId="4" w16cid:durableId="1591114981">
    <w:abstractNumId w:val="10"/>
  </w:num>
  <w:num w:numId="5" w16cid:durableId="799304588">
    <w:abstractNumId w:val="4"/>
  </w:num>
  <w:num w:numId="6" w16cid:durableId="480850968">
    <w:abstractNumId w:val="15"/>
  </w:num>
  <w:num w:numId="7" w16cid:durableId="949706064">
    <w:abstractNumId w:val="22"/>
  </w:num>
  <w:num w:numId="8" w16cid:durableId="359400905">
    <w:abstractNumId w:val="20"/>
  </w:num>
  <w:num w:numId="9" w16cid:durableId="824248812">
    <w:abstractNumId w:val="16"/>
  </w:num>
  <w:num w:numId="10" w16cid:durableId="1172453892">
    <w:abstractNumId w:val="13"/>
  </w:num>
  <w:num w:numId="11" w16cid:durableId="2049066351">
    <w:abstractNumId w:val="0"/>
  </w:num>
  <w:num w:numId="12" w16cid:durableId="1879198457">
    <w:abstractNumId w:val="19"/>
  </w:num>
  <w:num w:numId="13" w16cid:durableId="1776439463">
    <w:abstractNumId w:val="23"/>
  </w:num>
  <w:num w:numId="14" w16cid:durableId="1291519944">
    <w:abstractNumId w:val="5"/>
  </w:num>
  <w:num w:numId="15" w16cid:durableId="722606725">
    <w:abstractNumId w:val="12"/>
  </w:num>
  <w:num w:numId="16" w16cid:durableId="96802975">
    <w:abstractNumId w:val="24"/>
  </w:num>
  <w:num w:numId="17" w16cid:durableId="1154684649">
    <w:abstractNumId w:val="14"/>
  </w:num>
  <w:num w:numId="18" w16cid:durableId="664866969">
    <w:abstractNumId w:val="1"/>
  </w:num>
  <w:num w:numId="19" w16cid:durableId="8604688">
    <w:abstractNumId w:val="3"/>
  </w:num>
  <w:num w:numId="20" w16cid:durableId="955796698">
    <w:abstractNumId w:val="17"/>
  </w:num>
  <w:num w:numId="21" w16cid:durableId="289093917">
    <w:abstractNumId w:val="25"/>
  </w:num>
  <w:num w:numId="22" w16cid:durableId="1043287578">
    <w:abstractNumId w:val="6"/>
  </w:num>
  <w:num w:numId="23" w16cid:durableId="63794949">
    <w:abstractNumId w:val="18"/>
  </w:num>
  <w:num w:numId="24" w16cid:durableId="1536500240">
    <w:abstractNumId w:val="8"/>
  </w:num>
  <w:num w:numId="25" w16cid:durableId="1717972866">
    <w:abstractNumId w:val="7"/>
  </w:num>
  <w:num w:numId="26" w16cid:durableId="1407531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53"/>
    <w:rsid w:val="00001438"/>
    <w:rsid w:val="000025B8"/>
    <w:rsid w:val="00002A94"/>
    <w:rsid w:val="00002AE8"/>
    <w:rsid w:val="00003303"/>
    <w:rsid w:val="0000534D"/>
    <w:rsid w:val="00005439"/>
    <w:rsid w:val="000063D0"/>
    <w:rsid w:val="000065FA"/>
    <w:rsid w:val="00006974"/>
    <w:rsid w:val="00007174"/>
    <w:rsid w:val="0000727F"/>
    <w:rsid w:val="00007DED"/>
    <w:rsid w:val="000100F1"/>
    <w:rsid w:val="000102CA"/>
    <w:rsid w:val="00010395"/>
    <w:rsid w:val="000103E8"/>
    <w:rsid w:val="00010DB1"/>
    <w:rsid w:val="00011FFC"/>
    <w:rsid w:val="0001378C"/>
    <w:rsid w:val="00013F46"/>
    <w:rsid w:val="0001407C"/>
    <w:rsid w:val="000140EC"/>
    <w:rsid w:val="00015F55"/>
    <w:rsid w:val="00017861"/>
    <w:rsid w:val="000179E8"/>
    <w:rsid w:val="000200DC"/>
    <w:rsid w:val="000200FE"/>
    <w:rsid w:val="00020416"/>
    <w:rsid w:val="000205B4"/>
    <w:rsid w:val="0002095C"/>
    <w:rsid w:val="00021FCA"/>
    <w:rsid w:val="00022002"/>
    <w:rsid w:val="00022765"/>
    <w:rsid w:val="0002294E"/>
    <w:rsid w:val="00025A26"/>
    <w:rsid w:val="00026899"/>
    <w:rsid w:val="0002726F"/>
    <w:rsid w:val="00031566"/>
    <w:rsid w:val="000321EF"/>
    <w:rsid w:val="00032257"/>
    <w:rsid w:val="00032520"/>
    <w:rsid w:val="0003356F"/>
    <w:rsid w:val="000336AA"/>
    <w:rsid w:val="000338E2"/>
    <w:rsid w:val="00034A00"/>
    <w:rsid w:val="00034FA0"/>
    <w:rsid w:val="00035173"/>
    <w:rsid w:val="00035554"/>
    <w:rsid w:val="00036F6D"/>
    <w:rsid w:val="000374D6"/>
    <w:rsid w:val="00037DFD"/>
    <w:rsid w:val="00041AA1"/>
    <w:rsid w:val="0004227B"/>
    <w:rsid w:val="00043115"/>
    <w:rsid w:val="00043EE6"/>
    <w:rsid w:val="00045161"/>
    <w:rsid w:val="00045904"/>
    <w:rsid w:val="000466A4"/>
    <w:rsid w:val="00047C46"/>
    <w:rsid w:val="00047D7B"/>
    <w:rsid w:val="000502D6"/>
    <w:rsid w:val="00050854"/>
    <w:rsid w:val="000509CC"/>
    <w:rsid w:val="00051095"/>
    <w:rsid w:val="00051472"/>
    <w:rsid w:val="00051524"/>
    <w:rsid w:val="00052044"/>
    <w:rsid w:val="00052BB8"/>
    <w:rsid w:val="00053678"/>
    <w:rsid w:val="000564C7"/>
    <w:rsid w:val="0005661C"/>
    <w:rsid w:val="00057F71"/>
    <w:rsid w:val="0006051F"/>
    <w:rsid w:val="00061479"/>
    <w:rsid w:val="0006174E"/>
    <w:rsid w:val="0006344D"/>
    <w:rsid w:val="00063648"/>
    <w:rsid w:val="00064076"/>
    <w:rsid w:val="000640B9"/>
    <w:rsid w:val="000642D5"/>
    <w:rsid w:val="00064D3B"/>
    <w:rsid w:val="0006713D"/>
    <w:rsid w:val="00067B29"/>
    <w:rsid w:val="00070506"/>
    <w:rsid w:val="000711A1"/>
    <w:rsid w:val="00071542"/>
    <w:rsid w:val="00071A5D"/>
    <w:rsid w:val="00073458"/>
    <w:rsid w:val="00073CBE"/>
    <w:rsid w:val="00073F0B"/>
    <w:rsid w:val="00074D90"/>
    <w:rsid w:val="000750E9"/>
    <w:rsid w:val="00075347"/>
    <w:rsid w:val="0007575C"/>
    <w:rsid w:val="0007674D"/>
    <w:rsid w:val="00076A6B"/>
    <w:rsid w:val="00076E55"/>
    <w:rsid w:val="00077A3D"/>
    <w:rsid w:val="00080251"/>
    <w:rsid w:val="0008096C"/>
    <w:rsid w:val="00080BF8"/>
    <w:rsid w:val="00081ACF"/>
    <w:rsid w:val="00081E11"/>
    <w:rsid w:val="00081F65"/>
    <w:rsid w:val="00082A9F"/>
    <w:rsid w:val="00083D87"/>
    <w:rsid w:val="000846F9"/>
    <w:rsid w:val="00085819"/>
    <w:rsid w:val="00085CE1"/>
    <w:rsid w:val="00085E76"/>
    <w:rsid w:val="00086D70"/>
    <w:rsid w:val="00086E95"/>
    <w:rsid w:val="00090CB8"/>
    <w:rsid w:val="00091FB5"/>
    <w:rsid w:val="00092EA7"/>
    <w:rsid w:val="00093317"/>
    <w:rsid w:val="000939DD"/>
    <w:rsid w:val="000942B9"/>
    <w:rsid w:val="00095061"/>
    <w:rsid w:val="00095C89"/>
    <w:rsid w:val="00097466"/>
    <w:rsid w:val="000A1A63"/>
    <w:rsid w:val="000A1C57"/>
    <w:rsid w:val="000A2813"/>
    <w:rsid w:val="000A2923"/>
    <w:rsid w:val="000A36AE"/>
    <w:rsid w:val="000A37E4"/>
    <w:rsid w:val="000A3A48"/>
    <w:rsid w:val="000A3F1D"/>
    <w:rsid w:val="000A4F4D"/>
    <w:rsid w:val="000A5141"/>
    <w:rsid w:val="000A54B1"/>
    <w:rsid w:val="000A5AF7"/>
    <w:rsid w:val="000A5B0E"/>
    <w:rsid w:val="000B22DF"/>
    <w:rsid w:val="000B3B86"/>
    <w:rsid w:val="000B4B3D"/>
    <w:rsid w:val="000B57E6"/>
    <w:rsid w:val="000B5FA7"/>
    <w:rsid w:val="000B61AB"/>
    <w:rsid w:val="000B62C2"/>
    <w:rsid w:val="000B7639"/>
    <w:rsid w:val="000B7CC8"/>
    <w:rsid w:val="000C07E8"/>
    <w:rsid w:val="000C0985"/>
    <w:rsid w:val="000C0FD0"/>
    <w:rsid w:val="000C111C"/>
    <w:rsid w:val="000C208E"/>
    <w:rsid w:val="000C299C"/>
    <w:rsid w:val="000C2B3D"/>
    <w:rsid w:val="000C30E3"/>
    <w:rsid w:val="000C394F"/>
    <w:rsid w:val="000C5274"/>
    <w:rsid w:val="000C5764"/>
    <w:rsid w:val="000C5F86"/>
    <w:rsid w:val="000C6AA1"/>
    <w:rsid w:val="000C7080"/>
    <w:rsid w:val="000C7705"/>
    <w:rsid w:val="000C7AA7"/>
    <w:rsid w:val="000D047A"/>
    <w:rsid w:val="000D21A9"/>
    <w:rsid w:val="000D277F"/>
    <w:rsid w:val="000D2A82"/>
    <w:rsid w:val="000D2C4A"/>
    <w:rsid w:val="000D2F6D"/>
    <w:rsid w:val="000D3536"/>
    <w:rsid w:val="000D3F5C"/>
    <w:rsid w:val="000D427C"/>
    <w:rsid w:val="000D4397"/>
    <w:rsid w:val="000D5189"/>
    <w:rsid w:val="000D5279"/>
    <w:rsid w:val="000D6EA4"/>
    <w:rsid w:val="000D7CAC"/>
    <w:rsid w:val="000E0717"/>
    <w:rsid w:val="000E0CF3"/>
    <w:rsid w:val="000E1398"/>
    <w:rsid w:val="000E1704"/>
    <w:rsid w:val="000E219F"/>
    <w:rsid w:val="000E2584"/>
    <w:rsid w:val="000E283F"/>
    <w:rsid w:val="000E30DD"/>
    <w:rsid w:val="000E64C6"/>
    <w:rsid w:val="000F31CD"/>
    <w:rsid w:val="000F31DC"/>
    <w:rsid w:val="000F3C47"/>
    <w:rsid w:val="000F4945"/>
    <w:rsid w:val="000F55C3"/>
    <w:rsid w:val="000F563F"/>
    <w:rsid w:val="000F58AD"/>
    <w:rsid w:val="000F7E95"/>
    <w:rsid w:val="000F7F82"/>
    <w:rsid w:val="001006FB"/>
    <w:rsid w:val="0010095E"/>
    <w:rsid w:val="001018B2"/>
    <w:rsid w:val="00101D78"/>
    <w:rsid w:val="00102CFE"/>
    <w:rsid w:val="00103342"/>
    <w:rsid w:val="001051A6"/>
    <w:rsid w:val="00105AEB"/>
    <w:rsid w:val="0010621F"/>
    <w:rsid w:val="00110FB1"/>
    <w:rsid w:val="0011129A"/>
    <w:rsid w:val="0011176D"/>
    <w:rsid w:val="00112CE6"/>
    <w:rsid w:val="00113D7B"/>
    <w:rsid w:val="00113E42"/>
    <w:rsid w:val="00114377"/>
    <w:rsid w:val="00114AA1"/>
    <w:rsid w:val="00115BD2"/>
    <w:rsid w:val="0011693E"/>
    <w:rsid w:val="001202E7"/>
    <w:rsid w:val="001209F1"/>
    <w:rsid w:val="001220F3"/>
    <w:rsid w:val="001224A9"/>
    <w:rsid w:val="0012257E"/>
    <w:rsid w:val="00123529"/>
    <w:rsid w:val="00123815"/>
    <w:rsid w:val="001247D6"/>
    <w:rsid w:val="00125805"/>
    <w:rsid w:val="0012611F"/>
    <w:rsid w:val="0012698C"/>
    <w:rsid w:val="00126A3D"/>
    <w:rsid w:val="0013010E"/>
    <w:rsid w:val="00131278"/>
    <w:rsid w:val="001323D1"/>
    <w:rsid w:val="0013314A"/>
    <w:rsid w:val="00133975"/>
    <w:rsid w:val="00133E08"/>
    <w:rsid w:val="001348F1"/>
    <w:rsid w:val="00136BF4"/>
    <w:rsid w:val="00137708"/>
    <w:rsid w:val="00137923"/>
    <w:rsid w:val="00137940"/>
    <w:rsid w:val="00141417"/>
    <w:rsid w:val="00141EED"/>
    <w:rsid w:val="00141F30"/>
    <w:rsid w:val="00142DA4"/>
    <w:rsid w:val="00143543"/>
    <w:rsid w:val="001442E1"/>
    <w:rsid w:val="00144668"/>
    <w:rsid w:val="0014511A"/>
    <w:rsid w:val="001451BC"/>
    <w:rsid w:val="00145289"/>
    <w:rsid w:val="00145865"/>
    <w:rsid w:val="00147240"/>
    <w:rsid w:val="00147638"/>
    <w:rsid w:val="00151C12"/>
    <w:rsid w:val="00151D64"/>
    <w:rsid w:val="001526CA"/>
    <w:rsid w:val="00154D21"/>
    <w:rsid w:val="00155381"/>
    <w:rsid w:val="00155A46"/>
    <w:rsid w:val="00155BD8"/>
    <w:rsid w:val="0015661E"/>
    <w:rsid w:val="00156EB7"/>
    <w:rsid w:val="001620F8"/>
    <w:rsid w:val="001623A0"/>
    <w:rsid w:val="0016296D"/>
    <w:rsid w:val="00163313"/>
    <w:rsid w:val="0016448D"/>
    <w:rsid w:val="00165E09"/>
    <w:rsid w:val="00167C23"/>
    <w:rsid w:val="001704DE"/>
    <w:rsid w:val="0017055F"/>
    <w:rsid w:val="00171393"/>
    <w:rsid w:val="00172E66"/>
    <w:rsid w:val="001744E1"/>
    <w:rsid w:val="001749A2"/>
    <w:rsid w:val="00175CAC"/>
    <w:rsid w:val="0017699A"/>
    <w:rsid w:val="00176B98"/>
    <w:rsid w:val="00180FE3"/>
    <w:rsid w:val="00181CAB"/>
    <w:rsid w:val="001830C2"/>
    <w:rsid w:val="00183411"/>
    <w:rsid w:val="00183DCF"/>
    <w:rsid w:val="00184084"/>
    <w:rsid w:val="001849B6"/>
    <w:rsid w:val="00185917"/>
    <w:rsid w:val="00187303"/>
    <w:rsid w:val="00187448"/>
    <w:rsid w:val="0018755E"/>
    <w:rsid w:val="00187783"/>
    <w:rsid w:val="001900BC"/>
    <w:rsid w:val="00191BFA"/>
    <w:rsid w:val="00191E89"/>
    <w:rsid w:val="001924E6"/>
    <w:rsid w:val="00192885"/>
    <w:rsid w:val="00193F6C"/>
    <w:rsid w:val="0019511C"/>
    <w:rsid w:val="001954D4"/>
    <w:rsid w:val="00195FBA"/>
    <w:rsid w:val="00196419"/>
    <w:rsid w:val="00197B9C"/>
    <w:rsid w:val="001A0484"/>
    <w:rsid w:val="001A06CD"/>
    <w:rsid w:val="001A126E"/>
    <w:rsid w:val="001A148B"/>
    <w:rsid w:val="001A1E1D"/>
    <w:rsid w:val="001A3244"/>
    <w:rsid w:val="001A3476"/>
    <w:rsid w:val="001A474F"/>
    <w:rsid w:val="001A47F5"/>
    <w:rsid w:val="001A699C"/>
    <w:rsid w:val="001A6ACC"/>
    <w:rsid w:val="001A702F"/>
    <w:rsid w:val="001B02B9"/>
    <w:rsid w:val="001B11CC"/>
    <w:rsid w:val="001B174A"/>
    <w:rsid w:val="001B245D"/>
    <w:rsid w:val="001B349C"/>
    <w:rsid w:val="001B3AD8"/>
    <w:rsid w:val="001B52E7"/>
    <w:rsid w:val="001B6B04"/>
    <w:rsid w:val="001B70E8"/>
    <w:rsid w:val="001B7EE0"/>
    <w:rsid w:val="001C06FC"/>
    <w:rsid w:val="001C16C8"/>
    <w:rsid w:val="001C1C17"/>
    <w:rsid w:val="001C2122"/>
    <w:rsid w:val="001C235F"/>
    <w:rsid w:val="001C3012"/>
    <w:rsid w:val="001C44C9"/>
    <w:rsid w:val="001C4974"/>
    <w:rsid w:val="001C4CDF"/>
    <w:rsid w:val="001C5372"/>
    <w:rsid w:val="001C5B64"/>
    <w:rsid w:val="001D19A5"/>
    <w:rsid w:val="001D2C54"/>
    <w:rsid w:val="001D3B8B"/>
    <w:rsid w:val="001D3E5A"/>
    <w:rsid w:val="001D57AB"/>
    <w:rsid w:val="001D61E3"/>
    <w:rsid w:val="001D760B"/>
    <w:rsid w:val="001E0102"/>
    <w:rsid w:val="001E10DA"/>
    <w:rsid w:val="001E117C"/>
    <w:rsid w:val="001E1A23"/>
    <w:rsid w:val="001E2D8D"/>
    <w:rsid w:val="001E3C3F"/>
    <w:rsid w:val="001E45CA"/>
    <w:rsid w:val="001E59F7"/>
    <w:rsid w:val="001E6083"/>
    <w:rsid w:val="001E630A"/>
    <w:rsid w:val="001E67A0"/>
    <w:rsid w:val="001E7223"/>
    <w:rsid w:val="001E798E"/>
    <w:rsid w:val="001E7EF4"/>
    <w:rsid w:val="001F0012"/>
    <w:rsid w:val="001F0A43"/>
    <w:rsid w:val="001F0B7B"/>
    <w:rsid w:val="001F14A6"/>
    <w:rsid w:val="001F1E5B"/>
    <w:rsid w:val="001F22C5"/>
    <w:rsid w:val="001F30D2"/>
    <w:rsid w:val="001F3271"/>
    <w:rsid w:val="001F3FA9"/>
    <w:rsid w:val="001F4914"/>
    <w:rsid w:val="001F606B"/>
    <w:rsid w:val="001F646A"/>
    <w:rsid w:val="001F6D51"/>
    <w:rsid w:val="002002F8"/>
    <w:rsid w:val="00200A50"/>
    <w:rsid w:val="00200D0C"/>
    <w:rsid w:val="00201CC7"/>
    <w:rsid w:val="00201EBD"/>
    <w:rsid w:val="0020275F"/>
    <w:rsid w:val="00203CB4"/>
    <w:rsid w:val="00203EEB"/>
    <w:rsid w:val="00204817"/>
    <w:rsid w:val="002051B8"/>
    <w:rsid w:val="00205897"/>
    <w:rsid w:val="00206DBE"/>
    <w:rsid w:val="00207F34"/>
    <w:rsid w:val="00207F9C"/>
    <w:rsid w:val="002105EF"/>
    <w:rsid w:val="00210DDC"/>
    <w:rsid w:val="00214E31"/>
    <w:rsid w:val="0021566D"/>
    <w:rsid w:val="00216940"/>
    <w:rsid w:val="0021702C"/>
    <w:rsid w:val="002175FE"/>
    <w:rsid w:val="00224A5F"/>
    <w:rsid w:val="00224DCE"/>
    <w:rsid w:val="0022592D"/>
    <w:rsid w:val="00225B90"/>
    <w:rsid w:val="00225DA9"/>
    <w:rsid w:val="00225E45"/>
    <w:rsid w:val="0022796F"/>
    <w:rsid w:val="00230B79"/>
    <w:rsid w:val="00230CBA"/>
    <w:rsid w:val="002311AC"/>
    <w:rsid w:val="00231269"/>
    <w:rsid w:val="002326C3"/>
    <w:rsid w:val="0023317C"/>
    <w:rsid w:val="00233346"/>
    <w:rsid w:val="00233719"/>
    <w:rsid w:val="00235C5A"/>
    <w:rsid w:val="00235F1D"/>
    <w:rsid w:val="00236139"/>
    <w:rsid w:val="002361C5"/>
    <w:rsid w:val="00236D22"/>
    <w:rsid w:val="00237006"/>
    <w:rsid w:val="00237295"/>
    <w:rsid w:val="002408B7"/>
    <w:rsid w:val="00241010"/>
    <w:rsid w:val="00242111"/>
    <w:rsid w:val="0024224A"/>
    <w:rsid w:val="00242566"/>
    <w:rsid w:val="00242604"/>
    <w:rsid w:val="0024267C"/>
    <w:rsid w:val="0024324E"/>
    <w:rsid w:val="0024479B"/>
    <w:rsid w:val="00245A7E"/>
    <w:rsid w:val="002503E8"/>
    <w:rsid w:val="0025096F"/>
    <w:rsid w:val="00250AED"/>
    <w:rsid w:val="0025389D"/>
    <w:rsid w:val="00253AD3"/>
    <w:rsid w:val="0025401E"/>
    <w:rsid w:val="00254047"/>
    <w:rsid w:val="002549FE"/>
    <w:rsid w:val="00254D53"/>
    <w:rsid w:val="00255A7E"/>
    <w:rsid w:val="00255B65"/>
    <w:rsid w:val="00256121"/>
    <w:rsid w:val="0025670C"/>
    <w:rsid w:val="00257DEB"/>
    <w:rsid w:val="00260FCF"/>
    <w:rsid w:val="00261038"/>
    <w:rsid w:val="00261E04"/>
    <w:rsid w:val="00265B28"/>
    <w:rsid w:val="0026655F"/>
    <w:rsid w:val="00267324"/>
    <w:rsid w:val="00267CC6"/>
    <w:rsid w:val="002706E1"/>
    <w:rsid w:val="00270C97"/>
    <w:rsid w:val="0027152C"/>
    <w:rsid w:val="00272944"/>
    <w:rsid w:val="002733AC"/>
    <w:rsid w:val="00273B14"/>
    <w:rsid w:val="002747ED"/>
    <w:rsid w:val="0027539B"/>
    <w:rsid w:val="00275C33"/>
    <w:rsid w:val="00276AE8"/>
    <w:rsid w:val="0028045C"/>
    <w:rsid w:val="00280A92"/>
    <w:rsid w:val="00280E96"/>
    <w:rsid w:val="00281173"/>
    <w:rsid w:val="00281B8A"/>
    <w:rsid w:val="00282959"/>
    <w:rsid w:val="00282B20"/>
    <w:rsid w:val="00287F41"/>
    <w:rsid w:val="00291388"/>
    <w:rsid w:val="002918CD"/>
    <w:rsid w:val="00291E81"/>
    <w:rsid w:val="00292BE6"/>
    <w:rsid w:val="002951CC"/>
    <w:rsid w:val="0029601E"/>
    <w:rsid w:val="00297B4D"/>
    <w:rsid w:val="002A0608"/>
    <w:rsid w:val="002A19E3"/>
    <w:rsid w:val="002A1E41"/>
    <w:rsid w:val="002A1F63"/>
    <w:rsid w:val="002A2044"/>
    <w:rsid w:val="002A30FB"/>
    <w:rsid w:val="002A4248"/>
    <w:rsid w:val="002A7A2C"/>
    <w:rsid w:val="002B19A2"/>
    <w:rsid w:val="002B1B3B"/>
    <w:rsid w:val="002B2F30"/>
    <w:rsid w:val="002B31D5"/>
    <w:rsid w:val="002B4845"/>
    <w:rsid w:val="002B52CD"/>
    <w:rsid w:val="002B5F4A"/>
    <w:rsid w:val="002B6E12"/>
    <w:rsid w:val="002C02F9"/>
    <w:rsid w:val="002C12CD"/>
    <w:rsid w:val="002C1960"/>
    <w:rsid w:val="002C1978"/>
    <w:rsid w:val="002C2270"/>
    <w:rsid w:val="002C3181"/>
    <w:rsid w:val="002C36C1"/>
    <w:rsid w:val="002C53F4"/>
    <w:rsid w:val="002C6B46"/>
    <w:rsid w:val="002C7A97"/>
    <w:rsid w:val="002C7FB1"/>
    <w:rsid w:val="002D1262"/>
    <w:rsid w:val="002D1341"/>
    <w:rsid w:val="002D141F"/>
    <w:rsid w:val="002D157F"/>
    <w:rsid w:val="002D3076"/>
    <w:rsid w:val="002D38D7"/>
    <w:rsid w:val="002D47FE"/>
    <w:rsid w:val="002D49D0"/>
    <w:rsid w:val="002D54F3"/>
    <w:rsid w:val="002D57DB"/>
    <w:rsid w:val="002D5A33"/>
    <w:rsid w:val="002D5EA4"/>
    <w:rsid w:val="002D6718"/>
    <w:rsid w:val="002D6AE0"/>
    <w:rsid w:val="002D7177"/>
    <w:rsid w:val="002D7844"/>
    <w:rsid w:val="002D7F27"/>
    <w:rsid w:val="002E0D49"/>
    <w:rsid w:val="002E17A0"/>
    <w:rsid w:val="002E1C7F"/>
    <w:rsid w:val="002E22BA"/>
    <w:rsid w:val="002E28DD"/>
    <w:rsid w:val="002E2B49"/>
    <w:rsid w:val="002E2EB1"/>
    <w:rsid w:val="002E3B02"/>
    <w:rsid w:val="002E3DD3"/>
    <w:rsid w:val="002E50DC"/>
    <w:rsid w:val="002E582F"/>
    <w:rsid w:val="002E6D83"/>
    <w:rsid w:val="002E7503"/>
    <w:rsid w:val="002E7730"/>
    <w:rsid w:val="002E7CF1"/>
    <w:rsid w:val="002F04AF"/>
    <w:rsid w:val="002F07DD"/>
    <w:rsid w:val="002F17B7"/>
    <w:rsid w:val="002F21DF"/>
    <w:rsid w:val="002F24E2"/>
    <w:rsid w:val="002F2AEE"/>
    <w:rsid w:val="002F3137"/>
    <w:rsid w:val="002F395A"/>
    <w:rsid w:val="002F49B4"/>
    <w:rsid w:val="002F564F"/>
    <w:rsid w:val="002F6029"/>
    <w:rsid w:val="002F75A4"/>
    <w:rsid w:val="002F7B99"/>
    <w:rsid w:val="002F7D61"/>
    <w:rsid w:val="0030138D"/>
    <w:rsid w:val="003013CC"/>
    <w:rsid w:val="0030141D"/>
    <w:rsid w:val="003016FF"/>
    <w:rsid w:val="0030174D"/>
    <w:rsid w:val="0030321D"/>
    <w:rsid w:val="003044C2"/>
    <w:rsid w:val="003047AE"/>
    <w:rsid w:val="00304E15"/>
    <w:rsid w:val="00307116"/>
    <w:rsid w:val="003100DB"/>
    <w:rsid w:val="003104E8"/>
    <w:rsid w:val="0031114E"/>
    <w:rsid w:val="00312F8F"/>
    <w:rsid w:val="0031369D"/>
    <w:rsid w:val="00313AF3"/>
    <w:rsid w:val="00315D57"/>
    <w:rsid w:val="00316C51"/>
    <w:rsid w:val="00316E61"/>
    <w:rsid w:val="003170E9"/>
    <w:rsid w:val="00317DF6"/>
    <w:rsid w:val="0032172B"/>
    <w:rsid w:val="003217FF"/>
    <w:rsid w:val="00321A4F"/>
    <w:rsid w:val="0032491C"/>
    <w:rsid w:val="00324C72"/>
    <w:rsid w:val="00325B50"/>
    <w:rsid w:val="00327319"/>
    <w:rsid w:val="00327C62"/>
    <w:rsid w:val="00327EFB"/>
    <w:rsid w:val="00330880"/>
    <w:rsid w:val="00331638"/>
    <w:rsid w:val="00332400"/>
    <w:rsid w:val="003339E4"/>
    <w:rsid w:val="00336737"/>
    <w:rsid w:val="00336745"/>
    <w:rsid w:val="00336D1D"/>
    <w:rsid w:val="00337BAF"/>
    <w:rsid w:val="00337FB2"/>
    <w:rsid w:val="00340238"/>
    <w:rsid w:val="00340440"/>
    <w:rsid w:val="00341178"/>
    <w:rsid w:val="00341682"/>
    <w:rsid w:val="00341946"/>
    <w:rsid w:val="00341A69"/>
    <w:rsid w:val="00342B26"/>
    <w:rsid w:val="003440DD"/>
    <w:rsid w:val="003445E7"/>
    <w:rsid w:val="00344A99"/>
    <w:rsid w:val="00344C32"/>
    <w:rsid w:val="00344D35"/>
    <w:rsid w:val="00346659"/>
    <w:rsid w:val="00346B81"/>
    <w:rsid w:val="00347D34"/>
    <w:rsid w:val="00351AE9"/>
    <w:rsid w:val="00352156"/>
    <w:rsid w:val="00352FA4"/>
    <w:rsid w:val="00353562"/>
    <w:rsid w:val="00353E07"/>
    <w:rsid w:val="003542F2"/>
    <w:rsid w:val="00354503"/>
    <w:rsid w:val="003550E7"/>
    <w:rsid w:val="0035568E"/>
    <w:rsid w:val="00355A62"/>
    <w:rsid w:val="00355C0B"/>
    <w:rsid w:val="00356DBC"/>
    <w:rsid w:val="0035762E"/>
    <w:rsid w:val="003576AE"/>
    <w:rsid w:val="00362176"/>
    <w:rsid w:val="00362CB3"/>
    <w:rsid w:val="00363123"/>
    <w:rsid w:val="00363E43"/>
    <w:rsid w:val="0036467F"/>
    <w:rsid w:val="003648EF"/>
    <w:rsid w:val="003652C3"/>
    <w:rsid w:val="00365B69"/>
    <w:rsid w:val="003664BD"/>
    <w:rsid w:val="0036660B"/>
    <w:rsid w:val="00370C5B"/>
    <w:rsid w:val="003714E9"/>
    <w:rsid w:val="00371BBB"/>
    <w:rsid w:val="003722FE"/>
    <w:rsid w:val="00372409"/>
    <w:rsid w:val="0037255F"/>
    <w:rsid w:val="00372F64"/>
    <w:rsid w:val="00373BF8"/>
    <w:rsid w:val="0037530D"/>
    <w:rsid w:val="00375C90"/>
    <w:rsid w:val="00375EC7"/>
    <w:rsid w:val="00376800"/>
    <w:rsid w:val="00376D2D"/>
    <w:rsid w:val="0037795F"/>
    <w:rsid w:val="00380056"/>
    <w:rsid w:val="003800EE"/>
    <w:rsid w:val="0038036C"/>
    <w:rsid w:val="00380390"/>
    <w:rsid w:val="00380A75"/>
    <w:rsid w:val="00381F13"/>
    <w:rsid w:val="00382AA7"/>
    <w:rsid w:val="00382E47"/>
    <w:rsid w:val="00382E6C"/>
    <w:rsid w:val="00383202"/>
    <w:rsid w:val="003832A1"/>
    <w:rsid w:val="003838FD"/>
    <w:rsid w:val="0038446C"/>
    <w:rsid w:val="0038545D"/>
    <w:rsid w:val="0038725F"/>
    <w:rsid w:val="003902DF"/>
    <w:rsid w:val="00390BC8"/>
    <w:rsid w:val="00391946"/>
    <w:rsid w:val="003920EF"/>
    <w:rsid w:val="00393400"/>
    <w:rsid w:val="0039363A"/>
    <w:rsid w:val="00394D92"/>
    <w:rsid w:val="003951E7"/>
    <w:rsid w:val="0039762C"/>
    <w:rsid w:val="00397980"/>
    <w:rsid w:val="0039799F"/>
    <w:rsid w:val="003A031B"/>
    <w:rsid w:val="003A0A74"/>
    <w:rsid w:val="003A1089"/>
    <w:rsid w:val="003A1448"/>
    <w:rsid w:val="003A1C21"/>
    <w:rsid w:val="003A2E2A"/>
    <w:rsid w:val="003A35FD"/>
    <w:rsid w:val="003A3633"/>
    <w:rsid w:val="003A4823"/>
    <w:rsid w:val="003A6357"/>
    <w:rsid w:val="003B374C"/>
    <w:rsid w:val="003B3AFB"/>
    <w:rsid w:val="003B3C7E"/>
    <w:rsid w:val="003B4CE9"/>
    <w:rsid w:val="003B4D53"/>
    <w:rsid w:val="003B51EB"/>
    <w:rsid w:val="003B744B"/>
    <w:rsid w:val="003B7625"/>
    <w:rsid w:val="003B7C40"/>
    <w:rsid w:val="003B7D37"/>
    <w:rsid w:val="003B7E92"/>
    <w:rsid w:val="003C18E6"/>
    <w:rsid w:val="003C1DF3"/>
    <w:rsid w:val="003C39B4"/>
    <w:rsid w:val="003C429E"/>
    <w:rsid w:val="003C63D8"/>
    <w:rsid w:val="003C6FDD"/>
    <w:rsid w:val="003C77E0"/>
    <w:rsid w:val="003D09C2"/>
    <w:rsid w:val="003D0DDB"/>
    <w:rsid w:val="003D1698"/>
    <w:rsid w:val="003D1BB1"/>
    <w:rsid w:val="003D215C"/>
    <w:rsid w:val="003D2442"/>
    <w:rsid w:val="003D271F"/>
    <w:rsid w:val="003D27BA"/>
    <w:rsid w:val="003D2D1D"/>
    <w:rsid w:val="003D3433"/>
    <w:rsid w:val="003D4384"/>
    <w:rsid w:val="003D5A1B"/>
    <w:rsid w:val="003D617E"/>
    <w:rsid w:val="003D6310"/>
    <w:rsid w:val="003D756A"/>
    <w:rsid w:val="003D7787"/>
    <w:rsid w:val="003E1486"/>
    <w:rsid w:val="003E290F"/>
    <w:rsid w:val="003E34EB"/>
    <w:rsid w:val="003E56DA"/>
    <w:rsid w:val="003E5B26"/>
    <w:rsid w:val="003E6CFF"/>
    <w:rsid w:val="003F1692"/>
    <w:rsid w:val="003F3046"/>
    <w:rsid w:val="003F4712"/>
    <w:rsid w:val="003F4715"/>
    <w:rsid w:val="003F4ED4"/>
    <w:rsid w:val="003F6178"/>
    <w:rsid w:val="003F6C50"/>
    <w:rsid w:val="00400C0C"/>
    <w:rsid w:val="00400D13"/>
    <w:rsid w:val="0040133C"/>
    <w:rsid w:val="00402F78"/>
    <w:rsid w:val="00404023"/>
    <w:rsid w:val="00405A63"/>
    <w:rsid w:val="00406B3F"/>
    <w:rsid w:val="00406B56"/>
    <w:rsid w:val="00411495"/>
    <w:rsid w:val="00412FF0"/>
    <w:rsid w:val="00413C8E"/>
    <w:rsid w:val="00413F33"/>
    <w:rsid w:val="00414459"/>
    <w:rsid w:val="00415ED1"/>
    <w:rsid w:val="0041748C"/>
    <w:rsid w:val="00417FE8"/>
    <w:rsid w:val="004207AB"/>
    <w:rsid w:val="004211F6"/>
    <w:rsid w:val="00422E40"/>
    <w:rsid w:val="00423575"/>
    <w:rsid w:val="00423E44"/>
    <w:rsid w:val="00425C01"/>
    <w:rsid w:val="00425C1F"/>
    <w:rsid w:val="004279E6"/>
    <w:rsid w:val="00430C6C"/>
    <w:rsid w:val="00431045"/>
    <w:rsid w:val="004313A5"/>
    <w:rsid w:val="00431402"/>
    <w:rsid w:val="00431610"/>
    <w:rsid w:val="00431689"/>
    <w:rsid w:val="004317AA"/>
    <w:rsid w:val="00431BCA"/>
    <w:rsid w:val="00432CC2"/>
    <w:rsid w:val="004336D9"/>
    <w:rsid w:val="00434BFD"/>
    <w:rsid w:val="00434CDA"/>
    <w:rsid w:val="00435244"/>
    <w:rsid w:val="00437883"/>
    <w:rsid w:val="00437C65"/>
    <w:rsid w:val="00440E59"/>
    <w:rsid w:val="00441631"/>
    <w:rsid w:val="00442787"/>
    <w:rsid w:val="00443171"/>
    <w:rsid w:val="004444E0"/>
    <w:rsid w:val="004452F5"/>
    <w:rsid w:val="004453A9"/>
    <w:rsid w:val="00446092"/>
    <w:rsid w:val="004467E1"/>
    <w:rsid w:val="00446F7C"/>
    <w:rsid w:val="00447780"/>
    <w:rsid w:val="00450B0B"/>
    <w:rsid w:val="00450FBA"/>
    <w:rsid w:val="00451375"/>
    <w:rsid w:val="0045345C"/>
    <w:rsid w:val="00453FC1"/>
    <w:rsid w:val="00454F6A"/>
    <w:rsid w:val="00455A7A"/>
    <w:rsid w:val="00456635"/>
    <w:rsid w:val="00456917"/>
    <w:rsid w:val="00456A86"/>
    <w:rsid w:val="00460BBC"/>
    <w:rsid w:val="004611AE"/>
    <w:rsid w:val="00463A7E"/>
    <w:rsid w:val="00463C34"/>
    <w:rsid w:val="004642DF"/>
    <w:rsid w:val="00465178"/>
    <w:rsid w:val="0046612E"/>
    <w:rsid w:val="00467DA1"/>
    <w:rsid w:val="00470A86"/>
    <w:rsid w:val="00471105"/>
    <w:rsid w:val="00471D10"/>
    <w:rsid w:val="00471F68"/>
    <w:rsid w:val="00471F89"/>
    <w:rsid w:val="0047263C"/>
    <w:rsid w:val="00473290"/>
    <w:rsid w:val="004736BA"/>
    <w:rsid w:val="004736F2"/>
    <w:rsid w:val="00473D7D"/>
    <w:rsid w:val="00474543"/>
    <w:rsid w:val="004747A2"/>
    <w:rsid w:val="004750D5"/>
    <w:rsid w:val="00476C49"/>
    <w:rsid w:val="00480D3D"/>
    <w:rsid w:val="0048104D"/>
    <w:rsid w:val="004821CF"/>
    <w:rsid w:val="00482970"/>
    <w:rsid w:val="00483CC6"/>
    <w:rsid w:val="004847D2"/>
    <w:rsid w:val="00485D5B"/>
    <w:rsid w:val="004869E8"/>
    <w:rsid w:val="00486C0C"/>
    <w:rsid w:val="00487799"/>
    <w:rsid w:val="00487F70"/>
    <w:rsid w:val="00490058"/>
    <w:rsid w:val="0049047A"/>
    <w:rsid w:val="004922EA"/>
    <w:rsid w:val="004928EC"/>
    <w:rsid w:val="00493222"/>
    <w:rsid w:val="00493573"/>
    <w:rsid w:val="00493E1E"/>
    <w:rsid w:val="00493F14"/>
    <w:rsid w:val="00494126"/>
    <w:rsid w:val="00496841"/>
    <w:rsid w:val="004A03FF"/>
    <w:rsid w:val="004A0C34"/>
    <w:rsid w:val="004A0EB4"/>
    <w:rsid w:val="004A0F99"/>
    <w:rsid w:val="004A1308"/>
    <w:rsid w:val="004A1FCF"/>
    <w:rsid w:val="004A2ED8"/>
    <w:rsid w:val="004A3D2D"/>
    <w:rsid w:val="004A415E"/>
    <w:rsid w:val="004A4723"/>
    <w:rsid w:val="004A5D45"/>
    <w:rsid w:val="004B19BE"/>
    <w:rsid w:val="004B3163"/>
    <w:rsid w:val="004B3426"/>
    <w:rsid w:val="004B5E7F"/>
    <w:rsid w:val="004B73D8"/>
    <w:rsid w:val="004B7D8F"/>
    <w:rsid w:val="004C04D3"/>
    <w:rsid w:val="004C0743"/>
    <w:rsid w:val="004C1067"/>
    <w:rsid w:val="004C20E9"/>
    <w:rsid w:val="004C31C2"/>
    <w:rsid w:val="004C3F3E"/>
    <w:rsid w:val="004C45F6"/>
    <w:rsid w:val="004C5844"/>
    <w:rsid w:val="004C5C86"/>
    <w:rsid w:val="004C68A0"/>
    <w:rsid w:val="004C76F5"/>
    <w:rsid w:val="004D0799"/>
    <w:rsid w:val="004D12F9"/>
    <w:rsid w:val="004D15DF"/>
    <w:rsid w:val="004D1C0D"/>
    <w:rsid w:val="004D3B22"/>
    <w:rsid w:val="004D401D"/>
    <w:rsid w:val="004D5310"/>
    <w:rsid w:val="004D6E00"/>
    <w:rsid w:val="004D715E"/>
    <w:rsid w:val="004D785A"/>
    <w:rsid w:val="004E018D"/>
    <w:rsid w:val="004E0FD4"/>
    <w:rsid w:val="004E145C"/>
    <w:rsid w:val="004E1905"/>
    <w:rsid w:val="004E282D"/>
    <w:rsid w:val="004E32C8"/>
    <w:rsid w:val="004E32E9"/>
    <w:rsid w:val="004E39F9"/>
    <w:rsid w:val="004E3C8F"/>
    <w:rsid w:val="004E44D1"/>
    <w:rsid w:val="004E4F87"/>
    <w:rsid w:val="004E7A3C"/>
    <w:rsid w:val="004F30F5"/>
    <w:rsid w:val="004F5262"/>
    <w:rsid w:val="004F58ED"/>
    <w:rsid w:val="004F66F5"/>
    <w:rsid w:val="004F6840"/>
    <w:rsid w:val="0050060B"/>
    <w:rsid w:val="00500788"/>
    <w:rsid w:val="0050123B"/>
    <w:rsid w:val="00501A9A"/>
    <w:rsid w:val="005030FC"/>
    <w:rsid w:val="00503ADA"/>
    <w:rsid w:val="00503FE4"/>
    <w:rsid w:val="00504482"/>
    <w:rsid w:val="0050448E"/>
    <w:rsid w:val="0050494D"/>
    <w:rsid w:val="005067CE"/>
    <w:rsid w:val="00506CEA"/>
    <w:rsid w:val="005071C7"/>
    <w:rsid w:val="005076C7"/>
    <w:rsid w:val="005078C1"/>
    <w:rsid w:val="00511C4B"/>
    <w:rsid w:val="00511E0A"/>
    <w:rsid w:val="0051212C"/>
    <w:rsid w:val="0051275E"/>
    <w:rsid w:val="00512A45"/>
    <w:rsid w:val="00512B9C"/>
    <w:rsid w:val="0051302B"/>
    <w:rsid w:val="005131D4"/>
    <w:rsid w:val="005139DA"/>
    <w:rsid w:val="005141C6"/>
    <w:rsid w:val="0051427E"/>
    <w:rsid w:val="005142BC"/>
    <w:rsid w:val="00514433"/>
    <w:rsid w:val="005146D1"/>
    <w:rsid w:val="00514B81"/>
    <w:rsid w:val="005156F7"/>
    <w:rsid w:val="0051585A"/>
    <w:rsid w:val="005177FB"/>
    <w:rsid w:val="00520E49"/>
    <w:rsid w:val="00520EAE"/>
    <w:rsid w:val="0052180E"/>
    <w:rsid w:val="00521B00"/>
    <w:rsid w:val="00522A45"/>
    <w:rsid w:val="0052341F"/>
    <w:rsid w:val="00524351"/>
    <w:rsid w:val="005258A5"/>
    <w:rsid w:val="00525BA8"/>
    <w:rsid w:val="00530A12"/>
    <w:rsid w:val="00533DFD"/>
    <w:rsid w:val="00534D02"/>
    <w:rsid w:val="005365E6"/>
    <w:rsid w:val="00537B24"/>
    <w:rsid w:val="00537FE9"/>
    <w:rsid w:val="005414E5"/>
    <w:rsid w:val="0054161D"/>
    <w:rsid w:val="005419CC"/>
    <w:rsid w:val="0054239C"/>
    <w:rsid w:val="00544061"/>
    <w:rsid w:val="0054426A"/>
    <w:rsid w:val="005452B4"/>
    <w:rsid w:val="00545746"/>
    <w:rsid w:val="005468F2"/>
    <w:rsid w:val="00547E71"/>
    <w:rsid w:val="005503DF"/>
    <w:rsid w:val="0055116A"/>
    <w:rsid w:val="00551D0C"/>
    <w:rsid w:val="00555133"/>
    <w:rsid w:val="00555197"/>
    <w:rsid w:val="00555A1E"/>
    <w:rsid w:val="00556D60"/>
    <w:rsid w:val="00556E84"/>
    <w:rsid w:val="00557687"/>
    <w:rsid w:val="00562650"/>
    <w:rsid w:val="00562EF9"/>
    <w:rsid w:val="00562F2B"/>
    <w:rsid w:val="0056308F"/>
    <w:rsid w:val="005630CC"/>
    <w:rsid w:val="00564513"/>
    <w:rsid w:val="00564E1E"/>
    <w:rsid w:val="005653B9"/>
    <w:rsid w:val="00565EB5"/>
    <w:rsid w:val="0056654E"/>
    <w:rsid w:val="00566947"/>
    <w:rsid w:val="005670CB"/>
    <w:rsid w:val="00567510"/>
    <w:rsid w:val="00571FD6"/>
    <w:rsid w:val="0057297E"/>
    <w:rsid w:val="00572A56"/>
    <w:rsid w:val="00573A8C"/>
    <w:rsid w:val="00573AFD"/>
    <w:rsid w:val="00573C73"/>
    <w:rsid w:val="00574D6A"/>
    <w:rsid w:val="00574EAD"/>
    <w:rsid w:val="00575272"/>
    <w:rsid w:val="005756AC"/>
    <w:rsid w:val="00576117"/>
    <w:rsid w:val="00576CD6"/>
    <w:rsid w:val="00576F4D"/>
    <w:rsid w:val="00580356"/>
    <w:rsid w:val="00580860"/>
    <w:rsid w:val="005809AF"/>
    <w:rsid w:val="00581923"/>
    <w:rsid w:val="00582D64"/>
    <w:rsid w:val="005850BB"/>
    <w:rsid w:val="0058577E"/>
    <w:rsid w:val="00585C17"/>
    <w:rsid w:val="00585C47"/>
    <w:rsid w:val="00586091"/>
    <w:rsid w:val="00586343"/>
    <w:rsid w:val="005866FE"/>
    <w:rsid w:val="0058684A"/>
    <w:rsid w:val="00586B22"/>
    <w:rsid w:val="00586D69"/>
    <w:rsid w:val="005874AC"/>
    <w:rsid w:val="00590180"/>
    <w:rsid w:val="0059119F"/>
    <w:rsid w:val="005923B8"/>
    <w:rsid w:val="00592D2C"/>
    <w:rsid w:val="00593603"/>
    <w:rsid w:val="00593F54"/>
    <w:rsid w:val="00595696"/>
    <w:rsid w:val="0059677A"/>
    <w:rsid w:val="00596933"/>
    <w:rsid w:val="005969E0"/>
    <w:rsid w:val="005971D7"/>
    <w:rsid w:val="00597299"/>
    <w:rsid w:val="00597D6B"/>
    <w:rsid w:val="005A0551"/>
    <w:rsid w:val="005A06B8"/>
    <w:rsid w:val="005A12D9"/>
    <w:rsid w:val="005A12DE"/>
    <w:rsid w:val="005A134C"/>
    <w:rsid w:val="005A14A3"/>
    <w:rsid w:val="005A305D"/>
    <w:rsid w:val="005A3D6B"/>
    <w:rsid w:val="005A41DD"/>
    <w:rsid w:val="005A4491"/>
    <w:rsid w:val="005A46A2"/>
    <w:rsid w:val="005A49DA"/>
    <w:rsid w:val="005A4FA5"/>
    <w:rsid w:val="005A4FED"/>
    <w:rsid w:val="005A6553"/>
    <w:rsid w:val="005A7183"/>
    <w:rsid w:val="005A7474"/>
    <w:rsid w:val="005A7CD6"/>
    <w:rsid w:val="005B0A55"/>
    <w:rsid w:val="005B21C5"/>
    <w:rsid w:val="005B2884"/>
    <w:rsid w:val="005B2A8E"/>
    <w:rsid w:val="005B317C"/>
    <w:rsid w:val="005B33D8"/>
    <w:rsid w:val="005B3D16"/>
    <w:rsid w:val="005B3E3B"/>
    <w:rsid w:val="005B3E71"/>
    <w:rsid w:val="005B42E7"/>
    <w:rsid w:val="005B4369"/>
    <w:rsid w:val="005B6143"/>
    <w:rsid w:val="005B6158"/>
    <w:rsid w:val="005B6E4E"/>
    <w:rsid w:val="005B74EE"/>
    <w:rsid w:val="005B7F93"/>
    <w:rsid w:val="005C0120"/>
    <w:rsid w:val="005C02C8"/>
    <w:rsid w:val="005C0DF2"/>
    <w:rsid w:val="005C228F"/>
    <w:rsid w:val="005C254A"/>
    <w:rsid w:val="005C25B6"/>
    <w:rsid w:val="005C2B12"/>
    <w:rsid w:val="005C440C"/>
    <w:rsid w:val="005C44FC"/>
    <w:rsid w:val="005C4FBD"/>
    <w:rsid w:val="005C6395"/>
    <w:rsid w:val="005D0169"/>
    <w:rsid w:val="005D11D5"/>
    <w:rsid w:val="005D22DA"/>
    <w:rsid w:val="005D556A"/>
    <w:rsid w:val="005D6999"/>
    <w:rsid w:val="005D6A29"/>
    <w:rsid w:val="005D6E18"/>
    <w:rsid w:val="005D6E55"/>
    <w:rsid w:val="005D7709"/>
    <w:rsid w:val="005E111C"/>
    <w:rsid w:val="005E1972"/>
    <w:rsid w:val="005E1C60"/>
    <w:rsid w:val="005E1C74"/>
    <w:rsid w:val="005E2C83"/>
    <w:rsid w:val="005E301C"/>
    <w:rsid w:val="005E4A89"/>
    <w:rsid w:val="005E5720"/>
    <w:rsid w:val="005E5913"/>
    <w:rsid w:val="005E6513"/>
    <w:rsid w:val="005E7015"/>
    <w:rsid w:val="005E7747"/>
    <w:rsid w:val="005F01D7"/>
    <w:rsid w:val="005F0E54"/>
    <w:rsid w:val="005F14E9"/>
    <w:rsid w:val="005F1970"/>
    <w:rsid w:val="005F2ABD"/>
    <w:rsid w:val="005F2AF4"/>
    <w:rsid w:val="005F3DCD"/>
    <w:rsid w:val="005F3EDF"/>
    <w:rsid w:val="005F4084"/>
    <w:rsid w:val="005F4999"/>
    <w:rsid w:val="00600285"/>
    <w:rsid w:val="00601020"/>
    <w:rsid w:val="00601B21"/>
    <w:rsid w:val="00601B67"/>
    <w:rsid w:val="006021D7"/>
    <w:rsid w:val="0060408F"/>
    <w:rsid w:val="00604A88"/>
    <w:rsid w:val="0060500B"/>
    <w:rsid w:val="00606EEC"/>
    <w:rsid w:val="006070BD"/>
    <w:rsid w:val="006104B6"/>
    <w:rsid w:val="00610CAA"/>
    <w:rsid w:val="00611DB3"/>
    <w:rsid w:val="0061216F"/>
    <w:rsid w:val="00612A35"/>
    <w:rsid w:val="00613347"/>
    <w:rsid w:val="00614A9C"/>
    <w:rsid w:val="00614F23"/>
    <w:rsid w:val="00615256"/>
    <w:rsid w:val="00615BA0"/>
    <w:rsid w:val="00615BA7"/>
    <w:rsid w:val="00615BA9"/>
    <w:rsid w:val="0061642B"/>
    <w:rsid w:val="00616F4E"/>
    <w:rsid w:val="00620686"/>
    <w:rsid w:val="0062211C"/>
    <w:rsid w:val="00623EF2"/>
    <w:rsid w:val="0062419F"/>
    <w:rsid w:val="006249DA"/>
    <w:rsid w:val="006249E5"/>
    <w:rsid w:val="00624B39"/>
    <w:rsid w:val="0062590E"/>
    <w:rsid w:val="00626F41"/>
    <w:rsid w:val="0062719F"/>
    <w:rsid w:val="00627212"/>
    <w:rsid w:val="00627972"/>
    <w:rsid w:val="00630A0F"/>
    <w:rsid w:val="0063130D"/>
    <w:rsid w:val="0063218B"/>
    <w:rsid w:val="00633BEB"/>
    <w:rsid w:val="00633E8C"/>
    <w:rsid w:val="00633EFD"/>
    <w:rsid w:val="00634C28"/>
    <w:rsid w:val="00636E72"/>
    <w:rsid w:val="0063717C"/>
    <w:rsid w:val="0063740D"/>
    <w:rsid w:val="00637446"/>
    <w:rsid w:val="0063748E"/>
    <w:rsid w:val="00637DAD"/>
    <w:rsid w:val="00640303"/>
    <w:rsid w:val="006407B4"/>
    <w:rsid w:val="00641089"/>
    <w:rsid w:val="00641139"/>
    <w:rsid w:val="00641B03"/>
    <w:rsid w:val="00642615"/>
    <w:rsid w:val="00643EDC"/>
    <w:rsid w:val="00644408"/>
    <w:rsid w:val="006446C6"/>
    <w:rsid w:val="006462F5"/>
    <w:rsid w:val="006468D9"/>
    <w:rsid w:val="00646D82"/>
    <w:rsid w:val="00646F2B"/>
    <w:rsid w:val="00646FE2"/>
    <w:rsid w:val="006509F6"/>
    <w:rsid w:val="00650D30"/>
    <w:rsid w:val="00650EF8"/>
    <w:rsid w:val="00652436"/>
    <w:rsid w:val="006528D3"/>
    <w:rsid w:val="006538A2"/>
    <w:rsid w:val="0065414C"/>
    <w:rsid w:val="00654818"/>
    <w:rsid w:val="006559B2"/>
    <w:rsid w:val="00660069"/>
    <w:rsid w:val="0066049D"/>
    <w:rsid w:val="00660D5E"/>
    <w:rsid w:val="00661AB4"/>
    <w:rsid w:val="006637FC"/>
    <w:rsid w:val="00664872"/>
    <w:rsid w:val="00664B69"/>
    <w:rsid w:val="00665A59"/>
    <w:rsid w:val="00666298"/>
    <w:rsid w:val="00667466"/>
    <w:rsid w:val="0067107B"/>
    <w:rsid w:val="006722A4"/>
    <w:rsid w:val="006726F7"/>
    <w:rsid w:val="00672721"/>
    <w:rsid w:val="006728FB"/>
    <w:rsid w:val="0067301A"/>
    <w:rsid w:val="006730EA"/>
    <w:rsid w:val="00673713"/>
    <w:rsid w:val="00674665"/>
    <w:rsid w:val="0067475A"/>
    <w:rsid w:val="00674F66"/>
    <w:rsid w:val="00674F7D"/>
    <w:rsid w:val="006751B5"/>
    <w:rsid w:val="00676111"/>
    <w:rsid w:val="00677046"/>
    <w:rsid w:val="006773C2"/>
    <w:rsid w:val="0067774D"/>
    <w:rsid w:val="00677F26"/>
    <w:rsid w:val="00680414"/>
    <w:rsid w:val="006807CF"/>
    <w:rsid w:val="006824E8"/>
    <w:rsid w:val="00682671"/>
    <w:rsid w:val="006835D8"/>
    <w:rsid w:val="00683941"/>
    <w:rsid w:val="00684157"/>
    <w:rsid w:val="0068521E"/>
    <w:rsid w:val="006862D6"/>
    <w:rsid w:val="0068701F"/>
    <w:rsid w:val="00687435"/>
    <w:rsid w:val="00690469"/>
    <w:rsid w:val="00691C3E"/>
    <w:rsid w:val="00693D53"/>
    <w:rsid w:val="006945ED"/>
    <w:rsid w:val="00694CA8"/>
    <w:rsid w:val="00696568"/>
    <w:rsid w:val="00696DD3"/>
    <w:rsid w:val="00697EAD"/>
    <w:rsid w:val="006A0260"/>
    <w:rsid w:val="006A0367"/>
    <w:rsid w:val="006A09DB"/>
    <w:rsid w:val="006A1B31"/>
    <w:rsid w:val="006A2548"/>
    <w:rsid w:val="006A3563"/>
    <w:rsid w:val="006A5603"/>
    <w:rsid w:val="006A620C"/>
    <w:rsid w:val="006A638E"/>
    <w:rsid w:val="006A6C19"/>
    <w:rsid w:val="006A7B7E"/>
    <w:rsid w:val="006B0E9F"/>
    <w:rsid w:val="006B1C31"/>
    <w:rsid w:val="006B2339"/>
    <w:rsid w:val="006B25CB"/>
    <w:rsid w:val="006B270B"/>
    <w:rsid w:val="006B6BF6"/>
    <w:rsid w:val="006B702C"/>
    <w:rsid w:val="006B710B"/>
    <w:rsid w:val="006B7135"/>
    <w:rsid w:val="006B7250"/>
    <w:rsid w:val="006B7967"/>
    <w:rsid w:val="006C0166"/>
    <w:rsid w:val="006C113E"/>
    <w:rsid w:val="006C186B"/>
    <w:rsid w:val="006C1EDA"/>
    <w:rsid w:val="006C35EC"/>
    <w:rsid w:val="006C4DDD"/>
    <w:rsid w:val="006C500A"/>
    <w:rsid w:val="006C5193"/>
    <w:rsid w:val="006C5330"/>
    <w:rsid w:val="006C68E5"/>
    <w:rsid w:val="006C74B3"/>
    <w:rsid w:val="006C7EF6"/>
    <w:rsid w:val="006D04D4"/>
    <w:rsid w:val="006D1148"/>
    <w:rsid w:val="006D3930"/>
    <w:rsid w:val="006D5653"/>
    <w:rsid w:val="006E0C64"/>
    <w:rsid w:val="006E1545"/>
    <w:rsid w:val="006E2A92"/>
    <w:rsid w:val="006E2CE7"/>
    <w:rsid w:val="006E309C"/>
    <w:rsid w:val="006E3908"/>
    <w:rsid w:val="006E5DE0"/>
    <w:rsid w:val="006E6254"/>
    <w:rsid w:val="006E6B6E"/>
    <w:rsid w:val="006F198A"/>
    <w:rsid w:val="006F32B3"/>
    <w:rsid w:val="006F3A59"/>
    <w:rsid w:val="006F47B6"/>
    <w:rsid w:val="006F49EC"/>
    <w:rsid w:val="006F4A66"/>
    <w:rsid w:val="006F523B"/>
    <w:rsid w:val="006F6746"/>
    <w:rsid w:val="006F7528"/>
    <w:rsid w:val="007005C1"/>
    <w:rsid w:val="00703F2D"/>
    <w:rsid w:val="00705FB4"/>
    <w:rsid w:val="00706521"/>
    <w:rsid w:val="00706ED0"/>
    <w:rsid w:val="007076F1"/>
    <w:rsid w:val="007113E8"/>
    <w:rsid w:val="00711CA9"/>
    <w:rsid w:val="00711DEA"/>
    <w:rsid w:val="00713E5B"/>
    <w:rsid w:val="00713ECE"/>
    <w:rsid w:val="00714241"/>
    <w:rsid w:val="00716AA0"/>
    <w:rsid w:val="00716FB5"/>
    <w:rsid w:val="00717F56"/>
    <w:rsid w:val="00720CC7"/>
    <w:rsid w:val="007216F8"/>
    <w:rsid w:val="007219CD"/>
    <w:rsid w:val="00722293"/>
    <w:rsid w:val="00722D65"/>
    <w:rsid w:val="00722E40"/>
    <w:rsid w:val="00724308"/>
    <w:rsid w:val="007243EE"/>
    <w:rsid w:val="0072600C"/>
    <w:rsid w:val="00726A0D"/>
    <w:rsid w:val="00726B32"/>
    <w:rsid w:val="00726F1B"/>
    <w:rsid w:val="007275C8"/>
    <w:rsid w:val="007277C9"/>
    <w:rsid w:val="00727C71"/>
    <w:rsid w:val="00727FBA"/>
    <w:rsid w:val="00731198"/>
    <w:rsid w:val="007327CE"/>
    <w:rsid w:val="00735E03"/>
    <w:rsid w:val="0073629C"/>
    <w:rsid w:val="00736543"/>
    <w:rsid w:val="00736DD4"/>
    <w:rsid w:val="007403D3"/>
    <w:rsid w:val="00741012"/>
    <w:rsid w:val="00741F21"/>
    <w:rsid w:val="00742FD5"/>
    <w:rsid w:val="00743022"/>
    <w:rsid w:val="00743ABD"/>
    <w:rsid w:val="00743C00"/>
    <w:rsid w:val="00745942"/>
    <w:rsid w:val="00745EAB"/>
    <w:rsid w:val="0074698B"/>
    <w:rsid w:val="007477D4"/>
    <w:rsid w:val="0074783A"/>
    <w:rsid w:val="00747A10"/>
    <w:rsid w:val="0075025B"/>
    <w:rsid w:val="007512FC"/>
    <w:rsid w:val="0075139E"/>
    <w:rsid w:val="00751AE3"/>
    <w:rsid w:val="00751BF3"/>
    <w:rsid w:val="00752455"/>
    <w:rsid w:val="0075246D"/>
    <w:rsid w:val="00752EA3"/>
    <w:rsid w:val="0075559E"/>
    <w:rsid w:val="00760AC0"/>
    <w:rsid w:val="00760CEF"/>
    <w:rsid w:val="00761C20"/>
    <w:rsid w:val="007626D9"/>
    <w:rsid w:val="00763223"/>
    <w:rsid w:val="00763D28"/>
    <w:rsid w:val="00766A39"/>
    <w:rsid w:val="00766BFC"/>
    <w:rsid w:val="00766FE1"/>
    <w:rsid w:val="0076718F"/>
    <w:rsid w:val="00767397"/>
    <w:rsid w:val="00767417"/>
    <w:rsid w:val="00771292"/>
    <w:rsid w:val="007722A3"/>
    <w:rsid w:val="0077260F"/>
    <w:rsid w:val="0077318C"/>
    <w:rsid w:val="007761B6"/>
    <w:rsid w:val="007768DD"/>
    <w:rsid w:val="00776E53"/>
    <w:rsid w:val="0077758B"/>
    <w:rsid w:val="00777616"/>
    <w:rsid w:val="00777CFE"/>
    <w:rsid w:val="00780738"/>
    <w:rsid w:val="0078215D"/>
    <w:rsid w:val="007827C5"/>
    <w:rsid w:val="00782F9D"/>
    <w:rsid w:val="00783226"/>
    <w:rsid w:val="0078377C"/>
    <w:rsid w:val="00783C69"/>
    <w:rsid w:val="00785EC9"/>
    <w:rsid w:val="007861E3"/>
    <w:rsid w:val="00786499"/>
    <w:rsid w:val="00786586"/>
    <w:rsid w:val="007865C0"/>
    <w:rsid w:val="00791CE3"/>
    <w:rsid w:val="007929EB"/>
    <w:rsid w:val="007938F3"/>
    <w:rsid w:val="007962AE"/>
    <w:rsid w:val="007965CB"/>
    <w:rsid w:val="00796D9C"/>
    <w:rsid w:val="00797945"/>
    <w:rsid w:val="007A0CB0"/>
    <w:rsid w:val="007A1302"/>
    <w:rsid w:val="007A2961"/>
    <w:rsid w:val="007A2D02"/>
    <w:rsid w:val="007A3661"/>
    <w:rsid w:val="007A4EA9"/>
    <w:rsid w:val="007A63DC"/>
    <w:rsid w:val="007A6E7B"/>
    <w:rsid w:val="007A6FC3"/>
    <w:rsid w:val="007A7611"/>
    <w:rsid w:val="007A7718"/>
    <w:rsid w:val="007A7E3A"/>
    <w:rsid w:val="007B024B"/>
    <w:rsid w:val="007B089C"/>
    <w:rsid w:val="007B0CD0"/>
    <w:rsid w:val="007B0D32"/>
    <w:rsid w:val="007B1208"/>
    <w:rsid w:val="007B2EDE"/>
    <w:rsid w:val="007B2F61"/>
    <w:rsid w:val="007B31BE"/>
    <w:rsid w:val="007B3801"/>
    <w:rsid w:val="007B3DF8"/>
    <w:rsid w:val="007B4EC4"/>
    <w:rsid w:val="007B677C"/>
    <w:rsid w:val="007B6F0D"/>
    <w:rsid w:val="007B750B"/>
    <w:rsid w:val="007B77E8"/>
    <w:rsid w:val="007C17D3"/>
    <w:rsid w:val="007C2E56"/>
    <w:rsid w:val="007C30FD"/>
    <w:rsid w:val="007C3CBD"/>
    <w:rsid w:val="007C4480"/>
    <w:rsid w:val="007C4ADC"/>
    <w:rsid w:val="007C5187"/>
    <w:rsid w:val="007C533B"/>
    <w:rsid w:val="007C6373"/>
    <w:rsid w:val="007C7AB1"/>
    <w:rsid w:val="007D00DB"/>
    <w:rsid w:val="007D043F"/>
    <w:rsid w:val="007D2A89"/>
    <w:rsid w:val="007D388B"/>
    <w:rsid w:val="007D3B3E"/>
    <w:rsid w:val="007D4BD9"/>
    <w:rsid w:val="007D54AA"/>
    <w:rsid w:val="007D7056"/>
    <w:rsid w:val="007D797B"/>
    <w:rsid w:val="007D7BC1"/>
    <w:rsid w:val="007D7CB4"/>
    <w:rsid w:val="007E034F"/>
    <w:rsid w:val="007E0D80"/>
    <w:rsid w:val="007E0E70"/>
    <w:rsid w:val="007E1269"/>
    <w:rsid w:val="007E44AE"/>
    <w:rsid w:val="007E4C4E"/>
    <w:rsid w:val="007E4F52"/>
    <w:rsid w:val="007E6E8F"/>
    <w:rsid w:val="007E7A99"/>
    <w:rsid w:val="007F005F"/>
    <w:rsid w:val="007F00E0"/>
    <w:rsid w:val="007F1C60"/>
    <w:rsid w:val="007F4345"/>
    <w:rsid w:val="007F4830"/>
    <w:rsid w:val="007F5DFE"/>
    <w:rsid w:val="007F610A"/>
    <w:rsid w:val="007F6C5B"/>
    <w:rsid w:val="007F70B9"/>
    <w:rsid w:val="008000EC"/>
    <w:rsid w:val="008003EF"/>
    <w:rsid w:val="00801593"/>
    <w:rsid w:val="00802377"/>
    <w:rsid w:val="008032F4"/>
    <w:rsid w:val="00803B4B"/>
    <w:rsid w:val="0080420E"/>
    <w:rsid w:val="00804269"/>
    <w:rsid w:val="00804772"/>
    <w:rsid w:val="00804C07"/>
    <w:rsid w:val="00805776"/>
    <w:rsid w:val="008064FB"/>
    <w:rsid w:val="00806E80"/>
    <w:rsid w:val="00807DD8"/>
    <w:rsid w:val="008110DC"/>
    <w:rsid w:val="008111B1"/>
    <w:rsid w:val="00811CF0"/>
    <w:rsid w:val="0081357A"/>
    <w:rsid w:val="008150E2"/>
    <w:rsid w:val="00815B5B"/>
    <w:rsid w:val="00815BA0"/>
    <w:rsid w:val="00815E46"/>
    <w:rsid w:val="008163BF"/>
    <w:rsid w:val="00816448"/>
    <w:rsid w:val="00816F92"/>
    <w:rsid w:val="008173AB"/>
    <w:rsid w:val="00817F7C"/>
    <w:rsid w:val="00823BC1"/>
    <w:rsid w:val="0082485C"/>
    <w:rsid w:val="00824FE1"/>
    <w:rsid w:val="00825F95"/>
    <w:rsid w:val="00826571"/>
    <w:rsid w:val="00827681"/>
    <w:rsid w:val="00830D5C"/>
    <w:rsid w:val="00832C63"/>
    <w:rsid w:val="00832EFE"/>
    <w:rsid w:val="0083369F"/>
    <w:rsid w:val="00834B7B"/>
    <w:rsid w:val="00834DAA"/>
    <w:rsid w:val="0083601A"/>
    <w:rsid w:val="008360BF"/>
    <w:rsid w:val="00836658"/>
    <w:rsid w:val="00836761"/>
    <w:rsid w:val="00836C8C"/>
    <w:rsid w:val="00836CAC"/>
    <w:rsid w:val="008376C7"/>
    <w:rsid w:val="0084116E"/>
    <w:rsid w:val="0084265F"/>
    <w:rsid w:val="00843526"/>
    <w:rsid w:val="00843E33"/>
    <w:rsid w:val="0084430B"/>
    <w:rsid w:val="0084449D"/>
    <w:rsid w:val="00844E6C"/>
    <w:rsid w:val="008456F7"/>
    <w:rsid w:val="00845DA3"/>
    <w:rsid w:val="0085140E"/>
    <w:rsid w:val="00851EC0"/>
    <w:rsid w:val="008523A8"/>
    <w:rsid w:val="008524BF"/>
    <w:rsid w:val="008525A7"/>
    <w:rsid w:val="00852EF7"/>
    <w:rsid w:val="0085310C"/>
    <w:rsid w:val="0085349F"/>
    <w:rsid w:val="00853EDF"/>
    <w:rsid w:val="00853F89"/>
    <w:rsid w:val="008540CA"/>
    <w:rsid w:val="00854E84"/>
    <w:rsid w:val="008565F6"/>
    <w:rsid w:val="00856D37"/>
    <w:rsid w:val="008601DE"/>
    <w:rsid w:val="00860A67"/>
    <w:rsid w:val="00862A8B"/>
    <w:rsid w:val="0086332C"/>
    <w:rsid w:val="008633B9"/>
    <w:rsid w:val="00864306"/>
    <w:rsid w:val="00864A18"/>
    <w:rsid w:val="00865A4C"/>
    <w:rsid w:val="00865D36"/>
    <w:rsid w:val="00866B2C"/>
    <w:rsid w:val="00867A2E"/>
    <w:rsid w:val="00867D8C"/>
    <w:rsid w:val="00870881"/>
    <w:rsid w:val="0087129E"/>
    <w:rsid w:val="00871610"/>
    <w:rsid w:val="008718BA"/>
    <w:rsid w:val="00877523"/>
    <w:rsid w:val="0087760A"/>
    <w:rsid w:val="00877B31"/>
    <w:rsid w:val="008808D4"/>
    <w:rsid w:val="00881113"/>
    <w:rsid w:val="00884266"/>
    <w:rsid w:val="00884877"/>
    <w:rsid w:val="00884910"/>
    <w:rsid w:val="00884A91"/>
    <w:rsid w:val="00885E20"/>
    <w:rsid w:val="00886063"/>
    <w:rsid w:val="008864A0"/>
    <w:rsid w:val="008865C4"/>
    <w:rsid w:val="008877EF"/>
    <w:rsid w:val="00890115"/>
    <w:rsid w:val="00890CA6"/>
    <w:rsid w:val="00891C31"/>
    <w:rsid w:val="00893403"/>
    <w:rsid w:val="00894B25"/>
    <w:rsid w:val="008956B8"/>
    <w:rsid w:val="008959FD"/>
    <w:rsid w:val="00895A58"/>
    <w:rsid w:val="0089621C"/>
    <w:rsid w:val="008963F6"/>
    <w:rsid w:val="0089675E"/>
    <w:rsid w:val="008A040F"/>
    <w:rsid w:val="008A0E0A"/>
    <w:rsid w:val="008A16DD"/>
    <w:rsid w:val="008A1F31"/>
    <w:rsid w:val="008A22FD"/>
    <w:rsid w:val="008A2A13"/>
    <w:rsid w:val="008A2C10"/>
    <w:rsid w:val="008A4268"/>
    <w:rsid w:val="008A54F2"/>
    <w:rsid w:val="008A5FBA"/>
    <w:rsid w:val="008A6D1E"/>
    <w:rsid w:val="008A72BB"/>
    <w:rsid w:val="008B349F"/>
    <w:rsid w:val="008B478F"/>
    <w:rsid w:val="008B4E74"/>
    <w:rsid w:val="008B666A"/>
    <w:rsid w:val="008B6A52"/>
    <w:rsid w:val="008B7069"/>
    <w:rsid w:val="008B7B5F"/>
    <w:rsid w:val="008C02C0"/>
    <w:rsid w:val="008C1436"/>
    <w:rsid w:val="008C2B76"/>
    <w:rsid w:val="008C2CE5"/>
    <w:rsid w:val="008C3850"/>
    <w:rsid w:val="008C3F18"/>
    <w:rsid w:val="008C455B"/>
    <w:rsid w:val="008C48B3"/>
    <w:rsid w:val="008C4A34"/>
    <w:rsid w:val="008C4AE9"/>
    <w:rsid w:val="008C59DC"/>
    <w:rsid w:val="008C5AD7"/>
    <w:rsid w:val="008C5B15"/>
    <w:rsid w:val="008C638E"/>
    <w:rsid w:val="008C6F5B"/>
    <w:rsid w:val="008C704A"/>
    <w:rsid w:val="008C7488"/>
    <w:rsid w:val="008C7BE8"/>
    <w:rsid w:val="008C7DCA"/>
    <w:rsid w:val="008D06C5"/>
    <w:rsid w:val="008D0861"/>
    <w:rsid w:val="008D093F"/>
    <w:rsid w:val="008D0A24"/>
    <w:rsid w:val="008D1B12"/>
    <w:rsid w:val="008D1E6E"/>
    <w:rsid w:val="008D27C3"/>
    <w:rsid w:val="008D2CFB"/>
    <w:rsid w:val="008D38C9"/>
    <w:rsid w:val="008D65D0"/>
    <w:rsid w:val="008D7A75"/>
    <w:rsid w:val="008E0D3B"/>
    <w:rsid w:val="008E0F99"/>
    <w:rsid w:val="008E17C0"/>
    <w:rsid w:val="008E28DD"/>
    <w:rsid w:val="008E3673"/>
    <w:rsid w:val="008E38D1"/>
    <w:rsid w:val="008E3A78"/>
    <w:rsid w:val="008E3B28"/>
    <w:rsid w:val="008E4006"/>
    <w:rsid w:val="008E770D"/>
    <w:rsid w:val="008F04F4"/>
    <w:rsid w:val="008F270D"/>
    <w:rsid w:val="008F2F3A"/>
    <w:rsid w:val="008F3235"/>
    <w:rsid w:val="008F3A73"/>
    <w:rsid w:val="008F3D21"/>
    <w:rsid w:val="008F44F4"/>
    <w:rsid w:val="008F51A9"/>
    <w:rsid w:val="008F646E"/>
    <w:rsid w:val="008F686E"/>
    <w:rsid w:val="008F699C"/>
    <w:rsid w:val="008F7591"/>
    <w:rsid w:val="008F775E"/>
    <w:rsid w:val="009018E1"/>
    <w:rsid w:val="00902239"/>
    <w:rsid w:val="00902C86"/>
    <w:rsid w:val="009030E5"/>
    <w:rsid w:val="00903CDC"/>
    <w:rsid w:val="00903E31"/>
    <w:rsid w:val="00903F4C"/>
    <w:rsid w:val="0090580D"/>
    <w:rsid w:val="009074F1"/>
    <w:rsid w:val="0090783B"/>
    <w:rsid w:val="00907B63"/>
    <w:rsid w:val="00907F6E"/>
    <w:rsid w:val="00910E7A"/>
    <w:rsid w:val="00911239"/>
    <w:rsid w:val="009139FB"/>
    <w:rsid w:val="00914146"/>
    <w:rsid w:val="00914340"/>
    <w:rsid w:val="00915683"/>
    <w:rsid w:val="00917FD7"/>
    <w:rsid w:val="009203D7"/>
    <w:rsid w:val="00920977"/>
    <w:rsid w:val="00920A66"/>
    <w:rsid w:val="00921B1B"/>
    <w:rsid w:val="0092267D"/>
    <w:rsid w:val="0092375D"/>
    <w:rsid w:val="00923792"/>
    <w:rsid w:val="00923808"/>
    <w:rsid w:val="009244AF"/>
    <w:rsid w:val="00925075"/>
    <w:rsid w:val="00925DE3"/>
    <w:rsid w:val="00925FF8"/>
    <w:rsid w:val="00926DEF"/>
    <w:rsid w:val="009278C8"/>
    <w:rsid w:val="00927C16"/>
    <w:rsid w:val="00927C83"/>
    <w:rsid w:val="009305D3"/>
    <w:rsid w:val="00932405"/>
    <w:rsid w:val="00932500"/>
    <w:rsid w:val="0093504E"/>
    <w:rsid w:val="0093564C"/>
    <w:rsid w:val="00935902"/>
    <w:rsid w:val="00935DC6"/>
    <w:rsid w:val="00936679"/>
    <w:rsid w:val="009377B6"/>
    <w:rsid w:val="009400EB"/>
    <w:rsid w:val="0094038B"/>
    <w:rsid w:val="009418E9"/>
    <w:rsid w:val="00941BC6"/>
    <w:rsid w:val="009424D9"/>
    <w:rsid w:val="0094251B"/>
    <w:rsid w:val="00942831"/>
    <w:rsid w:val="0094293C"/>
    <w:rsid w:val="00943C15"/>
    <w:rsid w:val="00943E67"/>
    <w:rsid w:val="009445F0"/>
    <w:rsid w:val="00946F14"/>
    <w:rsid w:val="00946F5F"/>
    <w:rsid w:val="00946FA3"/>
    <w:rsid w:val="0094757E"/>
    <w:rsid w:val="00947F54"/>
    <w:rsid w:val="00950133"/>
    <w:rsid w:val="00950FAA"/>
    <w:rsid w:val="0095101B"/>
    <w:rsid w:val="009510AE"/>
    <w:rsid w:val="00951421"/>
    <w:rsid w:val="0095209D"/>
    <w:rsid w:val="0095254A"/>
    <w:rsid w:val="00953CF5"/>
    <w:rsid w:val="009542AE"/>
    <w:rsid w:val="00954704"/>
    <w:rsid w:val="009551FF"/>
    <w:rsid w:val="00955500"/>
    <w:rsid w:val="0095609C"/>
    <w:rsid w:val="009561B9"/>
    <w:rsid w:val="0095667C"/>
    <w:rsid w:val="0095668A"/>
    <w:rsid w:val="00956B15"/>
    <w:rsid w:val="00957172"/>
    <w:rsid w:val="00957655"/>
    <w:rsid w:val="00957D56"/>
    <w:rsid w:val="00961182"/>
    <w:rsid w:val="009630A1"/>
    <w:rsid w:val="00965558"/>
    <w:rsid w:val="00966629"/>
    <w:rsid w:val="00966796"/>
    <w:rsid w:val="00966BC8"/>
    <w:rsid w:val="009673E1"/>
    <w:rsid w:val="00970287"/>
    <w:rsid w:val="00971205"/>
    <w:rsid w:val="00972E14"/>
    <w:rsid w:val="00974221"/>
    <w:rsid w:val="009743EC"/>
    <w:rsid w:val="009745DC"/>
    <w:rsid w:val="00974DC8"/>
    <w:rsid w:val="0097560D"/>
    <w:rsid w:val="00975EC7"/>
    <w:rsid w:val="00976A51"/>
    <w:rsid w:val="00976E9E"/>
    <w:rsid w:val="00976F2A"/>
    <w:rsid w:val="0098206E"/>
    <w:rsid w:val="0098416B"/>
    <w:rsid w:val="00984454"/>
    <w:rsid w:val="009851A5"/>
    <w:rsid w:val="00985F86"/>
    <w:rsid w:val="00986CFB"/>
    <w:rsid w:val="00986FCB"/>
    <w:rsid w:val="009870D6"/>
    <w:rsid w:val="00991CCA"/>
    <w:rsid w:val="009929E1"/>
    <w:rsid w:val="00992D03"/>
    <w:rsid w:val="00993206"/>
    <w:rsid w:val="009A0754"/>
    <w:rsid w:val="009A1534"/>
    <w:rsid w:val="009A2D3D"/>
    <w:rsid w:val="009A3064"/>
    <w:rsid w:val="009A39BA"/>
    <w:rsid w:val="009A4105"/>
    <w:rsid w:val="009A4649"/>
    <w:rsid w:val="009A4839"/>
    <w:rsid w:val="009A4C34"/>
    <w:rsid w:val="009A607B"/>
    <w:rsid w:val="009A72CF"/>
    <w:rsid w:val="009A78BD"/>
    <w:rsid w:val="009B0155"/>
    <w:rsid w:val="009B094B"/>
    <w:rsid w:val="009B2C69"/>
    <w:rsid w:val="009B2F3E"/>
    <w:rsid w:val="009B4F20"/>
    <w:rsid w:val="009B785A"/>
    <w:rsid w:val="009B7BBB"/>
    <w:rsid w:val="009C083B"/>
    <w:rsid w:val="009C12F6"/>
    <w:rsid w:val="009C173D"/>
    <w:rsid w:val="009C2104"/>
    <w:rsid w:val="009C215D"/>
    <w:rsid w:val="009C446E"/>
    <w:rsid w:val="009C56E6"/>
    <w:rsid w:val="009C6418"/>
    <w:rsid w:val="009C7435"/>
    <w:rsid w:val="009D0D5E"/>
    <w:rsid w:val="009D1F59"/>
    <w:rsid w:val="009D31B7"/>
    <w:rsid w:val="009D3D0D"/>
    <w:rsid w:val="009D44AD"/>
    <w:rsid w:val="009D4A09"/>
    <w:rsid w:val="009D57E5"/>
    <w:rsid w:val="009D59E4"/>
    <w:rsid w:val="009D7528"/>
    <w:rsid w:val="009D78DC"/>
    <w:rsid w:val="009E0A7F"/>
    <w:rsid w:val="009E1AC0"/>
    <w:rsid w:val="009E1B88"/>
    <w:rsid w:val="009E1CCE"/>
    <w:rsid w:val="009E1CF2"/>
    <w:rsid w:val="009E1FD2"/>
    <w:rsid w:val="009E2803"/>
    <w:rsid w:val="009E3085"/>
    <w:rsid w:val="009E4445"/>
    <w:rsid w:val="009E5050"/>
    <w:rsid w:val="009E548F"/>
    <w:rsid w:val="009E5550"/>
    <w:rsid w:val="009E5FD0"/>
    <w:rsid w:val="009E7658"/>
    <w:rsid w:val="009F02AD"/>
    <w:rsid w:val="009F0433"/>
    <w:rsid w:val="009F12BD"/>
    <w:rsid w:val="009F1D5C"/>
    <w:rsid w:val="009F5322"/>
    <w:rsid w:val="009F5526"/>
    <w:rsid w:val="009F70A1"/>
    <w:rsid w:val="009F793F"/>
    <w:rsid w:val="009F7EA3"/>
    <w:rsid w:val="00A00D07"/>
    <w:rsid w:val="00A016BC"/>
    <w:rsid w:val="00A01B2E"/>
    <w:rsid w:val="00A02106"/>
    <w:rsid w:val="00A02EAA"/>
    <w:rsid w:val="00A03176"/>
    <w:rsid w:val="00A03F1B"/>
    <w:rsid w:val="00A0417B"/>
    <w:rsid w:val="00A107CF"/>
    <w:rsid w:val="00A11013"/>
    <w:rsid w:val="00A11C67"/>
    <w:rsid w:val="00A120FD"/>
    <w:rsid w:val="00A138C6"/>
    <w:rsid w:val="00A157D7"/>
    <w:rsid w:val="00A15825"/>
    <w:rsid w:val="00A15FB2"/>
    <w:rsid w:val="00A2158B"/>
    <w:rsid w:val="00A21675"/>
    <w:rsid w:val="00A23AE2"/>
    <w:rsid w:val="00A2446D"/>
    <w:rsid w:val="00A24643"/>
    <w:rsid w:val="00A24AE3"/>
    <w:rsid w:val="00A26A9E"/>
    <w:rsid w:val="00A26B4F"/>
    <w:rsid w:val="00A27A66"/>
    <w:rsid w:val="00A27CAA"/>
    <w:rsid w:val="00A3038C"/>
    <w:rsid w:val="00A303B3"/>
    <w:rsid w:val="00A30DCB"/>
    <w:rsid w:val="00A32BF9"/>
    <w:rsid w:val="00A3394A"/>
    <w:rsid w:val="00A34885"/>
    <w:rsid w:val="00A348F0"/>
    <w:rsid w:val="00A3519A"/>
    <w:rsid w:val="00A36110"/>
    <w:rsid w:val="00A36C47"/>
    <w:rsid w:val="00A36E43"/>
    <w:rsid w:val="00A3756B"/>
    <w:rsid w:val="00A414E2"/>
    <w:rsid w:val="00A419A0"/>
    <w:rsid w:val="00A42BBD"/>
    <w:rsid w:val="00A42F58"/>
    <w:rsid w:val="00A454D2"/>
    <w:rsid w:val="00A464A1"/>
    <w:rsid w:val="00A47219"/>
    <w:rsid w:val="00A50FC5"/>
    <w:rsid w:val="00A514CF"/>
    <w:rsid w:val="00A51F94"/>
    <w:rsid w:val="00A5218B"/>
    <w:rsid w:val="00A521E3"/>
    <w:rsid w:val="00A52B28"/>
    <w:rsid w:val="00A53397"/>
    <w:rsid w:val="00A54E51"/>
    <w:rsid w:val="00A5522F"/>
    <w:rsid w:val="00A55733"/>
    <w:rsid w:val="00A56235"/>
    <w:rsid w:val="00A57A07"/>
    <w:rsid w:val="00A60187"/>
    <w:rsid w:val="00A6081A"/>
    <w:rsid w:val="00A60C80"/>
    <w:rsid w:val="00A61795"/>
    <w:rsid w:val="00A61AB3"/>
    <w:rsid w:val="00A61D4C"/>
    <w:rsid w:val="00A62520"/>
    <w:rsid w:val="00A6288B"/>
    <w:rsid w:val="00A62B1B"/>
    <w:rsid w:val="00A6502B"/>
    <w:rsid w:val="00A65AD0"/>
    <w:rsid w:val="00A674A0"/>
    <w:rsid w:val="00A716B5"/>
    <w:rsid w:val="00A71755"/>
    <w:rsid w:val="00A72FBA"/>
    <w:rsid w:val="00A73C06"/>
    <w:rsid w:val="00A745E9"/>
    <w:rsid w:val="00A768BA"/>
    <w:rsid w:val="00A76B79"/>
    <w:rsid w:val="00A77851"/>
    <w:rsid w:val="00A77882"/>
    <w:rsid w:val="00A77B30"/>
    <w:rsid w:val="00A77B57"/>
    <w:rsid w:val="00A803DD"/>
    <w:rsid w:val="00A807EA"/>
    <w:rsid w:val="00A813F8"/>
    <w:rsid w:val="00A81754"/>
    <w:rsid w:val="00A819B8"/>
    <w:rsid w:val="00A8295C"/>
    <w:rsid w:val="00A82F43"/>
    <w:rsid w:val="00A83243"/>
    <w:rsid w:val="00A83713"/>
    <w:rsid w:val="00A83D8F"/>
    <w:rsid w:val="00A84DDC"/>
    <w:rsid w:val="00A85AD9"/>
    <w:rsid w:val="00A85B0B"/>
    <w:rsid w:val="00A86C26"/>
    <w:rsid w:val="00A86E24"/>
    <w:rsid w:val="00A8780F"/>
    <w:rsid w:val="00A87983"/>
    <w:rsid w:val="00A87C3F"/>
    <w:rsid w:val="00A87E92"/>
    <w:rsid w:val="00A90D02"/>
    <w:rsid w:val="00A9207A"/>
    <w:rsid w:val="00A929DE"/>
    <w:rsid w:val="00A92BED"/>
    <w:rsid w:val="00A93DE8"/>
    <w:rsid w:val="00A94A6A"/>
    <w:rsid w:val="00A9604D"/>
    <w:rsid w:val="00A96CB8"/>
    <w:rsid w:val="00A97B89"/>
    <w:rsid w:val="00AA00BF"/>
    <w:rsid w:val="00AA095F"/>
    <w:rsid w:val="00AA2498"/>
    <w:rsid w:val="00AA24AD"/>
    <w:rsid w:val="00AA2599"/>
    <w:rsid w:val="00AA26C6"/>
    <w:rsid w:val="00AA3033"/>
    <w:rsid w:val="00AA33CC"/>
    <w:rsid w:val="00AA575D"/>
    <w:rsid w:val="00AA59A1"/>
    <w:rsid w:val="00AA5C83"/>
    <w:rsid w:val="00AA5FC0"/>
    <w:rsid w:val="00AA6A81"/>
    <w:rsid w:val="00AA6AAB"/>
    <w:rsid w:val="00AA7DE5"/>
    <w:rsid w:val="00AB0226"/>
    <w:rsid w:val="00AB0A38"/>
    <w:rsid w:val="00AB0B4A"/>
    <w:rsid w:val="00AB1B37"/>
    <w:rsid w:val="00AB1C0E"/>
    <w:rsid w:val="00AB2671"/>
    <w:rsid w:val="00AB345D"/>
    <w:rsid w:val="00AB4B45"/>
    <w:rsid w:val="00AB4B9A"/>
    <w:rsid w:val="00AB5C38"/>
    <w:rsid w:val="00AB658E"/>
    <w:rsid w:val="00AC05FB"/>
    <w:rsid w:val="00AC1675"/>
    <w:rsid w:val="00AC228A"/>
    <w:rsid w:val="00AC27A2"/>
    <w:rsid w:val="00AC3353"/>
    <w:rsid w:val="00AC3B99"/>
    <w:rsid w:val="00AC3F39"/>
    <w:rsid w:val="00AC7CC2"/>
    <w:rsid w:val="00AD2931"/>
    <w:rsid w:val="00AD2D92"/>
    <w:rsid w:val="00AD315C"/>
    <w:rsid w:val="00AD4372"/>
    <w:rsid w:val="00AD4654"/>
    <w:rsid w:val="00AD46C8"/>
    <w:rsid w:val="00AD67DE"/>
    <w:rsid w:val="00AD7114"/>
    <w:rsid w:val="00AD77FB"/>
    <w:rsid w:val="00AE036F"/>
    <w:rsid w:val="00AE062F"/>
    <w:rsid w:val="00AE1347"/>
    <w:rsid w:val="00AE193F"/>
    <w:rsid w:val="00AE1CCD"/>
    <w:rsid w:val="00AE1F5C"/>
    <w:rsid w:val="00AE34D7"/>
    <w:rsid w:val="00AE3AFE"/>
    <w:rsid w:val="00AE6109"/>
    <w:rsid w:val="00AE6163"/>
    <w:rsid w:val="00AE700E"/>
    <w:rsid w:val="00AF1D6A"/>
    <w:rsid w:val="00AF2079"/>
    <w:rsid w:val="00AF3F71"/>
    <w:rsid w:val="00AF4592"/>
    <w:rsid w:val="00AF5835"/>
    <w:rsid w:val="00AF65B5"/>
    <w:rsid w:val="00AF7A13"/>
    <w:rsid w:val="00AF7B3A"/>
    <w:rsid w:val="00AF7CDB"/>
    <w:rsid w:val="00B00088"/>
    <w:rsid w:val="00B00862"/>
    <w:rsid w:val="00B02318"/>
    <w:rsid w:val="00B02D3A"/>
    <w:rsid w:val="00B02FD6"/>
    <w:rsid w:val="00B05C4F"/>
    <w:rsid w:val="00B06F16"/>
    <w:rsid w:val="00B10604"/>
    <w:rsid w:val="00B1080C"/>
    <w:rsid w:val="00B116CD"/>
    <w:rsid w:val="00B12112"/>
    <w:rsid w:val="00B12301"/>
    <w:rsid w:val="00B1436D"/>
    <w:rsid w:val="00B159C9"/>
    <w:rsid w:val="00B17422"/>
    <w:rsid w:val="00B17777"/>
    <w:rsid w:val="00B21587"/>
    <w:rsid w:val="00B21937"/>
    <w:rsid w:val="00B21967"/>
    <w:rsid w:val="00B22C54"/>
    <w:rsid w:val="00B24BB9"/>
    <w:rsid w:val="00B25AE8"/>
    <w:rsid w:val="00B25C2F"/>
    <w:rsid w:val="00B25DBF"/>
    <w:rsid w:val="00B2654F"/>
    <w:rsid w:val="00B26864"/>
    <w:rsid w:val="00B26A69"/>
    <w:rsid w:val="00B26C42"/>
    <w:rsid w:val="00B27286"/>
    <w:rsid w:val="00B276E4"/>
    <w:rsid w:val="00B27BA7"/>
    <w:rsid w:val="00B300A3"/>
    <w:rsid w:val="00B301AE"/>
    <w:rsid w:val="00B30B94"/>
    <w:rsid w:val="00B30F36"/>
    <w:rsid w:val="00B30FDB"/>
    <w:rsid w:val="00B319DE"/>
    <w:rsid w:val="00B322F3"/>
    <w:rsid w:val="00B326F1"/>
    <w:rsid w:val="00B32AB8"/>
    <w:rsid w:val="00B334C4"/>
    <w:rsid w:val="00B33625"/>
    <w:rsid w:val="00B3418B"/>
    <w:rsid w:val="00B34A0A"/>
    <w:rsid w:val="00B359C0"/>
    <w:rsid w:val="00B376E1"/>
    <w:rsid w:val="00B37A26"/>
    <w:rsid w:val="00B37CB1"/>
    <w:rsid w:val="00B37F53"/>
    <w:rsid w:val="00B37FB7"/>
    <w:rsid w:val="00B40DD3"/>
    <w:rsid w:val="00B410A7"/>
    <w:rsid w:val="00B4158B"/>
    <w:rsid w:val="00B41A6D"/>
    <w:rsid w:val="00B42F9C"/>
    <w:rsid w:val="00B4321E"/>
    <w:rsid w:val="00B44A0B"/>
    <w:rsid w:val="00B44D14"/>
    <w:rsid w:val="00B45209"/>
    <w:rsid w:val="00B4577E"/>
    <w:rsid w:val="00B457C5"/>
    <w:rsid w:val="00B46005"/>
    <w:rsid w:val="00B47A00"/>
    <w:rsid w:val="00B50204"/>
    <w:rsid w:val="00B50E31"/>
    <w:rsid w:val="00B513A5"/>
    <w:rsid w:val="00B51431"/>
    <w:rsid w:val="00B5151F"/>
    <w:rsid w:val="00B5340B"/>
    <w:rsid w:val="00B5359B"/>
    <w:rsid w:val="00B5408A"/>
    <w:rsid w:val="00B54BD1"/>
    <w:rsid w:val="00B54E84"/>
    <w:rsid w:val="00B564B0"/>
    <w:rsid w:val="00B57C0D"/>
    <w:rsid w:val="00B57E66"/>
    <w:rsid w:val="00B60B69"/>
    <w:rsid w:val="00B611F1"/>
    <w:rsid w:val="00B61A57"/>
    <w:rsid w:val="00B61B81"/>
    <w:rsid w:val="00B62A5C"/>
    <w:rsid w:val="00B62FE2"/>
    <w:rsid w:val="00B63953"/>
    <w:rsid w:val="00B64DCD"/>
    <w:rsid w:val="00B66DA8"/>
    <w:rsid w:val="00B6785A"/>
    <w:rsid w:val="00B67DEF"/>
    <w:rsid w:val="00B71445"/>
    <w:rsid w:val="00B717C4"/>
    <w:rsid w:val="00B71B76"/>
    <w:rsid w:val="00B730C2"/>
    <w:rsid w:val="00B73828"/>
    <w:rsid w:val="00B75DE2"/>
    <w:rsid w:val="00B772FB"/>
    <w:rsid w:val="00B80D30"/>
    <w:rsid w:val="00B81DDB"/>
    <w:rsid w:val="00B82207"/>
    <w:rsid w:val="00B823CE"/>
    <w:rsid w:val="00B823F8"/>
    <w:rsid w:val="00B8382E"/>
    <w:rsid w:val="00B83EDD"/>
    <w:rsid w:val="00B84341"/>
    <w:rsid w:val="00B846DF"/>
    <w:rsid w:val="00B8508C"/>
    <w:rsid w:val="00B866A7"/>
    <w:rsid w:val="00B87178"/>
    <w:rsid w:val="00B90A8B"/>
    <w:rsid w:val="00B914E5"/>
    <w:rsid w:val="00B92A13"/>
    <w:rsid w:val="00B92AC9"/>
    <w:rsid w:val="00B93968"/>
    <w:rsid w:val="00B93C39"/>
    <w:rsid w:val="00B94AC3"/>
    <w:rsid w:val="00B94CBC"/>
    <w:rsid w:val="00B97829"/>
    <w:rsid w:val="00B97D0E"/>
    <w:rsid w:val="00B97EF6"/>
    <w:rsid w:val="00BA022B"/>
    <w:rsid w:val="00BA034C"/>
    <w:rsid w:val="00BA04C8"/>
    <w:rsid w:val="00BA0669"/>
    <w:rsid w:val="00BA25CB"/>
    <w:rsid w:val="00BA2979"/>
    <w:rsid w:val="00BA35D7"/>
    <w:rsid w:val="00BA3F70"/>
    <w:rsid w:val="00BA4889"/>
    <w:rsid w:val="00BB0865"/>
    <w:rsid w:val="00BB08D3"/>
    <w:rsid w:val="00BB0E18"/>
    <w:rsid w:val="00BB47BF"/>
    <w:rsid w:val="00BB5A6B"/>
    <w:rsid w:val="00BB5FC5"/>
    <w:rsid w:val="00BB6698"/>
    <w:rsid w:val="00BB684D"/>
    <w:rsid w:val="00BB6A25"/>
    <w:rsid w:val="00BB772F"/>
    <w:rsid w:val="00BB7B79"/>
    <w:rsid w:val="00BC0248"/>
    <w:rsid w:val="00BC10C5"/>
    <w:rsid w:val="00BC22DD"/>
    <w:rsid w:val="00BC23CB"/>
    <w:rsid w:val="00BC254B"/>
    <w:rsid w:val="00BC379A"/>
    <w:rsid w:val="00BC38AB"/>
    <w:rsid w:val="00BC3C83"/>
    <w:rsid w:val="00BC3F8D"/>
    <w:rsid w:val="00BC53BB"/>
    <w:rsid w:val="00BC555D"/>
    <w:rsid w:val="00BC5D22"/>
    <w:rsid w:val="00BC6AED"/>
    <w:rsid w:val="00BC6EF3"/>
    <w:rsid w:val="00BC7ED2"/>
    <w:rsid w:val="00BD2C3E"/>
    <w:rsid w:val="00BD342E"/>
    <w:rsid w:val="00BD37C9"/>
    <w:rsid w:val="00BD3957"/>
    <w:rsid w:val="00BD39E9"/>
    <w:rsid w:val="00BD3ADD"/>
    <w:rsid w:val="00BD3ED2"/>
    <w:rsid w:val="00BD4E51"/>
    <w:rsid w:val="00BD52ED"/>
    <w:rsid w:val="00BD7E27"/>
    <w:rsid w:val="00BE04C7"/>
    <w:rsid w:val="00BE090F"/>
    <w:rsid w:val="00BE0C0E"/>
    <w:rsid w:val="00BE19BE"/>
    <w:rsid w:val="00BE1B7A"/>
    <w:rsid w:val="00BE214C"/>
    <w:rsid w:val="00BE251B"/>
    <w:rsid w:val="00BE4C7F"/>
    <w:rsid w:val="00BE512E"/>
    <w:rsid w:val="00BE5631"/>
    <w:rsid w:val="00BE5A02"/>
    <w:rsid w:val="00BE5E73"/>
    <w:rsid w:val="00BE5FA6"/>
    <w:rsid w:val="00BE6C05"/>
    <w:rsid w:val="00BE7296"/>
    <w:rsid w:val="00BF0EA7"/>
    <w:rsid w:val="00BF1F0F"/>
    <w:rsid w:val="00BF2849"/>
    <w:rsid w:val="00BF2C35"/>
    <w:rsid w:val="00BF3D48"/>
    <w:rsid w:val="00BF3E34"/>
    <w:rsid w:val="00BF44D3"/>
    <w:rsid w:val="00BF473A"/>
    <w:rsid w:val="00BF612D"/>
    <w:rsid w:val="00BF6256"/>
    <w:rsid w:val="00BF6832"/>
    <w:rsid w:val="00C01F3F"/>
    <w:rsid w:val="00C03FF6"/>
    <w:rsid w:val="00C047FD"/>
    <w:rsid w:val="00C04C13"/>
    <w:rsid w:val="00C0584F"/>
    <w:rsid w:val="00C07552"/>
    <w:rsid w:val="00C1023C"/>
    <w:rsid w:val="00C10925"/>
    <w:rsid w:val="00C11C5A"/>
    <w:rsid w:val="00C122DD"/>
    <w:rsid w:val="00C129BA"/>
    <w:rsid w:val="00C15083"/>
    <w:rsid w:val="00C15862"/>
    <w:rsid w:val="00C1788E"/>
    <w:rsid w:val="00C200EA"/>
    <w:rsid w:val="00C21859"/>
    <w:rsid w:val="00C2220F"/>
    <w:rsid w:val="00C24722"/>
    <w:rsid w:val="00C2475A"/>
    <w:rsid w:val="00C251A5"/>
    <w:rsid w:val="00C25ECD"/>
    <w:rsid w:val="00C27246"/>
    <w:rsid w:val="00C30284"/>
    <w:rsid w:val="00C3085E"/>
    <w:rsid w:val="00C30B42"/>
    <w:rsid w:val="00C310D4"/>
    <w:rsid w:val="00C3171B"/>
    <w:rsid w:val="00C31AD0"/>
    <w:rsid w:val="00C331EB"/>
    <w:rsid w:val="00C332F2"/>
    <w:rsid w:val="00C3345E"/>
    <w:rsid w:val="00C33565"/>
    <w:rsid w:val="00C335D8"/>
    <w:rsid w:val="00C3415E"/>
    <w:rsid w:val="00C35B94"/>
    <w:rsid w:val="00C35E4E"/>
    <w:rsid w:val="00C36B8A"/>
    <w:rsid w:val="00C3779A"/>
    <w:rsid w:val="00C37D8C"/>
    <w:rsid w:val="00C4039F"/>
    <w:rsid w:val="00C40BA1"/>
    <w:rsid w:val="00C41609"/>
    <w:rsid w:val="00C42283"/>
    <w:rsid w:val="00C427E8"/>
    <w:rsid w:val="00C42999"/>
    <w:rsid w:val="00C42B39"/>
    <w:rsid w:val="00C42C2B"/>
    <w:rsid w:val="00C42F0C"/>
    <w:rsid w:val="00C42F57"/>
    <w:rsid w:val="00C43A34"/>
    <w:rsid w:val="00C44C6B"/>
    <w:rsid w:val="00C459F5"/>
    <w:rsid w:val="00C46A61"/>
    <w:rsid w:val="00C476F9"/>
    <w:rsid w:val="00C51701"/>
    <w:rsid w:val="00C51ABF"/>
    <w:rsid w:val="00C558D5"/>
    <w:rsid w:val="00C55F22"/>
    <w:rsid w:val="00C6302F"/>
    <w:rsid w:val="00C631A2"/>
    <w:rsid w:val="00C635C6"/>
    <w:rsid w:val="00C64627"/>
    <w:rsid w:val="00C6469E"/>
    <w:rsid w:val="00C65DF0"/>
    <w:rsid w:val="00C72DF9"/>
    <w:rsid w:val="00C73F52"/>
    <w:rsid w:val="00C7422B"/>
    <w:rsid w:val="00C75E82"/>
    <w:rsid w:val="00C77747"/>
    <w:rsid w:val="00C81E78"/>
    <w:rsid w:val="00C82E65"/>
    <w:rsid w:val="00C83813"/>
    <w:rsid w:val="00C83ABD"/>
    <w:rsid w:val="00C841CF"/>
    <w:rsid w:val="00C8428C"/>
    <w:rsid w:val="00C842C2"/>
    <w:rsid w:val="00C84875"/>
    <w:rsid w:val="00C853B9"/>
    <w:rsid w:val="00C87DDB"/>
    <w:rsid w:val="00C9065D"/>
    <w:rsid w:val="00C911BA"/>
    <w:rsid w:val="00C91C3B"/>
    <w:rsid w:val="00C92045"/>
    <w:rsid w:val="00C921B5"/>
    <w:rsid w:val="00C94028"/>
    <w:rsid w:val="00C94958"/>
    <w:rsid w:val="00C94B40"/>
    <w:rsid w:val="00C9592A"/>
    <w:rsid w:val="00C96882"/>
    <w:rsid w:val="00C96D45"/>
    <w:rsid w:val="00C96DAF"/>
    <w:rsid w:val="00C97097"/>
    <w:rsid w:val="00C97E61"/>
    <w:rsid w:val="00C97F6A"/>
    <w:rsid w:val="00CA0E85"/>
    <w:rsid w:val="00CA1353"/>
    <w:rsid w:val="00CA188E"/>
    <w:rsid w:val="00CA19C0"/>
    <w:rsid w:val="00CA249D"/>
    <w:rsid w:val="00CA2554"/>
    <w:rsid w:val="00CA2EA2"/>
    <w:rsid w:val="00CA41AA"/>
    <w:rsid w:val="00CA427D"/>
    <w:rsid w:val="00CA452E"/>
    <w:rsid w:val="00CA4CE6"/>
    <w:rsid w:val="00CA5F8A"/>
    <w:rsid w:val="00CA6DA2"/>
    <w:rsid w:val="00CA6DAF"/>
    <w:rsid w:val="00CA6E55"/>
    <w:rsid w:val="00CA741E"/>
    <w:rsid w:val="00CA78A6"/>
    <w:rsid w:val="00CB022A"/>
    <w:rsid w:val="00CB272D"/>
    <w:rsid w:val="00CB3475"/>
    <w:rsid w:val="00CB3531"/>
    <w:rsid w:val="00CB4EB0"/>
    <w:rsid w:val="00CB5322"/>
    <w:rsid w:val="00CB735A"/>
    <w:rsid w:val="00CB7C30"/>
    <w:rsid w:val="00CC06E3"/>
    <w:rsid w:val="00CC1276"/>
    <w:rsid w:val="00CC1FFA"/>
    <w:rsid w:val="00CC2D96"/>
    <w:rsid w:val="00CC3994"/>
    <w:rsid w:val="00CC47D6"/>
    <w:rsid w:val="00CC5231"/>
    <w:rsid w:val="00CC5519"/>
    <w:rsid w:val="00CC5B52"/>
    <w:rsid w:val="00CC6217"/>
    <w:rsid w:val="00CC6459"/>
    <w:rsid w:val="00CC7900"/>
    <w:rsid w:val="00CD097E"/>
    <w:rsid w:val="00CD0E80"/>
    <w:rsid w:val="00CD0F97"/>
    <w:rsid w:val="00CD1031"/>
    <w:rsid w:val="00CD149A"/>
    <w:rsid w:val="00CD1AC5"/>
    <w:rsid w:val="00CD23E5"/>
    <w:rsid w:val="00CD290C"/>
    <w:rsid w:val="00CD3006"/>
    <w:rsid w:val="00CD3245"/>
    <w:rsid w:val="00CD3B0C"/>
    <w:rsid w:val="00CD3D6D"/>
    <w:rsid w:val="00CD4811"/>
    <w:rsid w:val="00CD4848"/>
    <w:rsid w:val="00CD547D"/>
    <w:rsid w:val="00CD568D"/>
    <w:rsid w:val="00CD5C7B"/>
    <w:rsid w:val="00CD7D50"/>
    <w:rsid w:val="00CE21DD"/>
    <w:rsid w:val="00CE2FE6"/>
    <w:rsid w:val="00CE3998"/>
    <w:rsid w:val="00CE5FA6"/>
    <w:rsid w:val="00CF0466"/>
    <w:rsid w:val="00CF148E"/>
    <w:rsid w:val="00CF18CE"/>
    <w:rsid w:val="00CF1F12"/>
    <w:rsid w:val="00CF33E0"/>
    <w:rsid w:val="00CF3C5F"/>
    <w:rsid w:val="00CF4762"/>
    <w:rsid w:val="00CF4FAC"/>
    <w:rsid w:val="00CF6061"/>
    <w:rsid w:val="00CF722F"/>
    <w:rsid w:val="00D00265"/>
    <w:rsid w:val="00D01E48"/>
    <w:rsid w:val="00D02CFF"/>
    <w:rsid w:val="00D03ACA"/>
    <w:rsid w:val="00D04894"/>
    <w:rsid w:val="00D04E5E"/>
    <w:rsid w:val="00D05578"/>
    <w:rsid w:val="00D05E9C"/>
    <w:rsid w:val="00D10204"/>
    <w:rsid w:val="00D11528"/>
    <w:rsid w:val="00D127BD"/>
    <w:rsid w:val="00D147D7"/>
    <w:rsid w:val="00D1578C"/>
    <w:rsid w:val="00D15B17"/>
    <w:rsid w:val="00D15E3D"/>
    <w:rsid w:val="00D16950"/>
    <w:rsid w:val="00D169CF"/>
    <w:rsid w:val="00D17066"/>
    <w:rsid w:val="00D171E8"/>
    <w:rsid w:val="00D20CE1"/>
    <w:rsid w:val="00D210A0"/>
    <w:rsid w:val="00D21EEC"/>
    <w:rsid w:val="00D24354"/>
    <w:rsid w:val="00D246C1"/>
    <w:rsid w:val="00D2475F"/>
    <w:rsid w:val="00D24906"/>
    <w:rsid w:val="00D24C9A"/>
    <w:rsid w:val="00D2575A"/>
    <w:rsid w:val="00D25795"/>
    <w:rsid w:val="00D25B59"/>
    <w:rsid w:val="00D26F27"/>
    <w:rsid w:val="00D26F64"/>
    <w:rsid w:val="00D272C6"/>
    <w:rsid w:val="00D27499"/>
    <w:rsid w:val="00D306D0"/>
    <w:rsid w:val="00D30889"/>
    <w:rsid w:val="00D3145A"/>
    <w:rsid w:val="00D317AF"/>
    <w:rsid w:val="00D3189E"/>
    <w:rsid w:val="00D31B43"/>
    <w:rsid w:val="00D31E26"/>
    <w:rsid w:val="00D325C8"/>
    <w:rsid w:val="00D32F49"/>
    <w:rsid w:val="00D34868"/>
    <w:rsid w:val="00D349DE"/>
    <w:rsid w:val="00D34A25"/>
    <w:rsid w:val="00D35028"/>
    <w:rsid w:val="00D35252"/>
    <w:rsid w:val="00D355E9"/>
    <w:rsid w:val="00D35C19"/>
    <w:rsid w:val="00D37457"/>
    <w:rsid w:val="00D3778B"/>
    <w:rsid w:val="00D377D6"/>
    <w:rsid w:val="00D42B80"/>
    <w:rsid w:val="00D43DD8"/>
    <w:rsid w:val="00D440A2"/>
    <w:rsid w:val="00D444A4"/>
    <w:rsid w:val="00D44B32"/>
    <w:rsid w:val="00D462F7"/>
    <w:rsid w:val="00D46767"/>
    <w:rsid w:val="00D46987"/>
    <w:rsid w:val="00D47324"/>
    <w:rsid w:val="00D50DF9"/>
    <w:rsid w:val="00D51B90"/>
    <w:rsid w:val="00D51DD8"/>
    <w:rsid w:val="00D5256B"/>
    <w:rsid w:val="00D52C5D"/>
    <w:rsid w:val="00D53083"/>
    <w:rsid w:val="00D547B1"/>
    <w:rsid w:val="00D5509E"/>
    <w:rsid w:val="00D551CF"/>
    <w:rsid w:val="00D558C2"/>
    <w:rsid w:val="00D55F5B"/>
    <w:rsid w:val="00D56295"/>
    <w:rsid w:val="00D56C19"/>
    <w:rsid w:val="00D57625"/>
    <w:rsid w:val="00D57D21"/>
    <w:rsid w:val="00D57E62"/>
    <w:rsid w:val="00D607D1"/>
    <w:rsid w:val="00D61109"/>
    <w:rsid w:val="00D6121E"/>
    <w:rsid w:val="00D615F8"/>
    <w:rsid w:val="00D62241"/>
    <w:rsid w:val="00D63061"/>
    <w:rsid w:val="00D63934"/>
    <w:rsid w:val="00D63CEA"/>
    <w:rsid w:val="00D641BD"/>
    <w:rsid w:val="00D64425"/>
    <w:rsid w:val="00D65D55"/>
    <w:rsid w:val="00D6699A"/>
    <w:rsid w:val="00D66CA8"/>
    <w:rsid w:val="00D70591"/>
    <w:rsid w:val="00D7259F"/>
    <w:rsid w:val="00D72E5B"/>
    <w:rsid w:val="00D73ADE"/>
    <w:rsid w:val="00D743BB"/>
    <w:rsid w:val="00D74408"/>
    <w:rsid w:val="00D7449D"/>
    <w:rsid w:val="00D747E6"/>
    <w:rsid w:val="00D753B9"/>
    <w:rsid w:val="00D7612D"/>
    <w:rsid w:val="00D7634F"/>
    <w:rsid w:val="00D7681F"/>
    <w:rsid w:val="00D7728F"/>
    <w:rsid w:val="00D7776C"/>
    <w:rsid w:val="00D8318F"/>
    <w:rsid w:val="00D835EE"/>
    <w:rsid w:val="00D83C2A"/>
    <w:rsid w:val="00D86B55"/>
    <w:rsid w:val="00D8721E"/>
    <w:rsid w:val="00D900F3"/>
    <w:rsid w:val="00D9013A"/>
    <w:rsid w:val="00D90200"/>
    <w:rsid w:val="00D90225"/>
    <w:rsid w:val="00D9175A"/>
    <w:rsid w:val="00D91F34"/>
    <w:rsid w:val="00D93BAD"/>
    <w:rsid w:val="00D93FCB"/>
    <w:rsid w:val="00D94146"/>
    <w:rsid w:val="00D95E99"/>
    <w:rsid w:val="00D9716A"/>
    <w:rsid w:val="00D9764F"/>
    <w:rsid w:val="00DA0031"/>
    <w:rsid w:val="00DA0218"/>
    <w:rsid w:val="00DA038B"/>
    <w:rsid w:val="00DA06E3"/>
    <w:rsid w:val="00DA141C"/>
    <w:rsid w:val="00DA2D09"/>
    <w:rsid w:val="00DA3610"/>
    <w:rsid w:val="00DA3D3B"/>
    <w:rsid w:val="00DA4018"/>
    <w:rsid w:val="00DA434E"/>
    <w:rsid w:val="00DA4445"/>
    <w:rsid w:val="00DA4B29"/>
    <w:rsid w:val="00DA5A34"/>
    <w:rsid w:val="00DA6246"/>
    <w:rsid w:val="00DA76F4"/>
    <w:rsid w:val="00DA796F"/>
    <w:rsid w:val="00DB0577"/>
    <w:rsid w:val="00DB1828"/>
    <w:rsid w:val="00DB1C42"/>
    <w:rsid w:val="00DB3383"/>
    <w:rsid w:val="00DB431A"/>
    <w:rsid w:val="00DB4745"/>
    <w:rsid w:val="00DB4A27"/>
    <w:rsid w:val="00DB4BDE"/>
    <w:rsid w:val="00DB5BEB"/>
    <w:rsid w:val="00DB6669"/>
    <w:rsid w:val="00DB6997"/>
    <w:rsid w:val="00DB6F8D"/>
    <w:rsid w:val="00DB7814"/>
    <w:rsid w:val="00DC0037"/>
    <w:rsid w:val="00DC05A5"/>
    <w:rsid w:val="00DC1C61"/>
    <w:rsid w:val="00DC214B"/>
    <w:rsid w:val="00DC25D5"/>
    <w:rsid w:val="00DC260E"/>
    <w:rsid w:val="00DC3736"/>
    <w:rsid w:val="00DC38EB"/>
    <w:rsid w:val="00DC3C61"/>
    <w:rsid w:val="00DC544F"/>
    <w:rsid w:val="00DC58CF"/>
    <w:rsid w:val="00DC5930"/>
    <w:rsid w:val="00DC6175"/>
    <w:rsid w:val="00DC648F"/>
    <w:rsid w:val="00DC6EA4"/>
    <w:rsid w:val="00DC70E5"/>
    <w:rsid w:val="00DD0189"/>
    <w:rsid w:val="00DD0B96"/>
    <w:rsid w:val="00DD2099"/>
    <w:rsid w:val="00DD21AF"/>
    <w:rsid w:val="00DD4A22"/>
    <w:rsid w:val="00DD5707"/>
    <w:rsid w:val="00DD57CE"/>
    <w:rsid w:val="00DD682B"/>
    <w:rsid w:val="00DD7201"/>
    <w:rsid w:val="00DD76F6"/>
    <w:rsid w:val="00DD7FCD"/>
    <w:rsid w:val="00DE032A"/>
    <w:rsid w:val="00DE0D13"/>
    <w:rsid w:val="00DE1201"/>
    <w:rsid w:val="00DE2219"/>
    <w:rsid w:val="00DE3861"/>
    <w:rsid w:val="00DE508F"/>
    <w:rsid w:val="00DE55F6"/>
    <w:rsid w:val="00DF3024"/>
    <w:rsid w:val="00DF4A17"/>
    <w:rsid w:val="00DF4E23"/>
    <w:rsid w:val="00DF711E"/>
    <w:rsid w:val="00E023AE"/>
    <w:rsid w:val="00E02B09"/>
    <w:rsid w:val="00E02D7E"/>
    <w:rsid w:val="00E059A9"/>
    <w:rsid w:val="00E05D63"/>
    <w:rsid w:val="00E061DF"/>
    <w:rsid w:val="00E068C2"/>
    <w:rsid w:val="00E06F6A"/>
    <w:rsid w:val="00E06FB8"/>
    <w:rsid w:val="00E0709E"/>
    <w:rsid w:val="00E07178"/>
    <w:rsid w:val="00E071A2"/>
    <w:rsid w:val="00E07EB4"/>
    <w:rsid w:val="00E104DE"/>
    <w:rsid w:val="00E110A9"/>
    <w:rsid w:val="00E11184"/>
    <w:rsid w:val="00E116DA"/>
    <w:rsid w:val="00E11D61"/>
    <w:rsid w:val="00E1260F"/>
    <w:rsid w:val="00E146E3"/>
    <w:rsid w:val="00E14B94"/>
    <w:rsid w:val="00E16660"/>
    <w:rsid w:val="00E171B8"/>
    <w:rsid w:val="00E21786"/>
    <w:rsid w:val="00E23806"/>
    <w:rsid w:val="00E24240"/>
    <w:rsid w:val="00E25035"/>
    <w:rsid w:val="00E276C5"/>
    <w:rsid w:val="00E316E1"/>
    <w:rsid w:val="00E322F3"/>
    <w:rsid w:val="00E33162"/>
    <w:rsid w:val="00E331C1"/>
    <w:rsid w:val="00E3343C"/>
    <w:rsid w:val="00E34011"/>
    <w:rsid w:val="00E3438E"/>
    <w:rsid w:val="00E34A7E"/>
    <w:rsid w:val="00E3615C"/>
    <w:rsid w:val="00E36286"/>
    <w:rsid w:val="00E36B54"/>
    <w:rsid w:val="00E36FC1"/>
    <w:rsid w:val="00E379A0"/>
    <w:rsid w:val="00E37E99"/>
    <w:rsid w:val="00E401D1"/>
    <w:rsid w:val="00E408CB"/>
    <w:rsid w:val="00E41584"/>
    <w:rsid w:val="00E419B3"/>
    <w:rsid w:val="00E419E0"/>
    <w:rsid w:val="00E41A90"/>
    <w:rsid w:val="00E42195"/>
    <w:rsid w:val="00E42F21"/>
    <w:rsid w:val="00E4349C"/>
    <w:rsid w:val="00E438DC"/>
    <w:rsid w:val="00E44167"/>
    <w:rsid w:val="00E465E2"/>
    <w:rsid w:val="00E46E39"/>
    <w:rsid w:val="00E46E55"/>
    <w:rsid w:val="00E51F52"/>
    <w:rsid w:val="00E53202"/>
    <w:rsid w:val="00E54D3B"/>
    <w:rsid w:val="00E55AE1"/>
    <w:rsid w:val="00E55FF3"/>
    <w:rsid w:val="00E561DD"/>
    <w:rsid w:val="00E56956"/>
    <w:rsid w:val="00E569F9"/>
    <w:rsid w:val="00E56B85"/>
    <w:rsid w:val="00E600CC"/>
    <w:rsid w:val="00E60858"/>
    <w:rsid w:val="00E6233C"/>
    <w:rsid w:val="00E635BD"/>
    <w:rsid w:val="00E646DD"/>
    <w:rsid w:val="00E65B3A"/>
    <w:rsid w:val="00E65B80"/>
    <w:rsid w:val="00E668F1"/>
    <w:rsid w:val="00E66C7C"/>
    <w:rsid w:val="00E67B45"/>
    <w:rsid w:val="00E67C90"/>
    <w:rsid w:val="00E67CD3"/>
    <w:rsid w:val="00E67CF7"/>
    <w:rsid w:val="00E71CE7"/>
    <w:rsid w:val="00E749D3"/>
    <w:rsid w:val="00E74EC5"/>
    <w:rsid w:val="00E74F21"/>
    <w:rsid w:val="00E7579B"/>
    <w:rsid w:val="00E77A57"/>
    <w:rsid w:val="00E81375"/>
    <w:rsid w:val="00E81C17"/>
    <w:rsid w:val="00E82206"/>
    <w:rsid w:val="00E83932"/>
    <w:rsid w:val="00E84BAD"/>
    <w:rsid w:val="00E84E9C"/>
    <w:rsid w:val="00E86EA7"/>
    <w:rsid w:val="00E902DE"/>
    <w:rsid w:val="00E90443"/>
    <w:rsid w:val="00E90A32"/>
    <w:rsid w:val="00E91C9F"/>
    <w:rsid w:val="00E92FDC"/>
    <w:rsid w:val="00E93304"/>
    <w:rsid w:val="00E937F6"/>
    <w:rsid w:val="00E94054"/>
    <w:rsid w:val="00E942A4"/>
    <w:rsid w:val="00E947CC"/>
    <w:rsid w:val="00E9508D"/>
    <w:rsid w:val="00E950F5"/>
    <w:rsid w:val="00E953DF"/>
    <w:rsid w:val="00E95AA2"/>
    <w:rsid w:val="00E96D8A"/>
    <w:rsid w:val="00EA0B0C"/>
    <w:rsid w:val="00EA265E"/>
    <w:rsid w:val="00EA27EE"/>
    <w:rsid w:val="00EA2A96"/>
    <w:rsid w:val="00EA5761"/>
    <w:rsid w:val="00EA63CA"/>
    <w:rsid w:val="00EA6527"/>
    <w:rsid w:val="00EB17C0"/>
    <w:rsid w:val="00EB3428"/>
    <w:rsid w:val="00EB36BF"/>
    <w:rsid w:val="00EB3F4D"/>
    <w:rsid w:val="00EB4388"/>
    <w:rsid w:val="00EB539E"/>
    <w:rsid w:val="00EB5669"/>
    <w:rsid w:val="00EB5A08"/>
    <w:rsid w:val="00EB636C"/>
    <w:rsid w:val="00EB63B2"/>
    <w:rsid w:val="00EC01B1"/>
    <w:rsid w:val="00EC2516"/>
    <w:rsid w:val="00EC280B"/>
    <w:rsid w:val="00EC371B"/>
    <w:rsid w:val="00EC3B70"/>
    <w:rsid w:val="00EC4D23"/>
    <w:rsid w:val="00EC5185"/>
    <w:rsid w:val="00EC60E8"/>
    <w:rsid w:val="00EC6253"/>
    <w:rsid w:val="00EC677B"/>
    <w:rsid w:val="00EC7170"/>
    <w:rsid w:val="00EC7674"/>
    <w:rsid w:val="00EC79D3"/>
    <w:rsid w:val="00ED01BD"/>
    <w:rsid w:val="00ED14AB"/>
    <w:rsid w:val="00ED1B38"/>
    <w:rsid w:val="00ED1D5D"/>
    <w:rsid w:val="00ED388A"/>
    <w:rsid w:val="00ED5AFA"/>
    <w:rsid w:val="00ED5D09"/>
    <w:rsid w:val="00ED640E"/>
    <w:rsid w:val="00ED7287"/>
    <w:rsid w:val="00ED7597"/>
    <w:rsid w:val="00ED7A6D"/>
    <w:rsid w:val="00ED7AD1"/>
    <w:rsid w:val="00ED7B9B"/>
    <w:rsid w:val="00EE06EA"/>
    <w:rsid w:val="00EE0AA7"/>
    <w:rsid w:val="00EE0AD6"/>
    <w:rsid w:val="00EE1C53"/>
    <w:rsid w:val="00EE1FB5"/>
    <w:rsid w:val="00EE20AF"/>
    <w:rsid w:val="00EE419A"/>
    <w:rsid w:val="00EE69B4"/>
    <w:rsid w:val="00EE737A"/>
    <w:rsid w:val="00EE7504"/>
    <w:rsid w:val="00EE766F"/>
    <w:rsid w:val="00EF11D5"/>
    <w:rsid w:val="00EF12B6"/>
    <w:rsid w:val="00EF2ACF"/>
    <w:rsid w:val="00EF3168"/>
    <w:rsid w:val="00EF51B7"/>
    <w:rsid w:val="00EF5716"/>
    <w:rsid w:val="00EF6334"/>
    <w:rsid w:val="00EF6DF0"/>
    <w:rsid w:val="00F00484"/>
    <w:rsid w:val="00F01BCB"/>
    <w:rsid w:val="00F03602"/>
    <w:rsid w:val="00F03D2E"/>
    <w:rsid w:val="00F04222"/>
    <w:rsid w:val="00F04532"/>
    <w:rsid w:val="00F04DA8"/>
    <w:rsid w:val="00F04EF5"/>
    <w:rsid w:val="00F04F94"/>
    <w:rsid w:val="00F055B8"/>
    <w:rsid w:val="00F063D5"/>
    <w:rsid w:val="00F1011B"/>
    <w:rsid w:val="00F108F8"/>
    <w:rsid w:val="00F122CD"/>
    <w:rsid w:val="00F132D7"/>
    <w:rsid w:val="00F1484C"/>
    <w:rsid w:val="00F148A1"/>
    <w:rsid w:val="00F15555"/>
    <w:rsid w:val="00F15FC1"/>
    <w:rsid w:val="00F1774F"/>
    <w:rsid w:val="00F17CA6"/>
    <w:rsid w:val="00F20060"/>
    <w:rsid w:val="00F226FA"/>
    <w:rsid w:val="00F22BB4"/>
    <w:rsid w:val="00F22C40"/>
    <w:rsid w:val="00F22CEA"/>
    <w:rsid w:val="00F235AA"/>
    <w:rsid w:val="00F240FB"/>
    <w:rsid w:val="00F248BC"/>
    <w:rsid w:val="00F2636D"/>
    <w:rsid w:val="00F3026C"/>
    <w:rsid w:val="00F30F7E"/>
    <w:rsid w:val="00F317CA"/>
    <w:rsid w:val="00F318F9"/>
    <w:rsid w:val="00F31DF4"/>
    <w:rsid w:val="00F31E50"/>
    <w:rsid w:val="00F322E7"/>
    <w:rsid w:val="00F337E6"/>
    <w:rsid w:val="00F33ABF"/>
    <w:rsid w:val="00F35F48"/>
    <w:rsid w:val="00F362CC"/>
    <w:rsid w:val="00F369B8"/>
    <w:rsid w:val="00F36D0C"/>
    <w:rsid w:val="00F379DD"/>
    <w:rsid w:val="00F40220"/>
    <w:rsid w:val="00F412B7"/>
    <w:rsid w:val="00F452FA"/>
    <w:rsid w:val="00F4578E"/>
    <w:rsid w:val="00F473DD"/>
    <w:rsid w:val="00F477C2"/>
    <w:rsid w:val="00F50B79"/>
    <w:rsid w:val="00F52C30"/>
    <w:rsid w:val="00F5357D"/>
    <w:rsid w:val="00F5362A"/>
    <w:rsid w:val="00F55C15"/>
    <w:rsid w:val="00F56003"/>
    <w:rsid w:val="00F5773B"/>
    <w:rsid w:val="00F60DAF"/>
    <w:rsid w:val="00F60FAE"/>
    <w:rsid w:val="00F61942"/>
    <w:rsid w:val="00F624B6"/>
    <w:rsid w:val="00F62836"/>
    <w:rsid w:val="00F62956"/>
    <w:rsid w:val="00F62A9F"/>
    <w:rsid w:val="00F62B5F"/>
    <w:rsid w:val="00F63696"/>
    <w:rsid w:val="00F63B9D"/>
    <w:rsid w:val="00F63DCD"/>
    <w:rsid w:val="00F64773"/>
    <w:rsid w:val="00F64D66"/>
    <w:rsid w:val="00F65DA2"/>
    <w:rsid w:val="00F65EAE"/>
    <w:rsid w:val="00F67D0E"/>
    <w:rsid w:val="00F706EB"/>
    <w:rsid w:val="00F7149D"/>
    <w:rsid w:val="00F715C4"/>
    <w:rsid w:val="00F72B45"/>
    <w:rsid w:val="00F72C5C"/>
    <w:rsid w:val="00F73454"/>
    <w:rsid w:val="00F73A4A"/>
    <w:rsid w:val="00F74259"/>
    <w:rsid w:val="00F746F3"/>
    <w:rsid w:val="00F76681"/>
    <w:rsid w:val="00F770F8"/>
    <w:rsid w:val="00F80A88"/>
    <w:rsid w:val="00F810B9"/>
    <w:rsid w:val="00F8173F"/>
    <w:rsid w:val="00F81C3D"/>
    <w:rsid w:val="00F8240F"/>
    <w:rsid w:val="00F832C7"/>
    <w:rsid w:val="00F85566"/>
    <w:rsid w:val="00F8650B"/>
    <w:rsid w:val="00F869BD"/>
    <w:rsid w:val="00F86AF6"/>
    <w:rsid w:val="00F8728D"/>
    <w:rsid w:val="00F87538"/>
    <w:rsid w:val="00F8765D"/>
    <w:rsid w:val="00F90617"/>
    <w:rsid w:val="00F90B72"/>
    <w:rsid w:val="00F91DEA"/>
    <w:rsid w:val="00F92D5A"/>
    <w:rsid w:val="00F93FE8"/>
    <w:rsid w:val="00FA146F"/>
    <w:rsid w:val="00FA1643"/>
    <w:rsid w:val="00FA3104"/>
    <w:rsid w:val="00FA3988"/>
    <w:rsid w:val="00FA4FEF"/>
    <w:rsid w:val="00FA5BD8"/>
    <w:rsid w:val="00FA5BF9"/>
    <w:rsid w:val="00FB0829"/>
    <w:rsid w:val="00FB25C3"/>
    <w:rsid w:val="00FB27F2"/>
    <w:rsid w:val="00FB42D6"/>
    <w:rsid w:val="00FB5137"/>
    <w:rsid w:val="00FB6110"/>
    <w:rsid w:val="00FB61D7"/>
    <w:rsid w:val="00FB7370"/>
    <w:rsid w:val="00FB7478"/>
    <w:rsid w:val="00FB79E2"/>
    <w:rsid w:val="00FC0266"/>
    <w:rsid w:val="00FC0459"/>
    <w:rsid w:val="00FC0866"/>
    <w:rsid w:val="00FC0AC8"/>
    <w:rsid w:val="00FC2863"/>
    <w:rsid w:val="00FC2AC0"/>
    <w:rsid w:val="00FC385A"/>
    <w:rsid w:val="00FC3866"/>
    <w:rsid w:val="00FC3E09"/>
    <w:rsid w:val="00FC3F76"/>
    <w:rsid w:val="00FC458C"/>
    <w:rsid w:val="00FC56F7"/>
    <w:rsid w:val="00FC6AC7"/>
    <w:rsid w:val="00FC6CC5"/>
    <w:rsid w:val="00FC6F78"/>
    <w:rsid w:val="00FC778D"/>
    <w:rsid w:val="00FD2D16"/>
    <w:rsid w:val="00FD34E7"/>
    <w:rsid w:val="00FD3913"/>
    <w:rsid w:val="00FD3F3C"/>
    <w:rsid w:val="00FD4571"/>
    <w:rsid w:val="00FD518D"/>
    <w:rsid w:val="00FD5AFE"/>
    <w:rsid w:val="00FD6989"/>
    <w:rsid w:val="00FD70D5"/>
    <w:rsid w:val="00FD7437"/>
    <w:rsid w:val="00FE028E"/>
    <w:rsid w:val="00FE02EC"/>
    <w:rsid w:val="00FE0971"/>
    <w:rsid w:val="00FE0D72"/>
    <w:rsid w:val="00FE271E"/>
    <w:rsid w:val="00FE3AD8"/>
    <w:rsid w:val="00FE3DEE"/>
    <w:rsid w:val="00FE427C"/>
    <w:rsid w:val="00FE4B55"/>
    <w:rsid w:val="00FE5B6A"/>
    <w:rsid w:val="00FE5F4D"/>
    <w:rsid w:val="00FE67AF"/>
    <w:rsid w:val="00FE6A11"/>
    <w:rsid w:val="00FE7590"/>
    <w:rsid w:val="00FE7967"/>
    <w:rsid w:val="00FF457A"/>
    <w:rsid w:val="00FF4EE8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058E54D1"/>
  <w15:chartTrackingRefBased/>
  <w15:docId w15:val="{59DB64F0-89B0-4A5B-80B9-F23BC665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0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64F"/>
    <w:pPr>
      <w:keepNext/>
      <w:keepLines/>
      <w:spacing w:before="480" w:line="276" w:lineRule="auto"/>
      <w:ind w:left="432" w:hanging="432"/>
      <w:outlineLvl w:val="0"/>
    </w:pPr>
    <w:rPr>
      <w:rFonts w:ascii="Cambria" w:eastAsia="PMingLiU" w:hAnsi="Cambria"/>
      <w:b/>
      <w:bCs/>
      <w:color w:val="365F91"/>
      <w:sz w:val="28"/>
      <w:szCs w:val="28"/>
      <w:lang w:val="bg-BG" w:eastAsia="zh-TW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lang w:val="bg-BG" w:eastAsia="x-none"/>
    </w:rPr>
  </w:style>
  <w:style w:type="paragraph" w:styleId="Heading3">
    <w:name w:val="heading 3"/>
    <w:basedOn w:val="Normal"/>
    <w:next w:val="Normal"/>
    <w:uiPriority w:val="99"/>
    <w:qFormat/>
    <w:pPr>
      <w:keepNext/>
      <w:outlineLvl w:val="2"/>
    </w:pPr>
    <w:rPr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64F"/>
    <w:pPr>
      <w:keepNext/>
      <w:keepLines/>
      <w:spacing w:before="200" w:line="276" w:lineRule="auto"/>
      <w:ind w:left="864" w:hanging="864"/>
      <w:outlineLvl w:val="3"/>
    </w:pPr>
    <w:rPr>
      <w:rFonts w:ascii="Cambria" w:eastAsia="PMingLiU" w:hAnsi="Cambria"/>
      <w:b/>
      <w:bCs/>
      <w:i/>
      <w:iCs/>
      <w:color w:val="4F81BD"/>
      <w:sz w:val="22"/>
      <w:szCs w:val="22"/>
      <w:lang w:val="bg-BG" w:eastAsia="zh-TW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64F"/>
    <w:pPr>
      <w:keepNext/>
      <w:keepLines/>
      <w:spacing w:before="200" w:line="276" w:lineRule="auto"/>
      <w:ind w:left="1008" w:hanging="1008"/>
      <w:outlineLvl w:val="4"/>
    </w:pPr>
    <w:rPr>
      <w:rFonts w:ascii="Cambria" w:eastAsia="PMingLiU" w:hAnsi="Cambria"/>
      <w:color w:val="243F60"/>
      <w:sz w:val="22"/>
      <w:szCs w:val="22"/>
      <w:lang w:val="bg-BG" w:eastAsia="zh-TW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64F"/>
    <w:pPr>
      <w:keepNext/>
      <w:keepLines/>
      <w:spacing w:before="200" w:line="276" w:lineRule="auto"/>
      <w:ind w:left="1152" w:hanging="1152"/>
      <w:outlineLvl w:val="5"/>
    </w:pPr>
    <w:rPr>
      <w:rFonts w:ascii="Cambria" w:eastAsia="PMingLiU" w:hAnsi="Cambria"/>
      <w:i/>
      <w:iCs/>
      <w:color w:val="243F60"/>
      <w:sz w:val="22"/>
      <w:szCs w:val="22"/>
      <w:lang w:val="bg-BG" w:eastAsia="zh-TW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64F"/>
    <w:pPr>
      <w:keepNext/>
      <w:keepLines/>
      <w:spacing w:before="200" w:line="276" w:lineRule="auto"/>
      <w:ind w:left="1296" w:hanging="1296"/>
      <w:outlineLvl w:val="6"/>
    </w:pPr>
    <w:rPr>
      <w:rFonts w:ascii="Cambria" w:eastAsia="PMingLiU" w:hAnsi="Cambria"/>
      <w:i/>
      <w:iCs/>
      <w:color w:val="404040"/>
      <w:sz w:val="22"/>
      <w:szCs w:val="22"/>
      <w:lang w:val="bg-BG" w:eastAsia="zh-TW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64F"/>
    <w:pPr>
      <w:keepNext/>
      <w:keepLines/>
      <w:spacing w:before="200" w:line="276" w:lineRule="auto"/>
      <w:ind w:left="1440" w:hanging="1440"/>
      <w:outlineLvl w:val="7"/>
    </w:pPr>
    <w:rPr>
      <w:rFonts w:ascii="Cambria" w:eastAsia="PMingLiU" w:hAnsi="Cambria"/>
      <w:color w:val="404040"/>
      <w:sz w:val="20"/>
      <w:szCs w:val="20"/>
      <w:lang w:val="bg-BG" w:eastAsia="zh-TW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64F"/>
    <w:pPr>
      <w:keepNext/>
      <w:keepLines/>
      <w:spacing w:before="200" w:line="276" w:lineRule="auto"/>
      <w:ind w:left="1584" w:hanging="1584"/>
      <w:outlineLvl w:val="8"/>
    </w:pPr>
    <w:rPr>
      <w:rFonts w:ascii="Cambria" w:eastAsia="PMingLiU" w:hAnsi="Cambria"/>
      <w:i/>
      <w:iCs/>
      <w:color w:val="404040"/>
      <w:sz w:val="20"/>
      <w:szCs w:val="20"/>
      <w:lang w:val="bg-BG"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ing1Char">
    <w:name w:val="Heading 1 Char"/>
    <w:link w:val="Heading1"/>
    <w:uiPriority w:val="99"/>
    <w:rsid w:val="00D9764F"/>
    <w:rPr>
      <w:rFonts w:ascii="Cambria" w:eastAsia="PMingLiU" w:hAnsi="Cambria"/>
      <w:b/>
      <w:bCs/>
      <w:color w:val="365F91"/>
      <w:sz w:val="28"/>
      <w:szCs w:val="28"/>
      <w:lang w:val="bg-BG" w:eastAsia="zh-TW"/>
    </w:rPr>
  </w:style>
  <w:style w:type="character" w:customStyle="1" w:styleId="Heading4Char">
    <w:name w:val="Heading 4 Char"/>
    <w:link w:val="Heading4"/>
    <w:uiPriority w:val="99"/>
    <w:rsid w:val="00D9764F"/>
    <w:rPr>
      <w:rFonts w:ascii="Cambria" w:eastAsia="PMingLiU" w:hAnsi="Cambria"/>
      <w:b/>
      <w:bCs/>
      <w:i/>
      <w:iCs/>
      <w:color w:val="4F81BD"/>
      <w:sz w:val="22"/>
      <w:szCs w:val="22"/>
      <w:lang w:val="bg-BG" w:eastAsia="zh-TW"/>
    </w:rPr>
  </w:style>
  <w:style w:type="character" w:customStyle="1" w:styleId="Heading5Char">
    <w:name w:val="Heading 5 Char"/>
    <w:link w:val="Heading5"/>
    <w:uiPriority w:val="99"/>
    <w:rsid w:val="00D9764F"/>
    <w:rPr>
      <w:rFonts w:ascii="Cambria" w:eastAsia="PMingLiU" w:hAnsi="Cambria"/>
      <w:color w:val="243F60"/>
      <w:sz w:val="22"/>
      <w:szCs w:val="22"/>
      <w:lang w:val="bg-BG" w:eastAsia="zh-TW"/>
    </w:rPr>
  </w:style>
  <w:style w:type="character" w:customStyle="1" w:styleId="Heading6Char">
    <w:name w:val="Heading 6 Char"/>
    <w:link w:val="Heading6"/>
    <w:uiPriority w:val="99"/>
    <w:rsid w:val="00D9764F"/>
    <w:rPr>
      <w:rFonts w:ascii="Cambria" w:eastAsia="PMingLiU" w:hAnsi="Cambria"/>
      <w:i/>
      <w:iCs/>
      <w:color w:val="243F60"/>
      <w:sz w:val="22"/>
      <w:szCs w:val="22"/>
      <w:lang w:val="bg-BG" w:eastAsia="zh-TW"/>
    </w:rPr>
  </w:style>
  <w:style w:type="character" w:customStyle="1" w:styleId="Heading7Char">
    <w:name w:val="Heading 7 Char"/>
    <w:link w:val="Heading7"/>
    <w:uiPriority w:val="99"/>
    <w:rsid w:val="00D9764F"/>
    <w:rPr>
      <w:rFonts w:ascii="Cambria" w:eastAsia="PMingLiU" w:hAnsi="Cambria"/>
      <w:i/>
      <w:iCs/>
      <w:color w:val="404040"/>
      <w:sz w:val="22"/>
      <w:szCs w:val="22"/>
      <w:lang w:val="bg-BG" w:eastAsia="zh-TW"/>
    </w:rPr>
  </w:style>
  <w:style w:type="character" w:customStyle="1" w:styleId="Heading8Char">
    <w:name w:val="Heading 8 Char"/>
    <w:link w:val="Heading8"/>
    <w:uiPriority w:val="99"/>
    <w:rsid w:val="00D9764F"/>
    <w:rPr>
      <w:rFonts w:ascii="Cambria" w:eastAsia="PMingLiU" w:hAnsi="Cambria"/>
      <w:color w:val="404040"/>
      <w:lang w:val="bg-BG" w:eastAsia="zh-TW"/>
    </w:rPr>
  </w:style>
  <w:style w:type="character" w:customStyle="1" w:styleId="Heading9Char">
    <w:name w:val="Heading 9 Char"/>
    <w:link w:val="Heading9"/>
    <w:uiPriority w:val="99"/>
    <w:rsid w:val="00D9764F"/>
    <w:rPr>
      <w:rFonts w:ascii="Cambria" w:eastAsia="PMingLiU" w:hAnsi="Cambria"/>
      <w:i/>
      <w:iCs/>
      <w:color w:val="404040"/>
      <w:lang w:val="bg-BG" w:eastAsia="zh-TW"/>
    </w:rPr>
  </w:style>
  <w:style w:type="character" w:customStyle="1" w:styleId="Heading2Char">
    <w:name w:val="Heading 2 Char"/>
    <w:link w:val="Heading2"/>
    <w:uiPriority w:val="99"/>
    <w:locked/>
    <w:rsid w:val="00D9764F"/>
    <w:rPr>
      <w:b/>
      <w:bCs/>
      <w:sz w:val="24"/>
      <w:szCs w:val="24"/>
      <w:lang w:val="bg-BG"/>
    </w:rPr>
  </w:style>
  <w:style w:type="paragraph" w:styleId="ListParagraph">
    <w:name w:val="List Paragraph"/>
    <w:basedOn w:val="Normal"/>
    <w:uiPriority w:val="99"/>
    <w:qFormat/>
    <w:rsid w:val="00D9764F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val="bg-BG" w:eastAsia="zh-TW"/>
    </w:rPr>
  </w:style>
  <w:style w:type="character" w:customStyle="1" w:styleId="FooterChar">
    <w:name w:val="Footer Char"/>
    <w:link w:val="Footer"/>
    <w:uiPriority w:val="99"/>
    <w:rsid w:val="007B0CD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85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3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Banks\&#1057;&#1086;&#1089;&#1080;&#1077;&#1090;&#1077;%20&#1046;&#1077;&#1085;&#1077;&#1088;&#1072;&#1083;\BLANKA-potvyrxdenie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7F6F4-7041-4DDF-995F-7985236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BLANKA-potvyrxdenie-2.dot</Template>
  <TotalTime>1</TotalTime>
  <Pages>7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</dc:creator>
  <cp:keywords/>
  <cp:lastModifiedBy>Sofia Marinova</cp:lastModifiedBy>
  <cp:revision>2</cp:revision>
  <cp:lastPrinted>2021-06-22T13:44:00Z</cp:lastPrinted>
  <dcterms:created xsi:type="dcterms:W3CDTF">2025-03-31T10:16:00Z</dcterms:created>
  <dcterms:modified xsi:type="dcterms:W3CDTF">2025-03-31T10:16:00Z</dcterms:modified>
</cp:coreProperties>
</file>