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C6B36" w14:textId="77777777" w:rsidR="006E7FD5" w:rsidRPr="000E233F" w:rsidRDefault="006E7FD5" w:rsidP="006E7FD5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2349FB78" w14:textId="77777777" w:rsidR="002311AC" w:rsidRPr="00E36286" w:rsidRDefault="00571FD6" w:rsidP="006E7FD5">
      <w:pPr>
        <w:rPr>
          <w:rFonts w:ascii="Arial" w:hAnsi="Arial" w:cs="Arial"/>
          <w:b/>
          <w:sz w:val="22"/>
          <w:szCs w:val="22"/>
          <w:lang w:val="bg-BG"/>
        </w:rPr>
      </w:pPr>
      <w:r w:rsidRPr="00E36286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5866FE" w:rsidRPr="00E36286">
        <w:rPr>
          <w:rFonts w:ascii="Arial" w:hAnsi="Arial" w:cs="Arial"/>
          <w:b/>
          <w:sz w:val="22"/>
          <w:szCs w:val="22"/>
        </w:rPr>
        <w:tab/>
      </w:r>
      <w:r w:rsidR="002311AC" w:rsidRPr="00E36286">
        <w:rPr>
          <w:rFonts w:ascii="Arial" w:hAnsi="Arial" w:cs="Arial"/>
          <w:b/>
          <w:sz w:val="22"/>
          <w:szCs w:val="22"/>
          <w:lang w:val="bg-BG"/>
        </w:rPr>
        <w:tab/>
      </w:r>
    </w:p>
    <w:p w14:paraId="6840E004" w14:textId="77777777" w:rsidR="00D9764F" w:rsidRPr="00E36286" w:rsidRDefault="00BB202B" w:rsidP="00BB202B">
      <w:pPr>
        <w:tabs>
          <w:tab w:val="center" w:pos="4345"/>
          <w:tab w:val="left" w:pos="529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9764F" w:rsidRPr="00E36286">
        <w:rPr>
          <w:rFonts w:ascii="Arial" w:hAnsi="Arial" w:cs="Arial"/>
          <w:b/>
          <w:sz w:val="22"/>
          <w:szCs w:val="22"/>
        </w:rPr>
        <w:t>Доклад</w:t>
      </w:r>
      <w:r>
        <w:rPr>
          <w:rFonts w:ascii="Arial" w:hAnsi="Arial" w:cs="Arial"/>
          <w:b/>
          <w:sz w:val="22"/>
          <w:szCs w:val="22"/>
        </w:rPr>
        <w:tab/>
      </w:r>
    </w:p>
    <w:p w14:paraId="1BDEE6DA" w14:textId="77777777" w:rsidR="00D9764F" w:rsidRPr="00E36286" w:rsidRDefault="00A65AD0" w:rsidP="00D9764F">
      <w:pPr>
        <w:jc w:val="center"/>
        <w:rPr>
          <w:rFonts w:ascii="Arial" w:hAnsi="Arial" w:cs="Arial"/>
          <w:b/>
          <w:sz w:val="22"/>
          <w:szCs w:val="22"/>
        </w:rPr>
      </w:pPr>
      <w:r w:rsidRPr="00E36286">
        <w:rPr>
          <w:rFonts w:ascii="Arial" w:hAnsi="Arial" w:cs="Arial"/>
          <w:b/>
          <w:sz w:val="22"/>
          <w:szCs w:val="22"/>
          <w:lang w:val="bg-BG"/>
        </w:rPr>
        <w:t>от</w:t>
      </w:r>
      <w:r w:rsidR="00D9764F" w:rsidRPr="00E36286">
        <w:rPr>
          <w:rFonts w:ascii="Arial" w:hAnsi="Arial" w:cs="Arial"/>
          <w:b/>
          <w:sz w:val="22"/>
          <w:szCs w:val="22"/>
        </w:rPr>
        <w:t xml:space="preserve"> Де Ново ЕАД</w:t>
      </w:r>
    </w:p>
    <w:p w14:paraId="514AF42A" w14:textId="77777777" w:rsidR="00E36286" w:rsidRDefault="00D9764F" w:rsidP="00D9764F">
      <w:pPr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E36286">
        <w:rPr>
          <w:rFonts w:ascii="Arial" w:hAnsi="Arial" w:cs="Arial"/>
          <w:b/>
          <w:sz w:val="22"/>
          <w:szCs w:val="22"/>
        </w:rPr>
        <w:t xml:space="preserve">в качеството </w:t>
      </w:r>
      <w:r w:rsidRPr="00E36286">
        <w:rPr>
          <w:rFonts w:ascii="Arial" w:hAnsi="Arial" w:cs="Arial"/>
          <w:b/>
          <w:sz w:val="22"/>
          <w:szCs w:val="22"/>
          <w:lang w:val="bg-BG"/>
        </w:rPr>
        <w:t>му</w:t>
      </w:r>
      <w:r w:rsidRPr="00E36286">
        <w:rPr>
          <w:rFonts w:ascii="Arial" w:hAnsi="Arial" w:cs="Arial"/>
          <w:b/>
          <w:sz w:val="22"/>
          <w:szCs w:val="22"/>
        </w:rPr>
        <w:t xml:space="preserve"> на Довереник на облигационерите</w:t>
      </w:r>
    </w:p>
    <w:p w14:paraId="4385C739" w14:textId="77777777" w:rsidR="00627047" w:rsidRDefault="00A65AD0" w:rsidP="00D9764F">
      <w:pPr>
        <w:jc w:val="center"/>
        <w:rPr>
          <w:rFonts w:ascii="Arial" w:hAnsi="Arial" w:cs="Arial"/>
          <w:b/>
          <w:sz w:val="22"/>
          <w:szCs w:val="22"/>
        </w:rPr>
      </w:pPr>
      <w:r w:rsidRPr="00020416">
        <w:rPr>
          <w:rFonts w:ascii="Arial" w:hAnsi="Arial" w:cs="Arial"/>
          <w:b/>
          <w:sz w:val="22"/>
          <w:szCs w:val="22"/>
          <w:lang w:val="bg-BG"/>
        </w:rPr>
        <w:t xml:space="preserve"> по </w:t>
      </w:r>
      <w:r w:rsidRPr="00800B73">
        <w:rPr>
          <w:rFonts w:ascii="Arial" w:hAnsi="Arial" w:cs="Arial"/>
          <w:b/>
          <w:sz w:val="22"/>
          <w:szCs w:val="22"/>
          <w:lang w:val="bg-BG"/>
        </w:rPr>
        <w:t>емисия корпоративни облигации с емитент</w:t>
      </w:r>
      <w:r w:rsidR="00D9764F" w:rsidRPr="00800B73">
        <w:rPr>
          <w:rFonts w:ascii="Arial" w:hAnsi="Arial" w:cs="Arial"/>
          <w:b/>
          <w:sz w:val="22"/>
          <w:szCs w:val="22"/>
        </w:rPr>
        <w:t xml:space="preserve"> </w:t>
      </w:r>
      <w:r w:rsidR="00627047">
        <w:rPr>
          <w:rFonts w:ascii="Arial" w:hAnsi="Arial" w:cs="Arial"/>
          <w:b/>
          <w:sz w:val="22"/>
          <w:szCs w:val="22"/>
        </w:rPr>
        <w:t>ПАРК</w:t>
      </w:r>
      <w:r w:rsidR="0095096E">
        <w:rPr>
          <w:rFonts w:ascii="Arial" w:hAnsi="Arial" w:cs="Arial"/>
          <w:b/>
          <w:sz w:val="22"/>
          <w:szCs w:val="22"/>
        </w:rPr>
        <w:t xml:space="preserve"> АДСИЦ</w:t>
      </w:r>
      <w:r w:rsidRPr="00800B73">
        <w:rPr>
          <w:rFonts w:ascii="Arial" w:hAnsi="Arial" w:cs="Arial"/>
          <w:b/>
          <w:sz w:val="22"/>
          <w:szCs w:val="22"/>
          <w:lang w:val="bg-BG"/>
        </w:rPr>
        <w:t xml:space="preserve">, </w:t>
      </w:r>
    </w:p>
    <w:p w14:paraId="7E38B8FC" w14:textId="77777777" w:rsidR="00D9764F" w:rsidRPr="00800B73" w:rsidRDefault="00D9764F" w:rsidP="00D9764F">
      <w:pPr>
        <w:jc w:val="center"/>
        <w:rPr>
          <w:rFonts w:ascii="Arial" w:hAnsi="Arial" w:cs="Arial"/>
          <w:b/>
          <w:sz w:val="22"/>
          <w:szCs w:val="22"/>
        </w:rPr>
      </w:pPr>
      <w:r w:rsidRPr="00800B73">
        <w:rPr>
          <w:rFonts w:ascii="Arial" w:hAnsi="Arial" w:cs="Arial"/>
          <w:b/>
          <w:sz w:val="22"/>
          <w:szCs w:val="22"/>
        </w:rPr>
        <w:t>ISIN:</w:t>
      </w:r>
      <w:r w:rsidR="00687DB0">
        <w:rPr>
          <w:rFonts w:ascii="Arial" w:hAnsi="Arial" w:cs="Arial"/>
          <w:b/>
          <w:sz w:val="22"/>
          <w:szCs w:val="22"/>
        </w:rPr>
        <w:t xml:space="preserve"> </w:t>
      </w:r>
      <w:r w:rsidR="00627047" w:rsidRPr="00627047">
        <w:rPr>
          <w:rFonts w:ascii="Arial" w:hAnsi="Arial" w:cs="Arial"/>
          <w:b/>
          <w:sz w:val="22"/>
          <w:szCs w:val="22"/>
        </w:rPr>
        <w:t>BG2100006217</w:t>
      </w:r>
      <w:r w:rsidR="00A65AD0" w:rsidRPr="00800B73">
        <w:rPr>
          <w:rFonts w:ascii="Arial" w:hAnsi="Arial" w:cs="Arial"/>
          <w:b/>
          <w:sz w:val="22"/>
          <w:szCs w:val="22"/>
          <w:lang w:val="bg-BG"/>
        </w:rPr>
        <w:t xml:space="preserve">, </w:t>
      </w:r>
      <w:r w:rsidR="005B3E71" w:rsidRPr="00800B73">
        <w:rPr>
          <w:rFonts w:ascii="Arial" w:hAnsi="Arial" w:cs="Arial"/>
          <w:b/>
          <w:sz w:val="22"/>
          <w:szCs w:val="22"/>
          <w:lang w:val="bg-BG"/>
        </w:rPr>
        <w:t>б</w:t>
      </w:r>
      <w:r w:rsidRPr="00800B73">
        <w:rPr>
          <w:rFonts w:ascii="Arial" w:hAnsi="Arial" w:cs="Arial"/>
          <w:b/>
          <w:sz w:val="22"/>
          <w:szCs w:val="22"/>
        </w:rPr>
        <w:t>орсов код:</w:t>
      </w:r>
      <w:r w:rsidR="00800B73" w:rsidRPr="00800B73">
        <w:rPr>
          <w:rFonts w:ascii="Arial" w:hAnsi="Arial" w:cs="Arial"/>
          <w:b/>
          <w:sz w:val="22"/>
          <w:szCs w:val="22"/>
        </w:rPr>
        <w:t xml:space="preserve"> </w:t>
      </w:r>
      <w:r w:rsidR="00092D88">
        <w:rPr>
          <w:rFonts w:ascii="Arial" w:hAnsi="Arial" w:cs="Arial"/>
          <w:b/>
          <w:sz w:val="22"/>
          <w:szCs w:val="22"/>
        </w:rPr>
        <w:t>PARB</w:t>
      </w:r>
    </w:p>
    <w:p w14:paraId="611D8F3C" w14:textId="77777777" w:rsidR="00D9764F" w:rsidRPr="006D29ED" w:rsidRDefault="00D9764F" w:rsidP="00D9764F">
      <w:pPr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E36286">
        <w:rPr>
          <w:rFonts w:ascii="Arial" w:hAnsi="Arial" w:cs="Arial"/>
          <w:b/>
          <w:sz w:val="22"/>
          <w:szCs w:val="22"/>
        </w:rPr>
        <w:t>Период: 01.</w:t>
      </w:r>
      <w:r w:rsidR="00AE2B02">
        <w:rPr>
          <w:rFonts w:ascii="Arial" w:hAnsi="Arial" w:cs="Arial"/>
          <w:b/>
          <w:sz w:val="22"/>
          <w:szCs w:val="22"/>
        </w:rPr>
        <w:t>0</w:t>
      </w:r>
      <w:r w:rsidR="00B04095">
        <w:rPr>
          <w:rFonts w:ascii="Arial" w:hAnsi="Arial" w:cs="Arial"/>
          <w:b/>
          <w:sz w:val="22"/>
          <w:szCs w:val="22"/>
        </w:rPr>
        <w:t>4</w:t>
      </w:r>
      <w:r w:rsidRPr="00E36286">
        <w:rPr>
          <w:rFonts w:ascii="Arial" w:hAnsi="Arial" w:cs="Arial"/>
          <w:b/>
          <w:sz w:val="22"/>
          <w:szCs w:val="22"/>
        </w:rPr>
        <w:t>.20</w:t>
      </w:r>
      <w:r w:rsidR="009D6ACC">
        <w:rPr>
          <w:rFonts w:ascii="Arial" w:hAnsi="Arial" w:cs="Arial"/>
          <w:b/>
          <w:sz w:val="22"/>
          <w:szCs w:val="22"/>
        </w:rPr>
        <w:t>2</w:t>
      </w:r>
      <w:r w:rsidR="00AE2B02">
        <w:rPr>
          <w:rFonts w:ascii="Arial" w:hAnsi="Arial" w:cs="Arial"/>
          <w:b/>
          <w:sz w:val="22"/>
          <w:szCs w:val="22"/>
        </w:rPr>
        <w:t>4</w:t>
      </w:r>
      <w:r w:rsidR="00F52C95">
        <w:rPr>
          <w:rFonts w:ascii="Arial" w:hAnsi="Arial" w:cs="Arial"/>
          <w:b/>
          <w:sz w:val="22"/>
          <w:szCs w:val="22"/>
        </w:rPr>
        <w:t xml:space="preserve"> </w:t>
      </w:r>
      <w:r w:rsidRPr="00E36286">
        <w:rPr>
          <w:rFonts w:ascii="Arial" w:hAnsi="Arial" w:cs="Arial"/>
          <w:b/>
          <w:sz w:val="22"/>
          <w:szCs w:val="22"/>
        </w:rPr>
        <w:t>г</w:t>
      </w:r>
      <w:r w:rsidR="009B7A95">
        <w:rPr>
          <w:rFonts w:ascii="Arial" w:hAnsi="Arial" w:cs="Arial"/>
          <w:b/>
          <w:sz w:val="22"/>
          <w:szCs w:val="22"/>
        </w:rPr>
        <w:t>.</w:t>
      </w:r>
      <w:r w:rsidRPr="00E36286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E36286">
        <w:rPr>
          <w:rFonts w:ascii="Arial" w:hAnsi="Arial" w:cs="Arial"/>
          <w:b/>
          <w:sz w:val="22"/>
          <w:szCs w:val="22"/>
        </w:rPr>
        <w:t>- 3</w:t>
      </w:r>
      <w:r w:rsidR="00B04095">
        <w:rPr>
          <w:rFonts w:ascii="Arial" w:hAnsi="Arial" w:cs="Arial"/>
          <w:b/>
          <w:sz w:val="22"/>
          <w:szCs w:val="22"/>
        </w:rPr>
        <w:t>0</w:t>
      </w:r>
      <w:r w:rsidRPr="00E36286">
        <w:rPr>
          <w:rFonts w:ascii="Arial" w:hAnsi="Arial" w:cs="Arial"/>
          <w:b/>
          <w:sz w:val="22"/>
          <w:szCs w:val="22"/>
        </w:rPr>
        <w:t>.</w:t>
      </w:r>
      <w:r w:rsidR="00AE2B02">
        <w:rPr>
          <w:rFonts w:ascii="Arial" w:hAnsi="Arial" w:cs="Arial"/>
          <w:b/>
          <w:sz w:val="22"/>
          <w:szCs w:val="22"/>
        </w:rPr>
        <w:t>0</w:t>
      </w:r>
      <w:r w:rsidR="00B04095">
        <w:rPr>
          <w:rFonts w:ascii="Arial" w:hAnsi="Arial" w:cs="Arial"/>
          <w:b/>
          <w:sz w:val="22"/>
          <w:szCs w:val="22"/>
        </w:rPr>
        <w:t>6</w:t>
      </w:r>
      <w:r w:rsidRPr="00E36286">
        <w:rPr>
          <w:rFonts w:ascii="Arial" w:hAnsi="Arial" w:cs="Arial"/>
          <w:b/>
          <w:sz w:val="22"/>
          <w:szCs w:val="22"/>
        </w:rPr>
        <w:t>.20</w:t>
      </w:r>
      <w:r w:rsidR="009D6ACC">
        <w:rPr>
          <w:rFonts w:ascii="Arial" w:hAnsi="Arial" w:cs="Arial"/>
          <w:b/>
          <w:sz w:val="22"/>
          <w:szCs w:val="22"/>
        </w:rPr>
        <w:t>2</w:t>
      </w:r>
      <w:r w:rsidR="00AE2B02">
        <w:rPr>
          <w:rFonts w:ascii="Arial" w:hAnsi="Arial" w:cs="Arial"/>
          <w:b/>
          <w:sz w:val="22"/>
          <w:szCs w:val="22"/>
        </w:rPr>
        <w:t>4</w:t>
      </w:r>
      <w:r w:rsidR="00F52C95">
        <w:rPr>
          <w:rFonts w:ascii="Arial" w:hAnsi="Arial" w:cs="Arial"/>
          <w:b/>
          <w:sz w:val="22"/>
          <w:szCs w:val="22"/>
        </w:rPr>
        <w:t xml:space="preserve"> </w:t>
      </w:r>
      <w:r w:rsidR="002D476D">
        <w:rPr>
          <w:rFonts w:ascii="Arial" w:hAnsi="Arial" w:cs="Arial"/>
          <w:b/>
          <w:sz w:val="22"/>
          <w:szCs w:val="22"/>
        </w:rPr>
        <w:t>г</w:t>
      </w:r>
      <w:r w:rsidR="00142D94">
        <w:rPr>
          <w:rFonts w:ascii="Arial" w:hAnsi="Arial" w:cs="Arial"/>
          <w:b/>
          <w:sz w:val="22"/>
          <w:szCs w:val="22"/>
        </w:rPr>
        <w:t>.</w:t>
      </w:r>
    </w:p>
    <w:p w14:paraId="460CDC05" w14:textId="77777777" w:rsidR="00D9764F" w:rsidRDefault="00D9764F" w:rsidP="00D9764F">
      <w:pPr>
        <w:jc w:val="center"/>
        <w:rPr>
          <w:rFonts w:ascii="Arial" w:hAnsi="Arial" w:cs="Arial"/>
          <w:b/>
          <w:sz w:val="22"/>
          <w:szCs w:val="22"/>
          <w:lang w:val="bg-BG"/>
        </w:rPr>
      </w:pPr>
    </w:p>
    <w:p w14:paraId="766182E1" w14:textId="77777777" w:rsidR="00E36286" w:rsidRPr="000C4B03" w:rsidRDefault="00E36286" w:rsidP="000C4B03">
      <w:pPr>
        <w:rPr>
          <w:rFonts w:ascii="Arial" w:hAnsi="Arial" w:cs="Arial"/>
          <w:b/>
          <w:sz w:val="22"/>
          <w:szCs w:val="22"/>
        </w:rPr>
      </w:pPr>
    </w:p>
    <w:p w14:paraId="15E6F47E" w14:textId="77777777" w:rsidR="00D9764F" w:rsidRPr="00E36286" w:rsidRDefault="00D9764F" w:rsidP="00A65AD0">
      <w:pPr>
        <w:jc w:val="both"/>
        <w:rPr>
          <w:rFonts w:ascii="Arial" w:hAnsi="Arial" w:cs="Arial"/>
          <w:sz w:val="22"/>
          <w:szCs w:val="22"/>
        </w:rPr>
      </w:pPr>
      <w:r w:rsidRPr="00E36286">
        <w:rPr>
          <w:rFonts w:ascii="Arial" w:hAnsi="Arial" w:cs="Arial"/>
          <w:sz w:val="22"/>
          <w:szCs w:val="22"/>
        </w:rPr>
        <w:t>Настоящия</w:t>
      </w:r>
      <w:r w:rsidR="00BE512E" w:rsidRPr="00E36286">
        <w:rPr>
          <w:rFonts w:ascii="Arial" w:hAnsi="Arial" w:cs="Arial"/>
          <w:sz w:val="22"/>
          <w:szCs w:val="22"/>
          <w:lang w:val="bg-BG"/>
        </w:rPr>
        <w:t>т</w:t>
      </w:r>
      <w:r w:rsidRPr="00E36286">
        <w:rPr>
          <w:rFonts w:ascii="Arial" w:hAnsi="Arial" w:cs="Arial"/>
          <w:sz w:val="22"/>
          <w:szCs w:val="22"/>
        </w:rPr>
        <w:t xml:space="preserve"> доклад е изготвен в съответствие </w:t>
      </w:r>
      <w:r w:rsidR="00BE512E" w:rsidRPr="00E36286">
        <w:rPr>
          <w:rFonts w:ascii="Arial" w:hAnsi="Arial" w:cs="Arial"/>
          <w:sz w:val="22"/>
          <w:szCs w:val="22"/>
        </w:rPr>
        <w:t>с изискванията на чл. 100ж, ал.</w:t>
      </w:r>
      <w:r w:rsidRPr="00E36286">
        <w:rPr>
          <w:rFonts w:ascii="Arial" w:hAnsi="Arial" w:cs="Arial"/>
          <w:sz w:val="22"/>
          <w:szCs w:val="22"/>
        </w:rPr>
        <w:t>1, т.</w:t>
      </w:r>
      <w:r w:rsidRPr="00E36286">
        <w:rPr>
          <w:rFonts w:ascii="Arial" w:hAnsi="Arial" w:cs="Arial"/>
          <w:sz w:val="22"/>
          <w:szCs w:val="22"/>
          <w:lang w:val="ru-RU"/>
        </w:rPr>
        <w:t>3</w:t>
      </w:r>
      <w:r w:rsidRPr="00E36286">
        <w:rPr>
          <w:rFonts w:ascii="Arial" w:hAnsi="Arial" w:cs="Arial"/>
          <w:sz w:val="22"/>
          <w:szCs w:val="22"/>
        </w:rPr>
        <w:t xml:space="preserve"> от Закона за публично</w:t>
      </w:r>
      <w:r w:rsidR="00B9139C">
        <w:rPr>
          <w:rFonts w:ascii="Arial" w:hAnsi="Arial" w:cs="Arial"/>
          <w:sz w:val="22"/>
          <w:szCs w:val="22"/>
          <w:lang w:val="bg-BG"/>
        </w:rPr>
        <w:t>то</w:t>
      </w:r>
      <w:r w:rsidRPr="00E36286">
        <w:rPr>
          <w:rFonts w:ascii="Arial" w:hAnsi="Arial" w:cs="Arial"/>
          <w:sz w:val="22"/>
          <w:szCs w:val="22"/>
        </w:rPr>
        <w:t xml:space="preserve"> предлагане на ценни книжа </w:t>
      </w:r>
      <w:r w:rsidR="00DC70E5">
        <w:rPr>
          <w:rFonts w:ascii="Arial" w:hAnsi="Arial" w:cs="Arial"/>
          <w:sz w:val="22"/>
          <w:szCs w:val="22"/>
          <w:lang w:val="bg-BG"/>
        </w:rPr>
        <w:t>/</w:t>
      </w:r>
      <w:r w:rsidRPr="00E36286">
        <w:rPr>
          <w:rFonts w:ascii="Arial" w:hAnsi="Arial" w:cs="Arial"/>
          <w:sz w:val="22"/>
          <w:szCs w:val="22"/>
        </w:rPr>
        <w:t>ЗППЦК</w:t>
      </w:r>
      <w:r w:rsidR="00DC70E5">
        <w:rPr>
          <w:rFonts w:ascii="Arial" w:hAnsi="Arial" w:cs="Arial"/>
          <w:sz w:val="22"/>
          <w:szCs w:val="22"/>
          <w:lang w:val="bg-BG"/>
        </w:rPr>
        <w:t>/</w:t>
      </w:r>
      <w:r w:rsidRPr="00E36286">
        <w:rPr>
          <w:rFonts w:ascii="Arial" w:hAnsi="Arial" w:cs="Arial"/>
          <w:sz w:val="22"/>
          <w:szCs w:val="22"/>
        </w:rPr>
        <w:t xml:space="preserve">, в изпълнение на задълженията на Де Ново ЕАД в качеството </w:t>
      </w:r>
      <w:r w:rsidR="000846F9" w:rsidRPr="00E36286">
        <w:rPr>
          <w:rFonts w:ascii="Arial" w:hAnsi="Arial" w:cs="Arial"/>
          <w:sz w:val="22"/>
          <w:szCs w:val="22"/>
          <w:lang w:val="bg-BG"/>
        </w:rPr>
        <w:t>му</w:t>
      </w:r>
      <w:r w:rsidRPr="00E36286">
        <w:rPr>
          <w:rFonts w:ascii="Arial" w:hAnsi="Arial" w:cs="Arial"/>
          <w:sz w:val="22"/>
          <w:szCs w:val="22"/>
        </w:rPr>
        <w:t xml:space="preserve"> на Довереник на облигационерите по емисия корпоративни облигации</w:t>
      </w:r>
      <w:r w:rsidR="00DC70E5" w:rsidRPr="00DC70E5">
        <w:rPr>
          <w:rFonts w:ascii="Arial" w:hAnsi="Arial" w:cs="Arial"/>
          <w:sz w:val="22"/>
          <w:szCs w:val="22"/>
        </w:rPr>
        <w:t xml:space="preserve"> </w:t>
      </w:r>
      <w:r w:rsidR="00DC70E5" w:rsidRPr="00E36286">
        <w:rPr>
          <w:rFonts w:ascii="Arial" w:hAnsi="Arial" w:cs="Arial"/>
          <w:sz w:val="22"/>
          <w:szCs w:val="22"/>
        </w:rPr>
        <w:t>ISIN:</w:t>
      </w:r>
      <w:r w:rsidR="00687DB0">
        <w:rPr>
          <w:rFonts w:ascii="Arial" w:hAnsi="Arial" w:cs="Arial"/>
          <w:sz w:val="22"/>
          <w:szCs w:val="22"/>
        </w:rPr>
        <w:t xml:space="preserve"> </w:t>
      </w:r>
      <w:r w:rsidR="00627047" w:rsidRPr="00627047">
        <w:rPr>
          <w:rFonts w:ascii="Arial" w:hAnsi="Arial" w:cs="Arial"/>
          <w:sz w:val="22"/>
          <w:szCs w:val="22"/>
        </w:rPr>
        <w:t>BG2100006217</w:t>
      </w:r>
      <w:r w:rsidRPr="00E36286">
        <w:rPr>
          <w:rFonts w:ascii="Arial" w:hAnsi="Arial" w:cs="Arial"/>
          <w:sz w:val="22"/>
          <w:szCs w:val="22"/>
        </w:rPr>
        <w:t>, емитирани от</w:t>
      </w:r>
      <w:r w:rsidR="00DC70E5" w:rsidRPr="00DC70E5">
        <w:rPr>
          <w:rFonts w:ascii="Arial" w:hAnsi="Arial" w:cs="Arial"/>
          <w:sz w:val="22"/>
          <w:szCs w:val="22"/>
          <w:lang w:val="bg-BG"/>
        </w:rPr>
        <w:t xml:space="preserve"> </w:t>
      </w:r>
      <w:r w:rsidR="00627047">
        <w:rPr>
          <w:rFonts w:ascii="Arial" w:hAnsi="Arial" w:cs="Arial"/>
          <w:sz w:val="22"/>
          <w:szCs w:val="22"/>
        </w:rPr>
        <w:t>ПАРК АДСИЦ</w:t>
      </w:r>
      <w:r w:rsidRPr="00E36286">
        <w:rPr>
          <w:rFonts w:ascii="Arial" w:hAnsi="Arial" w:cs="Arial"/>
          <w:sz w:val="22"/>
          <w:szCs w:val="22"/>
        </w:rPr>
        <w:t xml:space="preserve"> на </w:t>
      </w:r>
      <w:r w:rsidR="00722494">
        <w:rPr>
          <w:rFonts w:ascii="Arial" w:hAnsi="Arial" w:cs="Arial"/>
          <w:sz w:val="22"/>
          <w:szCs w:val="22"/>
        </w:rPr>
        <w:t>09</w:t>
      </w:r>
      <w:r w:rsidRPr="00E36286">
        <w:rPr>
          <w:rFonts w:ascii="Arial" w:hAnsi="Arial" w:cs="Arial"/>
          <w:sz w:val="22"/>
          <w:szCs w:val="22"/>
        </w:rPr>
        <w:t>.</w:t>
      </w:r>
      <w:r w:rsidR="00722494">
        <w:rPr>
          <w:rFonts w:ascii="Arial" w:hAnsi="Arial" w:cs="Arial"/>
          <w:sz w:val="22"/>
          <w:szCs w:val="22"/>
        </w:rPr>
        <w:t>06</w:t>
      </w:r>
      <w:r w:rsidRPr="00E36286">
        <w:rPr>
          <w:rFonts w:ascii="Arial" w:hAnsi="Arial" w:cs="Arial"/>
          <w:sz w:val="22"/>
          <w:szCs w:val="22"/>
        </w:rPr>
        <w:t>.</w:t>
      </w:r>
      <w:r w:rsidR="00D01306">
        <w:rPr>
          <w:rFonts w:ascii="Arial" w:hAnsi="Arial" w:cs="Arial"/>
          <w:sz w:val="22"/>
          <w:szCs w:val="22"/>
          <w:lang w:val="bg-BG"/>
        </w:rPr>
        <w:t xml:space="preserve">2021 </w:t>
      </w:r>
      <w:r w:rsidR="00675AA4">
        <w:rPr>
          <w:rFonts w:ascii="Arial" w:hAnsi="Arial" w:cs="Arial"/>
          <w:sz w:val="22"/>
          <w:szCs w:val="22"/>
        </w:rPr>
        <w:t>г.</w:t>
      </w:r>
    </w:p>
    <w:p w14:paraId="583E37E6" w14:textId="77777777" w:rsidR="00E36286" w:rsidRPr="00E36286" w:rsidRDefault="00E36286" w:rsidP="00A65AD0">
      <w:pPr>
        <w:jc w:val="both"/>
        <w:rPr>
          <w:rFonts w:ascii="Arial" w:hAnsi="Arial" w:cs="Arial"/>
          <w:sz w:val="22"/>
          <w:szCs w:val="22"/>
        </w:rPr>
      </w:pPr>
    </w:p>
    <w:p w14:paraId="65F3603F" w14:textId="77777777" w:rsidR="00E36286" w:rsidRPr="00E36286" w:rsidRDefault="00E36286" w:rsidP="00A65AD0">
      <w:pPr>
        <w:jc w:val="both"/>
        <w:rPr>
          <w:rFonts w:ascii="Arial" w:hAnsi="Arial" w:cs="Arial"/>
          <w:sz w:val="22"/>
          <w:szCs w:val="22"/>
          <w:lang w:val="bg-BG"/>
        </w:rPr>
      </w:pPr>
      <w:r w:rsidRPr="00E36286">
        <w:rPr>
          <w:rFonts w:ascii="Arial" w:hAnsi="Arial" w:cs="Arial"/>
          <w:sz w:val="22"/>
          <w:szCs w:val="22"/>
        </w:rPr>
        <w:t xml:space="preserve">Де Ново ЕАД 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изпълнява </w:t>
      </w:r>
      <w:r w:rsidRPr="00E36286">
        <w:rPr>
          <w:rFonts w:ascii="Arial" w:hAnsi="Arial" w:cs="Arial"/>
          <w:sz w:val="22"/>
          <w:szCs w:val="22"/>
        </w:rPr>
        <w:t>функциите на довереник на облигационерите по емисия  ISIN:</w:t>
      </w:r>
      <w:r w:rsidR="00687DB0">
        <w:rPr>
          <w:rFonts w:ascii="Arial" w:hAnsi="Arial" w:cs="Arial"/>
          <w:sz w:val="22"/>
          <w:szCs w:val="22"/>
        </w:rPr>
        <w:t xml:space="preserve"> </w:t>
      </w:r>
      <w:r w:rsidR="00627047">
        <w:rPr>
          <w:rFonts w:ascii="Arial" w:hAnsi="Arial" w:cs="Arial"/>
          <w:sz w:val="22"/>
          <w:szCs w:val="22"/>
        </w:rPr>
        <w:t>BG2100006217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, въз основа </w:t>
      </w:r>
      <w:r w:rsidRPr="00E36286">
        <w:rPr>
          <w:rFonts w:ascii="Arial" w:hAnsi="Arial" w:cs="Arial"/>
          <w:sz w:val="22"/>
          <w:szCs w:val="22"/>
        </w:rPr>
        <w:t>на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 договор </w:t>
      </w:r>
      <w:r w:rsidR="00001E46" w:rsidRPr="00E36286">
        <w:rPr>
          <w:rFonts w:ascii="Arial" w:hAnsi="Arial" w:cs="Arial"/>
          <w:sz w:val="22"/>
          <w:szCs w:val="22"/>
          <w:lang w:val="bg-BG"/>
        </w:rPr>
        <w:t xml:space="preserve">от </w:t>
      </w:r>
      <w:r w:rsidR="00300986">
        <w:rPr>
          <w:rFonts w:ascii="Arial" w:hAnsi="Arial" w:cs="Arial"/>
          <w:sz w:val="22"/>
          <w:szCs w:val="22"/>
        </w:rPr>
        <w:t>09</w:t>
      </w:r>
      <w:r w:rsidR="00001E46" w:rsidRPr="00E36286">
        <w:rPr>
          <w:rFonts w:ascii="Arial" w:hAnsi="Arial" w:cs="Arial"/>
          <w:sz w:val="22"/>
          <w:szCs w:val="22"/>
          <w:lang w:val="bg-BG"/>
        </w:rPr>
        <w:t>.</w:t>
      </w:r>
      <w:r w:rsidR="00300986">
        <w:rPr>
          <w:rFonts w:ascii="Arial" w:hAnsi="Arial" w:cs="Arial"/>
          <w:sz w:val="22"/>
          <w:szCs w:val="22"/>
        </w:rPr>
        <w:t>06</w:t>
      </w:r>
      <w:r w:rsidR="00001E46" w:rsidRPr="00E36286">
        <w:rPr>
          <w:rFonts w:ascii="Arial" w:hAnsi="Arial" w:cs="Arial"/>
          <w:sz w:val="22"/>
          <w:szCs w:val="22"/>
          <w:lang w:val="bg-BG"/>
        </w:rPr>
        <w:t>.20</w:t>
      </w:r>
      <w:r w:rsidR="00300986">
        <w:rPr>
          <w:rFonts w:ascii="Arial" w:hAnsi="Arial" w:cs="Arial"/>
          <w:sz w:val="22"/>
          <w:szCs w:val="22"/>
        </w:rPr>
        <w:t>21</w:t>
      </w:r>
      <w:r w:rsidR="00BB0B67">
        <w:rPr>
          <w:rFonts w:ascii="Arial" w:hAnsi="Arial" w:cs="Arial"/>
          <w:sz w:val="22"/>
          <w:szCs w:val="22"/>
        </w:rPr>
        <w:t xml:space="preserve"> </w:t>
      </w:r>
      <w:r w:rsidR="00001E46" w:rsidRPr="00E36286">
        <w:rPr>
          <w:rFonts w:ascii="Arial" w:hAnsi="Arial" w:cs="Arial"/>
          <w:sz w:val="22"/>
          <w:szCs w:val="22"/>
          <w:lang w:val="bg-BG"/>
        </w:rPr>
        <w:t xml:space="preserve">г. 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сключен с емитента </w:t>
      </w:r>
      <w:r w:rsidR="00627047">
        <w:rPr>
          <w:rFonts w:ascii="Arial" w:hAnsi="Arial" w:cs="Arial"/>
          <w:sz w:val="22"/>
          <w:szCs w:val="22"/>
          <w:lang w:val="bg-BG"/>
        </w:rPr>
        <w:t>ПАРК АДСИЦ</w:t>
      </w:r>
      <w:r w:rsidRPr="00E36286">
        <w:rPr>
          <w:rFonts w:ascii="Arial" w:hAnsi="Arial" w:cs="Arial"/>
          <w:sz w:val="22"/>
          <w:szCs w:val="22"/>
        </w:rPr>
        <w:t>.</w:t>
      </w:r>
    </w:p>
    <w:p w14:paraId="44C04E18" w14:textId="77777777" w:rsidR="00EE419A" w:rsidRPr="00E36286" w:rsidRDefault="00EE419A" w:rsidP="00A65AD0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2080B634" w14:textId="77777777" w:rsidR="00EE419A" w:rsidRPr="00E36286" w:rsidRDefault="00EE419A" w:rsidP="00A65AD0">
      <w:pPr>
        <w:jc w:val="both"/>
        <w:rPr>
          <w:rFonts w:ascii="Arial" w:hAnsi="Arial" w:cs="Arial"/>
          <w:sz w:val="22"/>
          <w:szCs w:val="22"/>
          <w:lang w:val="bg-BG"/>
        </w:rPr>
      </w:pPr>
      <w:r w:rsidRPr="00E36286">
        <w:rPr>
          <w:rFonts w:ascii="Arial" w:hAnsi="Arial" w:cs="Arial"/>
          <w:color w:val="000000"/>
          <w:sz w:val="22"/>
          <w:szCs w:val="22"/>
          <w:shd w:val="clear" w:color="auto" w:fill="FFFFFF"/>
          <w:lang w:val="bg-BG"/>
        </w:rPr>
        <w:t xml:space="preserve">С </w:t>
      </w:r>
      <w:r w:rsidRPr="00E36286">
        <w:rPr>
          <w:rFonts w:ascii="Arial" w:hAnsi="Arial" w:cs="Arial"/>
          <w:color w:val="000000"/>
          <w:sz w:val="22"/>
          <w:szCs w:val="22"/>
          <w:shd w:val="clear" w:color="auto" w:fill="FFFFFF"/>
        </w:rPr>
        <w:t>Решение №</w:t>
      </w:r>
      <w:r w:rsidR="00300986">
        <w:rPr>
          <w:rFonts w:ascii="Arial" w:hAnsi="Arial" w:cs="Arial"/>
          <w:color w:val="000000"/>
          <w:sz w:val="22"/>
          <w:szCs w:val="22"/>
          <w:shd w:val="clear" w:color="auto" w:fill="FFFFFF"/>
        </w:rPr>
        <w:t>770</w:t>
      </w:r>
      <w:r w:rsidRPr="00E3628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-Е от </w:t>
      </w:r>
      <w:r w:rsidR="00300986">
        <w:rPr>
          <w:rFonts w:ascii="Arial" w:hAnsi="Arial" w:cs="Arial"/>
          <w:color w:val="000000"/>
          <w:sz w:val="22"/>
          <w:szCs w:val="22"/>
          <w:shd w:val="clear" w:color="auto" w:fill="FFFFFF"/>
        </w:rPr>
        <w:t>19</w:t>
      </w:r>
      <w:r w:rsidRPr="00E36286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300986">
        <w:rPr>
          <w:rFonts w:ascii="Arial" w:hAnsi="Arial" w:cs="Arial"/>
          <w:color w:val="000000"/>
          <w:sz w:val="22"/>
          <w:szCs w:val="22"/>
          <w:shd w:val="clear" w:color="auto" w:fill="FFFFFF"/>
        </w:rPr>
        <w:t>10</w:t>
      </w:r>
      <w:r w:rsidRPr="00E36286">
        <w:rPr>
          <w:rFonts w:ascii="Arial" w:hAnsi="Arial" w:cs="Arial"/>
          <w:color w:val="000000"/>
          <w:sz w:val="22"/>
          <w:szCs w:val="22"/>
          <w:shd w:val="clear" w:color="auto" w:fill="FFFFFF"/>
        </w:rPr>
        <w:t>.20</w:t>
      </w:r>
      <w:r w:rsidR="00300986">
        <w:rPr>
          <w:rFonts w:ascii="Arial" w:hAnsi="Arial" w:cs="Arial"/>
          <w:color w:val="000000"/>
          <w:sz w:val="22"/>
          <w:szCs w:val="22"/>
          <w:shd w:val="clear" w:color="auto" w:fill="FFFFFF"/>
        </w:rPr>
        <w:t>21</w:t>
      </w:r>
      <w:r w:rsidR="00A715F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E36286">
        <w:rPr>
          <w:rFonts w:ascii="Arial" w:hAnsi="Arial" w:cs="Arial"/>
          <w:color w:val="000000"/>
          <w:sz w:val="22"/>
          <w:szCs w:val="22"/>
          <w:shd w:val="clear" w:color="auto" w:fill="FFFFFF"/>
        </w:rPr>
        <w:t>г.</w:t>
      </w:r>
      <w:r w:rsidRPr="00E36286">
        <w:rPr>
          <w:rFonts w:ascii="Arial" w:hAnsi="Arial" w:cs="Arial"/>
          <w:color w:val="000000"/>
          <w:sz w:val="22"/>
          <w:szCs w:val="22"/>
          <w:shd w:val="clear" w:color="auto" w:fill="FFFFFF"/>
          <w:lang w:val="bg-BG"/>
        </w:rPr>
        <w:t xml:space="preserve">, Комисията за финансов надзор /КФН/ потвърждава Проспект за допускане до търговия на регулиран пазар на емисията облигации </w:t>
      </w:r>
      <w:r w:rsidRPr="00E36286">
        <w:rPr>
          <w:rFonts w:ascii="Arial" w:hAnsi="Arial" w:cs="Arial"/>
          <w:sz w:val="22"/>
          <w:szCs w:val="22"/>
        </w:rPr>
        <w:t>ISIN:</w:t>
      </w:r>
      <w:r w:rsidR="00687DB0">
        <w:rPr>
          <w:rFonts w:ascii="Arial" w:hAnsi="Arial" w:cs="Arial"/>
          <w:sz w:val="22"/>
          <w:szCs w:val="22"/>
        </w:rPr>
        <w:t xml:space="preserve"> </w:t>
      </w:r>
      <w:r w:rsidR="00627047">
        <w:rPr>
          <w:rFonts w:ascii="Arial" w:hAnsi="Arial" w:cs="Arial"/>
          <w:sz w:val="22"/>
          <w:szCs w:val="22"/>
        </w:rPr>
        <w:t>BG2100006217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, </w:t>
      </w:r>
      <w:r w:rsidRPr="00E36286">
        <w:rPr>
          <w:rFonts w:ascii="Arial" w:hAnsi="Arial" w:cs="Arial"/>
          <w:color w:val="000000"/>
          <w:sz w:val="22"/>
          <w:szCs w:val="22"/>
          <w:shd w:val="clear" w:color="auto" w:fill="FFFFFF"/>
          <w:lang w:val="bg-BG"/>
        </w:rPr>
        <w:t>с емитент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 </w:t>
      </w:r>
      <w:r w:rsidR="00627047">
        <w:rPr>
          <w:rFonts w:ascii="Arial" w:hAnsi="Arial" w:cs="Arial"/>
          <w:sz w:val="22"/>
          <w:szCs w:val="22"/>
          <w:lang w:val="bg-BG"/>
        </w:rPr>
        <w:t>ПАРК АДСИЦ</w:t>
      </w:r>
      <w:r w:rsidRPr="00E36286">
        <w:rPr>
          <w:rFonts w:ascii="Arial" w:hAnsi="Arial" w:cs="Arial"/>
          <w:sz w:val="22"/>
          <w:szCs w:val="22"/>
          <w:lang w:val="bg-BG"/>
        </w:rPr>
        <w:t>.</w:t>
      </w:r>
    </w:p>
    <w:p w14:paraId="04DAA74F" w14:textId="77777777" w:rsidR="00EE419A" w:rsidRPr="00E36286" w:rsidRDefault="00EE419A" w:rsidP="00A65AD0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535140F0" w14:textId="77777777" w:rsidR="00EE419A" w:rsidRPr="00E36286" w:rsidRDefault="00EE419A" w:rsidP="00A65AD0">
      <w:pPr>
        <w:jc w:val="both"/>
        <w:rPr>
          <w:rFonts w:ascii="Arial" w:hAnsi="Arial" w:cs="Arial"/>
          <w:sz w:val="22"/>
          <w:szCs w:val="22"/>
          <w:lang w:val="bg-BG"/>
        </w:rPr>
      </w:pPr>
      <w:r w:rsidRPr="00E36286">
        <w:rPr>
          <w:rFonts w:ascii="Arial" w:hAnsi="Arial" w:cs="Arial"/>
          <w:color w:val="000000"/>
          <w:sz w:val="22"/>
          <w:szCs w:val="22"/>
          <w:shd w:val="clear" w:color="auto" w:fill="FFFFFF"/>
          <w:lang w:val="bg-BG"/>
        </w:rPr>
        <w:t>Българска фондова борса АД /БФБ/ допуска до търговия на основен пазар</w:t>
      </w:r>
      <w:r w:rsidR="00261E04" w:rsidRPr="00E3628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BSE</w:t>
      </w:r>
      <w:r w:rsidRPr="00E36286">
        <w:rPr>
          <w:rFonts w:ascii="Arial" w:hAnsi="Arial" w:cs="Arial"/>
          <w:color w:val="000000"/>
          <w:sz w:val="22"/>
          <w:szCs w:val="22"/>
          <w:shd w:val="clear" w:color="auto" w:fill="FFFFFF"/>
          <w:lang w:val="bg-BG"/>
        </w:rPr>
        <w:t xml:space="preserve">, </w:t>
      </w:r>
      <w:r w:rsidR="00261E04" w:rsidRPr="00E36286">
        <w:rPr>
          <w:rFonts w:ascii="Arial" w:hAnsi="Arial" w:cs="Arial"/>
          <w:color w:val="000000"/>
          <w:sz w:val="22"/>
          <w:szCs w:val="22"/>
          <w:shd w:val="clear" w:color="auto" w:fill="FFFFFF"/>
          <w:lang w:val="bg-BG"/>
        </w:rPr>
        <w:t>Сегмент за облигации,</w:t>
      </w:r>
      <w:r w:rsidRPr="00E36286">
        <w:rPr>
          <w:rFonts w:ascii="Arial" w:hAnsi="Arial" w:cs="Arial"/>
          <w:color w:val="000000"/>
          <w:sz w:val="22"/>
          <w:szCs w:val="22"/>
          <w:shd w:val="clear" w:color="auto" w:fill="FFFFFF"/>
          <w:lang w:val="bg-BG"/>
        </w:rPr>
        <w:t xml:space="preserve"> емисията облигации </w:t>
      </w:r>
      <w:r w:rsidRPr="00E36286">
        <w:rPr>
          <w:rFonts w:ascii="Arial" w:hAnsi="Arial" w:cs="Arial"/>
          <w:sz w:val="22"/>
          <w:szCs w:val="22"/>
        </w:rPr>
        <w:t>ISIN:</w:t>
      </w:r>
      <w:r w:rsidR="00687DB0">
        <w:rPr>
          <w:rFonts w:ascii="Arial" w:hAnsi="Arial" w:cs="Arial"/>
          <w:sz w:val="22"/>
          <w:szCs w:val="22"/>
        </w:rPr>
        <w:t xml:space="preserve"> </w:t>
      </w:r>
      <w:r w:rsidR="00627047">
        <w:rPr>
          <w:rFonts w:ascii="Arial" w:hAnsi="Arial" w:cs="Arial"/>
          <w:sz w:val="22"/>
          <w:szCs w:val="22"/>
        </w:rPr>
        <w:t>BG2100006217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, </w:t>
      </w:r>
      <w:r w:rsidRPr="00E36286">
        <w:rPr>
          <w:rFonts w:ascii="Arial" w:hAnsi="Arial" w:cs="Arial"/>
          <w:color w:val="000000"/>
          <w:sz w:val="22"/>
          <w:szCs w:val="22"/>
          <w:shd w:val="clear" w:color="auto" w:fill="FFFFFF"/>
          <w:lang w:val="bg-BG"/>
        </w:rPr>
        <w:t>с емитент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 </w:t>
      </w:r>
      <w:r w:rsidR="00627047">
        <w:rPr>
          <w:rFonts w:ascii="Arial" w:hAnsi="Arial" w:cs="Arial"/>
          <w:sz w:val="22"/>
          <w:szCs w:val="22"/>
          <w:lang w:val="bg-BG"/>
        </w:rPr>
        <w:t>ПАРК АДСИЦ</w:t>
      </w:r>
      <w:r w:rsidR="00261E04" w:rsidRPr="00E36286">
        <w:rPr>
          <w:rFonts w:ascii="Arial" w:hAnsi="Arial" w:cs="Arial"/>
          <w:sz w:val="22"/>
          <w:szCs w:val="22"/>
          <w:lang w:val="bg-BG"/>
        </w:rPr>
        <w:t xml:space="preserve">, борсов код </w:t>
      </w:r>
      <w:r w:rsidR="00722494">
        <w:rPr>
          <w:rFonts w:ascii="Arial" w:hAnsi="Arial" w:cs="Arial"/>
          <w:sz w:val="22"/>
          <w:szCs w:val="22"/>
        </w:rPr>
        <w:t>PARB</w:t>
      </w:r>
      <w:r w:rsidR="00C21580">
        <w:rPr>
          <w:rFonts w:ascii="Arial" w:hAnsi="Arial" w:cs="Arial"/>
          <w:sz w:val="22"/>
          <w:szCs w:val="22"/>
          <w:lang w:val="bg-BG"/>
        </w:rPr>
        <w:t>, с начална дата за търговия 2</w:t>
      </w:r>
      <w:r w:rsidR="00722494">
        <w:rPr>
          <w:rFonts w:ascii="Arial" w:hAnsi="Arial" w:cs="Arial"/>
          <w:sz w:val="22"/>
          <w:szCs w:val="22"/>
        </w:rPr>
        <w:t>6</w:t>
      </w:r>
      <w:r w:rsidR="00C21580">
        <w:rPr>
          <w:rFonts w:ascii="Arial" w:hAnsi="Arial" w:cs="Arial"/>
          <w:sz w:val="22"/>
          <w:szCs w:val="22"/>
          <w:lang w:val="bg-BG"/>
        </w:rPr>
        <w:t>.</w:t>
      </w:r>
      <w:r w:rsidR="00722494">
        <w:rPr>
          <w:rFonts w:ascii="Arial" w:hAnsi="Arial" w:cs="Arial"/>
          <w:sz w:val="22"/>
          <w:szCs w:val="22"/>
        </w:rPr>
        <w:t>10</w:t>
      </w:r>
      <w:r w:rsidR="00C21580">
        <w:rPr>
          <w:rFonts w:ascii="Arial" w:hAnsi="Arial" w:cs="Arial"/>
          <w:sz w:val="22"/>
          <w:szCs w:val="22"/>
          <w:lang w:val="bg-BG"/>
        </w:rPr>
        <w:t>.20</w:t>
      </w:r>
      <w:r w:rsidR="00722494">
        <w:rPr>
          <w:rFonts w:ascii="Arial" w:hAnsi="Arial" w:cs="Arial"/>
          <w:sz w:val="22"/>
          <w:szCs w:val="22"/>
        </w:rPr>
        <w:t>21</w:t>
      </w:r>
      <w:r w:rsidR="00C53ACC">
        <w:rPr>
          <w:rFonts w:ascii="Arial" w:hAnsi="Arial" w:cs="Arial"/>
          <w:sz w:val="22"/>
          <w:szCs w:val="22"/>
          <w:lang w:val="bg-BG"/>
        </w:rPr>
        <w:t xml:space="preserve"> </w:t>
      </w:r>
      <w:r w:rsidR="00C21580">
        <w:rPr>
          <w:rFonts w:ascii="Arial" w:hAnsi="Arial" w:cs="Arial"/>
          <w:sz w:val="22"/>
          <w:szCs w:val="22"/>
          <w:lang w:val="bg-BG"/>
        </w:rPr>
        <w:t>г</w:t>
      </w:r>
      <w:r w:rsidR="00261E04" w:rsidRPr="00E36286">
        <w:rPr>
          <w:rFonts w:ascii="Arial" w:hAnsi="Arial" w:cs="Arial"/>
          <w:sz w:val="22"/>
          <w:szCs w:val="22"/>
          <w:lang w:val="bg-BG"/>
        </w:rPr>
        <w:t>.</w:t>
      </w:r>
    </w:p>
    <w:p w14:paraId="6F351CB6" w14:textId="77777777" w:rsidR="00D9764F" w:rsidRDefault="00D9764F" w:rsidP="00D9764F">
      <w:pPr>
        <w:ind w:firstLine="540"/>
        <w:jc w:val="both"/>
        <w:rPr>
          <w:rFonts w:ascii="Arial" w:hAnsi="Arial" w:cs="Arial"/>
          <w:sz w:val="22"/>
          <w:szCs w:val="22"/>
          <w:lang w:val="bg-BG"/>
        </w:rPr>
      </w:pPr>
    </w:p>
    <w:p w14:paraId="639B770A" w14:textId="77777777" w:rsidR="00FB5EB6" w:rsidRPr="00FB5EB6" w:rsidRDefault="00FB5EB6" w:rsidP="00D9764F">
      <w:pPr>
        <w:ind w:firstLine="540"/>
        <w:jc w:val="both"/>
        <w:rPr>
          <w:rFonts w:ascii="Arial" w:hAnsi="Arial" w:cs="Arial"/>
          <w:sz w:val="22"/>
          <w:szCs w:val="22"/>
          <w:lang w:val="bg-BG"/>
        </w:rPr>
      </w:pPr>
    </w:p>
    <w:p w14:paraId="5E329D76" w14:textId="77777777" w:rsidR="00D9764F" w:rsidRPr="00E36286" w:rsidRDefault="00D9764F" w:rsidP="00D9764F">
      <w:pPr>
        <w:pStyle w:val="1"/>
        <w:numPr>
          <w:ilvl w:val="0"/>
          <w:numId w:val="1"/>
        </w:numPr>
        <w:spacing w:before="0" w:line="240" w:lineRule="auto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36286">
        <w:rPr>
          <w:rFonts w:ascii="Arial" w:hAnsi="Arial" w:cs="Arial"/>
          <w:color w:val="auto"/>
          <w:sz w:val="22"/>
          <w:szCs w:val="22"/>
        </w:rPr>
        <w:t>Финансово състояние на емитента на облигациите.</w:t>
      </w:r>
    </w:p>
    <w:p w14:paraId="56CFA81C" w14:textId="77777777" w:rsidR="00E36286" w:rsidRDefault="00E36286" w:rsidP="00A65AD0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</w:p>
    <w:p w14:paraId="777117C1" w14:textId="77777777" w:rsidR="00D9764F" w:rsidRDefault="00627047" w:rsidP="00A65AD0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ПАРК АДСИЦ</w:t>
      </w:r>
      <w:r w:rsidR="00D9764F" w:rsidRPr="00E36286">
        <w:rPr>
          <w:rFonts w:ascii="Arial" w:hAnsi="Arial" w:cs="Arial"/>
        </w:rPr>
        <w:t xml:space="preserve"> </w:t>
      </w:r>
      <w:r w:rsidR="008A0F80">
        <w:rPr>
          <w:rFonts w:ascii="Arial" w:hAnsi="Arial" w:cs="Arial"/>
          <w:lang w:val="en-US"/>
        </w:rPr>
        <w:t xml:space="preserve"> </w:t>
      </w:r>
      <w:r w:rsidR="008A0F80">
        <w:rPr>
          <w:rFonts w:ascii="Arial" w:hAnsi="Arial" w:cs="Arial"/>
        </w:rPr>
        <w:t>е акционерно дружество със специална инвестиционна цел за секюритизация на недвижими имоти</w:t>
      </w:r>
      <w:r w:rsidR="000200FE" w:rsidRPr="00E36286">
        <w:rPr>
          <w:rFonts w:ascii="Arial" w:hAnsi="Arial" w:cs="Arial"/>
        </w:rPr>
        <w:t>.</w:t>
      </w:r>
      <w:r w:rsidR="008A0F80">
        <w:rPr>
          <w:rFonts w:ascii="Arial" w:hAnsi="Arial" w:cs="Arial"/>
        </w:rPr>
        <w:t xml:space="preserve"> Дружеството е вписано в регистъра на търговските дружества при </w:t>
      </w:r>
      <w:r w:rsidR="00300986">
        <w:rPr>
          <w:rFonts w:ascii="Arial" w:hAnsi="Arial" w:cs="Arial"/>
          <w:lang w:val="en-US"/>
        </w:rPr>
        <w:t>Софийски</w:t>
      </w:r>
      <w:r w:rsidR="008A0F80">
        <w:rPr>
          <w:rFonts w:ascii="Arial" w:hAnsi="Arial" w:cs="Arial"/>
        </w:rPr>
        <w:t xml:space="preserve"> </w:t>
      </w:r>
      <w:r w:rsidR="00300986">
        <w:rPr>
          <w:rFonts w:ascii="Arial" w:hAnsi="Arial" w:cs="Arial"/>
          <w:lang w:val="en-US"/>
        </w:rPr>
        <w:t>градски</w:t>
      </w:r>
      <w:r w:rsidR="008A0F80">
        <w:rPr>
          <w:rFonts w:ascii="Arial" w:hAnsi="Arial" w:cs="Arial"/>
        </w:rPr>
        <w:t xml:space="preserve"> съд с решение от </w:t>
      </w:r>
      <w:r w:rsidR="00300986">
        <w:rPr>
          <w:rFonts w:ascii="Arial" w:hAnsi="Arial" w:cs="Arial"/>
          <w:lang w:val="en-US"/>
        </w:rPr>
        <w:t>5</w:t>
      </w:r>
      <w:r w:rsidR="008A0F80">
        <w:rPr>
          <w:rFonts w:ascii="Arial" w:hAnsi="Arial" w:cs="Arial"/>
        </w:rPr>
        <w:t xml:space="preserve"> </w:t>
      </w:r>
      <w:r w:rsidR="00300986">
        <w:rPr>
          <w:rFonts w:ascii="Arial" w:hAnsi="Arial" w:cs="Arial"/>
          <w:lang w:val="en-US"/>
        </w:rPr>
        <w:t>април</w:t>
      </w:r>
      <w:r w:rsidR="008A0F80">
        <w:rPr>
          <w:rFonts w:ascii="Arial" w:hAnsi="Arial" w:cs="Arial"/>
        </w:rPr>
        <w:t xml:space="preserve"> 200</w:t>
      </w:r>
      <w:r w:rsidR="00300986">
        <w:rPr>
          <w:rFonts w:ascii="Arial" w:hAnsi="Arial" w:cs="Arial"/>
          <w:lang w:val="en-US"/>
        </w:rPr>
        <w:t>5</w:t>
      </w:r>
      <w:r w:rsidR="00390FD8">
        <w:rPr>
          <w:rFonts w:ascii="Arial" w:hAnsi="Arial" w:cs="Arial"/>
          <w:lang w:val="en-US"/>
        </w:rPr>
        <w:t xml:space="preserve"> </w:t>
      </w:r>
      <w:r w:rsidR="008A0F80">
        <w:rPr>
          <w:rFonts w:ascii="Arial" w:hAnsi="Arial" w:cs="Arial"/>
        </w:rPr>
        <w:t>г. по фирмено дело №</w:t>
      </w:r>
      <w:r w:rsidR="006932D1">
        <w:rPr>
          <w:rFonts w:ascii="Arial" w:hAnsi="Arial" w:cs="Arial"/>
          <w:lang w:val="en-US"/>
        </w:rPr>
        <w:t xml:space="preserve"> </w:t>
      </w:r>
      <w:r w:rsidR="008A0F80">
        <w:rPr>
          <w:rFonts w:ascii="Arial" w:hAnsi="Arial" w:cs="Arial"/>
        </w:rPr>
        <w:t>9</w:t>
      </w:r>
      <w:r w:rsidR="006932D1">
        <w:rPr>
          <w:rFonts w:ascii="Arial" w:hAnsi="Arial" w:cs="Arial"/>
          <w:lang w:val="en-US"/>
        </w:rPr>
        <w:t>3285</w:t>
      </w:r>
      <w:r w:rsidR="008A0F80">
        <w:rPr>
          <w:rFonts w:ascii="Arial" w:hAnsi="Arial" w:cs="Arial"/>
        </w:rPr>
        <w:t xml:space="preserve">, </w:t>
      </w:r>
      <w:r w:rsidR="006932D1">
        <w:rPr>
          <w:rFonts w:ascii="Arial" w:hAnsi="Arial" w:cs="Arial"/>
          <w:lang w:val="en-US"/>
        </w:rPr>
        <w:t>том 1205, стр. 79. Дружеството е пререгистрирано в Търговския регистър към Агенция по вписванията на 14.02.2008</w:t>
      </w:r>
      <w:r w:rsidR="00BB0B67">
        <w:rPr>
          <w:rFonts w:ascii="Arial" w:hAnsi="Arial" w:cs="Arial"/>
          <w:lang w:val="en-US"/>
        </w:rPr>
        <w:t xml:space="preserve"> </w:t>
      </w:r>
      <w:r w:rsidR="006932D1">
        <w:rPr>
          <w:rFonts w:ascii="Arial" w:hAnsi="Arial" w:cs="Arial"/>
          <w:lang w:val="en-US"/>
        </w:rPr>
        <w:t xml:space="preserve">г., </w:t>
      </w:r>
      <w:r w:rsidR="008A0F80">
        <w:rPr>
          <w:rFonts w:ascii="Arial" w:hAnsi="Arial" w:cs="Arial"/>
        </w:rPr>
        <w:t>ЕИК 1</w:t>
      </w:r>
      <w:r w:rsidR="006932D1">
        <w:rPr>
          <w:rFonts w:ascii="Arial" w:hAnsi="Arial" w:cs="Arial"/>
          <w:lang w:val="en-US"/>
        </w:rPr>
        <w:t>31401280</w:t>
      </w:r>
      <w:r w:rsidR="008A0F80">
        <w:rPr>
          <w:rFonts w:ascii="Arial" w:hAnsi="Arial" w:cs="Arial"/>
        </w:rPr>
        <w:t>. Акциите на дружеството се търгуват на БФБ, сегмент за дружествата със специална инвестиционна цел.</w:t>
      </w:r>
    </w:p>
    <w:p w14:paraId="48A9424C" w14:textId="77777777" w:rsidR="001D6466" w:rsidRDefault="001D6466" w:rsidP="00A65AD0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206128C4" w14:textId="77777777" w:rsidR="001D6466" w:rsidRDefault="00AA265F" w:rsidP="00C0305C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Към 3</w:t>
      </w:r>
      <w:r w:rsidR="0082072D">
        <w:rPr>
          <w:rFonts w:ascii="Arial" w:hAnsi="Arial" w:cs="Arial"/>
          <w:lang w:val="en-US"/>
        </w:rPr>
        <w:t>0</w:t>
      </w:r>
      <w:r>
        <w:rPr>
          <w:rFonts w:ascii="Arial" w:hAnsi="Arial" w:cs="Arial"/>
          <w:lang w:val="en-US"/>
        </w:rPr>
        <w:t>.</w:t>
      </w:r>
      <w:r w:rsidR="00692BBA">
        <w:rPr>
          <w:rFonts w:ascii="Arial" w:hAnsi="Arial" w:cs="Arial"/>
          <w:lang w:val="en-US"/>
        </w:rPr>
        <w:t>0</w:t>
      </w:r>
      <w:r w:rsidR="0082072D">
        <w:rPr>
          <w:rFonts w:ascii="Arial" w:hAnsi="Arial" w:cs="Arial"/>
          <w:lang w:val="en-US"/>
        </w:rPr>
        <w:t>6</w:t>
      </w:r>
      <w:r>
        <w:rPr>
          <w:rFonts w:ascii="Arial" w:hAnsi="Arial" w:cs="Arial"/>
          <w:lang w:val="en-US"/>
        </w:rPr>
        <w:t>.202</w:t>
      </w:r>
      <w:r w:rsidR="00692BBA">
        <w:rPr>
          <w:rFonts w:ascii="Arial" w:hAnsi="Arial" w:cs="Arial"/>
          <w:lang w:val="en-US"/>
        </w:rPr>
        <w:t>4</w:t>
      </w:r>
      <w:r w:rsidR="00BB0B6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г., регистрираният акционерен капитал на</w:t>
      </w:r>
      <w:r w:rsidR="001D6466">
        <w:rPr>
          <w:rFonts w:ascii="Arial" w:hAnsi="Arial" w:cs="Arial"/>
          <w:lang w:val="en-US"/>
        </w:rPr>
        <w:t xml:space="preserve"> </w:t>
      </w:r>
      <w:r w:rsidR="00627047">
        <w:rPr>
          <w:rFonts w:ascii="Arial" w:hAnsi="Arial" w:cs="Arial"/>
          <w:lang w:val="en-US"/>
        </w:rPr>
        <w:t>ПАРК АДСИЦ</w:t>
      </w:r>
      <w:r>
        <w:rPr>
          <w:rFonts w:ascii="Arial" w:hAnsi="Arial" w:cs="Arial"/>
          <w:lang w:val="en-US"/>
        </w:rPr>
        <w:t xml:space="preserve"> е в размер на</w:t>
      </w:r>
      <w:r w:rsidR="001D646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9 720 266 лева, разпределен в 9 720 266</w:t>
      </w:r>
      <w:r w:rsidR="001D6466">
        <w:rPr>
          <w:rFonts w:ascii="Arial" w:hAnsi="Arial" w:cs="Arial"/>
          <w:lang w:val="en-US"/>
        </w:rPr>
        <w:t xml:space="preserve"> обикновени, поименни, безналични акции с право на глас, всяка с номинална стойност 1 лев</w:t>
      </w:r>
      <w:r>
        <w:rPr>
          <w:rFonts w:ascii="Arial" w:hAnsi="Arial" w:cs="Arial"/>
          <w:lang w:val="en-US"/>
        </w:rPr>
        <w:t>. ПАРК АДСИЦ не притежава собствени акции.</w:t>
      </w:r>
    </w:p>
    <w:p w14:paraId="4A65A1CC" w14:textId="77777777" w:rsidR="00C0305C" w:rsidRPr="00C0305C" w:rsidRDefault="00C0305C" w:rsidP="00C0305C">
      <w:pPr>
        <w:pStyle w:val="a6"/>
        <w:spacing w:after="0" w:line="240" w:lineRule="auto"/>
        <w:ind w:left="0"/>
        <w:jc w:val="both"/>
        <w:rPr>
          <w:rFonts w:ascii="Arial" w:hAnsi="Arial" w:cs="Arial"/>
          <w:b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3"/>
        <w:gridCol w:w="2226"/>
        <w:gridCol w:w="2233"/>
      </w:tblGrid>
      <w:tr w:rsidR="00777B6F" w:rsidRPr="003874ED" w14:paraId="30F384E2" w14:textId="77777777" w:rsidTr="00777B6F">
        <w:tc>
          <w:tcPr>
            <w:tcW w:w="4253" w:type="dxa"/>
            <w:shd w:val="clear" w:color="auto" w:fill="auto"/>
          </w:tcPr>
          <w:p w14:paraId="37FCEA99" w14:textId="77777777" w:rsidR="00777B6F" w:rsidRPr="003874ED" w:rsidRDefault="00777B6F" w:rsidP="00CE16C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874ED">
              <w:rPr>
                <w:rFonts w:ascii="Arial" w:hAnsi="Arial" w:cs="Arial"/>
                <w:b/>
                <w:sz w:val="20"/>
                <w:szCs w:val="20"/>
                <w:lang w:val="en-US"/>
              </w:rPr>
              <w:t>Акционер</w:t>
            </w:r>
            <w:r w:rsidR="00B47A9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с повече от 5% от акциите с право н</w:t>
            </w:r>
            <w:r w:rsidR="00CE16CB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="00B47A9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глас</w:t>
            </w:r>
          </w:p>
        </w:tc>
        <w:tc>
          <w:tcPr>
            <w:tcW w:w="2268" w:type="dxa"/>
          </w:tcPr>
          <w:p w14:paraId="7CC0C11A" w14:textId="77777777" w:rsidR="00777B6F" w:rsidRPr="003874ED" w:rsidRDefault="00777B6F" w:rsidP="0082072D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Брой притежавани акции към 3</w:t>
            </w:r>
            <w:r w:rsidR="0082072D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="00F81BAE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="0082072D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.202</w:t>
            </w:r>
            <w:r w:rsidR="00F81BAE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51771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г.</w:t>
            </w:r>
          </w:p>
        </w:tc>
        <w:tc>
          <w:tcPr>
            <w:tcW w:w="2277" w:type="dxa"/>
            <w:shd w:val="clear" w:color="auto" w:fill="auto"/>
          </w:tcPr>
          <w:p w14:paraId="09BCF444" w14:textId="77777777" w:rsidR="00777B6F" w:rsidRPr="003874ED" w:rsidRDefault="00777B6F" w:rsidP="003874ED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874ED">
              <w:rPr>
                <w:rFonts w:ascii="Arial" w:hAnsi="Arial" w:cs="Arial"/>
                <w:b/>
                <w:sz w:val="20"/>
                <w:szCs w:val="20"/>
                <w:lang w:val="en-US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от гласовете в Общото събрание на акционерите</w:t>
            </w:r>
          </w:p>
        </w:tc>
      </w:tr>
      <w:tr w:rsidR="00777B6F" w:rsidRPr="003874ED" w14:paraId="5C0BFA04" w14:textId="77777777" w:rsidTr="00777B6F">
        <w:tc>
          <w:tcPr>
            <w:tcW w:w="4253" w:type="dxa"/>
            <w:shd w:val="clear" w:color="auto" w:fill="auto"/>
          </w:tcPr>
          <w:p w14:paraId="093DA414" w14:textId="77777777" w:rsidR="00777B6F" w:rsidRPr="003874ED" w:rsidRDefault="00777B6F" w:rsidP="00423C91">
            <w:pPr>
              <w:pStyle w:val="a6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Еуробилд ЕООД</w:t>
            </w:r>
          </w:p>
        </w:tc>
        <w:tc>
          <w:tcPr>
            <w:tcW w:w="2268" w:type="dxa"/>
          </w:tcPr>
          <w:p w14:paraId="1CCC3BCE" w14:textId="77777777" w:rsidR="00777B6F" w:rsidRPr="003874ED" w:rsidRDefault="00B47A9B" w:rsidP="0077312C">
            <w:pPr>
              <w:pStyle w:val="a6"/>
              <w:tabs>
                <w:tab w:val="center" w:pos="1026"/>
                <w:tab w:val="right" w:pos="205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2 </w:t>
            </w:r>
            <w:r w:rsidR="0077312C">
              <w:rPr>
                <w:rFonts w:ascii="Arial" w:hAnsi="Arial" w:cs="Arial"/>
                <w:sz w:val="20"/>
                <w:szCs w:val="20"/>
                <w:lang w:val="en-US"/>
              </w:rPr>
              <w:t>751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198</w:t>
            </w:r>
          </w:p>
        </w:tc>
        <w:tc>
          <w:tcPr>
            <w:tcW w:w="2277" w:type="dxa"/>
            <w:shd w:val="clear" w:color="auto" w:fill="auto"/>
          </w:tcPr>
          <w:p w14:paraId="621F0B93" w14:textId="77777777" w:rsidR="00777B6F" w:rsidRPr="003874ED" w:rsidRDefault="0077312C" w:rsidP="0077312C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  <w:r w:rsidR="00777B6F">
              <w:rPr>
                <w:rFonts w:ascii="Arial" w:hAnsi="Arial" w:cs="Arial"/>
                <w:sz w:val="20"/>
                <w:szCs w:val="20"/>
                <w:lang w:val="en-US"/>
              </w:rPr>
              <w:t>.3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777B6F" w:rsidRPr="003874ED" w14:paraId="6C20BA3F" w14:textId="77777777" w:rsidTr="00777B6F">
        <w:tc>
          <w:tcPr>
            <w:tcW w:w="4253" w:type="dxa"/>
            <w:shd w:val="clear" w:color="auto" w:fill="auto"/>
          </w:tcPr>
          <w:p w14:paraId="52834FB5" w14:textId="77777777" w:rsidR="00777B6F" w:rsidRPr="003874ED" w:rsidRDefault="00777B6F" w:rsidP="00730C68">
            <w:pPr>
              <w:pStyle w:val="a6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Лизинг </w:t>
            </w:r>
            <w:r w:rsidR="00730C68">
              <w:rPr>
                <w:rFonts w:ascii="Arial" w:hAnsi="Arial" w:cs="Arial"/>
                <w:sz w:val="20"/>
                <w:szCs w:val="20"/>
              </w:rPr>
              <w:t>Ф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инанс ЕАД</w:t>
            </w:r>
          </w:p>
        </w:tc>
        <w:tc>
          <w:tcPr>
            <w:tcW w:w="2268" w:type="dxa"/>
          </w:tcPr>
          <w:p w14:paraId="1295ADF2" w14:textId="77777777" w:rsidR="00777B6F" w:rsidRDefault="00581D2F" w:rsidP="0077312C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  <w:r w:rsidR="0077312C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="005D4F9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="0077312C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5D4F91">
              <w:rPr>
                <w:rFonts w:ascii="Arial" w:hAnsi="Arial" w:cs="Arial"/>
                <w:sz w:val="20"/>
                <w:szCs w:val="20"/>
                <w:lang w:val="en-US"/>
              </w:rPr>
              <w:t>00*</w:t>
            </w:r>
          </w:p>
        </w:tc>
        <w:tc>
          <w:tcPr>
            <w:tcW w:w="2277" w:type="dxa"/>
            <w:shd w:val="clear" w:color="auto" w:fill="auto"/>
          </w:tcPr>
          <w:p w14:paraId="133ED291" w14:textId="77777777" w:rsidR="00777B6F" w:rsidRPr="003874ED" w:rsidRDefault="0077312C" w:rsidP="0077312C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="00777B6F" w:rsidRPr="003874E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99</w:t>
            </w:r>
          </w:p>
        </w:tc>
      </w:tr>
      <w:tr w:rsidR="00777B6F" w:rsidRPr="003874ED" w14:paraId="67A6B9A6" w14:textId="77777777" w:rsidTr="00777B6F">
        <w:tc>
          <w:tcPr>
            <w:tcW w:w="4253" w:type="dxa"/>
            <w:shd w:val="clear" w:color="auto" w:fill="auto"/>
          </w:tcPr>
          <w:p w14:paraId="3E95FE38" w14:textId="77777777" w:rsidR="00777B6F" w:rsidRPr="003874ED" w:rsidRDefault="00777B6F" w:rsidP="003874ED">
            <w:pPr>
              <w:pStyle w:val="a6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Универсален пенсионен фонд Доверие</w:t>
            </w:r>
          </w:p>
        </w:tc>
        <w:tc>
          <w:tcPr>
            <w:tcW w:w="2268" w:type="dxa"/>
          </w:tcPr>
          <w:p w14:paraId="1B468396" w14:textId="77777777" w:rsidR="00777B6F" w:rsidRDefault="005D4F91" w:rsidP="00867A69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680 315</w:t>
            </w:r>
          </w:p>
        </w:tc>
        <w:tc>
          <w:tcPr>
            <w:tcW w:w="2277" w:type="dxa"/>
            <w:shd w:val="clear" w:color="auto" w:fill="auto"/>
          </w:tcPr>
          <w:p w14:paraId="7B32D1C7" w14:textId="77777777" w:rsidR="00777B6F" w:rsidRDefault="00B47A9B" w:rsidP="00867A69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7.00</w:t>
            </w:r>
          </w:p>
        </w:tc>
      </w:tr>
      <w:tr w:rsidR="00777B6F" w:rsidRPr="003874ED" w14:paraId="6C2D86CE" w14:textId="77777777" w:rsidTr="00777B6F">
        <w:tc>
          <w:tcPr>
            <w:tcW w:w="4253" w:type="dxa"/>
            <w:shd w:val="clear" w:color="auto" w:fill="auto"/>
          </w:tcPr>
          <w:p w14:paraId="022D06FA" w14:textId="77777777" w:rsidR="00777B6F" w:rsidRPr="003874ED" w:rsidRDefault="00777B6F" w:rsidP="003874ED">
            <w:pPr>
              <w:pStyle w:val="a6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Професионален</w:t>
            </w:r>
            <w:r w:rsidRPr="00777B6F">
              <w:rPr>
                <w:rFonts w:ascii="Arial" w:hAnsi="Arial" w:cs="Arial"/>
                <w:sz w:val="20"/>
                <w:szCs w:val="20"/>
                <w:lang w:val="en-US"/>
              </w:rPr>
              <w:t xml:space="preserve"> пенсионен фонд Доверие</w:t>
            </w:r>
          </w:p>
        </w:tc>
        <w:tc>
          <w:tcPr>
            <w:tcW w:w="2268" w:type="dxa"/>
          </w:tcPr>
          <w:p w14:paraId="147146FE" w14:textId="77777777" w:rsidR="00777B6F" w:rsidRDefault="005D4F91" w:rsidP="00BC104E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77312C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BC104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7312C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BC32B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277" w:type="dxa"/>
            <w:shd w:val="clear" w:color="auto" w:fill="auto"/>
          </w:tcPr>
          <w:p w14:paraId="58BD2B28" w14:textId="77777777" w:rsidR="00777B6F" w:rsidRPr="00266E47" w:rsidRDefault="00B47A9B" w:rsidP="00BC104E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6.</w:t>
            </w:r>
            <w:r w:rsidR="0077312C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BC104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77B6F" w:rsidRPr="003874ED" w14:paraId="15474A6C" w14:textId="77777777" w:rsidTr="00777B6F">
        <w:tc>
          <w:tcPr>
            <w:tcW w:w="4253" w:type="dxa"/>
            <w:shd w:val="clear" w:color="auto" w:fill="auto"/>
          </w:tcPr>
          <w:p w14:paraId="29996E8B" w14:textId="77777777" w:rsidR="00777B6F" w:rsidRPr="003874ED" w:rsidRDefault="00777B6F" w:rsidP="003874ED">
            <w:pPr>
              <w:pStyle w:val="a6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Доброволен</w:t>
            </w:r>
            <w:r w:rsidRPr="00777B6F">
              <w:rPr>
                <w:rFonts w:ascii="Arial" w:hAnsi="Arial" w:cs="Arial"/>
                <w:sz w:val="20"/>
                <w:szCs w:val="20"/>
                <w:lang w:val="en-US"/>
              </w:rPr>
              <w:t xml:space="preserve"> пенсионен фонд Доверие</w:t>
            </w:r>
          </w:p>
        </w:tc>
        <w:tc>
          <w:tcPr>
            <w:tcW w:w="2268" w:type="dxa"/>
          </w:tcPr>
          <w:p w14:paraId="7E329EF0" w14:textId="77777777" w:rsidR="00777B6F" w:rsidRDefault="005D4F91" w:rsidP="00867A69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596 012</w:t>
            </w:r>
          </w:p>
        </w:tc>
        <w:tc>
          <w:tcPr>
            <w:tcW w:w="2277" w:type="dxa"/>
            <w:shd w:val="clear" w:color="auto" w:fill="auto"/>
          </w:tcPr>
          <w:p w14:paraId="77085239" w14:textId="77777777" w:rsidR="00777B6F" w:rsidRPr="003874ED" w:rsidRDefault="00B47A9B" w:rsidP="00867A69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777B6F" w:rsidRPr="003874E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777B6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</w:tbl>
    <w:p w14:paraId="6AFED27F" w14:textId="77777777" w:rsidR="00C0305C" w:rsidRDefault="005D4F91" w:rsidP="005D4F91">
      <w:pPr>
        <w:pStyle w:val="a6"/>
        <w:spacing w:after="0" w:line="240" w:lineRule="auto"/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* Право на глас в Общото събрание на акционерите – 1 94</w:t>
      </w:r>
      <w:r w:rsidR="0077312C">
        <w:rPr>
          <w:rFonts w:ascii="Arial" w:hAnsi="Arial" w:cs="Arial"/>
          <w:lang w:val="en-US"/>
        </w:rPr>
        <w:t>3</w:t>
      </w:r>
      <w:r>
        <w:rPr>
          <w:rFonts w:ascii="Arial" w:hAnsi="Arial" w:cs="Arial"/>
          <w:lang w:val="en-US"/>
        </w:rPr>
        <w:t> </w:t>
      </w:r>
      <w:r w:rsidR="0077312C">
        <w:rPr>
          <w:rFonts w:ascii="Arial" w:hAnsi="Arial" w:cs="Arial"/>
          <w:lang w:val="en-US"/>
        </w:rPr>
        <w:t>0</w:t>
      </w:r>
      <w:r>
        <w:rPr>
          <w:rFonts w:ascii="Arial" w:hAnsi="Arial" w:cs="Arial"/>
          <w:lang w:val="en-US"/>
        </w:rPr>
        <w:t>00 акции</w:t>
      </w:r>
    </w:p>
    <w:p w14:paraId="4CDE33FE" w14:textId="77777777" w:rsidR="0030390A" w:rsidRDefault="0030390A" w:rsidP="00A65AD0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037D79CF" w14:textId="77777777" w:rsidR="00A12927" w:rsidRDefault="0030390A" w:rsidP="00A65AD0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 w:rsidRPr="0030390A">
        <w:rPr>
          <w:rFonts w:ascii="Arial" w:hAnsi="Arial" w:cs="Arial"/>
          <w:lang w:val="en-US"/>
        </w:rPr>
        <w:t xml:space="preserve">Продължаващата и към </w:t>
      </w:r>
      <w:r>
        <w:rPr>
          <w:rFonts w:ascii="Arial" w:hAnsi="Arial" w:cs="Arial"/>
          <w:lang w:val="en-US"/>
        </w:rPr>
        <w:t>3</w:t>
      </w:r>
      <w:r w:rsidR="0082072D">
        <w:rPr>
          <w:rFonts w:ascii="Arial" w:hAnsi="Arial" w:cs="Arial"/>
          <w:lang w:val="en-US"/>
        </w:rPr>
        <w:t>0</w:t>
      </w:r>
      <w:r>
        <w:rPr>
          <w:rFonts w:ascii="Arial" w:hAnsi="Arial" w:cs="Arial"/>
          <w:lang w:val="en-US"/>
        </w:rPr>
        <w:t>.</w:t>
      </w:r>
      <w:r w:rsidR="00531070">
        <w:rPr>
          <w:rFonts w:ascii="Arial" w:hAnsi="Arial" w:cs="Arial"/>
          <w:lang w:val="en-US"/>
        </w:rPr>
        <w:t>0</w:t>
      </w:r>
      <w:r w:rsidR="0082072D">
        <w:rPr>
          <w:rFonts w:ascii="Arial" w:hAnsi="Arial" w:cs="Arial"/>
          <w:lang w:val="en-US"/>
        </w:rPr>
        <w:t>6</w:t>
      </w:r>
      <w:r>
        <w:rPr>
          <w:rFonts w:ascii="Arial" w:hAnsi="Arial" w:cs="Arial"/>
          <w:lang w:val="en-US"/>
        </w:rPr>
        <w:t>.202</w:t>
      </w:r>
      <w:r w:rsidR="00531070">
        <w:rPr>
          <w:rFonts w:ascii="Arial" w:hAnsi="Arial" w:cs="Arial"/>
          <w:lang w:val="en-US"/>
        </w:rPr>
        <w:t>4</w:t>
      </w:r>
      <w:r w:rsidR="00127E16">
        <w:rPr>
          <w:rFonts w:ascii="Arial" w:hAnsi="Arial" w:cs="Arial"/>
          <w:lang w:val="en-US"/>
        </w:rPr>
        <w:t xml:space="preserve"> </w:t>
      </w:r>
      <w:r w:rsidRPr="0030390A">
        <w:rPr>
          <w:rFonts w:ascii="Arial" w:hAnsi="Arial" w:cs="Arial"/>
          <w:lang w:val="en-US"/>
        </w:rPr>
        <w:t xml:space="preserve">г. </w:t>
      </w:r>
      <w:r w:rsidR="00127E16">
        <w:rPr>
          <w:rFonts w:ascii="Arial" w:hAnsi="Arial" w:cs="Arial"/>
        </w:rPr>
        <w:t>р</w:t>
      </w:r>
      <w:r w:rsidRPr="0030390A">
        <w:rPr>
          <w:rFonts w:ascii="Arial" w:hAnsi="Arial" w:cs="Arial"/>
          <w:lang w:val="en-US"/>
        </w:rPr>
        <w:t xml:space="preserve">уска агресия в Украйна води до нарастващо геополитическо напрежение и несигурност в икономическата обстановка. Наложени бяха поредица от пакети санкции срещу Руската Федерация и руски субекти. Извън общия негативен ефект върху макроикономическите условия в страната и в Европа, </w:t>
      </w:r>
      <w:r w:rsidR="00DB77F4">
        <w:rPr>
          <w:rFonts w:ascii="Arial" w:hAnsi="Arial" w:cs="Arial"/>
        </w:rPr>
        <w:t>ПАРК</w:t>
      </w:r>
      <w:r w:rsidR="00446C7D">
        <w:rPr>
          <w:rFonts w:ascii="Arial" w:hAnsi="Arial" w:cs="Arial"/>
        </w:rPr>
        <w:t xml:space="preserve"> АДСИЦ</w:t>
      </w:r>
      <w:r w:rsidRPr="0030390A">
        <w:rPr>
          <w:rFonts w:ascii="Arial" w:hAnsi="Arial" w:cs="Arial"/>
          <w:lang w:val="en-US"/>
        </w:rPr>
        <w:t xml:space="preserve"> не регистрира конкретно негативно влияние от войната в Украйна върху своята дейност.</w:t>
      </w:r>
    </w:p>
    <w:p w14:paraId="7FB6A834" w14:textId="77777777" w:rsidR="00777B6F" w:rsidRPr="001D6466" w:rsidRDefault="00777B6F" w:rsidP="00A65AD0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1D5FC0F6" w14:textId="77777777" w:rsidR="00D9764F" w:rsidRPr="00E36286" w:rsidRDefault="00D9764F" w:rsidP="00D9764F">
      <w:pPr>
        <w:pStyle w:val="2"/>
        <w:keepLines/>
        <w:numPr>
          <w:ilvl w:val="1"/>
          <w:numId w:val="1"/>
        </w:numPr>
        <w:spacing w:before="200" w:line="276" w:lineRule="auto"/>
        <w:rPr>
          <w:rFonts w:ascii="Arial" w:hAnsi="Arial" w:cs="Arial"/>
          <w:sz w:val="22"/>
          <w:szCs w:val="22"/>
        </w:rPr>
      </w:pPr>
      <w:r w:rsidRPr="00E36286">
        <w:rPr>
          <w:rFonts w:ascii="Arial" w:hAnsi="Arial" w:cs="Arial"/>
          <w:sz w:val="22"/>
          <w:szCs w:val="22"/>
        </w:rPr>
        <w:t xml:space="preserve">Анализ на активите на </w:t>
      </w:r>
      <w:r w:rsidR="00627047">
        <w:rPr>
          <w:rFonts w:ascii="Arial" w:hAnsi="Arial" w:cs="Arial"/>
          <w:sz w:val="22"/>
          <w:szCs w:val="22"/>
        </w:rPr>
        <w:t>ПАРК АДСИЦ</w:t>
      </w:r>
    </w:p>
    <w:p w14:paraId="7D7A70C2" w14:textId="77777777" w:rsidR="00C0305C" w:rsidRDefault="00C0305C" w:rsidP="00A65AD0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5D44C90C" w14:textId="77777777" w:rsidR="00D9764F" w:rsidRPr="009121C2" w:rsidRDefault="002306A1" w:rsidP="00A65AD0">
      <w:pPr>
        <w:pStyle w:val="a6"/>
        <w:spacing w:after="0" w:line="240" w:lineRule="auto"/>
        <w:ind w:left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lang w:val="en-US"/>
        </w:rPr>
        <w:t xml:space="preserve">През </w:t>
      </w:r>
      <w:r w:rsidR="009121C2">
        <w:rPr>
          <w:rFonts w:ascii="Arial" w:hAnsi="Arial" w:cs="Arial"/>
          <w:lang w:val="en-US"/>
        </w:rPr>
        <w:t>второто</w:t>
      </w:r>
      <w:r>
        <w:rPr>
          <w:rFonts w:ascii="Arial" w:hAnsi="Arial" w:cs="Arial"/>
          <w:lang w:val="en-US"/>
        </w:rPr>
        <w:t xml:space="preserve"> тримесечие на годината </w:t>
      </w:r>
      <w:r w:rsidR="000049EE">
        <w:rPr>
          <w:rFonts w:ascii="Arial" w:hAnsi="Arial" w:cs="Arial"/>
          <w:lang w:val="en-US"/>
        </w:rPr>
        <w:t>активите</w:t>
      </w:r>
      <w:r w:rsidR="003445E7">
        <w:rPr>
          <w:rFonts w:ascii="Arial" w:hAnsi="Arial" w:cs="Arial"/>
        </w:rPr>
        <w:t xml:space="preserve"> </w:t>
      </w:r>
      <w:r w:rsidR="00D9764F" w:rsidRPr="00E36286">
        <w:rPr>
          <w:rFonts w:ascii="Arial" w:hAnsi="Arial" w:cs="Arial"/>
        </w:rPr>
        <w:t xml:space="preserve">на </w:t>
      </w:r>
      <w:r w:rsidR="00627047">
        <w:rPr>
          <w:rFonts w:ascii="Arial" w:hAnsi="Arial" w:cs="Arial"/>
        </w:rPr>
        <w:t>ПАРК АДСИЦ</w:t>
      </w:r>
      <w:r w:rsidR="00AD67DE" w:rsidRPr="00E36286">
        <w:rPr>
          <w:rFonts w:ascii="Arial" w:hAnsi="Arial" w:cs="Arial"/>
        </w:rPr>
        <w:t xml:space="preserve"> </w:t>
      </w:r>
      <w:r w:rsidR="009121C2">
        <w:rPr>
          <w:rFonts w:ascii="Arial" w:hAnsi="Arial" w:cs="Arial"/>
          <w:lang w:val="en-US"/>
        </w:rPr>
        <w:t>нарастват с 6.02%</w:t>
      </w:r>
      <w:r>
        <w:rPr>
          <w:rFonts w:ascii="Arial" w:hAnsi="Arial" w:cs="Arial"/>
          <w:lang w:val="en-US"/>
        </w:rPr>
        <w:t xml:space="preserve"> и к</w:t>
      </w:r>
      <w:r w:rsidRPr="00E36286">
        <w:rPr>
          <w:rFonts w:ascii="Arial" w:hAnsi="Arial" w:cs="Arial"/>
        </w:rPr>
        <w:t>ъм 3</w:t>
      </w:r>
      <w:r w:rsidR="009121C2">
        <w:rPr>
          <w:rFonts w:ascii="Arial" w:hAnsi="Arial" w:cs="Arial"/>
          <w:lang w:val="en-US"/>
        </w:rPr>
        <w:t>0</w:t>
      </w:r>
      <w:r w:rsidRPr="00E36286">
        <w:rPr>
          <w:rFonts w:ascii="Arial" w:hAnsi="Arial" w:cs="Arial"/>
        </w:rPr>
        <w:t>.</w:t>
      </w:r>
      <w:r w:rsidR="00692BBA">
        <w:rPr>
          <w:rFonts w:ascii="Arial" w:hAnsi="Arial" w:cs="Arial"/>
          <w:lang w:val="en-US"/>
        </w:rPr>
        <w:t>0</w:t>
      </w:r>
      <w:r w:rsidR="009121C2">
        <w:rPr>
          <w:rFonts w:ascii="Arial" w:hAnsi="Arial" w:cs="Arial"/>
          <w:lang w:val="en-US"/>
        </w:rPr>
        <w:t>6</w:t>
      </w:r>
      <w:r w:rsidRPr="00E36286">
        <w:rPr>
          <w:rFonts w:ascii="Arial" w:hAnsi="Arial" w:cs="Arial"/>
        </w:rPr>
        <w:t>.20</w:t>
      </w:r>
      <w:r>
        <w:rPr>
          <w:rFonts w:ascii="Arial" w:hAnsi="Arial" w:cs="Arial"/>
          <w:lang w:val="en-US"/>
        </w:rPr>
        <w:t>2</w:t>
      </w:r>
      <w:r w:rsidR="00692BBA"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en-US"/>
        </w:rPr>
        <w:t xml:space="preserve"> </w:t>
      </w:r>
      <w:r w:rsidRPr="00E36286">
        <w:rPr>
          <w:rFonts w:ascii="Arial" w:hAnsi="Arial" w:cs="Arial"/>
        </w:rPr>
        <w:t>г.</w:t>
      </w:r>
      <w:r w:rsidR="006212E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са на ниво от </w:t>
      </w:r>
      <w:r w:rsidR="009121C2">
        <w:rPr>
          <w:rFonts w:ascii="Arial" w:hAnsi="Arial" w:cs="Arial"/>
          <w:lang w:val="en-US"/>
        </w:rPr>
        <w:t>28,476 млн. лева</w:t>
      </w:r>
      <w:r w:rsidR="009121C2" w:rsidRPr="00F4072A">
        <w:rPr>
          <w:rFonts w:ascii="Arial" w:hAnsi="Arial" w:cs="Arial"/>
        </w:rPr>
        <w:t xml:space="preserve"> </w:t>
      </w:r>
      <w:r w:rsidR="009121C2">
        <w:rPr>
          <w:rFonts w:ascii="Arial" w:hAnsi="Arial" w:cs="Arial"/>
        </w:rPr>
        <w:t xml:space="preserve">спрямо </w:t>
      </w:r>
      <w:r w:rsidR="009121C2">
        <w:rPr>
          <w:rFonts w:ascii="Arial" w:hAnsi="Arial" w:cs="Arial"/>
          <w:lang w:val="en-US"/>
        </w:rPr>
        <w:t xml:space="preserve">26,858 млн. </w:t>
      </w:r>
      <w:r w:rsidR="009121C2">
        <w:rPr>
          <w:rFonts w:ascii="Arial" w:hAnsi="Arial" w:cs="Arial"/>
        </w:rPr>
        <w:t>л</w:t>
      </w:r>
      <w:r w:rsidR="009121C2">
        <w:rPr>
          <w:rFonts w:ascii="Arial" w:hAnsi="Arial" w:cs="Arial"/>
          <w:lang w:val="en-US"/>
        </w:rPr>
        <w:t>ева</w:t>
      </w:r>
      <w:r w:rsidR="009121C2">
        <w:rPr>
          <w:rFonts w:ascii="Arial" w:hAnsi="Arial" w:cs="Arial"/>
        </w:rPr>
        <w:t xml:space="preserve"> към </w:t>
      </w:r>
      <w:r w:rsidR="009121C2">
        <w:rPr>
          <w:rFonts w:ascii="Arial" w:hAnsi="Arial" w:cs="Arial"/>
          <w:lang w:val="en-US"/>
        </w:rPr>
        <w:t xml:space="preserve">края на първото тримесечие на </w:t>
      </w:r>
      <w:r w:rsidR="009121C2">
        <w:rPr>
          <w:rFonts w:ascii="Arial" w:hAnsi="Arial" w:cs="Arial"/>
        </w:rPr>
        <w:t>202</w:t>
      </w:r>
      <w:r w:rsidR="009121C2">
        <w:rPr>
          <w:rFonts w:ascii="Arial" w:hAnsi="Arial" w:cs="Arial"/>
          <w:lang w:val="en-US"/>
        </w:rPr>
        <w:t>4</w:t>
      </w:r>
      <w:r w:rsidR="00F36BEF">
        <w:rPr>
          <w:rFonts w:ascii="Arial" w:hAnsi="Arial" w:cs="Arial"/>
          <w:lang w:val="en-US"/>
        </w:rPr>
        <w:t xml:space="preserve"> </w:t>
      </w:r>
      <w:r w:rsidR="009121C2">
        <w:rPr>
          <w:rFonts w:ascii="Arial" w:hAnsi="Arial" w:cs="Arial"/>
        </w:rPr>
        <w:t>г.</w:t>
      </w:r>
    </w:p>
    <w:p w14:paraId="32E1B3E4" w14:textId="77777777" w:rsidR="00E36286" w:rsidRDefault="00E36286" w:rsidP="00E36286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</w:p>
    <w:p w14:paraId="17BF0633" w14:textId="77777777" w:rsidR="00872FD3" w:rsidRDefault="009121C2" w:rsidP="00E36286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Основната промяна при активите регистрираме по п</w:t>
      </w:r>
      <w:r w:rsidR="006212E7">
        <w:rPr>
          <w:rFonts w:ascii="Arial" w:hAnsi="Arial" w:cs="Arial"/>
          <w:lang w:val="en-US"/>
        </w:rPr>
        <w:t xml:space="preserve">озицията “Инвестиционни имоти”, </w:t>
      </w:r>
      <w:r w:rsidR="00220920">
        <w:rPr>
          <w:rFonts w:ascii="Arial" w:hAnsi="Arial" w:cs="Arial"/>
          <w:lang w:val="en-US"/>
        </w:rPr>
        <w:t xml:space="preserve">където </w:t>
      </w:r>
      <w:r>
        <w:rPr>
          <w:rFonts w:ascii="Arial" w:hAnsi="Arial" w:cs="Arial"/>
          <w:lang w:val="en-US"/>
        </w:rPr>
        <w:t>отчитаме</w:t>
      </w:r>
      <w:r w:rsidR="00220920">
        <w:rPr>
          <w:rFonts w:ascii="Arial" w:hAnsi="Arial" w:cs="Arial"/>
          <w:lang w:val="en-US"/>
        </w:rPr>
        <w:t xml:space="preserve"> значителен ръст</w:t>
      </w:r>
      <w:r w:rsidR="00692BBA">
        <w:rPr>
          <w:rFonts w:ascii="Arial" w:hAnsi="Arial" w:cs="Arial"/>
          <w:lang w:val="en-US"/>
        </w:rPr>
        <w:t xml:space="preserve"> </w:t>
      </w:r>
      <w:r w:rsidR="00872FD3">
        <w:rPr>
          <w:rFonts w:ascii="Arial" w:hAnsi="Arial" w:cs="Arial"/>
          <w:lang w:val="en-US"/>
        </w:rPr>
        <w:t xml:space="preserve">в размер на 1,114 млн. лева </w:t>
      </w:r>
      <w:r w:rsidR="00220920">
        <w:rPr>
          <w:rFonts w:ascii="Arial" w:hAnsi="Arial" w:cs="Arial"/>
          <w:lang w:val="en-US"/>
        </w:rPr>
        <w:t>вследствие на извършената положителна преоценка</w:t>
      </w:r>
      <w:r>
        <w:rPr>
          <w:rFonts w:ascii="Arial" w:hAnsi="Arial" w:cs="Arial"/>
          <w:lang w:val="en-US"/>
        </w:rPr>
        <w:t>. Тази позиция</w:t>
      </w:r>
      <w:r w:rsidR="00220920">
        <w:rPr>
          <w:rFonts w:ascii="Arial" w:hAnsi="Arial" w:cs="Arial"/>
          <w:lang w:val="en-US"/>
        </w:rPr>
        <w:t xml:space="preserve"> </w:t>
      </w:r>
      <w:r w:rsidR="006212E7">
        <w:rPr>
          <w:rFonts w:ascii="Arial" w:hAnsi="Arial" w:cs="Arial"/>
          <w:lang w:val="en-US"/>
        </w:rPr>
        <w:t xml:space="preserve">продължава да е </w:t>
      </w:r>
      <w:r>
        <w:rPr>
          <w:rFonts w:ascii="Arial" w:hAnsi="Arial" w:cs="Arial"/>
          <w:lang w:val="en-US"/>
        </w:rPr>
        <w:t xml:space="preserve">и </w:t>
      </w:r>
      <w:r w:rsidR="006212E7">
        <w:rPr>
          <w:rFonts w:ascii="Arial" w:hAnsi="Arial" w:cs="Arial"/>
          <w:lang w:val="en-US"/>
        </w:rPr>
        <w:t>най-голяма</w:t>
      </w:r>
      <w:r>
        <w:rPr>
          <w:rFonts w:ascii="Arial" w:hAnsi="Arial" w:cs="Arial"/>
          <w:lang w:val="en-US"/>
        </w:rPr>
        <w:t>та</w:t>
      </w:r>
      <w:r w:rsidR="006212E7">
        <w:rPr>
          <w:rFonts w:ascii="Arial" w:hAnsi="Arial" w:cs="Arial"/>
          <w:lang w:val="en-US"/>
        </w:rPr>
        <w:t xml:space="preserve"> в активната част на баланса, </w:t>
      </w:r>
      <w:r w:rsidR="00220920">
        <w:rPr>
          <w:rFonts w:ascii="Arial" w:hAnsi="Arial" w:cs="Arial"/>
          <w:lang w:val="en-US"/>
        </w:rPr>
        <w:t xml:space="preserve">а </w:t>
      </w:r>
      <w:r w:rsidR="006212E7">
        <w:rPr>
          <w:rFonts w:ascii="Arial" w:hAnsi="Arial" w:cs="Arial"/>
          <w:lang w:val="en-US"/>
        </w:rPr>
        <w:t>нейният дял достига до 6</w:t>
      </w:r>
      <w:r w:rsidR="00692BBA">
        <w:rPr>
          <w:rFonts w:ascii="Arial" w:hAnsi="Arial" w:cs="Arial"/>
          <w:lang w:val="en-US"/>
        </w:rPr>
        <w:t>3</w:t>
      </w:r>
      <w:r w:rsidR="006212E7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56</w:t>
      </w:r>
      <w:r w:rsidR="006212E7">
        <w:rPr>
          <w:rFonts w:ascii="Arial" w:hAnsi="Arial" w:cs="Arial"/>
          <w:lang w:val="en-US"/>
        </w:rPr>
        <w:t>% от активите на емитента.</w:t>
      </w:r>
      <w:r w:rsidR="00582951">
        <w:rPr>
          <w:rFonts w:ascii="Arial" w:hAnsi="Arial" w:cs="Arial"/>
          <w:lang w:val="en-US"/>
        </w:rPr>
        <w:t xml:space="preserve"> </w:t>
      </w:r>
      <w:r w:rsidR="00872FD3">
        <w:rPr>
          <w:rFonts w:ascii="Arial" w:hAnsi="Arial" w:cs="Arial"/>
          <w:lang w:val="en-US"/>
        </w:rPr>
        <w:t xml:space="preserve">При текущите активи, вземанията нарастват с 6.48% до ниво от </w:t>
      </w:r>
      <w:r w:rsidR="006212E7">
        <w:rPr>
          <w:rFonts w:ascii="Arial" w:hAnsi="Arial" w:cs="Arial"/>
          <w:lang w:val="en-US"/>
        </w:rPr>
        <w:t xml:space="preserve"> </w:t>
      </w:r>
      <w:r w:rsidR="00872FD3">
        <w:rPr>
          <w:rFonts w:ascii="Arial" w:hAnsi="Arial" w:cs="Arial"/>
          <w:lang w:val="en-US"/>
        </w:rPr>
        <w:t>8,409 млн. лева.</w:t>
      </w:r>
    </w:p>
    <w:p w14:paraId="165D9A3D" w14:textId="77777777" w:rsidR="00872FD3" w:rsidRDefault="00872FD3" w:rsidP="00E36286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1FF2C31F" w14:textId="77777777" w:rsidR="005D7B7C" w:rsidRDefault="009121C2" w:rsidP="00E36286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С</w:t>
      </w:r>
      <w:r w:rsidR="008C15CF">
        <w:rPr>
          <w:rFonts w:ascii="Arial" w:hAnsi="Arial" w:cs="Arial"/>
          <w:lang w:val="en-US"/>
        </w:rPr>
        <w:t xml:space="preserve">труктурата на активите </w:t>
      </w:r>
      <w:r w:rsidR="00220920">
        <w:rPr>
          <w:rFonts w:ascii="Arial" w:hAnsi="Arial" w:cs="Arial"/>
          <w:lang w:val="en-US"/>
        </w:rPr>
        <w:t>се запазва без съществени изменения</w:t>
      </w:r>
      <w:r w:rsidR="008C15CF">
        <w:rPr>
          <w:rFonts w:ascii="Arial" w:hAnsi="Arial" w:cs="Arial"/>
          <w:lang w:val="en-US"/>
        </w:rPr>
        <w:t xml:space="preserve">, като делът на текущите активи </w:t>
      </w:r>
      <w:r w:rsidR="00220920">
        <w:rPr>
          <w:rFonts w:ascii="Arial" w:hAnsi="Arial" w:cs="Arial"/>
          <w:lang w:val="en-US"/>
        </w:rPr>
        <w:t>е</w:t>
      </w:r>
      <w:r w:rsidR="00157A17">
        <w:rPr>
          <w:rFonts w:ascii="Arial" w:hAnsi="Arial" w:cs="Arial"/>
          <w:lang w:val="en-US"/>
        </w:rPr>
        <w:t xml:space="preserve"> </w:t>
      </w:r>
      <w:r w:rsidR="00692BBA">
        <w:rPr>
          <w:rFonts w:ascii="Arial" w:hAnsi="Arial" w:cs="Arial"/>
          <w:lang w:val="en-US"/>
        </w:rPr>
        <w:t>29</w:t>
      </w:r>
      <w:r w:rsidR="00435AB6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70</w:t>
      </w:r>
      <w:r w:rsidR="00435AB6">
        <w:rPr>
          <w:rFonts w:ascii="Arial" w:hAnsi="Arial" w:cs="Arial"/>
          <w:lang w:val="en-US"/>
        </w:rPr>
        <w:t>% /</w:t>
      </w:r>
      <w:r>
        <w:rPr>
          <w:rFonts w:ascii="Arial" w:hAnsi="Arial" w:cs="Arial"/>
          <w:lang w:val="en-US"/>
        </w:rPr>
        <w:t>29</w:t>
      </w:r>
      <w:r w:rsidR="008C15CF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68</w:t>
      </w:r>
      <w:r w:rsidR="008C15CF">
        <w:rPr>
          <w:rFonts w:ascii="Arial" w:hAnsi="Arial" w:cs="Arial"/>
          <w:lang w:val="en-US"/>
        </w:rPr>
        <w:t>%</w:t>
      </w:r>
      <w:r w:rsidR="00435AB6">
        <w:rPr>
          <w:rFonts w:ascii="Arial" w:hAnsi="Arial" w:cs="Arial"/>
          <w:lang w:val="en-US"/>
        </w:rPr>
        <w:t xml:space="preserve"> </w:t>
      </w:r>
      <w:r w:rsidR="00547C0B">
        <w:rPr>
          <w:rFonts w:ascii="Arial" w:hAnsi="Arial" w:cs="Arial"/>
          <w:lang w:val="en-US"/>
        </w:rPr>
        <w:t>към 3</w:t>
      </w:r>
      <w:r w:rsidR="00692BBA">
        <w:rPr>
          <w:rFonts w:ascii="Arial" w:hAnsi="Arial" w:cs="Arial"/>
          <w:lang w:val="en-US"/>
        </w:rPr>
        <w:t>1</w:t>
      </w:r>
      <w:r w:rsidR="00547C0B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03</w:t>
      </w:r>
      <w:r w:rsidR="00547C0B">
        <w:rPr>
          <w:rFonts w:ascii="Arial" w:hAnsi="Arial" w:cs="Arial"/>
          <w:lang w:val="en-US"/>
        </w:rPr>
        <w:t>.</w:t>
      </w:r>
      <w:r w:rsidR="00435AB6">
        <w:rPr>
          <w:rFonts w:ascii="Arial" w:hAnsi="Arial" w:cs="Arial"/>
          <w:lang w:val="en-US"/>
        </w:rPr>
        <w:t>202</w:t>
      </w:r>
      <w:r>
        <w:rPr>
          <w:rFonts w:ascii="Arial" w:hAnsi="Arial" w:cs="Arial"/>
          <w:lang w:val="en-US"/>
        </w:rPr>
        <w:t>4</w:t>
      </w:r>
      <w:r w:rsidR="00554147">
        <w:rPr>
          <w:rFonts w:ascii="Arial" w:hAnsi="Arial" w:cs="Arial"/>
        </w:rPr>
        <w:t xml:space="preserve"> </w:t>
      </w:r>
      <w:r w:rsidR="00435AB6">
        <w:rPr>
          <w:rFonts w:ascii="Arial" w:hAnsi="Arial" w:cs="Arial"/>
          <w:lang w:val="en-US"/>
        </w:rPr>
        <w:t>г./</w:t>
      </w:r>
      <w:r w:rsidR="008C15CF">
        <w:rPr>
          <w:rFonts w:ascii="Arial" w:hAnsi="Arial" w:cs="Arial"/>
          <w:lang w:val="en-US"/>
        </w:rPr>
        <w:t xml:space="preserve">, а делът на </w:t>
      </w:r>
      <w:r w:rsidR="006212E7">
        <w:rPr>
          <w:rFonts w:ascii="Arial" w:hAnsi="Arial" w:cs="Arial"/>
          <w:lang w:val="en-US"/>
        </w:rPr>
        <w:t>дългосрочните</w:t>
      </w:r>
      <w:r w:rsidR="008C15CF">
        <w:rPr>
          <w:rFonts w:ascii="Arial" w:hAnsi="Arial" w:cs="Arial"/>
          <w:lang w:val="en-US"/>
        </w:rPr>
        <w:t xml:space="preserve"> активи </w:t>
      </w:r>
      <w:r w:rsidR="00220920">
        <w:rPr>
          <w:rFonts w:ascii="Arial" w:hAnsi="Arial" w:cs="Arial"/>
          <w:lang w:val="en-US"/>
        </w:rPr>
        <w:t>е</w:t>
      </w:r>
      <w:r w:rsidR="008C15CF">
        <w:rPr>
          <w:rFonts w:ascii="Arial" w:hAnsi="Arial" w:cs="Arial"/>
          <w:lang w:val="en-US"/>
        </w:rPr>
        <w:t xml:space="preserve"> </w:t>
      </w:r>
      <w:r w:rsidR="00692BBA">
        <w:rPr>
          <w:rFonts w:ascii="Arial" w:hAnsi="Arial" w:cs="Arial"/>
          <w:lang w:val="en-US"/>
        </w:rPr>
        <w:t>70</w:t>
      </w:r>
      <w:r w:rsidR="00435AB6">
        <w:rPr>
          <w:rFonts w:ascii="Arial" w:hAnsi="Arial" w:cs="Arial"/>
          <w:lang w:val="en-US"/>
        </w:rPr>
        <w:t>.</w:t>
      </w:r>
      <w:r w:rsidR="00692BBA">
        <w:rPr>
          <w:rFonts w:ascii="Arial" w:hAnsi="Arial" w:cs="Arial"/>
          <w:lang w:val="en-US"/>
        </w:rPr>
        <w:t>3</w:t>
      </w:r>
      <w:r w:rsidR="00872FD3">
        <w:rPr>
          <w:rFonts w:ascii="Arial" w:hAnsi="Arial" w:cs="Arial"/>
          <w:lang w:val="en-US"/>
        </w:rPr>
        <w:t>0</w:t>
      </w:r>
      <w:r w:rsidR="00435AB6">
        <w:rPr>
          <w:rFonts w:ascii="Arial" w:hAnsi="Arial" w:cs="Arial"/>
          <w:lang w:val="en-US"/>
        </w:rPr>
        <w:t>% /</w:t>
      </w:r>
      <w:r w:rsidR="00872FD3">
        <w:rPr>
          <w:rFonts w:ascii="Arial" w:hAnsi="Arial" w:cs="Arial"/>
          <w:lang w:val="en-US"/>
        </w:rPr>
        <w:t>70</w:t>
      </w:r>
      <w:r w:rsidR="008C15CF">
        <w:rPr>
          <w:rFonts w:ascii="Arial" w:hAnsi="Arial" w:cs="Arial"/>
          <w:lang w:val="en-US"/>
        </w:rPr>
        <w:t>.</w:t>
      </w:r>
      <w:r w:rsidR="00872FD3">
        <w:rPr>
          <w:rFonts w:ascii="Arial" w:hAnsi="Arial" w:cs="Arial"/>
          <w:lang w:val="en-US"/>
        </w:rPr>
        <w:t>32</w:t>
      </w:r>
      <w:r w:rsidR="008C15CF">
        <w:rPr>
          <w:rFonts w:ascii="Arial" w:hAnsi="Arial" w:cs="Arial"/>
          <w:lang w:val="en-US"/>
        </w:rPr>
        <w:t>%</w:t>
      </w:r>
      <w:r w:rsidR="00435AB6">
        <w:rPr>
          <w:rFonts w:ascii="Arial" w:hAnsi="Arial" w:cs="Arial"/>
          <w:lang w:val="en-US"/>
        </w:rPr>
        <w:t xml:space="preserve"> </w:t>
      </w:r>
      <w:r w:rsidR="00547C0B">
        <w:rPr>
          <w:rFonts w:ascii="Arial" w:hAnsi="Arial" w:cs="Arial"/>
          <w:lang w:val="en-US"/>
        </w:rPr>
        <w:t>към 3</w:t>
      </w:r>
      <w:r w:rsidR="00692BBA">
        <w:rPr>
          <w:rFonts w:ascii="Arial" w:hAnsi="Arial" w:cs="Arial"/>
          <w:lang w:val="en-US"/>
        </w:rPr>
        <w:t>1</w:t>
      </w:r>
      <w:r w:rsidR="00547C0B">
        <w:rPr>
          <w:rFonts w:ascii="Arial" w:hAnsi="Arial" w:cs="Arial"/>
          <w:lang w:val="en-US"/>
        </w:rPr>
        <w:t>.</w:t>
      </w:r>
      <w:r w:rsidR="00872FD3">
        <w:rPr>
          <w:rFonts w:ascii="Arial" w:hAnsi="Arial" w:cs="Arial"/>
          <w:lang w:val="en-US"/>
        </w:rPr>
        <w:t>03</w:t>
      </w:r>
      <w:r w:rsidR="00547C0B">
        <w:rPr>
          <w:rFonts w:ascii="Arial" w:hAnsi="Arial" w:cs="Arial"/>
          <w:lang w:val="en-US"/>
        </w:rPr>
        <w:t>.</w:t>
      </w:r>
      <w:r w:rsidR="00435AB6">
        <w:rPr>
          <w:rFonts w:ascii="Arial" w:hAnsi="Arial" w:cs="Arial"/>
          <w:lang w:val="en-US"/>
        </w:rPr>
        <w:t>202</w:t>
      </w:r>
      <w:r w:rsidR="00872FD3">
        <w:rPr>
          <w:rFonts w:ascii="Arial" w:hAnsi="Arial" w:cs="Arial"/>
          <w:lang w:val="en-US"/>
        </w:rPr>
        <w:t>4</w:t>
      </w:r>
      <w:r w:rsidR="00554147">
        <w:rPr>
          <w:rFonts w:ascii="Arial" w:hAnsi="Arial" w:cs="Arial"/>
        </w:rPr>
        <w:t xml:space="preserve"> </w:t>
      </w:r>
      <w:r w:rsidR="00435AB6">
        <w:rPr>
          <w:rFonts w:ascii="Arial" w:hAnsi="Arial" w:cs="Arial"/>
          <w:lang w:val="en-US"/>
        </w:rPr>
        <w:t>г./</w:t>
      </w:r>
      <w:r w:rsidR="008C15CF">
        <w:rPr>
          <w:rFonts w:ascii="Arial" w:hAnsi="Arial" w:cs="Arial"/>
          <w:lang w:val="en-US"/>
        </w:rPr>
        <w:t xml:space="preserve"> от всички активи на емитента.</w:t>
      </w:r>
      <w:r w:rsidR="006963D2">
        <w:rPr>
          <w:rFonts w:ascii="Arial" w:hAnsi="Arial" w:cs="Arial"/>
          <w:lang w:val="en-US"/>
        </w:rPr>
        <w:t xml:space="preserve"> </w:t>
      </w:r>
    </w:p>
    <w:p w14:paraId="3F342F23" w14:textId="77777777" w:rsidR="00F54F69" w:rsidRDefault="00F54F69" w:rsidP="00E36286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5001385E" w14:textId="77777777" w:rsidR="00E022FF" w:rsidRDefault="00692BBA" w:rsidP="00E36286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Въпреки </w:t>
      </w:r>
      <w:r w:rsidR="00872FD3">
        <w:rPr>
          <w:rFonts w:ascii="Arial" w:hAnsi="Arial" w:cs="Arial"/>
          <w:lang w:val="en-US"/>
        </w:rPr>
        <w:t>спада</w:t>
      </w:r>
      <w:r>
        <w:rPr>
          <w:rFonts w:ascii="Arial" w:hAnsi="Arial" w:cs="Arial"/>
          <w:lang w:val="en-US"/>
        </w:rPr>
        <w:t xml:space="preserve"> на паричните средства</w:t>
      </w:r>
      <w:r w:rsidR="00872FD3">
        <w:rPr>
          <w:rFonts w:ascii="Arial" w:hAnsi="Arial" w:cs="Arial"/>
          <w:lang w:val="en-US"/>
        </w:rPr>
        <w:t xml:space="preserve"> до 48 хиляди лева в края на полугодието</w:t>
      </w:r>
      <w:r>
        <w:rPr>
          <w:rFonts w:ascii="Arial" w:hAnsi="Arial" w:cs="Arial"/>
          <w:lang w:val="en-US"/>
        </w:rPr>
        <w:t>,</w:t>
      </w:r>
      <w:r w:rsidR="00607E04">
        <w:rPr>
          <w:rFonts w:ascii="Arial" w:hAnsi="Arial" w:cs="Arial"/>
          <w:lang w:val="en-US"/>
        </w:rPr>
        <w:t xml:space="preserve"> емитентът </w:t>
      </w:r>
      <w:r w:rsidR="00872FD3">
        <w:rPr>
          <w:rFonts w:ascii="Arial" w:hAnsi="Arial" w:cs="Arial"/>
          <w:lang w:val="en-US"/>
        </w:rPr>
        <w:t>е успял</w:t>
      </w:r>
      <w:r w:rsidR="00607E04">
        <w:rPr>
          <w:rFonts w:ascii="Arial" w:hAnsi="Arial" w:cs="Arial"/>
          <w:lang w:val="en-US"/>
        </w:rPr>
        <w:t xml:space="preserve"> </w:t>
      </w:r>
      <w:r w:rsidR="00872FD3">
        <w:rPr>
          <w:rFonts w:ascii="Arial" w:hAnsi="Arial" w:cs="Arial"/>
          <w:lang w:val="en-US"/>
        </w:rPr>
        <w:t xml:space="preserve">впоследствие </w:t>
      </w:r>
      <w:r w:rsidR="00607E04">
        <w:rPr>
          <w:rFonts w:ascii="Arial" w:hAnsi="Arial" w:cs="Arial"/>
          <w:lang w:val="en-US"/>
        </w:rPr>
        <w:t>да генерира допълнител</w:t>
      </w:r>
      <w:r>
        <w:rPr>
          <w:rFonts w:ascii="Arial" w:hAnsi="Arial" w:cs="Arial"/>
          <w:lang w:val="en-US"/>
        </w:rPr>
        <w:t>е</w:t>
      </w:r>
      <w:r w:rsidR="00607E04">
        <w:rPr>
          <w:rFonts w:ascii="Arial" w:hAnsi="Arial" w:cs="Arial"/>
          <w:lang w:val="en-US"/>
        </w:rPr>
        <w:t>н</w:t>
      </w:r>
      <w:r>
        <w:rPr>
          <w:rFonts w:ascii="Arial" w:hAnsi="Arial" w:cs="Arial"/>
          <w:lang w:val="en-US"/>
        </w:rPr>
        <w:t xml:space="preserve"> ресурс </w:t>
      </w:r>
      <w:r w:rsidR="00872FD3">
        <w:rPr>
          <w:rFonts w:ascii="Arial" w:hAnsi="Arial" w:cs="Arial"/>
          <w:lang w:val="en-US"/>
        </w:rPr>
        <w:t>и да погаси просроченото от</w:t>
      </w:r>
      <w:r>
        <w:rPr>
          <w:rFonts w:ascii="Arial" w:hAnsi="Arial" w:cs="Arial"/>
          <w:lang w:val="en-US"/>
        </w:rPr>
        <w:t xml:space="preserve"> началото на месец юни лихвено плащане</w:t>
      </w:r>
      <w:r w:rsidR="00607E04">
        <w:rPr>
          <w:rFonts w:ascii="Arial" w:hAnsi="Arial" w:cs="Arial"/>
          <w:lang w:val="en-US"/>
        </w:rPr>
        <w:t xml:space="preserve">. </w:t>
      </w:r>
      <w:r w:rsidR="00872FD3" w:rsidRPr="00571714">
        <w:rPr>
          <w:rFonts w:ascii="Arial" w:hAnsi="Arial" w:cs="Arial"/>
        </w:rPr>
        <w:t xml:space="preserve">/Виж стр.7 </w:t>
      </w:r>
      <w:r w:rsidR="00872FD3" w:rsidRPr="00647AD1">
        <w:rPr>
          <w:rFonts w:ascii="Arial" w:hAnsi="Arial" w:cs="Arial"/>
          <w:b/>
          <w:i/>
          <w:u w:val="single"/>
        </w:rPr>
        <w:t>“Обстоятелства, настъпили след крайната дата на разглеждания в доклада период”</w:t>
      </w:r>
      <w:r w:rsidR="00872FD3" w:rsidRPr="00571714">
        <w:rPr>
          <w:rFonts w:ascii="Arial" w:hAnsi="Arial" w:cs="Arial"/>
        </w:rPr>
        <w:t>/</w:t>
      </w:r>
      <w:r w:rsidR="00872FD3">
        <w:rPr>
          <w:rFonts w:ascii="Arial" w:hAnsi="Arial" w:cs="Arial"/>
        </w:rPr>
        <w:t>.</w:t>
      </w:r>
    </w:p>
    <w:p w14:paraId="59DC4224" w14:textId="77777777" w:rsidR="00124B48" w:rsidRPr="00A17BD3" w:rsidRDefault="00124B48" w:rsidP="00E36286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71E250AB" w14:textId="77777777" w:rsidR="00D9764F" w:rsidRDefault="00D9764F" w:rsidP="00E36286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W w:w="4915" w:type="pct"/>
        <w:tblLayout w:type="fixed"/>
        <w:tblLook w:val="04A0" w:firstRow="1" w:lastRow="0" w:firstColumn="1" w:lastColumn="0" w:noHBand="0" w:noVBand="1"/>
      </w:tblPr>
      <w:tblGrid>
        <w:gridCol w:w="3972"/>
        <w:gridCol w:w="968"/>
        <w:gridCol w:w="968"/>
        <w:gridCol w:w="1244"/>
        <w:gridCol w:w="1380"/>
      </w:tblGrid>
      <w:tr w:rsidR="004726AF" w:rsidRPr="00E36286" w14:paraId="522A0627" w14:textId="77777777" w:rsidTr="00213150">
        <w:trPr>
          <w:trHeight w:val="415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D980D" w14:textId="77777777" w:rsidR="004726AF" w:rsidRPr="00E36286" w:rsidRDefault="004726AF" w:rsidP="002131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Активи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EDBCD" w14:textId="77777777" w:rsidR="004726AF" w:rsidRPr="00E36286" w:rsidRDefault="004726AF" w:rsidP="002131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30.06.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32056" w14:textId="77777777" w:rsidR="004726AF" w:rsidRPr="00DC6FBA" w:rsidRDefault="004726AF" w:rsidP="002131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31.03.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5D3C6D6A" w14:textId="77777777" w:rsidR="004726AF" w:rsidRPr="00E36286" w:rsidRDefault="004726AF" w:rsidP="002131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30.06.2024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</w:p>
          <w:p w14:paraId="723E641B" w14:textId="77777777" w:rsidR="004726AF" w:rsidRDefault="004726AF" w:rsidP="002131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31.03.2024</w:t>
            </w:r>
          </w:p>
          <w:p w14:paraId="5E934F86" w14:textId="77777777" w:rsidR="004726AF" w:rsidRPr="00AE2042" w:rsidRDefault="004726AF" w:rsidP="002131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EC14A" w14:textId="77777777" w:rsidR="004726AF" w:rsidRPr="00E36286" w:rsidRDefault="004726AF" w:rsidP="002131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% от активите към 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.20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  <w:tr w:rsidR="004726AF" w:rsidRPr="00E36286" w14:paraId="5B079F87" w14:textId="77777777" w:rsidTr="00213150">
        <w:trPr>
          <w:trHeight w:val="330"/>
        </w:trPr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AF0F1" w14:textId="77777777" w:rsidR="004726AF" w:rsidRPr="00E36286" w:rsidRDefault="004726AF" w:rsidP="002131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A212C" w14:textId="77777777" w:rsidR="004726AF" w:rsidRPr="00E36286" w:rsidRDefault="004726AF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‘000 лв.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763BB" w14:textId="77777777" w:rsidR="004726AF" w:rsidRPr="00E36286" w:rsidRDefault="004726AF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‘000 лв.</w:t>
            </w:r>
          </w:p>
        </w:tc>
        <w:tc>
          <w:tcPr>
            <w:tcW w:w="7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9F976" w14:textId="77777777" w:rsidR="004726AF" w:rsidRPr="00E36286" w:rsidRDefault="004726AF" w:rsidP="002131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1FE1" w14:textId="77777777" w:rsidR="004726AF" w:rsidRPr="00E36286" w:rsidRDefault="004726AF" w:rsidP="002131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26AF" w:rsidRPr="00E36286" w14:paraId="67CF9D7E" w14:textId="77777777" w:rsidTr="00213150">
        <w:trPr>
          <w:trHeight w:val="330"/>
        </w:trPr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FDF00" w14:textId="77777777" w:rsidR="004726AF" w:rsidRPr="00E36286" w:rsidRDefault="004726AF" w:rsidP="002131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Нетекущи активи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ADE7D" w14:textId="77777777" w:rsidR="004726AF" w:rsidRPr="00E36286" w:rsidRDefault="004726AF" w:rsidP="002131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632EF" w14:textId="77777777" w:rsidR="004726AF" w:rsidRPr="00E36286" w:rsidRDefault="004726AF" w:rsidP="002131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CC646" w14:textId="77777777" w:rsidR="004726AF" w:rsidRPr="00E36286" w:rsidRDefault="004726AF" w:rsidP="00213150">
            <w:pPr>
              <w:rPr>
                <w:rFonts w:ascii="Arial" w:hAnsi="Arial" w:cs="Arial"/>
                <w:sz w:val="20"/>
                <w:szCs w:val="20"/>
              </w:rPr>
            </w:pPr>
            <w:r w:rsidRPr="00E362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F6843" w14:textId="77777777" w:rsidR="004726AF" w:rsidRPr="00E36286" w:rsidRDefault="004726AF" w:rsidP="00213150">
            <w:pPr>
              <w:rPr>
                <w:rFonts w:ascii="Arial" w:hAnsi="Arial" w:cs="Arial"/>
                <w:sz w:val="20"/>
                <w:szCs w:val="20"/>
              </w:rPr>
            </w:pPr>
            <w:r w:rsidRPr="00E362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26AF" w:rsidRPr="00E36286" w14:paraId="6B031A76" w14:textId="77777777" w:rsidTr="00213150">
        <w:trPr>
          <w:trHeight w:val="330"/>
        </w:trPr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D9CBBC" w14:textId="77777777" w:rsidR="004726AF" w:rsidRPr="007E723D" w:rsidRDefault="004726AF" w:rsidP="0021315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</w:t>
            </w:r>
            <w:r w:rsidRPr="00E36286"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моти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машини и съоръжения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69A06C" w14:textId="77777777" w:rsidR="004726AF" w:rsidRPr="00987716" w:rsidRDefault="004726AF" w:rsidP="0021315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3C20C2" w14:textId="77777777" w:rsidR="004726AF" w:rsidRPr="00987716" w:rsidRDefault="004726AF" w:rsidP="0021315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17DEE" w14:textId="77777777" w:rsidR="004726AF" w:rsidRPr="0016107E" w:rsidRDefault="004726AF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101.30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8E9EE" w14:textId="77777777" w:rsidR="004726AF" w:rsidRPr="002A641E" w:rsidRDefault="004726AF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5.46</w:t>
            </w:r>
          </w:p>
        </w:tc>
      </w:tr>
      <w:tr w:rsidR="004726AF" w:rsidRPr="00E36286" w14:paraId="52F71220" w14:textId="77777777" w:rsidTr="00213150">
        <w:trPr>
          <w:trHeight w:val="330"/>
        </w:trPr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1B1A40" w14:textId="77777777" w:rsidR="004726AF" w:rsidRPr="00E36286" w:rsidRDefault="004726AF" w:rsidP="0021315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  <w:r w:rsidRPr="007E723D"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Инвестиционни имоти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CAECFB" w14:textId="77777777" w:rsidR="004726AF" w:rsidRPr="00987716" w:rsidRDefault="004726AF" w:rsidP="0021315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18099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F22A07" w14:textId="77777777" w:rsidR="004726AF" w:rsidRPr="00987716" w:rsidRDefault="004726AF" w:rsidP="0021315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16985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34E5F" w14:textId="77777777" w:rsidR="004726AF" w:rsidRPr="0022216A" w:rsidRDefault="004726AF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106.56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267DB" w14:textId="77777777" w:rsidR="004726AF" w:rsidRPr="002A641E" w:rsidRDefault="004726AF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63.56</w:t>
            </w:r>
          </w:p>
        </w:tc>
      </w:tr>
      <w:tr w:rsidR="004726AF" w:rsidRPr="00E36286" w14:paraId="0B865ADF" w14:textId="77777777" w:rsidTr="00213150">
        <w:trPr>
          <w:trHeight w:val="330"/>
        </w:trPr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7F4019" w14:textId="77777777" w:rsidR="004726AF" w:rsidRPr="007E723D" w:rsidRDefault="004726AF" w:rsidP="0021315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Други нетекущи активи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CADD32" w14:textId="77777777" w:rsidR="004726AF" w:rsidRPr="00166B93" w:rsidRDefault="004726AF" w:rsidP="0021315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94800A" w14:textId="77777777" w:rsidR="004726AF" w:rsidRPr="00166B93" w:rsidRDefault="004726AF" w:rsidP="0021315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0ADF0" w14:textId="77777777" w:rsidR="004726AF" w:rsidRPr="005C6DDE" w:rsidRDefault="004726AF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DB3C5" w14:textId="77777777" w:rsidR="004726AF" w:rsidRPr="003B68FE" w:rsidRDefault="004726AF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</w:tr>
      <w:tr w:rsidR="004726AF" w:rsidRPr="00E36286" w14:paraId="08B3F09E" w14:textId="77777777" w:rsidTr="00213150">
        <w:trPr>
          <w:trHeight w:val="315"/>
        </w:trPr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C58C95F" w14:textId="77777777" w:rsidR="004726AF" w:rsidRPr="00E36286" w:rsidRDefault="004726AF" w:rsidP="002131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Нетекущи активи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532095E" w14:textId="77777777" w:rsidR="004726AF" w:rsidRPr="00987716" w:rsidRDefault="004726AF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B9E3C67" w14:textId="77777777" w:rsidR="004726AF" w:rsidRPr="00987716" w:rsidRDefault="004726AF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18885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08032C7" w14:textId="77777777" w:rsidR="004726AF" w:rsidRPr="0016107E" w:rsidRDefault="004726AF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106.00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128E3B2" w14:textId="77777777" w:rsidR="004726AF" w:rsidRPr="002A641E" w:rsidRDefault="004726AF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70.30</w:t>
            </w:r>
          </w:p>
        </w:tc>
      </w:tr>
      <w:tr w:rsidR="004726AF" w:rsidRPr="00E36286" w14:paraId="14BFCF7B" w14:textId="77777777" w:rsidTr="00213150">
        <w:trPr>
          <w:trHeight w:val="330"/>
        </w:trPr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2A5C7" w14:textId="77777777" w:rsidR="004726AF" w:rsidRPr="00E36286" w:rsidRDefault="004726AF" w:rsidP="002131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Текущи активи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3EAEF8" w14:textId="77777777" w:rsidR="004726AF" w:rsidRPr="00E36286" w:rsidRDefault="004726AF" w:rsidP="002131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B1451" w14:textId="77777777" w:rsidR="004726AF" w:rsidRPr="00E36286" w:rsidRDefault="004726AF" w:rsidP="002131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7586B" w14:textId="77777777" w:rsidR="004726AF" w:rsidRPr="00E36286" w:rsidRDefault="004726AF" w:rsidP="002131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7D769" w14:textId="77777777" w:rsidR="004726AF" w:rsidRPr="00E36286" w:rsidRDefault="004726AF" w:rsidP="002131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6AF" w:rsidRPr="00E36286" w14:paraId="62547F6C" w14:textId="77777777" w:rsidTr="00213150">
        <w:trPr>
          <w:trHeight w:val="315"/>
        </w:trPr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770BC" w14:textId="77777777" w:rsidR="004726AF" w:rsidRPr="00F12DCD" w:rsidRDefault="004726AF" w:rsidP="00213150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Търговски и други вземания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FCA7F9" w14:textId="77777777" w:rsidR="004726AF" w:rsidRPr="0022216A" w:rsidRDefault="004726AF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C4E6D4" w14:textId="77777777" w:rsidR="004726AF" w:rsidRPr="0022216A" w:rsidRDefault="004726AF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7897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83817" w14:textId="77777777" w:rsidR="004726AF" w:rsidRPr="0016107E" w:rsidRDefault="004726AF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106.48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CCBD5" w14:textId="77777777" w:rsidR="004726AF" w:rsidRPr="002A3093" w:rsidRDefault="004726AF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29.53</w:t>
            </w:r>
          </w:p>
        </w:tc>
      </w:tr>
      <w:tr w:rsidR="004726AF" w:rsidRPr="00E36286" w14:paraId="7D6967D3" w14:textId="77777777" w:rsidTr="00213150">
        <w:trPr>
          <w:trHeight w:val="315"/>
        </w:trPr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A9324A" w14:textId="77777777" w:rsidR="004726AF" w:rsidRPr="00E36286" w:rsidRDefault="004726AF" w:rsidP="00213150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E36286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Пари и парични еквиваленти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FB3BD8" w14:textId="77777777" w:rsidR="004726AF" w:rsidRPr="0022216A" w:rsidRDefault="004726AF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3383B8" w14:textId="77777777" w:rsidR="004726AF" w:rsidRPr="0022216A" w:rsidRDefault="004726AF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0F0CE" w14:textId="77777777" w:rsidR="004726AF" w:rsidRPr="0016107E" w:rsidRDefault="004726AF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63.16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2C2D5" w14:textId="77777777" w:rsidR="004726AF" w:rsidRPr="006671B7" w:rsidRDefault="004726AF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</w:tr>
      <w:tr w:rsidR="004726AF" w:rsidRPr="00E36286" w14:paraId="4B85A2B5" w14:textId="77777777" w:rsidTr="00213150">
        <w:trPr>
          <w:trHeight w:val="300"/>
        </w:trPr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FC112FF" w14:textId="77777777" w:rsidR="004726AF" w:rsidRPr="00E36286" w:rsidRDefault="004726AF" w:rsidP="002131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Текущи активи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D029887" w14:textId="77777777" w:rsidR="004726AF" w:rsidRPr="0022216A" w:rsidRDefault="004726AF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8457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27A24F5B" w14:textId="77777777" w:rsidR="004726AF" w:rsidRPr="0022216A" w:rsidRDefault="004726AF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7973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18CB2782" w14:textId="77777777" w:rsidR="004726AF" w:rsidRPr="0016107E" w:rsidRDefault="004726AF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106.07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44B76AB6" w14:textId="77777777" w:rsidR="004726AF" w:rsidRPr="002A641E" w:rsidRDefault="004726AF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29.70</w:t>
            </w:r>
          </w:p>
        </w:tc>
      </w:tr>
      <w:tr w:rsidR="004726AF" w:rsidRPr="00E36286" w14:paraId="4E8F6AB7" w14:textId="77777777" w:rsidTr="00213150">
        <w:trPr>
          <w:trHeight w:val="315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60BFC461" w14:textId="77777777" w:rsidR="004726AF" w:rsidRDefault="004726AF" w:rsidP="002131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37DDBA25" w14:textId="77777777" w:rsidR="004726AF" w:rsidRDefault="004726AF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503AEF6A" w14:textId="77777777" w:rsidR="004726AF" w:rsidRDefault="004726AF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7FFF8467" w14:textId="77777777" w:rsidR="004726AF" w:rsidRDefault="004726AF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08876DE4" w14:textId="77777777" w:rsidR="004726AF" w:rsidRDefault="004726AF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26AF" w:rsidRPr="00E36286" w14:paraId="49F9451E" w14:textId="77777777" w:rsidTr="00213150">
        <w:trPr>
          <w:trHeight w:val="315"/>
        </w:trPr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EFDD2BB" w14:textId="77777777" w:rsidR="004726AF" w:rsidRPr="00E36286" w:rsidRDefault="004726AF" w:rsidP="002131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Общо активи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1A8A517D" w14:textId="77777777" w:rsidR="004726AF" w:rsidRPr="0022216A" w:rsidRDefault="004726AF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28476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4764DE22" w14:textId="77777777" w:rsidR="004726AF" w:rsidRPr="0022216A" w:rsidRDefault="004726AF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26858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3AAA143" w14:textId="77777777" w:rsidR="004726AF" w:rsidRPr="00C118A5" w:rsidRDefault="004726AF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106.02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43F931D3" w14:textId="77777777" w:rsidR="004726AF" w:rsidRPr="00E36286" w:rsidRDefault="004726AF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100.00</w:t>
            </w:r>
          </w:p>
        </w:tc>
      </w:tr>
    </w:tbl>
    <w:p w14:paraId="7ADD6517" w14:textId="77777777" w:rsidR="00A11F23" w:rsidRDefault="00A11F23" w:rsidP="00340352">
      <w:pPr>
        <w:pStyle w:val="a6"/>
        <w:spacing w:after="0" w:line="240" w:lineRule="auto"/>
        <w:ind w:left="0"/>
        <w:jc w:val="both"/>
        <w:rPr>
          <w:rFonts w:ascii="Arial" w:hAnsi="Arial" w:cs="Arial"/>
          <w:b/>
          <w:lang w:val="en-US"/>
        </w:rPr>
      </w:pPr>
    </w:p>
    <w:p w14:paraId="1A7C115A" w14:textId="77777777" w:rsidR="00CD5A4A" w:rsidRDefault="00CD5A4A" w:rsidP="00340352">
      <w:pPr>
        <w:pStyle w:val="a6"/>
        <w:spacing w:after="0" w:line="240" w:lineRule="auto"/>
        <w:ind w:left="0"/>
        <w:jc w:val="both"/>
        <w:rPr>
          <w:rFonts w:ascii="Arial" w:hAnsi="Arial" w:cs="Arial"/>
          <w:b/>
          <w:lang w:val="en-US"/>
        </w:rPr>
      </w:pPr>
    </w:p>
    <w:p w14:paraId="24B2760D" w14:textId="77777777" w:rsidR="00D9764F" w:rsidRPr="00E36286" w:rsidRDefault="00D9764F" w:rsidP="00D9764F">
      <w:pPr>
        <w:pStyle w:val="2"/>
        <w:keepLines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36286">
        <w:rPr>
          <w:rFonts w:ascii="Arial" w:hAnsi="Arial" w:cs="Arial"/>
          <w:sz w:val="22"/>
          <w:szCs w:val="22"/>
        </w:rPr>
        <w:lastRenderedPageBreak/>
        <w:t xml:space="preserve">Анализ на собствения капитал и пасивите на </w:t>
      </w:r>
      <w:r w:rsidR="00627047">
        <w:rPr>
          <w:rFonts w:ascii="Arial" w:hAnsi="Arial" w:cs="Arial"/>
          <w:sz w:val="22"/>
          <w:szCs w:val="22"/>
        </w:rPr>
        <w:t>ПАРК АДСИЦ</w:t>
      </w:r>
    </w:p>
    <w:p w14:paraId="6D6787B8" w14:textId="77777777" w:rsidR="00D9764F" w:rsidRDefault="00D9764F" w:rsidP="00D9764F">
      <w:pPr>
        <w:rPr>
          <w:rFonts w:ascii="Arial" w:hAnsi="Arial" w:cs="Arial"/>
          <w:sz w:val="22"/>
          <w:szCs w:val="22"/>
        </w:rPr>
      </w:pPr>
    </w:p>
    <w:p w14:paraId="37CE841F" w14:textId="77777777" w:rsidR="001339A6" w:rsidRPr="00E36286" w:rsidRDefault="001339A6" w:rsidP="00D9764F">
      <w:pPr>
        <w:rPr>
          <w:rFonts w:ascii="Arial" w:hAnsi="Arial" w:cs="Arial"/>
          <w:sz w:val="22"/>
          <w:szCs w:val="22"/>
        </w:rPr>
      </w:pPr>
    </w:p>
    <w:tbl>
      <w:tblPr>
        <w:tblW w:w="4915" w:type="pct"/>
        <w:tblLayout w:type="fixed"/>
        <w:tblLook w:val="04A0" w:firstRow="1" w:lastRow="0" w:firstColumn="1" w:lastColumn="0" w:noHBand="0" w:noVBand="1"/>
      </w:tblPr>
      <w:tblGrid>
        <w:gridCol w:w="3607"/>
        <w:gridCol w:w="1058"/>
        <w:gridCol w:w="968"/>
        <w:gridCol w:w="1244"/>
        <w:gridCol w:w="1655"/>
      </w:tblGrid>
      <w:tr w:rsidR="005D5510" w:rsidRPr="00DC70E5" w14:paraId="73FD021B" w14:textId="77777777" w:rsidTr="00213150">
        <w:trPr>
          <w:trHeight w:val="420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F70DB" w14:textId="77777777" w:rsidR="005D5510" w:rsidRPr="00DC70E5" w:rsidRDefault="005D5510" w:rsidP="002131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Собствен капитал и пасиви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941FF" w14:textId="77777777" w:rsidR="005D5510" w:rsidRDefault="005D5510" w:rsidP="002131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30.06.</w:t>
            </w:r>
          </w:p>
          <w:p w14:paraId="25B5B592" w14:textId="77777777" w:rsidR="005D5510" w:rsidRPr="00DC70E5" w:rsidRDefault="005D5510" w:rsidP="002131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36506" w14:textId="77777777" w:rsidR="005D5510" w:rsidRDefault="005D5510" w:rsidP="002131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31.03.</w:t>
            </w:r>
          </w:p>
          <w:p w14:paraId="68477FDA" w14:textId="77777777" w:rsidR="005D5510" w:rsidRPr="00DA3E8A" w:rsidRDefault="005D5510" w:rsidP="002131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1A00C4E2" w14:textId="77777777" w:rsidR="005D5510" w:rsidRPr="00DC70E5" w:rsidRDefault="005D5510" w:rsidP="002131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30.06.</w:t>
            </w: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</w:t>
            </w: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14:paraId="2A8DE127" w14:textId="77777777" w:rsidR="005D5510" w:rsidRDefault="005D5510" w:rsidP="002131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31.03.</w:t>
            </w: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  <w:p w14:paraId="200360D9" w14:textId="77777777" w:rsidR="005D5510" w:rsidRPr="002757E0" w:rsidRDefault="005D5510" w:rsidP="002131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729D7" w14:textId="77777777" w:rsidR="005D5510" w:rsidRPr="00DC70E5" w:rsidRDefault="005D5510" w:rsidP="002131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% от СК и Пасивите към 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.20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D5510" w:rsidRPr="00DC70E5" w14:paraId="559A7443" w14:textId="77777777" w:rsidTr="00213150">
        <w:trPr>
          <w:trHeight w:val="31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6C051" w14:textId="77777777" w:rsidR="005D5510" w:rsidRPr="00DC70E5" w:rsidRDefault="005D5510" w:rsidP="002131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CBCAA" w14:textId="77777777" w:rsidR="005D5510" w:rsidRPr="00DC70E5" w:rsidRDefault="005D5510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‘000 лв.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EAC6A" w14:textId="77777777" w:rsidR="005D5510" w:rsidRPr="00DC70E5" w:rsidRDefault="005D5510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‘000 лв.</w:t>
            </w:r>
          </w:p>
        </w:tc>
        <w:tc>
          <w:tcPr>
            <w:tcW w:w="7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90C23" w14:textId="77777777" w:rsidR="005D5510" w:rsidRPr="00DC70E5" w:rsidRDefault="005D5510" w:rsidP="002131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8C4E" w14:textId="77777777" w:rsidR="005D5510" w:rsidRPr="00DC70E5" w:rsidRDefault="005D5510" w:rsidP="002131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5510" w:rsidRPr="00DC70E5" w14:paraId="17EFF296" w14:textId="77777777" w:rsidTr="00213150">
        <w:trPr>
          <w:trHeight w:val="31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B05C9" w14:textId="77777777" w:rsidR="005D5510" w:rsidRPr="00DC70E5" w:rsidRDefault="005D5510" w:rsidP="002131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Собствен капитал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9A286" w14:textId="77777777" w:rsidR="005D5510" w:rsidRPr="00DC70E5" w:rsidRDefault="005D5510" w:rsidP="002131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CB27D" w14:textId="77777777" w:rsidR="005D5510" w:rsidRPr="00DC70E5" w:rsidRDefault="005D5510" w:rsidP="002131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84E03" w14:textId="77777777" w:rsidR="005D5510" w:rsidRPr="00DC70E5" w:rsidRDefault="005D5510" w:rsidP="00213150">
            <w:pPr>
              <w:rPr>
                <w:rFonts w:ascii="Arial" w:hAnsi="Arial" w:cs="Arial"/>
                <w:sz w:val="20"/>
                <w:szCs w:val="20"/>
              </w:rPr>
            </w:pPr>
            <w:r w:rsidRPr="00DC70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59273" w14:textId="77777777" w:rsidR="005D5510" w:rsidRPr="00DC70E5" w:rsidRDefault="005D5510" w:rsidP="00213150">
            <w:pPr>
              <w:rPr>
                <w:rFonts w:ascii="Arial" w:hAnsi="Arial" w:cs="Arial"/>
                <w:sz w:val="20"/>
                <w:szCs w:val="20"/>
              </w:rPr>
            </w:pPr>
            <w:r w:rsidRPr="00DC70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5510" w:rsidRPr="00DC70E5" w14:paraId="7D5561D8" w14:textId="77777777" w:rsidTr="00213150">
        <w:trPr>
          <w:trHeight w:val="31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A2FCB" w14:textId="77777777" w:rsidR="005D5510" w:rsidRPr="00DC70E5" w:rsidRDefault="005D5510" w:rsidP="002131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Основен</w:t>
            </w:r>
            <w:r w:rsidRPr="00DC70E5">
              <w:rPr>
                <w:rFonts w:ascii="Arial" w:hAnsi="Arial" w:cs="Arial"/>
                <w:sz w:val="20"/>
                <w:szCs w:val="20"/>
              </w:rPr>
              <w:t xml:space="preserve"> капитал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486DA4" w14:textId="77777777" w:rsidR="005D5510" w:rsidRPr="00664ECD" w:rsidRDefault="005D5510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2FFD3" w14:textId="77777777" w:rsidR="005D5510" w:rsidRPr="00664ECD" w:rsidRDefault="005D5510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D13EC" w14:textId="77777777" w:rsidR="005D5510" w:rsidRPr="00277C79" w:rsidRDefault="005D5510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22F83" w14:textId="77777777" w:rsidR="005D5510" w:rsidRPr="00277C79" w:rsidRDefault="005D5510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34.13</w:t>
            </w:r>
          </w:p>
        </w:tc>
      </w:tr>
      <w:tr w:rsidR="005D5510" w:rsidRPr="00DC70E5" w14:paraId="06351B49" w14:textId="77777777" w:rsidTr="00213150">
        <w:trPr>
          <w:trHeight w:val="261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79095" w14:textId="77777777" w:rsidR="005D5510" w:rsidRPr="00DC70E5" w:rsidRDefault="005D5510" w:rsidP="002131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езерви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9285EA" w14:textId="77777777" w:rsidR="005D5510" w:rsidRPr="00664ECD" w:rsidRDefault="005D5510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281710" w14:textId="77777777" w:rsidR="005D5510" w:rsidRPr="00664ECD" w:rsidRDefault="005D5510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96502" w14:textId="77777777" w:rsidR="005D5510" w:rsidRPr="00664ECD" w:rsidRDefault="005D5510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4A6F0" w14:textId="77777777" w:rsidR="005D5510" w:rsidRPr="00277C79" w:rsidRDefault="005D5510" w:rsidP="001D7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  <w:r w:rsidR="001D72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D5510" w:rsidRPr="00DC70E5" w14:paraId="18CE3836" w14:textId="77777777" w:rsidTr="00213150">
        <w:trPr>
          <w:trHeight w:val="261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467AE" w14:textId="77777777" w:rsidR="005D5510" w:rsidRPr="003103C5" w:rsidRDefault="005D5510" w:rsidP="002131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 резултат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A65D7" w14:textId="77777777" w:rsidR="005D5510" w:rsidRPr="00664ECD" w:rsidRDefault="005D5510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(3058)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51A499" w14:textId="77777777" w:rsidR="005D5510" w:rsidRPr="00664ECD" w:rsidRDefault="005D5510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(3914)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463F6" w14:textId="77777777" w:rsidR="005D5510" w:rsidRPr="00277C79" w:rsidRDefault="005D5510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78.13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BC129" w14:textId="77777777" w:rsidR="005D5510" w:rsidRPr="00277C79" w:rsidRDefault="005D5510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(10.74)</w:t>
            </w:r>
          </w:p>
        </w:tc>
      </w:tr>
      <w:tr w:rsidR="005D5510" w:rsidRPr="00DC70E5" w14:paraId="79F5B84C" w14:textId="77777777" w:rsidTr="00213150">
        <w:trPr>
          <w:trHeight w:val="31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A4F1BD3" w14:textId="77777777" w:rsidR="005D5510" w:rsidRPr="00DC70E5" w:rsidRDefault="005D5510" w:rsidP="002131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Общо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собствен </w:t>
            </w: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капитал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7EB4DF0" w14:textId="77777777" w:rsidR="005D5510" w:rsidRPr="00664ECD" w:rsidRDefault="005D5510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919B352" w14:textId="77777777" w:rsidR="005D5510" w:rsidRPr="00664ECD" w:rsidRDefault="005D5510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6351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1A014767" w14:textId="77777777" w:rsidR="005D5510" w:rsidRPr="00277C79" w:rsidRDefault="005D5510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113.48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E1D0280" w14:textId="77777777" w:rsidR="005D5510" w:rsidRPr="006A1F06" w:rsidRDefault="005D5510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25.31</w:t>
            </w:r>
          </w:p>
        </w:tc>
      </w:tr>
      <w:tr w:rsidR="005D5510" w:rsidRPr="00DC70E5" w14:paraId="22C7EA42" w14:textId="77777777" w:rsidTr="00213150">
        <w:trPr>
          <w:trHeight w:val="31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C269B" w14:textId="77777777" w:rsidR="005D5510" w:rsidRPr="00DC70E5" w:rsidRDefault="005D5510" w:rsidP="002131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Пасиви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51F0D6" w14:textId="77777777" w:rsidR="005D5510" w:rsidRPr="00DC70E5" w:rsidRDefault="005D5510" w:rsidP="002131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10421" w14:textId="77777777" w:rsidR="005D5510" w:rsidRPr="00DC70E5" w:rsidRDefault="005D5510" w:rsidP="002131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83D48" w14:textId="77777777" w:rsidR="005D5510" w:rsidRPr="00DC70E5" w:rsidRDefault="005D5510" w:rsidP="002131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3C98D" w14:textId="77777777" w:rsidR="005D5510" w:rsidRPr="00DC70E5" w:rsidRDefault="005D5510" w:rsidP="002131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510" w:rsidRPr="00DC70E5" w14:paraId="71219CEF" w14:textId="77777777" w:rsidTr="00213150">
        <w:trPr>
          <w:trHeight w:val="31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2BD1E" w14:textId="77777777" w:rsidR="005D5510" w:rsidRPr="00DC70E5" w:rsidRDefault="005D5510" w:rsidP="002131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Нетекущи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E0B41" w14:textId="77777777" w:rsidR="005D5510" w:rsidRPr="00DC70E5" w:rsidRDefault="005D5510" w:rsidP="002131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9290E8" w14:textId="77777777" w:rsidR="005D5510" w:rsidRPr="00DC70E5" w:rsidRDefault="005D5510" w:rsidP="002131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DFB61" w14:textId="77777777" w:rsidR="005D5510" w:rsidRPr="00DC70E5" w:rsidRDefault="005D5510" w:rsidP="002131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1B60B" w14:textId="77777777" w:rsidR="005D5510" w:rsidRPr="00DC70E5" w:rsidRDefault="005D5510" w:rsidP="002131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510" w:rsidRPr="00DC70E5" w14:paraId="58CFFF07" w14:textId="77777777" w:rsidTr="00213150">
        <w:trPr>
          <w:trHeight w:val="31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8E6DF8" w14:textId="77777777" w:rsidR="005D5510" w:rsidRPr="00D50617" w:rsidRDefault="005D5510" w:rsidP="002131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Финансови пасиви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1D815C" w14:textId="77777777" w:rsidR="005D5510" w:rsidRPr="004B567B" w:rsidRDefault="005D5510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F87E16" w14:textId="77777777" w:rsidR="005D5510" w:rsidRPr="004B567B" w:rsidRDefault="005D5510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9FFC3" w14:textId="77777777" w:rsidR="005D5510" w:rsidRPr="00EA52F4" w:rsidRDefault="005D5510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5B9A7" w14:textId="77777777" w:rsidR="005D5510" w:rsidRPr="006E391C" w:rsidRDefault="005D5510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68.48</w:t>
            </w:r>
          </w:p>
        </w:tc>
      </w:tr>
      <w:tr w:rsidR="005D5510" w:rsidRPr="00DC70E5" w14:paraId="71D7939A" w14:textId="77777777" w:rsidTr="00213150">
        <w:trPr>
          <w:trHeight w:val="31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E7794B2" w14:textId="77777777" w:rsidR="005D5510" w:rsidRPr="00DC70E5" w:rsidRDefault="005D5510" w:rsidP="002131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Общо н</w:t>
            </w:r>
            <w:r w:rsidRPr="00DC70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етекущи пасиви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C9052C0" w14:textId="77777777" w:rsidR="005D5510" w:rsidRPr="004B567B" w:rsidRDefault="005D5510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17C33A50" w14:textId="77777777" w:rsidR="005D5510" w:rsidRPr="004B567B" w:rsidRDefault="005D5510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19500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7A0C922" w14:textId="77777777" w:rsidR="005D5510" w:rsidRPr="00EA52F4" w:rsidRDefault="005D5510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100.00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2E50EE6D" w14:textId="77777777" w:rsidR="005D5510" w:rsidRPr="00277C79" w:rsidRDefault="005D5510" w:rsidP="002131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68.48</w:t>
            </w:r>
          </w:p>
        </w:tc>
      </w:tr>
      <w:tr w:rsidR="005D5510" w:rsidRPr="00DC70E5" w14:paraId="497EDBA0" w14:textId="77777777" w:rsidTr="00213150">
        <w:trPr>
          <w:trHeight w:val="31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466A23" w14:textId="77777777" w:rsidR="005D5510" w:rsidRPr="00792E16" w:rsidRDefault="005D5510" w:rsidP="002131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2E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Текущи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2AFD6" w14:textId="77777777" w:rsidR="005D5510" w:rsidRPr="00792E16" w:rsidRDefault="005D5510" w:rsidP="0021315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00669B" w14:textId="77777777" w:rsidR="005D5510" w:rsidRPr="00792E16" w:rsidRDefault="005D5510" w:rsidP="0021315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6D1530" w14:textId="77777777" w:rsidR="005D5510" w:rsidRPr="00792E16" w:rsidRDefault="005D5510" w:rsidP="00213150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D293DA" w14:textId="77777777" w:rsidR="005D5510" w:rsidRPr="00792E16" w:rsidRDefault="005D5510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510" w:rsidRPr="00DC70E5" w14:paraId="7AEC034C" w14:textId="77777777" w:rsidTr="00213150">
        <w:trPr>
          <w:trHeight w:val="31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C6344" w14:textId="77777777" w:rsidR="005D5510" w:rsidRPr="003103C5" w:rsidRDefault="005D5510" w:rsidP="0021315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Финансови пасиви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38EEE3" w14:textId="77777777" w:rsidR="005D5510" w:rsidRPr="004B567B" w:rsidRDefault="005D5510" w:rsidP="0021315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314360" w14:textId="77777777" w:rsidR="005D5510" w:rsidRPr="004B567B" w:rsidRDefault="005D5510" w:rsidP="0021315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F2633C" w14:textId="77777777" w:rsidR="005D5510" w:rsidRPr="0016154E" w:rsidRDefault="005D5510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216.09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D5D8D3" w14:textId="77777777" w:rsidR="005D5510" w:rsidRPr="00922845" w:rsidRDefault="005D5510" w:rsidP="00213150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>4.86</w:t>
            </w:r>
          </w:p>
        </w:tc>
      </w:tr>
      <w:tr w:rsidR="005D5510" w:rsidRPr="00DC70E5" w14:paraId="6DB602A2" w14:textId="77777777" w:rsidTr="00213150">
        <w:trPr>
          <w:trHeight w:val="31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4762FC" w14:textId="77777777" w:rsidR="005D5510" w:rsidRPr="00792E16" w:rsidRDefault="005D5510" w:rsidP="0021315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Пасиви по договори с клиенти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D3870" w14:textId="77777777" w:rsidR="005D5510" w:rsidRPr="003C193A" w:rsidRDefault="005D5510" w:rsidP="0021315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294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5AE0D3" w14:textId="77777777" w:rsidR="005D5510" w:rsidRPr="003C193A" w:rsidRDefault="005D5510" w:rsidP="0021315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294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6FEB12" w14:textId="77777777" w:rsidR="005D5510" w:rsidRPr="00922845" w:rsidRDefault="005D5510" w:rsidP="00213150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100.00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9A0B72" w14:textId="77777777" w:rsidR="005D5510" w:rsidRPr="0016458D" w:rsidRDefault="005D5510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5D5510" w:rsidRPr="00DC70E5" w14:paraId="0CD1AF71" w14:textId="77777777" w:rsidTr="00213150">
        <w:trPr>
          <w:trHeight w:val="31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FE21B" w14:textId="77777777" w:rsidR="005D5510" w:rsidRPr="00792E16" w:rsidRDefault="005D5510" w:rsidP="0021315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  <w:r w:rsidRPr="00792E16"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Търговски и други задължения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E21D51" w14:textId="77777777" w:rsidR="005D5510" w:rsidRPr="003C00D7" w:rsidRDefault="005D5510" w:rsidP="0021315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6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8BA1D8" w14:textId="77777777" w:rsidR="005D5510" w:rsidRPr="003C193A" w:rsidRDefault="005D5510" w:rsidP="0021315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CC80DC" w14:textId="77777777" w:rsidR="005D5510" w:rsidRPr="0016154E" w:rsidRDefault="005D5510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88.41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7843E6" w14:textId="77777777" w:rsidR="005D5510" w:rsidRPr="0016154E" w:rsidRDefault="005D5510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931F6" w:rsidRPr="00DC70E5" w14:paraId="6F3618A0" w14:textId="77777777" w:rsidTr="00213150">
        <w:trPr>
          <w:trHeight w:val="31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443034" w14:textId="77777777" w:rsidR="006931F6" w:rsidRPr="004B567B" w:rsidRDefault="006931F6" w:rsidP="005000A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Данъчни задължения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FA36E6" w14:textId="77777777" w:rsidR="006931F6" w:rsidRPr="003C00D7" w:rsidRDefault="006931F6" w:rsidP="005000A7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8E0A3" w14:textId="77777777" w:rsidR="006931F6" w:rsidRPr="003C193A" w:rsidRDefault="006931F6" w:rsidP="005000A7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6E80D8" w14:textId="77777777" w:rsidR="006931F6" w:rsidRPr="0016154E" w:rsidRDefault="006931F6" w:rsidP="005000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2900.00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197B6" w14:textId="77777777" w:rsidR="006931F6" w:rsidRPr="00922845" w:rsidRDefault="006931F6" w:rsidP="005000A7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0</w:t>
            </w:r>
          </w:p>
        </w:tc>
      </w:tr>
      <w:tr w:rsidR="006931F6" w:rsidRPr="00DC70E5" w14:paraId="72A38612" w14:textId="77777777" w:rsidTr="00213150">
        <w:trPr>
          <w:trHeight w:val="31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BA777" w14:textId="77777777" w:rsidR="006931F6" w:rsidRPr="004B567B" w:rsidRDefault="006931F6" w:rsidP="0021315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</w:t>
            </w:r>
            <w:r w:rsidRPr="00792E16"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 xml:space="preserve">адължения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свързани с персонала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344518" w14:textId="77777777" w:rsidR="006931F6" w:rsidRPr="003C00D7" w:rsidRDefault="006931F6" w:rsidP="0021315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4B5A6D" w14:textId="77777777" w:rsidR="006931F6" w:rsidRPr="003C193A" w:rsidRDefault="006931F6" w:rsidP="0021315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D8BDA0" w14:textId="77777777" w:rsidR="006931F6" w:rsidRPr="00277C79" w:rsidRDefault="006931F6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66.67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EF552D" w14:textId="77777777" w:rsidR="006931F6" w:rsidRPr="006E391C" w:rsidRDefault="006931F6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931F6" w:rsidRPr="00DC70E5" w14:paraId="01F07B06" w14:textId="77777777" w:rsidTr="00213150">
        <w:trPr>
          <w:trHeight w:val="31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065B61DF" w14:textId="77777777" w:rsidR="006931F6" w:rsidRPr="008F3235" w:rsidRDefault="006931F6" w:rsidP="002131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Общо т</w:t>
            </w:r>
            <w:r w:rsidRPr="00DC70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екущи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 xml:space="preserve"> пасиви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AC648E7" w14:textId="77777777" w:rsidR="006931F6" w:rsidRPr="00507CDA" w:rsidRDefault="006931F6" w:rsidP="002131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3E7BC28" w14:textId="77777777" w:rsidR="006931F6" w:rsidRPr="00593935" w:rsidRDefault="006931F6" w:rsidP="002131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007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C2A164A" w14:textId="77777777" w:rsidR="006931F6" w:rsidRPr="00507CDA" w:rsidRDefault="006931F6" w:rsidP="002131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175.67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5A5BA7F" w14:textId="77777777" w:rsidR="006931F6" w:rsidRPr="00507CDA" w:rsidRDefault="006931F6" w:rsidP="002131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6.21</w:t>
            </w:r>
          </w:p>
        </w:tc>
      </w:tr>
      <w:tr w:rsidR="006931F6" w:rsidRPr="00DC70E5" w14:paraId="5CAC3F8F" w14:textId="77777777" w:rsidTr="00213150">
        <w:trPr>
          <w:trHeight w:val="31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01AC4357" w14:textId="77777777" w:rsidR="006931F6" w:rsidRPr="00920977" w:rsidRDefault="006931F6" w:rsidP="00213150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  <w:r w:rsidRPr="00920977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Общо пасиви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8A00FE3" w14:textId="77777777" w:rsidR="006931F6" w:rsidRPr="00507CDA" w:rsidRDefault="006931F6" w:rsidP="0021315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21269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F8E598B" w14:textId="77777777" w:rsidR="006931F6" w:rsidRPr="00593935" w:rsidRDefault="006931F6" w:rsidP="0021315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0507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30DF2C6" w14:textId="77777777" w:rsidR="006931F6" w:rsidRPr="00277C79" w:rsidRDefault="006931F6" w:rsidP="002131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103.72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927887E" w14:textId="77777777" w:rsidR="006931F6" w:rsidRPr="000C5236" w:rsidRDefault="006931F6" w:rsidP="002131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74.69</w:t>
            </w:r>
          </w:p>
        </w:tc>
      </w:tr>
      <w:tr w:rsidR="006931F6" w:rsidRPr="00DC70E5" w14:paraId="75A57614" w14:textId="77777777" w:rsidTr="00213150">
        <w:trPr>
          <w:trHeight w:val="31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0F3F78" w14:textId="77777777" w:rsidR="006931F6" w:rsidRPr="00920977" w:rsidRDefault="006931F6" w:rsidP="00213150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02B55B" w14:textId="77777777" w:rsidR="006931F6" w:rsidRPr="00920977" w:rsidRDefault="006931F6" w:rsidP="0021315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4714D" w14:textId="77777777" w:rsidR="006931F6" w:rsidRPr="00920977" w:rsidRDefault="006931F6" w:rsidP="0021315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B5996" w14:textId="77777777" w:rsidR="006931F6" w:rsidRPr="00DC70E5" w:rsidRDefault="006931F6" w:rsidP="00213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89554" w14:textId="77777777" w:rsidR="006931F6" w:rsidRPr="00DC70E5" w:rsidRDefault="006931F6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1F6" w:rsidRPr="00DC70E5" w14:paraId="431FA0A6" w14:textId="77777777" w:rsidTr="00213150">
        <w:trPr>
          <w:trHeight w:val="31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67AFD0CE" w14:textId="77777777" w:rsidR="006931F6" w:rsidRPr="00920977" w:rsidRDefault="006931F6" w:rsidP="00213150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  <w:r w:rsidRPr="00920977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Общо собствен капитал и пасиви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EEA4C45" w14:textId="77777777" w:rsidR="006931F6" w:rsidRPr="00507CDA" w:rsidRDefault="006931F6" w:rsidP="0021315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476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D7CE04F" w14:textId="77777777" w:rsidR="006931F6" w:rsidRPr="00593935" w:rsidRDefault="006931F6" w:rsidP="0021315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6858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AB63076" w14:textId="77777777" w:rsidR="006931F6" w:rsidRPr="002D2F29" w:rsidRDefault="006931F6" w:rsidP="002131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.02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A6DD8B6" w14:textId="77777777" w:rsidR="006931F6" w:rsidRPr="00D10575" w:rsidRDefault="006931F6" w:rsidP="002131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100.00</w:t>
            </w:r>
          </w:p>
        </w:tc>
      </w:tr>
    </w:tbl>
    <w:p w14:paraId="2F62D4AD" w14:textId="77777777" w:rsidR="001339A6" w:rsidRPr="00E36286" w:rsidRDefault="00F146C4" w:rsidP="00F146C4">
      <w:pPr>
        <w:tabs>
          <w:tab w:val="left" w:pos="52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D85B88D" w14:textId="77777777" w:rsidR="006C6B74" w:rsidRPr="00340352" w:rsidRDefault="00D9764F" w:rsidP="00E561DD">
      <w:pPr>
        <w:pStyle w:val="a6"/>
        <w:spacing w:after="0" w:line="240" w:lineRule="auto"/>
        <w:ind w:left="0"/>
        <w:jc w:val="both"/>
        <w:rPr>
          <w:rFonts w:ascii="Arial" w:hAnsi="Arial" w:cs="Arial"/>
          <w:color w:val="000000"/>
          <w:lang w:val="en-US"/>
        </w:rPr>
      </w:pPr>
      <w:r w:rsidRPr="00E36286">
        <w:rPr>
          <w:rFonts w:ascii="Arial" w:hAnsi="Arial" w:cs="Arial"/>
        </w:rPr>
        <w:t xml:space="preserve">Към </w:t>
      </w:r>
      <w:r w:rsidR="00EF5000">
        <w:rPr>
          <w:rFonts w:ascii="Arial" w:hAnsi="Arial" w:cs="Arial"/>
          <w:lang w:val="en-US"/>
        </w:rPr>
        <w:t>3</w:t>
      </w:r>
      <w:r w:rsidR="00AE0030">
        <w:rPr>
          <w:rFonts w:ascii="Arial" w:hAnsi="Arial" w:cs="Arial"/>
          <w:lang w:val="en-US"/>
        </w:rPr>
        <w:t>0</w:t>
      </w:r>
      <w:r w:rsidR="00EF5000">
        <w:rPr>
          <w:rFonts w:ascii="Arial" w:hAnsi="Arial" w:cs="Arial"/>
          <w:lang w:val="en-US"/>
        </w:rPr>
        <w:t>.</w:t>
      </w:r>
      <w:r w:rsidR="00321F9E">
        <w:rPr>
          <w:rFonts w:ascii="Arial" w:hAnsi="Arial" w:cs="Arial"/>
          <w:lang w:val="en-US"/>
        </w:rPr>
        <w:t>0</w:t>
      </w:r>
      <w:r w:rsidR="00AE0030">
        <w:rPr>
          <w:rFonts w:ascii="Arial" w:hAnsi="Arial" w:cs="Arial"/>
          <w:lang w:val="en-US"/>
        </w:rPr>
        <w:t>6</w:t>
      </w:r>
      <w:r w:rsidR="00EF5000">
        <w:rPr>
          <w:rFonts w:ascii="Arial" w:hAnsi="Arial" w:cs="Arial"/>
          <w:lang w:val="en-US"/>
        </w:rPr>
        <w:t>.</w:t>
      </w:r>
      <w:r w:rsidR="00AD67DE" w:rsidRPr="00E36286">
        <w:rPr>
          <w:rFonts w:ascii="Arial" w:hAnsi="Arial" w:cs="Arial"/>
        </w:rPr>
        <w:t>20</w:t>
      </w:r>
      <w:r w:rsidR="00694F9D">
        <w:rPr>
          <w:rFonts w:ascii="Arial" w:hAnsi="Arial" w:cs="Arial"/>
          <w:lang w:val="en-US"/>
        </w:rPr>
        <w:t>2</w:t>
      </w:r>
      <w:r w:rsidR="00321F9E">
        <w:rPr>
          <w:rFonts w:ascii="Arial" w:hAnsi="Arial" w:cs="Arial"/>
          <w:lang w:val="en-US"/>
        </w:rPr>
        <w:t>4</w:t>
      </w:r>
      <w:r w:rsidR="00554147">
        <w:rPr>
          <w:rFonts w:ascii="Arial" w:hAnsi="Arial" w:cs="Arial"/>
        </w:rPr>
        <w:t xml:space="preserve"> </w:t>
      </w:r>
      <w:r w:rsidR="00AD67DE" w:rsidRPr="00E36286">
        <w:rPr>
          <w:rFonts w:ascii="Arial" w:hAnsi="Arial" w:cs="Arial"/>
        </w:rPr>
        <w:t>г.</w:t>
      </w:r>
      <w:r w:rsidR="00276E45">
        <w:rPr>
          <w:rFonts w:ascii="Arial" w:hAnsi="Arial" w:cs="Arial"/>
          <w:lang w:val="en-US"/>
        </w:rPr>
        <w:t>, баланс</w:t>
      </w:r>
      <w:r w:rsidR="00340352">
        <w:rPr>
          <w:rFonts w:ascii="Arial" w:hAnsi="Arial" w:cs="Arial"/>
          <w:lang w:val="en-US"/>
        </w:rPr>
        <w:t xml:space="preserve">овото число на емитента </w:t>
      </w:r>
      <w:r w:rsidR="00AE0030">
        <w:rPr>
          <w:rFonts w:ascii="Arial" w:hAnsi="Arial" w:cs="Arial"/>
          <w:lang w:val="en-US"/>
        </w:rPr>
        <w:t>нараства</w:t>
      </w:r>
      <w:r w:rsidR="00DC4602">
        <w:rPr>
          <w:rFonts w:ascii="Arial" w:hAnsi="Arial" w:cs="Arial"/>
          <w:lang w:val="en-US"/>
        </w:rPr>
        <w:t xml:space="preserve"> с </w:t>
      </w:r>
      <w:r w:rsidR="00AE0030">
        <w:rPr>
          <w:rFonts w:ascii="Arial" w:hAnsi="Arial" w:cs="Arial"/>
          <w:lang w:val="en-US"/>
        </w:rPr>
        <w:t>6</w:t>
      </w:r>
      <w:r w:rsidR="00340352">
        <w:rPr>
          <w:rFonts w:ascii="Arial" w:hAnsi="Arial" w:cs="Arial"/>
          <w:lang w:val="en-US"/>
        </w:rPr>
        <w:t>.</w:t>
      </w:r>
      <w:r w:rsidR="00AE0030">
        <w:rPr>
          <w:rFonts w:ascii="Arial" w:hAnsi="Arial" w:cs="Arial"/>
          <w:lang w:val="en-US"/>
        </w:rPr>
        <w:t>0</w:t>
      </w:r>
      <w:r w:rsidR="00321F9E">
        <w:rPr>
          <w:rFonts w:ascii="Arial" w:hAnsi="Arial" w:cs="Arial"/>
          <w:lang w:val="en-US"/>
        </w:rPr>
        <w:t>2</w:t>
      </w:r>
      <w:r w:rsidR="00340352">
        <w:rPr>
          <w:rFonts w:ascii="Arial" w:hAnsi="Arial" w:cs="Arial"/>
          <w:lang w:val="en-US"/>
        </w:rPr>
        <w:t>%</w:t>
      </w:r>
      <w:r w:rsidR="00EF5000">
        <w:rPr>
          <w:rFonts w:ascii="Arial" w:hAnsi="Arial" w:cs="Arial"/>
          <w:lang w:val="en-US"/>
        </w:rPr>
        <w:t>,</w:t>
      </w:r>
      <w:r w:rsidR="00276E45" w:rsidRPr="00276E45">
        <w:rPr>
          <w:rFonts w:ascii="Arial" w:hAnsi="Arial" w:cs="Arial"/>
        </w:rPr>
        <w:t xml:space="preserve"> </w:t>
      </w:r>
      <w:r w:rsidR="006207F9">
        <w:rPr>
          <w:rFonts w:ascii="Arial" w:hAnsi="Arial" w:cs="Arial"/>
          <w:lang w:val="en-US"/>
        </w:rPr>
        <w:t>до</w:t>
      </w:r>
      <w:r w:rsidR="00340352">
        <w:rPr>
          <w:rFonts w:ascii="Arial" w:hAnsi="Arial" w:cs="Arial"/>
          <w:lang w:val="en-US"/>
        </w:rPr>
        <w:t xml:space="preserve"> ниво от </w:t>
      </w:r>
      <w:r w:rsidR="0047432B">
        <w:rPr>
          <w:rFonts w:ascii="Arial" w:hAnsi="Arial" w:cs="Arial"/>
          <w:lang w:val="en-US"/>
        </w:rPr>
        <w:t>2</w:t>
      </w:r>
      <w:r w:rsidR="00AE0030">
        <w:rPr>
          <w:rFonts w:ascii="Arial" w:hAnsi="Arial" w:cs="Arial"/>
          <w:lang w:val="en-US"/>
        </w:rPr>
        <w:t>8</w:t>
      </w:r>
      <w:r w:rsidR="00340352">
        <w:rPr>
          <w:rFonts w:ascii="Arial" w:hAnsi="Arial" w:cs="Arial"/>
          <w:lang w:val="en-US"/>
        </w:rPr>
        <w:t>,</w:t>
      </w:r>
      <w:r w:rsidR="00AE0030">
        <w:rPr>
          <w:rFonts w:ascii="Arial" w:hAnsi="Arial" w:cs="Arial"/>
          <w:lang w:val="en-US"/>
        </w:rPr>
        <w:t>476</w:t>
      </w:r>
      <w:r w:rsidR="00340352">
        <w:rPr>
          <w:rFonts w:ascii="Arial" w:hAnsi="Arial" w:cs="Arial"/>
          <w:lang w:val="en-US"/>
        </w:rPr>
        <w:t xml:space="preserve"> млн. лева</w:t>
      </w:r>
      <w:r w:rsidR="00F4072A" w:rsidRPr="00F4072A">
        <w:rPr>
          <w:rFonts w:ascii="Arial" w:hAnsi="Arial" w:cs="Arial"/>
        </w:rPr>
        <w:t xml:space="preserve"> </w:t>
      </w:r>
      <w:r w:rsidR="00F4072A">
        <w:rPr>
          <w:rFonts w:ascii="Arial" w:hAnsi="Arial" w:cs="Arial"/>
        </w:rPr>
        <w:t xml:space="preserve">спрямо </w:t>
      </w:r>
      <w:r w:rsidR="00F4072A">
        <w:rPr>
          <w:rFonts w:ascii="Arial" w:hAnsi="Arial" w:cs="Arial"/>
          <w:lang w:val="en-US"/>
        </w:rPr>
        <w:t>2</w:t>
      </w:r>
      <w:r w:rsidR="00AE0030">
        <w:rPr>
          <w:rFonts w:ascii="Arial" w:hAnsi="Arial" w:cs="Arial"/>
          <w:lang w:val="en-US"/>
        </w:rPr>
        <w:t>6</w:t>
      </w:r>
      <w:r w:rsidR="00F4072A">
        <w:rPr>
          <w:rFonts w:ascii="Arial" w:hAnsi="Arial" w:cs="Arial"/>
          <w:lang w:val="en-US"/>
        </w:rPr>
        <w:t>,</w:t>
      </w:r>
      <w:r w:rsidR="00AE0030">
        <w:rPr>
          <w:rFonts w:ascii="Arial" w:hAnsi="Arial" w:cs="Arial"/>
          <w:lang w:val="en-US"/>
        </w:rPr>
        <w:t>858</w:t>
      </w:r>
      <w:r w:rsidR="000822D6">
        <w:rPr>
          <w:rFonts w:ascii="Arial" w:hAnsi="Arial" w:cs="Arial"/>
          <w:lang w:val="en-US"/>
        </w:rPr>
        <w:t xml:space="preserve"> млн. </w:t>
      </w:r>
      <w:r w:rsidR="000822D6">
        <w:rPr>
          <w:rFonts w:ascii="Arial" w:hAnsi="Arial" w:cs="Arial"/>
        </w:rPr>
        <w:t>л</w:t>
      </w:r>
      <w:r w:rsidR="000822D6">
        <w:rPr>
          <w:rFonts w:ascii="Arial" w:hAnsi="Arial" w:cs="Arial"/>
          <w:lang w:val="en-US"/>
        </w:rPr>
        <w:t>ева</w:t>
      </w:r>
      <w:r w:rsidR="00305C80">
        <w:rPr>
          <w:rFonts w:ascii="Arial" w:hAnsi="Arial" w:cs="Arial"/>
        </w:rPr>
        <w:t xml:space="preserve"> към </w:t>
      </w:r>
      <w:r w:rsidR="00EF5000">
        <w:rPr>
          <w:rFonts w:ascii="Arial" w:hAnsi="Arial" w:cs="Arial"/>
          <w:lang w:val="en-US"/>
        </w:rPr>
        <w:t xml:space="preserve">края на </w:t>
      </w:r>
      <w:r w:rsidR="00AE0030">
        <w:rPr>
          <w:rFonts w:ascii="Arial" w:hAnsi="Arial" w:cs="Arial"/>
          <w:lang w:val="en-US"/>
        </w:rPr>
        <w:t>първото тримесечие на</w:t>
      </w:r>
      <w:r w:rsidR="00EF5000">
        <w:rPr>
          <w:rFonts w:ascii="Arial" w:hAnsi="Arial" w:cs="Arial"/>
          <w:lang w:val="en-US"/>
        </w:rPr>
        <w:t xml:space="preserve"> </w:t>
      </w:r>
      <w:r w:rsidR="00305C80">
        <w:rPr>
          <w:rFonts w:ascii="Arial" w:hAnsi="Arial" w:cs="Arial"/>
        </w:rPr>
        <w:t>202</w:t>
      </w:r>
      <w:r w:rsidR="00AE0030">
        <w:rPr>
          <w:rFonts w:ascii="Arial" w:hAnsi="Arial" w:cs="Arial"/>
          <w:lang w:val="en-US"/>
        </w:rPr>
        <w:t>4</w:t>
      </w:r>
      <w:r w:rsidR="000822D6">
        <w:rPr>
          <w:rFonts w:ascii="Arial" w:hAnsi="Arial" w:cs="Arial"/>
        </w:rPr>
        <w:t>г.</w:t>
      </w:r>
    </w:p>
    <w:p w14:paraId="0E05F2E9" w14:textId="77777777" w:rsidR="006C6B74" w:rsidRDefault="006C6B74" w:rsidP="00E561DD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</w:p>
    <w:p w14:paraId="15448786" w14:textId="77777777" w:rsidR="00D9764F" w:rsidRPr="004426ED" w:rsidRDefault="00F4072A" w:rsidP="00E561DD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Собственият капитал </w:t>
      </w:r>
      <w:r w:rsidR="00B619EA">
        <w:rPr>
          <w:rFonts w:ascii="Arial" w:hAnsi="Arial" w:cs="Arial"/>
          <w:color w:val="000000"/>
          <w:lang w:val="en-US"/>
        </w:rPr>
        <w:t xml:space="preserve">нараства </w:t>
      </w:r>
      <w:r w:rsidR="00AE0030">
        <w:rPr>
          <w:rFonts w:ascii="Arial" w:hAnsi="Arial" w:cs="Arial"/>
          <w:color w:val="000000"/>
          <w:lang w:val="en-US"/>
        </w:rPr>
        <w:t>с 13.48%</w:t>
      </w:r>
      <w:r w:rsidR="00E1218C">
        <w:rPr>
          <w:rFonts w:ascii="Arial" w:hAnsi="Arial" w:cs="Arial"/>
          <w:color w:val="000000"/>
          <w:lang w:val="en-US"/>
        </w:rPr>
        <w:t xml:space="preserve"> през </w:t>
      </w:r>
      <w:r w:rsidR="00AE0030">
        <w:rPr>
          <w:rFonts w:ascii="Arial" w:hAnsi="Arial" w:cs="Arial"/>
          <w:color w:val="000000"/>
          <w:lang w:val="en-US"/>
        </w:rPr>
        <w:t>второто</w:t>
      </w:r>
      <w:r w:rsidR="00E1218C">
        <w:rPr>
          <w:rFonts w:ascii="Arial" w:hAnsi="Arial" w:cs="Arial"/>
          <w:color w:val="000000"/>
          <w:lang w:val="en-US"/>
        </w:rPr>
        <w:t xml:space="preserve"> тримесечие </w:t>
      </w:r>
      <w:r w:rsidR="00B619EA">
        <w:rPr>
          <w:rFonts w:ascii="Arial" w:hAnsi="Arial" w:cs="Arial"/>
          <w:color w:val="000000"/>
          <w:lang w:val="en-US"/>
        </w:rPr>
        <w:t xml:space="preserve">на годината </w:t>
      </w:r>
      <w:r w:rsidR="00AE0030">
        <w:rPr>
          <w:rFonts w:ascii="Arial" w:hAnsi="Arial" w:cs="Arial"/>
          <w:color w:val="000000"/>
          <w:lang w:val="en-US"/>
        </w:rPr>
        <w:t xml:space="preserve">до ниво от 7,207 млн. лева </w:t>
      </w:r>
      <w:r w:rsidR="00B619EA">
        <w:rPr>
          <w:rFonts w:ascii="Arial" w:hAnsi="Arial" w:cs="Arial"/>
          <w:color w:val="000000"/>
          <w:lang w:val="en-US"/>
        </w:rPr>
        <w:t xml:space="preserve">вследствие на регистрирания </w:t>
      </w:r>
      <w:r w:rsidR="00AE0030">
        <w:rPr>
          <w:rFonts w:ascii="Arial" w:hAnsi="Arial" w:cs="Arial"/>
          <w:color w:val="000000"/>
          <w:lang w:val="en-US"/>
        </w:rPr>
        <w:t xml:space="preserve">значителен </w:t>
      </w:r>
      <w:r w:rsidR="00B619EA">
        <w:rPr>
          <w:rFonts w:ascii="Arial" w:hAnsi="Arial" w:cs="Arial"/>
          <w:color w:val="000000"/>
          <w:lang w:val="en-US"/>
        </w:rPr>
        <w:t xml:space="preserve">положителен </w:t>
      </w:r>
      <w:r w:rsidR="00E1218C">
        <w:rPr>
          <w:rFonts w:ascii="Arial" w:hAnsi="Arial" w:cs="Arial"/>
          <w:color w:val="000000"/>
          <w:lang w:val="en-US"/>
        </w:rPr>
        <w:t xml:space="preserve">финансов резултат </w:t>
      </w:r>
      <w:r w:rsidR="00B619EA">
        <w:rPr>
          <w:rFonts w:ascii="Arial" w:hAnsi="Arial" w:cs="Arial"/>
          <w:color w:val="000000"/>
          <w:lang w:val="en-US"/>
        </w:rPr>
        <w:t>за периода</w:t>
      </w:r>
      <w:r>
        <w:rPr>
          <w:rFonts w:ascii="Arial" w:hAnsi="Arial" w:cs="Arial"/>
          <w:color w:val="000000"/>
          <w:lang w:val="en-US"/>
        </w:rPr>
        <w:t xml:space="preserve">. </w:t>
      </w:r>
      <w:r w:rsidR="009121C2">
        <w:rPr>
          <w:rFonts w:ascii="Arial" w:hAnsi="Arial" w:cs="Arial"/>
          <w:color w:val="000000"/>
          <w:lang w:val="en-US"/>
        </w:rPr>
        <w:t>А</w:t>
      </w:r>
      <w:r w:rsidR="00AD02EB">
        <w:rPr>
          <w:rFonts w:ascii="Arial" w:hAnsi="Arial" w:cs="Arial"/>
          <w:color w:val="000000"/>
        </w:rPr>
        <w:t>кционерн</w:t>
      </w:r>
      <w:r w:rsidR="009121C2">
        <w:rPr>
          <w:rFonts w:ascii="Arial" w:hAnsi="Arial" w:cs="Arial"/>
          <w:color w:val="000000"/>
          <w:lang w:val="en-US"/>
        </w:rPr>
        <w:t>ият</w:t>
      </w:r>
      <w:r w:rsidR="00AD02EB">
        <w:rPr>
          <w:rFonts w:ascii="Arial" w:hAnsi="Arial" w:cs="Arial"/>
          <w:color w:val="000000"/>
        </w:rPr>
        <w:t xml:space="preserve"> капитал</w:t>
      </w:r>
      <w:r w:rsidR="0047432B">
        <w:rPr>
          <w:rFonts w:ascii="Arial" w:hAnsi="Arial" w:cs="Arial"/>
          <w:color w:val="000000"/>
          <w:lang w:val="en-US"/>
        </w:rPr>
        <w:t>,</w:t>
      </w:r>
      <w:r w:rsidR="00AD02EB">
        <w:rPr>
          <w:rFonts w:ascii="Arial" w:hAnsi="Arial" w:cs="Arial"/>
          <w:color w:val="000000"/>
        </w:rPr>
        <w:t xml:space="preserve"> </w:t>
      </w:r>
      <w:r w:rsidR="00694F9D">
        <w:rPr>
          <w:rFonts w:ascii="Arial" w:hAnsi="Arial" w:cs="Arial"/>
          <w:color w:val="000000"/>
          <w:lang w:val="en-US"/>
        </w:rPr>
        <w:t>на</w:t>
      </w:r>
      <w:r w:rsidR="00B75AFD">
        <w:rPr>
          <w:rFonts w:ascii="Arial" w:hAnsi="Arial" w:cs="Arial"/>
          <w:color w:val="000000"/>
          <w:lang w:val="en-US"/>
        </w:rPr>
        <w:t xml:space="preserve"> ниво от</w:t>
      </w:r>
      <w:r w:rsidR="00694F9D">
        <w:rPr>
          <w:rFonts w:ascii="Arial" w:hAnsi="Arial" w:cs="Arial"/>
          <w:color w:val="000000"/>
          <w:lang w:val="en-US"/>
        </w:rPr>
        <w:t xml:space="preserve"> </w:t>
      </w:r>
      <w:r w:rsidR="0047432B">
        <w:rPr>
          <w:rFonts w:ascii="Arial" w:hAnsi="Arial" w:cs="Arial"/>
          <w:color w:val="000000"/>
          <w:lang w:val="en-US"/>
        </w:rPr>
        <w:t>9</w:t>
      </w:r>
      <w:r w:rsidR="00694F9D">
        <w:rPr>
          <w:rFonts w:ascii="Arial" w:hAnsi="Arial" w:cs="Arial"/>
          <w:color w:val="000000"/>
          <w:lang w:val="en-US"/>
        </w:rPr>
        <w:t>,</w:t>
      </w:r>
      <w:r w:rsidR="0047432B">
        <w:rPr>
          <w:rFonts w:ascii="Arial" w:hAnsi="Arial" w:cs="Arial"/>
          <w:color w:val="000000"/>
          <w:lang w:val="en-US"/>
        </w:rPr>
        <w:t>720</w:t>
      </w:r>
      <w:r w:rsidR="00694F9D">
        <w:rPr>
          <w:rFonts w:ascii="Arial" w:hAnsi="Arial" w:cs="Arial"/>
          <w:color w:val="000000"/>
          <w:lang w:val="en-US"/>
        </w:rPr>
        <w:t xml:space="preserve"> млн. лева</w:t>
      </w:r>
      <w:r w:rsidR="00276E45">
        <w:rPr>
          <w:rFonts w:ascii="Arial" w:hAnsi="Arial" w:cs="Arial"/>
          <w:color w:val="000000"/>
          <w:lang w:val="en-US"/>
        </w:rPr>
        <w:t xml:space="preserve">, </w:t>
      </w:r>
      <w:r w:rsidR="0047432B">
        <w:rPr>
          <w:rFonts w:ascii="Arial" w:hAnsi="Arial" w:cs="Arial"/>
          <w:color w:val="000000"/>
          <w:lang w:val="en-US"/>
        </w:rPr>
        <w:t xml:space="preserve">и </w:t>
      </w:r>
      <w:r w:rsidR="00276E45">
        <w:rPr>
          <w:rFonts w:ascii="Arial" w:hAnsi="Arial" w:cs="Arial"/>
          <w:color w:val="000000"/>
          <w:lang w:val="en-US"/>
        </w:rPr>
        <w:t>формиран</w:t>
      </w:r>
      <w:r w:rsidR="0047432B">
        <w:rPr>
          <w:rFonts w:ascii="Arial" w:hAnsi="Arial" w:cs="Arial"/>
          <w:color w:val="000000"/>
          <w:lang w:val="en-US"/>
        </w:rPr>
        <w:t>ите</w:t>
      </w:r>
      <w:r w:rsidR="00276E45">
        <w:rPr>
          <w:rFonts w:ascii="Arial" w:hAnsi="Arial" w:cs="Arial"/>
          <w:color w:val="000000"/>
          <w:lang w:val="en-US"/>
        </w:rPr>
        <w:t xml:space="preserve"> резерв</w:t>
      </w:r>
      <w:r w:rsidR="0047432B">
        <w:rPr>
          <w:rFonts w:ascii="Arial" w:hAnsi="Arial" w:cs="Arial"/>
          <w:color w:val="000000"/>
          <w:lang w:val="en-US"/>
        </w:rPr>
        <w:t>и</w:t>
      </w:r>
      <w:r w:rsidR="00276E45">
        <w:rPr>
          <w:rFonts w:ascii="Arial" w:hAnsi="Arial" w:cs="Arial"/>
          <w:color w:val="000000"/>
          <w:lang w:val="en-US"/>
        </w:rPr>
        <w:t xml:space="preserve"> в размер на </w:t>
      </w:r>
      <w:r w:rsidR="0047432B">
        <w:rPr>
          <w:rFonts w:ascii="Arial" w:hAnsi="Arial" w:cs="Arial"/>
          <w:color w:val="000000"/>
          <w:lang w:val="en-US"/>
        </w:rPr>
        <w:t>545</w:t>
      </w:r>
      <w:r w:rsidR="00276E45">
        <w:rPr>
          <w:rFonts w:ascii="Arial" w:hAnsi="Arial" w:cs="Arial"/>
          <w:color w:val="000000"/>
          <w:lang w:val="en-US"/>
        </w:rPr>
        <w:t xml:space="preserve"> </w:t>
      </w:r>
      <w:r w:rsidR="0047432B">
        <w:rPr>
          <w:rFonts w:ascii="Arial" w:hAnsi="Arial" w:cs="Arial"/>
          <w:color w:val="000000"/>
          <w:lang w:val="en-US"/>
        </w:rPr>
        <w:t>хиляди</w:t>
      </w:r>
      <w:r w:rsidR="00276E45">
        <w:rPr>
          <w:rFonts w:ascii="Arial" w:hAnsi="Arial" w:cs="Arial"/>
          <w:color w:val="000000"/>
          <w:lang w:val="en-US"/>
        </w:rPr>
        <w:t xml:space="preserve"> лева</w:t>
      </w:r>
      <w:r w:rsidR="00522726">
        <w:rPr>
          <w:rFonts w:ascii="Arial" w:hAnsi="Arial" w:cs="Arial"/>
          <w:color w:val="000000"/>
          <w:lang w:val="en-US"/>
        </w:rPr>
        <w:t>, са без промяна спрямо края на предходното тримесечие</w:t>
      </w:r>
      <w:r w:rsidR="00AD02EB">
        <w:rPr>
          <w:rFonts w:ascii="Arial" w:hAnsi="Arial" w:cs="Arial"/>
          <w:color w:val="000000"/>
        </w:rPr>
        <w:t>.</w:t>
      </w:r>
      <w:r w:rsidR="004426ED">
        <w:rPr>
          <w:rFonts w:ascii="Arial" w:hAnsi="Arial" w:cs="Arial"/>
          <w:color w:val="000000"/>
          <w:lang w:val="en-US"/>
        </w:rPr>
        <w:t xml:space="preserve"> </w:t>
      </w:r>
    </w:p>
    <w:p w14:paraId="010FDFF9" w14:textId="77777777" w:rsidR="00243426" w:rsidRDefault="00243426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59100116" w14:textId="77777777" w:rsidR="0047432B" w:rsidRDefault="0047432B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Въпреки факта, че собственият капитал е под регистрирания, емитентът продължава да действа в посока оздравяване на дружеството, като развива проекти, които да допринесат за реализиране на печалби, които от своя страна да покрият натрупаните загуби от минали години.</w:t>
      </w:r>
    </w:p>
    <w:p w14:paraId="56069A95" w14:textId="77777777" w:rsidR="000F7BDF" w:rsidRDefault="000F7BDF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56653984" w14:textId="77777777" w:rsidR="000F7BDF" w:rsidRDefault="00DC5364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При текущите пасиви наблюдаваме </w:t>
      </w:r>
      <w:r w:rsidR="00AE0030">
        <w:rPr>
          <w:rFonts w:ascii="Arial" w:hAnsi="Arial" w:cs="Arial"/>
          <w:lang w:val="en-US"/>
        </w:rPr>
        <w:t xml:space="preserve">ръст </w:t>
      </w:r>
      <w:r w:rsidR="009121C2">
        <w:rPr>
          <w:rFonts w:ascii="Arial" w:hAnsi="Arial" w:cs="Arial"/>
          <w:lang w:val="en-US"/>
        </w:rPr>
        <w:t xml:space="preserve">от 743 хиляди лева </w:t>
      </w:r>
      <w:r w:rsidR="00AE0030">
        <w:rPr>
          <w:rFonts w:ascii="Arial" w:hAnsi="Arial" w:cs="Arial"/>
          <w:lang w:val="en-US"/>
        </w:rPr>
        <w:t>при финансовите</w:t>
      </w:r>
      <w:r w:rsidR="00B619EA">
        <w:rPr>
          <w:rFonts w:ascii="Arial" w:hAnsi="Arial" w:cs="Arial"/>
          <w:lang w:val="en-US"/>
        </w:rPr>
        <w:t xml:space="preserve"> </w:t>
      </w:r>
      <w:r w:rsidR="00AE0030">
        <w:rPr>
          <w:rFonts w:ascii="Arial" w:hAnsi="Arial" w:cs="Arial"/>
          <w:lang w:val="en-US"/>
        </w:rPr>
        <w:t xml:space="preserve">задължения </w:t>
      </w:r>
      <w:r w:rsidR="00B619EA">
        <w:rPr>
          <w:rFonts w:ascii="Arial" w:hAnsi="Arial" w:cs="Arial"/>
          <w:lang w:val="en-US"/>
        </w:rPr>
        <w:t>до ниво от 1,</w:t>
      </w:r>
      <w:r w:rsidR="00AE0030">
        <w:rPr>
          <w:rFonts w:ascii="Arial" w:hAnsi="Arial" w:cs="Arial"/>
          <w:lang w:val="en-US"/>
        </w:rPr>
        <w:t>383</w:t>
      </w:r>
      <w:r w:rsidR="00B619EA">
        <w:rPr>
          <w:rFonts w:ascii="Arial" w:hAnsi="Arial" w:cs="Arial"/>
          <w:lang w:val="en-US"/>
        </w:rPr>
        <w:t xml:space="preserve"> млн. лева</w:t>
      </w:r>
      <w:r>
        <w:rPr>
          <w:rFonts w:ascii="Arial" w:hAnsi="Arial" w:cs="Arial"/>
          <w:lang w:val="en-US"/>
        </w:rPr>
        <w:t>, докато д</w:t>
      </w:r>
      <w:r w:rsidR="000F7BDF">
        <w:rPr>
          <w:rFonts w:ascii="Arial" w:hAnsi="Arial" w:cs="Arial"/>
          <w:lang w:val="en-US"/>
        </w:rPr>
        <w:t xml:space="preserve">ългосрочните пасиви са без промяна </w:t>
      </w:r>
      <w:r w:rsidR="00B619EA">
        <w:rPr>
          <w:rFonts w:ascii="Arial" w:hAnsi="Arial" w:cs="Arial"/>
          <w:lang w:val="en-US"/>
        </w:rPr>
        <w:t>спрямо края на</w:t>
      </w:r>
      <w:r w:rsidR="000F7BDF">
        <w:rPr>
          <w:rFonts w:ascii="Arial" w:hAnsi="Arial" w:cs="Arial"/>
          <w:lang w:val="en-US"/>
        </w:rPr>
        <w:t xml:space="preserve"> </w:t>
      </w:r>
      <w:r w:rsidR="00AE0030">
        <w:rPr>
          <w:rFonts w:ascii="Arial" w:hAnsi="Arial" w:cs="Arial"/>
          <w:lang w:val="en-US"/>
        </w:rPr>
        <w:t xml:space="preserve">първото тримесечие на </w:t>
      </w:r>
      <w:r w:rsidR="000F7BDF">
        <w:rPr>
          <w:rFonts w:ascii="Arial" w:hAnsi="Arial" w:cs="Arial"/>
          <w:lang w:val="en-US"/>
        </w:rPr>
        <w:t>202</w:t>
      </w:r>
      <w:r w:rsidR="00AE0030">
        <w:rPr>
          <w:rFonts w:ascii="Arial" w:hAnsi="Arial" w:cs="Arial"/>
          <w:lang w:val="en-US"/>
        </w:rPr>
        <w:t>4</w:t>
      </w:r>
      <w:r w:rsidR="00311059">
        <w:rPr>
          <w:rFonts w:ascii="Arial" w:hAnsi="Arial" w:cs="Arial"/>
        </w:rPr>
        <w:t xml:space="preserve"> </w:t>
      </w:r>
      <w:r w:rsidR="000F7BDF">
        <w:rPr>
          <w:rFonts w:ascii="Arial" w:hAnsi="Arial" w:cs="Arial"/>
          <w:lang w:val="en-US"/>
        </w:rPr>
        <w:t>г</w:t>
      </w:r>
      <w:r w:rsidR="004277A7">
        <w:rPr>
          <w:rFonts w:ascii="Arial" w:hAnsi="Arial" w:cs="Arial"/>
          <w:lang w:val="en-US"/>
        </w:rPr>
        <w:t>одина</w:t>
      </w:r>
      <w:r w:rsidR="000F7BDF">
        <w:rPr>
          <w:rFonts w:ascii="Arial" w:hAnsi="Arial" w:cs="Arial"/>
          <w:lang w:val="en-US"/>
        </w:rPr>
        <w:t>, като тук е отразена единствено облигационна</w:t>
      </w:r>
      <w:r w:rsidR="00DC4602">
        <w:rPr>
          <w:rFonts w:ascii="Arial" w:hAnsi="Arial" w:cs="Arial"/>
          <w:lang w:val="en-US"/>
        </w:rPr>
        <w:t>та</w:t>
      </w:r>
      <w:r w:rsidR="000F7BDF">
        <w:rPr>
          <w:rFonts w:ascii="Arial" w:hAnsi="Arial" w:cs="Arial"/>
          <w:lang w:val="en-US"/>
        </w:rPr>
        <w:t xml:space="preserve"> емисия.</w:t>
      </w:r>
    </w:p>
    <w:p w14:paraId="045C72AB" w14:textId="77777777" w:rsidR="000F7BDF" w:rsidRDefault="000F7BDF" w:rsidP="000F7BDF">
      <w:pPr>
        <w:rPr>
          <w:lang w:eastAsia="x-none"/>
        </w:rPr>
      </w:pPr>
    </w:p>
    <w:p w14:paraId="69A7CB4E" w14:textId="77777777" w:rsidR="00F4072A" w:rsidRPr="000F7BDF" w:rsidRDefault="00F4072A" w:rsidP="000F7BDF">
      <w:pPr>
        <w:rPr>
          <w:lang w:eastAsia="x-none"/>
        </w:rPr>
      </w:pPr>
    </w:p>
    <w:p w14:paraId="652F7096" w14:textId="77777777" w:rsidR="00D9764F" w:rsidRDefault="00D9764F" w:rsidP="00D9764F">
      <w:pPr>
        <w:pStyle w:val="2"/>
        <w:keepLines/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E36286">
        <w:rPr>
          <w:rFonts w:ascii="Arial" w:hAnsi="Arial" w:cs="Arial"/>
          <w:sz w:val="22"/>
          <w:szCs w:val="22"/>
        </w:rPr>
        <w:lastRenderedPageBreak/>
        <w:t>Анализ на Приходите и Разходите</w:t>
      </w:r>
    </w:p>
    <w:p w14:paraId="67FF10FE" w14:textId="77777777" w:rsidR="006A77D2" w:rsidRPr="006A77D2" w:rsidRDefault="00311059" w:rsidP="00311059">
      <w:pPr>
        <w:tabs>
          <w:tab w:val="left" w:pos="5524"/>
        </w:tabs>
        <w:rPr>
          <w:lang w:eastAsia="x-none"/>
        </w:rPr>
      </w:pPr>
      <w:r>
        <w:rPr>
          <w:lang w:eastAsia="x-none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7"/>
        <w:gridCol w:w="1071"/>
        <w:gridCol w:w="1071"/>
        <w:gridCol w:w="1481"/>
      </w:tblGrid>
      <w:tr w:rsidR="00C42188" w:rsidRPr="00E83182" w14:paraId="6C573B95" w14:textId="77777777" w:rsidTr="00213150">
        <w:trPr>
          <w:trHeight w:val="615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BCCB2" w14:textId="77777777" w:rsidR="00C42188" w:rsidRPr="00E83182" w:rsidRDefault="00C42188" w:rsidP="002131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1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9C22" w14:textId="77777777" w:rsidR="00C42188" w:rsidRPr="006C4C43" w:rsidRDefault="00C42188" w:rsidP="002131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Q2</w:t>
            </w:r>
            <w:r w:rsidRPr="001910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AB87" w14:textId="77777777" w:rsidR="00C42188" w:rsidRPr="00C35EA0" w:rsidRDefault="00C42188" w:rsidP="002131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Q2</w:t>
            </w:r>
            <w:r w:rsidRPr="001910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2F933887" w14:textId="77777777" w:rsidR="00C42188" w:rsidRDefault="00C42188" w:rsidP="002131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Q2</w:t>
            </w:r>
            <w:r w:rsidRPr="001910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318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DEC6EC1" w14:textId="77777777" w:rsidR="00C42188" w:rsidRPr="006C4C43" w:rsidRDefault="00C42188" w:rsidP="002131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Q2</w:t>
            </w:r>
            <w:r w:rsidRPr="001910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3</w:t>
            </w:r>
          </w:p>
          <w:p w14:paraId="3261C88B" w14:textId="77777777" w:rsidR="00C42188" w:rsidRPr="00E83182" w:rsidRDefault="00C42188" w:rsidP="002131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182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C42188" w:rsidRPr="00E83182" w14:paraId="5EC30D39" w14:textId="77777777" w:rsidTr="00213150">
        <w:trPr>
          <w:trHeight w:val="390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5C115" w14:textId="77777777" w:rsidR="00C42188" w:rsidRPr="00E83182" w:rsidRDefault="00C42188" w:rsidP="002131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1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2982" w14:textId="77777777" w:rsidR="00C42188" w:rsidRPr="00E83182" w:rsidRDefault="00C42188" w:rsidP="002131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‘000 лв.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22C3" w14:textId="77777777" w:rsidR="00C42188" w:rsidRPr="00E83182" w:rsidRDefault="00C42188" w:rsidP="002131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‘000 лв.</w:t>
            </w:r>
          </w:p>
        </w:tc>
        <w:tc>
          <w:tcPr>
            <w:tcW w:w="8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87811" w14:textId="77777777" w:rsidR="00C42188" w:rsidRPr="00E83182" w:rsidRDefault="00C42188" w:rsidP="002131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</w:tc>
      </w:tr>
      <w:tr w:rsidR="00C42188" w:rsidRPr="00E83182" w14:paraId="48099F3C" w14:textId="77777777" w:rsidTr="00213150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F3705" w14:textId="77777777" w:rsidR="00C42188" w:rsidRPr="00E83182" w:rsidRDefault="00C42188" w:rsidP="00213150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  <w:r w:rsidRPr="00E83182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Приходи от дейността: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EA990" w14:textId="77777777" w:rsidR="00C42188" w:rsidRPr="00E83182" w:rsidRDefault="00C42188" w:rsidP="002131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1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BBEC6" w14:textId="77777777" w:rsidR="00C42188" w:rsidRPr="00E83182" w:rsidRDefault="00C42188" w:rsidP="002131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27404" w14:textId="77777777" w:rsidR="00C42188" w:rsidRPr="00E83182" w:rsidRDefault="00C42188" w:rsidP="00213150">
            <w:pPr>
              <w:rPr>
                <w:rFonts w:ascii="Arial" w:hAnsi="Arial" w:cs="Arial"/>
                <w:sz w:val="20"/>
                <w:szCs w:val="20"/>
              </w:rPr>
            </w:pPr>
            <w:r w:rsidRPr="00E831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2188" w:rsidRPr="00E83182" w14:paraId="73AF8D42" w14:textId="77777777" w:rsidTr="00213150">
        <w:trPr>
          <w:trHeight w:val="29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E9C36" w14:textId="77777777" w:rsidR="00C42188" w:rsidRPr="00A119D2" w:rsidRDefault="00C42188" w:rsidP="00213150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Нетни приходи от продажби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B8E2B" w14:textId="77777777" w:rsidR="00C42188" w:rsidRPr="00305D11" w:rsidRDefault="00C42188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9FD8F" w14:textId="77777777" w:rsidR="00C42188" w:rsidRPr="00305D11" w:rsidRDefault="00C42188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60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12D32" w14:textId="77777777" w:rsidR="00C42188" w:rsidRPr="00A4006A" w:rsidRDefault="00C42188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2188" w:rsidRPr="00E83182" w14:paraId="296F34C3" w14:textId="77777777" w:rsidTr="00213150">
        <w:trPr>
          <w:trHeight w:val="315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30CB22BA" w14:textId="77777777" w:rsidR="00C42188" w:rsidRPr="00E83182" w:rsidRDefault="00C42188" w:rsidP="002131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E831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Общо приходи от дейността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7BFFF5E2" w14:textId="77777777" w:rsidR="00C42188" w:rsidRPr="00305D11" w:rsidRDefault="00C42188" w:rsidP="0021315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2588E7C6" w14:textId="77777777" w:rsidR="00C42188" w:rsidRPr="00305D11" w:rsidRDefault="00C42188" w:rsidP="0021315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60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10305666" w14:textId="77777777" w:rsidR="00C42188" w:rsidRPr="00A4006A" w:rsidRDefault="00C42188" w:rsidP="002131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1235.00</w:t>
            </w:r>
          </w:p>
        </w:tc>
      </w:tr>
      <w:tr w:rsidR="00C42188" w:rsidRPr="00E83182" w14:paraId="71FEE51D" w14:textId="77777777" w:rsidTr="00213150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7EF0A" w14:textId="77777777" w:rsidR="00C42188" w:rsidRPr="00E83182" w:rsidRDefault="00C42188" w:rsidP="002131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Разходи </w:t>
            </w:r>
            <w:r w:rsidRPr="00E831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за дейността</w:t>
            </w:r>
            <w:r w:rsidRPr="00E8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A1013" w14:textId="77777777" w:rsidR="00C42188" w:rsidRPr="00E83182" w:rsidRDefault="00C42188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780A5" w14:textId="77777777" w:rsidR="00C42188" w:rsidRPr="00E83182" w:rsidRDefault="00C42188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F0852" w14:textId="77777777" w:rsidR="00C42188" w:rsidRPr="00E83182" w:rsidRDefault="00C42188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188" w:rsidRPr="00E83182" w14:paraId="1E1F9F26" w14:textId="77777777" w:rsidTr="00213150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873A2" w14:textId="77777777" w:rsidR="00C42188" w:rsidRPr="00E83182" w:rsidRDefault="00C42188" w:rsidP="002131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182">
              <w:rPr>
                <w:rFonts w:ascii="Arial" w:hAnsi="Arial" w:cs="Arial"/>
                <w:color w:val="000000"/>
                <w:sz w:val="20"/>
                <w:szCs w:val="20"/>
              </w:rPr>
              <w:t>Разходи за външни услуги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8EF7D" w14:textId="77777777" w:rsidR="00C42188" w:rsidRPr="0099411A" w:rsidRDefault="00C42188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(156)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83586" w14:textId="77777777" w:rsidR="00C42188" w:rsidRPr="0099411A" w:rsidRDefault="00C42188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(162)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A2879" w14:textId="77777777" w:rsidR="00C42188" w:rsidRPr="00885699" w:rsidRDefault="00C42188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96.30</w:t>
            </w:r>
          </w:p>
        </w:tc>
      </w:tr>
      <w:tr w:rsidR="00C42188" w:rsidRPr="00E83182" w14:paraId="7FC82DB6" w14:textId="77777777" w:rsidTr="00213150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92B94" w14:textId="77777777" w:rsidR="00C42188" w:rsidRPr="00E83182" w:rsidRDefault="00C42188" w:rsidP="002131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182">
              <w:rPr>
                <w:rFonts w:ascii="Arial" w:hAnsi="Arial" w:cs="Arial"/>
                <w:color w:val="000000"/>
                <w:sz w:val="20"/>
                <w:szCs w:val="20"/>
              </w:rPr>
              <w:t>Разходи за персонала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99E23" w14:textId="77777777" w:rsidR="00C42188" w:rsidRPr="0099411A" w:rsidRDefault="00C42188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(21)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48897" w14:textId="77777777" w:rsidR="00C42188" w:rsidRPr="0099411A" w:rsidRDefault="00C42188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(19)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90DED" w14:textId="77777777" w:rsidR="00C42188" w:rsidRPr="00885699" w:rsidRDefault="00C42188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.53</w:t>
            </w:r>
          </w:p>
        </w:tc>
      </w:tr>
      <w:tr w:rsidR="00C42188" w:rsidRPr="00E83182" w14:paraId="21998528" w14:textId="77777777" w:rsidTr="00213150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E9F8B" w14:textId="77777777" w:rsidR="00C42188" w:rsidRPr="00F51607" w:rsidRDefault="00C42188" w:rsidP="00213150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Други разходи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B7E3A" w14:textId="77777777" w:rsidR="00C42188" w:rsidRPr="00F51607" w:rsidRDefault="00C42188" w:rsidP="00213150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(3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62BAC" w14:textId="77777777" w:rsidR="00C42188" w:rsidRPr="00F51607" w:rsidRDefault="00C42188" w:rsidP="00213150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>(50)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62C98" w14:textId="77777777" w:rsidR="00C42188" w:rsidRPr="00885699" w:rsidRDefault="00C42188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68.00</w:t>
            </w:r>
          </w:p>
        </w:tc>
      </w:tr>
      <w:tr w:rsidR="00C42188" w:rsidRPr="00E83182" w14:paraId="1FAE00BD" w14:textId="77777777" w:rsidTr="00213150">
        <w:trPr>
          <w:trHeight w:val="315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19962361" w14:textId="77777777" w:rsidR="00C42188" w:rsidRPr="00E83182" w:rsidRDefault="00C42188" w:rsidP="002131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E83182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Общо разходи за дейността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2FD7FD88" w14:textId="77777777" w:rsidR="00C42188" w:rsidRPr="0099411A" w:rsidRDefault="00C42188" w:rsidP="002131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(211)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0C261437" w14:textId="77777777" w:rsidR="00C42188" w:rsidRPr="0099411A" w:rsidRDefault="00C42188" w:rsidP="002131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(231)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2BE2323C" w14:textId="77777777" w:rsidR="00C42188" w:rsidRPr="007A127A" w:rsidRDefault="00C42188" w:rsidP="0021315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91.34</w:t>
            </w:r>
          </w:p>
        </w:tc>
      </w:tr>
      <w:tr w:rsidR="00C42188" w:rsidRPr="00E83182" w14:paraId="03EC73ED" w14:textId="77777777" w:rsidTr="00213150">
        <w:trPr>
          <w:trHeight w:val="315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5F1D70" w14:textId="77777777" w:rsidR="00C42188" w:rsidRPr="00E83182" w:rsidRDefault="00C42188" w:rsidP="00213150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F9362A" w14:textId="77777777" w:rsidR="00C42188" w:rsidRDefault="00C42188" w:rsidP="002131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9FD96D" w14:textId="77777777" w:rsidR="00C42188" w:rsidRDefault="00C42188" w:rsidP="002131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650136" w14:textId="77777777" w:rsidR="00C42188" w:rsidRPr="001A5935" w:rsidRDefault="00C42188" w:rsidP="0021315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</w:p>
        </w:tc>
      </w:tr>
      <w:tr w:rsidR="00C42188" w:rsidRPr="00E83182" w14:paraId="7FA007E8" w14:textId="77777777" w:rsidTr="00213150">
        <w:trPr>
          <w:trHeight w:val="315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2127EF97" w14:textId="77777777" w:rsidR="00C42188" w:rsidRPr="00E83182" w:rsidRDefault="00C42188" w:rsidP="00213150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  <w:r w:rsidRPr="00E83182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Печалба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Загуба)</w:t>
            </w:r>
            <w:r w:rsidRPr="00E83182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 xml:space="preserve"> от оперативна дейност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141F38F1" w14:textId="77777777" w:rsidR="00C42188" w:rsidRPr="0097215D" w:rsidRDefault="00C42188" w:rsidP="002131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0CD83B2A" w14:textId="77777777" w:rsidR="00C42188" w:rsidRPr="0097215D" w:rsidRDefault="00C42188" w:rsidP="002131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(171)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5E6263EB" w14:textId="77777777" w:rsidR="00C42188" w:rsidRPr="00E626BC" w:rsidRDefault="00C42188" w:rsidP="0021315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***</w:t>
            </w:r>
          </w:p>
        </w:tc>
      </w:tr>
      <w:tr w:rsidR="00C42188" w:rsidRPr="00E83182" w14:paraId="3A3ECBC7" w14:textId="77777777" w:rsidTr="00213150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C51CF" w14:textId="77777777" w:rsidR="00C42188" w:rsidRPr="00E83182" w:rsidRDefault="00C42188" w:rsidP="00213150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B35DD" w14:textId="77777777" w:rsidR="00C42188" w:rsidRPr="00E83182" w:rsidRDefault="00C42188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E1396" w14:textId="77777777" w:rsidR="00C42188" w:rsidRPr="00E83182" w:rsidRDefault="00C42188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23317" w14:textId="77777777" w:rsidR="00C42188" w:rsidRPr="00E83182" w:rsidRDefault="00C42188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</w:tc>
      </w:tr>
      <w:tr w:rsidR="00C42188" w:rsidRPr="00E83182" w14:paraId="2B0E528F" w14:textId="77777777" w:rsidTr="00213150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C63A4" w14:textId="77777777" w:rsidR="00C42188" w:rsidRDefault="00C42188" w:rsidP="00213150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Обезценка на инвестиционни имоти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755F4" w14:textId="77777777" w:rsidR="00C42188" w:rsidRDefault="00C42188" w:rsidP="00213150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96781" w14:textId="77777777" w:rsidR="00C42188" w:rsidRPr="00703970" w:rsidRDefault="00C42188" w:rsidP="00213150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-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48EFE" w14:textId="77777777" w:rsidR="00C42188" w:rsidRPr="00703970" w:rsidRDefault="00C42188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***</w:t>
            </w:r>
          </w:p>
        </w:tc>
      </w:tr>
      <w:tr w:rsidR="00C42188" w:rsidRPr="00E83182" w14:paraId="5DB4F4BC" w14:textId="77777777" w:rsidTr="00213150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1F8D6" w14:textId="77777777" w:rsidR="00C42188" w:rsidRPr="00E83182" w:rsidRDefault="00C42188" w:rsidP="00213150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Приходи от преоценка на инвестиционни имоти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40F1F" w14:textId="77777777" w:rsidR="00C42188" w:rsidRPr="0097215D" w:rsidRDefault="00C42188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4E8E3" w14:textId="77777777" w:rsidR="00C42188" w:rsidRPr="008D7836" w:rsidRDefault="00C42188" w:rsidP="00213150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-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71107" w14:textId="77777777" w:rsidR="00C42188" w:rsidRPr="00E608AD" w:rsidRDefault="00C42188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***</w:t>
            </w:r>
          </w:p>
        </w:tc>
      </w:tr>
      <w:tr w:rsidR="00C42188" w:rsidRPr="00E83182" w14:paraId="7EE8725E" w14:textId="77777777" w:rsidTr="00213150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DBD2C" w14:textId="77777777" w:rsidR="00C42188" w:rsidRPr="00E83182" w:rsidRDefault="00C42188" w:rsidP="00213150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Финансови разходи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EF18A" w14:textId="77777777" w:rsidR="00C42188" w:rsidRPr="00A21E45" w:rsidRDefault="00C42188" w:rsidP="00213150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778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50995" w14:textId="77777777" w:rsidR="00C42188" w:rsidRPr="00A21E45" w:rsidRDefault="00C42188" w:rsidP="00213150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>(609)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D90CA" w14:textId="77777777" w:rsidR="00C42188" w:rsidRPr="0097215D" w:rsidRDefault="00C42188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127.75</w:t>
            </w:r>
          </w:p>
        </w:tc>
      </w:tr>
      <w:tr w:rsidR="00C42188" w:rsidRPr="00E83182" w14:paraId="7EBDC2D7" w14:textId="77777777" w:rsidTr="00213150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869F3" w14:textId="77777777" w:rsidR="00C42188" w:rsidRPr="00E83182" w:rsidRDefault="00C42188" w:rsidP="00213150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55509" w14:textId="77777777" w:rsidR="00C42188" w:rsidRPr="00E83182" w:rsidRDefault="00C42188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C183B" w14:textId="77777777" w:rsidR="00C42188" w:rsidRPr="00E83182" w:rsidRDefault="00C42188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A60BB" w14:textId="77777777" w:rsidR="00C42188" w:rsidRPr="00E83182" w:rsidRDefault="00C42188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</w:tc>
      </w:tr>
      <w:tr w:rsidR="00C42188" w:rsidRPr="00E83182" w14:paraId="461CEEC0" w14:textId="77777777" w:rsidTr="00213150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0E8BB4C" w14:textId="77777777" w:rsidR="00C42188" w:rsidRPr="00965BBB" w:rsidRDefault="00C42188" w:rsidP="00213150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Печалба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 xml:space="preserve"> / (Загуба)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 периода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B6642EE" w14:textId="77777777" w:rsidR="00C42188" w:rsidRPr="002D754D" w:rsidRDefault="00C42188" w:rsidP="0021315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D2262A6" w14:textId="77777777" w:rsidR="00C42188" w:rsidRPr="009F138B" w:rsidRDefault="00C42188" w:rsidP="002131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(780)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B2F715D" w14:textId="77777777" w:rsidR="00C42188" w:rsidRPr="009F138B" w:rsidRDefault="00C42188" w:rsidP="0021315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***</w:t>
            </w:r>
          </w:p>
        </w:tc>
      </w:tr>
      <w:tr w:rsidR="00C42188" w:rsidRPr="00E83182" w14:paraId="050C4F02" w14:textId="77777777" w:rsidTr="00213150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02027" w14:textId="77777777" w:rsidR="00C42188" w:rsidRPr="00E83182" w:rsidRDefault="00C42188" w:rsidP="002131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E614B" w14:textId="77777777" w:rsidR="00C42188" w:rsidRPr="00E83182" w:rsidRDefault="00C42188" w:rsidP="0021315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74E04" w14:textId="77777777" w:rsidR="00C42188" w:rsidRPr="00E83182" w:rsidRDefault="00C42188" w:rsidP="0021315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8CC23" w14:textId="77777777" w:rsidR="00C42188" w:rsidRPr="00E83182" w:rsidRDefault="00C42188" w:rsidP="0021315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42188" w:rsidRPr="00E83182" w14:paraId="1BC72671" w14:textId="77777777" w:rsidTr="00213150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43FAF9B" w14:textId="77777777" w:rsidR="00C42188" w:rsidRPr="00A21436" w:rsidRDefault="00C42188" w:rsidP="00213150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Друг всеобхватен доход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A40A9C5" w14:textId="77777777" w:rsidR="00C42188" w:rsidRPr="00B53DC3" w:rsidRDefault="00C42188" w:rsidP="002131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DBDC9F2" w14:textId="77777777" w:rsidR="00C42188" w:rsidRPr="00B53DC3" w:rsidRDefault="00C42188" w:rsidP="002131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4F951E1" w14:textId="77777777" w:rsidR="00C42188" w:rsidRPr="00B53DC3" w:rsidRDefault="00C42188" w:rsidP="0021315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***</w:t>
            </w:r>
          </w:p>
        </w:tc>
      </w:tr>
      <w:tr w:rsidR="00C42188" w:rsidRPr="00E83182" w14:paraId="4F46359D" w14:textId="77777777" w:rsidTr="00213150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A80B6" w14:textId="77777777" w:rsidR="00C42188" w:rsidRPr="00E83182" w:rsidRDefault="00C42188" w:rsidP="002131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E83182">
              <w:rPr>
                <w:rFonts w:ascii="Arial" w:hAnsi="Arial" w:cs="Arial"/>
                <w:color w:val="000000"/>
                <w:sz w:val="20"/>
                <w:szCs w:val="20"/>
              </w:rPr>
              <w:t>Разходи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 Приходи</w:t>
            </w:r>
            <w:r w:rsidRPr="00E83182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данъци</w:t>
            </w:r>
            <w:r w:rsidRPr="00E83182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 върху дохода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8A0C9" w14:textId="77777777" w:rsidR="00C42188" w:rsidRPr="00B53DC3" w:rsidRDefault="00C42188" w:rsidP="0021315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CEA40" w14:textId="77777777" w:rsidR="00C42188" w:rsidRPr="00B53DC3" w:rsidRDefault="00C42188" w:rsidP="0021315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39209" w14:textId="77777777" w:rsidR="00C42188" w:rsidRPr="00B53DC3" w:rsidRDefault="00C42188" w:rsidP="002131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***</w:t>
            </w:r>
          </w:p>
        </w:tc>
      </w:tr>
      <w:tr w:rsidR="00C42188" w:rsidRPr="00E83182" w14:paraId="3358F549" w14:textId="77777777" w:rsidTr="00213150">
        <w:trPr>
          <w:trHeight w:val="302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383B9C7" w14:textId="77777777" w:rsidR="00C42188" w:rsidRPr="00E83182" w:rsidRDefault="00C42188" w:rsidP="002131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Общо всеобхват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E8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доход</w:t>
            </w:r>
            <w:r w:rsidRPr="00E8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за периода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F7AD6CA" w14:textId="77777777" w:rsidR="00C42188" w:rsidRPr="002D754D" w:rsidRDefault="00C42188" w:rsidP="0021315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68EF8DF" w14:textId="77777777" w:rsidR="00C42188" w:rsidRPr="009F138B" w:rsidRDefault="00C42188" w:rsidP="002131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(780)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5EE55A8" w14:textId="77777777" w:rsidR="00C42188" w:rsidRPr="009F138B" w:rsidRDefault="00C42188" w:rsidP="0021315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***</w:t>
            </w:r>
          </w:p>
        </w:tc>
      </w:tr>
    </w:tbl>
    <w:p w14:paraId="76C6B088" w14:textId="77777777" w:rsidR="00ED2CA8" w:rsidRDefault="00ED2CA8" w:rsidP="00D9764F">
      <w:pPr>
        <w:rPr>
          <w:rFonts w:ascii="Arial" w:hAnsi="Arial" w:cs="Arial"/>
          <w:sz w:val="22"/>
          <w:szCs w:val="22"/>
        </w:rPr>
      </w:pPr>
    </w:p>
    <w:p w14:paraId="3F6F4865" w14:textId="77777777" w:rsidR="00F928F0" w:rsidRDefault="00F928F0" w:rsidP="00D9764F">
      <w:pPr>
        <w:rPr>
          <w:rFonts w:ascii="Arial" w:hAnsi="Arial" w:cs="Arial"/>
          <w:sz w:val="22"/>
          <w:szCs w:val="22"/>
        </w:rPr>
      </w:pPr>
    </w:p>
    <w:p w14:paraId="2B390F41" w14:textId="77777777" w:rsidR="00F928F0" w:rsidRDefault="0052237C" w:rsidP="00647AD1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 w:rsidRPr="002676F1">
        <w:rPr>
          <w:rFonts w:ascii="Arial" w:hAnsi="Arial" w:cs="Arial"/>
          <w:lang w:val="en-US"/>
        </w:rPr>
        <w:t>E</w:t>
      </w:r>
      <w:r w:rsidR="00AE6094" w:rsidRPr="002676F1">
        <w:rPr>
          <w:rFonts w:ascii="Arial" w:hAnsi="Arial" w:cs="Arial"/>
        </w:rPr>
        <w:t xml:space="preserve">митентът отчита </w:t>
      </w:r>
      <w:r w:rsidR="004277A7">
        <w:rPr>
          <w:rFonts w:ascii="Arial" w:hAnsi="Arial" w:cs="Arial"/>
          <w:lang w:val="en-US"/>
        </w:rPr>
        <w:t>положителен финансов резултат</w:t>
      </w:r>
      <w:r w:rsidR="00AE6094" w:rsidRPr="002676F1">
        <w:rPr>
          <w:rFonts w:ascii="Arial" w:hAnsi="Arial" w:cs="Arial"/>
        </w:rPr>
        <w:t xml:space="preserve"> в размер</w:t>
      </w:r>
      <w:r w:rsidR="00D9764F" w:rsidRPr="002676F1">
        <w:rPr>
          <w:rFonts w:ascii="Arial" w:hAnsi="Arial" w:cs="Arial"/>
        </w:rPr>
        <w:t xml:space="preserve"> </w:t>
      </w:r>
      <w:r w:rsidR="00AE6094" w:rsidRPr="002676F1">
        <w:rPr>
          <w:rFonts w:ascii="Arial" w:hAnsi="Arial" w:cs="Arial"/>
        </w:rPr>
        <w:t xml:space="preserve">на </w:t>
      </w:r>
      <w:r w:rsidR="0098481B">
        <w:rPr>
          <w:rFonts w:ascii="Arial" w:hAnsi="Arial" w:cs="Arial"/>
          <w:lang w:val="en-US"/>
        </w:rPr>
        <w:t>866</w:t>
      </w:r>
      <w:r w:rsidR="004A6678" w:rsidRPr="002676F1">
        <w:rPr>
          <w:rFonts w:ascii="Arial" w:hAnsi="Arial" w:cs="Arial"/>
        </w:rPr>
        <w:t xml:space="preserve"> </w:t>
      </w:r>
      <w:r w:rsidR="004277A7">
        <w:rPr>
          <w:rFonts w:ascii="Arial" w:hAnsi="Arial" w:cs="Arial"/>
          <w:lang w:val="en-US"/>
        </w:rPr>
        <w:t>хиляди</w:t>
      </w:r>
      <w:r w:rsidR="004A6678" w:rsidRPr="002676F1">
        <w:rPr>
          <w:rFonts w:ascii="Arial" w:hAnsi="Arial" w:cs="Arial"/>
        </w:rPr>
        <w:t xml:space="preserve"> л</w:t>
      </w:r>
      <w:r w:rsidR="002676F1">
        <w:rPr>
          <w:rFonts w:ascii="Arial" w:hAnsi="Arial" w:cs="Arial"/>
        </w:rPr>
        <w:t>е</w:t>
      </w:r>
      <w:r w:rsidR="004A6678" w:rsidRPr="002676F1">
        <w:rPr>
          <w:rFonts w:ascii="Arial" w:hAnsi="Arial" w:cs="Arial"/>
        </w:rPr>
        <w:t>в</w:t>
      </w:r>
      <w:r w:rsidR="002676F1">
        <w:rPr>
          <w:rFonts w:ascii="Arial" w:hAnsi="Arial" w:cs="Arial"/>
        </w:rPr>
        <w:t>а</w:t>
      </w:r>
      <w:r w:rsidR="00CF176B">
        <w:rPr>
          <w:rFonts w:ascii="Arial" w:hAnsi="Arial" w:cs="Arial"/>
          <w:lang w:val="en-US"/>
        </w:rPr>
        <w:t xml:space="preserve"> за</w:t>
      </w:r>
      <w:r w:rsidR="00C54C5A">
        <w:rPr>
          <w:rFonts w:ascii="Arial" w:hAnsi="Arial" w:cs="Arial"/>
          <w:lang w:val="en-US"/>
        </w:rPr>
        <w:t xml:space="preserve"> </w:t>
      </w:r>
      <w:r w:rsidR="000D12E0">
        <w:rPr>
          <w:rFonts w:ascii="Arial" w:hAnsi="Arial" w:cs="Arial"/>
          <w:lang w:val="en-US"/>
        </w:rPr>
        <w:t xml:space="preserve">първото </w:t>
      </w:r>
      <w:r w:rsidR="0098481B">
        <w:rPr>
          <w:rFonts w:ascii="Arial" w:hAnsi="Arial" w:cs="Arial"/>
          <w:lang w:val="en-US"/>
        </w:rPr>
        <w:t>полугодие</w:t>
      </w:r>
      <w:r w:rsidR="000D12E0">
        <w:rPr>
          <w:rFonts w:ascii="Arial" w:hAnsi="Arial" w:cs="Arial"/>
          <w:lang w:val="en-US"/>
        </w:rPr>
        <w:t xml:space="preserve"> на </w:t>
      </w:r>
      <w:r w:rsidR="00CF176B">
        <w:rPr>
          <w:rFonts w:ascii="Arial" w:hAnsi="Arial" w:cs="Arial"/>
          <w:lang w:val="en-US"/>
        </w:rPr>
        <w:t>202</w:t>
      </w:r>
      <w:r w:rsidR="008126CD">
        <w:rPr>
          <w:rFonts w:ascii="Arial" w:hAnsi="Arial" w:cs="Arial"/>
          <w:lang w:val="en-US"/>
        </w:rPr>
        <w:t>4</w:t>
      </w:r>
      <w:r w:rsidR="00BF2595">
        <w:rPr>
          <w:rFonts w:ascii="Arial" w:hAnsi="Arial" w:cs="Arial"/>
          <w:lang w:val="en-US"/>
        </w:rPr>
        <w:t xml:space="preserve"> </w:t>
      </w:r>
      <w:r w:rsidR="00CF176B">
        <w:rPr>
          <w:rFonts w:ascii="Arial" w:hAnsi="Arial" w:cs="Arial"/>
          <w:lang w:val="en-US"/>
        </w:rPr>
        <w:t>г</w:t>
      </w:r>
      <w:r w:rsidR="00BF2595">
        <w:rPr>
          <w:rFonts w:ascii="Arial" w:hAnsi="Arial" w:cs="Arial"/>
          <w:lang w:val="en-US"/>
        </w:rPr>
        <w:t>одина</w:t>
      </w:r>
      <w:r w:rsidR="00004394" w:rsidRPr="002676F1">
        <w:rPr>
          <w:rFonts w:ascii="Arial" w:hAnsi="Arial" w:cs="Arial"/>
        </w:rPr>
        <w:t xml:space="preserve"> спрямо </w:t>
      </w:r>
      <w:r w:rsidR="0098481B">
        <w:rPr>
          <w:rFonts w:ascii="Arial" w:hAnsi="Arial" w:cs="Arial"/>
          <w:lang w:val="en-US"/>
        </w:rPr>
        <w:t>загуба</w:t>
      </w:r>
      <w:r w:rsidR="00004394" w:rsidRPr="002676F1">
        <w:rPr>
          <w:rFonts w:ascii="Arial" w:hAnsi="Arial" w:cs="Arial"/>
        </w:rPr>
        <w:t xml:space="preserve"> от</w:t>
      </w:r>
      <w:r w:rsidR="00004394">
        <w:rPr>
          <w:rFonts w:ascii="Arial" w:hAnsi="Arial" w:cs="Arial"/>
        </w:rPr>
        <w:t xml:space="preserve"> </w:t>
      </w:r>
      <w:r w:rsidR="0098481B">
        <w:rPr>
          <w:rFonts w:ascii="Arial" w:hAnsi="Arial" w:cs="Arial"/>
          <w:lang w:val="en-US"/>
        </w:rPr>
        <w:t>780</w:t>
      </w:r>
      <w:r w:rsidR="00004394">
        <w:rPr>
          <w:rFonts w:ascii="Arial" w:hAnsi="Arial" w:cs="Arial"/>
        </w:rPr>
        <w:t xml:space="preserve"> </w:t>
      </w:r>
      <w:r w:rsidR="00907ABE">
        <w:rPr>
          <w:rFonts w:ascii="Arial" w:hAnsi="Arial" w:cs="Arial"/>
          <w:lang w:val="en-US"/>
        </w:rPr>
        <w:t>хиляди</w:t>
      </w:r>
      <w:r w:rsidR="00004394">
        <w:rPr>
          <w:rFonts w:ascii="Arial" w:hAnsi="Arial" w:cs="Arial"/>
        </w:rPr>
        <w:t xml:space="preserve"> лева </w:t>
      </w:r>
      <w:r w:rsidR="004277A7">
        <w:rPr>
          <w:rFonts w:ascii="Arial" w:hAnsi="Arial" w:cs="Arial"/>
          <w:lang w:val="en-US"/>
        </w:rPr>
        <w:t xml:space="preserve">за </w:t>
      </w:r>
      <w:r w:rsidR="008126CD">
        <w:rPr>
          <w:rFonts w:ascii="Arial" w:hAnsi="Arial" w:cs="Arial"/>
          <w:lang w:val="en-US"/>
        </w:rPr>
        <w:t xml:space="preserve">съответния период на </w:t>
      </w:r>
      <w:r w:rsidR="004277A7">
        <w:rPr>
          <w:rFonts w:ascii="Arial" w:hAnsi="Arial" w:cs="Arial"/>
          <w:lang w:val="en-US"/>
        </w:rPr>
        <w:t>предходната</w:t>
      </w:r>
      <w:r w:rsidR="003B22E0">
        <w:rPr>
          <w:rFonts w:ascii="Arial" w:hAnsi="Arial" w:cs="Arial"/>
          <w:lang w:val="en-US"/>
        </w:rPr>
        <w:t xml:space="preserve"> </w:t>
      </w:r>
      <w:r w:rsidR="002676F1">
        <w:rPr>
          <w:rFonts w:ascii="Arial" w:hAnsi="Arial" w:cs="Arial"/>
        </w:rPr>
        <w:t>20</w:t>
      </w:r>
      <w:r w:rsidR="00907ABE">
        <w:rPr>
          <w:rFonts w:ascii="Arial" w:hAnsi="Arial" w:cs="Arial"/>
          <w:lang w:val="en-US"/>
        </w:rPr>
        <w:t>2</w:t>
      </w:r>
      <w:r w:rsidR="008126CD">
        <w:rPr>
          <w:rFonts w:ascii="Arial" w:hAnsi="Arial" w:cs="Arial"/>
          <w:lang w:val="en-US"/>
        </w:rPr>
        <w:t>3</w:t>
      </w:r>
      <w:r w:rsidR="00004394">
        <w:rPr>
          <w:rFonts w:ascii="Arial" w:hAnsi="Arial" w:cs="Arial"/>
        </w:rPr>
        <w:t xml:space="preserve"> година.</w:t>
      </w:r>
      <w:r w:rsidR="00E4187C">
        <w:rPr>
          <w:rFonts w:ascii="Arial" w:hAnsi="Arial" w:cs="Arial"/>
          <w:lang w:val="en-US"/>
        </w:rPr>
        <w:t xml:space="preserve"> </w:t>
      </w:r>
    </w:p>
    <w:p w14:paraId="470AEBCE" w14:textId="77777777" w:rsidR="00F928F0" w:rsidRDefault="00F928F0" w:rsidP="00647AD1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09052AB6" w14:textId="77777777" w:rsidR="0098481B" w:rsidRDefault="00603CAB" w:rsidP="00647AD1">
      <w:pPr>
        <w:pStyle w:val="a6"/>
        <w:spacing w:after="0" w:line="240" w:lineRule="auto"/>
        <w:ind w:left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lang w:val="en-US"/>
        </w:rPr>
        <w:t xml:space="preserve">Резултатът от оперативна дейност се </w:t>
      </w:r>
      <w:r w:rsidR="008126CD">
        <w:rPr>
          <w:rFonts w:ascii="Arial" w:hAnsi="Arial" w:cs="Arial"/>
          <w:lang w:val="en-US"/>
        </w:rPr>
        <w:t>подобрява съществено</w:t>
      </w:r>
      <w:r>
        <w:rPr>
          <w:rFonts w:ascii="Arial" w:hAnsi="Arial" w:cs="Arial"/>
          <w:lang w:val="en-US"/>
        </w:rPr>
        <w:t xml:space="preserve"> </w:t>
      </w:r>
      <w:r w:rsidR="008126CD">
        <w:rPr>
          <w:rFonts w:ascii="Arial" w:hAnsi="Arial" w:cs="Arial"/>
          <w:lang w:val="en-US"/>
        </w:rPr>
        <w:t>/</w:t>
      </w:r>
      <w:r w:rsidR="0098481B">
        <w:rPr>
          <w:rFonts w:ascii="Arial" w:hAnsi="Arial" w:cs="Arial"/>
          <w:lang w:val="en-US"/>
        </w:rPr>
        <w:t>печалба от 530</w:t>
      </w:r>
      <w:r w:rsidR="008126CD">
        <w:rPr>
          <w:rFonts w:ascii="Arial" w:hAnsi="Arial" w:cs="Arial"/>
          <w:lang w:val="en-US"/>
        </w:rPr>
        <w:t xml:space="preserve"> хиляди лева за първото </w:t>
      </w:r>
      <w:r w:rsidR="0098481B">
        <w:rPr>
          <w:rFonts w:ascii="Arial" w:hAnsi="Arial" w:cs="Arial"/>
          <w:lang w:val="en-US"/>
        </w:rPr>
        <w:t>полугодие</w:t>
      </w:r>
      <w:r w:rsidR="008126CD">
        <w:rPr>
          <w:rFonts w:ascii="Arial" w:hAnsi="Arial" w:cs="Arial"/>
          <w:lang w:val="en-US"/>
        </w:rPr>
        <w:t xml:space="preserve"> спрямо </w:t>
      </w:r>
      <w:r w:rsidR="0098481B">
        <w:rPr>
          <w:rFonts w:ascii="Arial" w:hAnsi="Arial" w:cs="Arial"/>
          <w:lang w:val="en-US"/>
        </w:rPr>
        <w:t>загуба от 171</w:t>
      </w:r>
      <w:r w:rsidR="008126CD">
        <w:rPr>
          <w:rFonts w:ascii="Arial" w:hAnsi="Arial" w:cs="Arial"/>
          <w:lang w:val="en-US"/>
        </w:rPr>
        <w:t xml:space="preserve"> хиляди лева година по-рано/ вследствие на</w:t>
      </w:r>
      <w:r>
        <w:rPr>
          <w:rFonts w:ascii="Arial" w:hAnsi="Arial" w:cs="Arial"/>
          <w:lang w:val="en-US"/>
        </w:rPr>
        <w:t xml:space="preserve"> </w:t>
      </w:r>
      <w:r w:rsidR="00AE0030">
        <w:rPr>
          <w:rFonts w:ascii="Arial" w:hAnsi="Arial" w:cs="Arial"/>
          <w:lang w:val="en-US"/>
        </w:rPr>
        <w:t>значителното</w:t>
      </w:r>
      <w:r w:rsidR="0098481B">
        <w:rPr>
          <w:rFonts w:ascii="Arial" w:hAnsi="Arial" w:cs="Arial"/>
          <w:lang w:val="en-US"/>
        </w:rPr>
        <w:t xml:space="preserve"> </w:t>
      </w:r>
      <w:r w:rsidR="008126CD">
        <w:rPr>
          <w:rFonts w:ascii="Arial" w:hAnsi="Arial" w:cs="Arial"/>
          <w:lang w:val="en-US"/>
        </w:rPr>
        <w:t>увеличение</w:t>
      </w:r>
      <w:r w:rsidR="0098481B">
        <w:rPr>
          <w:rFonts w:ascii="Arial" w:hAnsi="Arial" w:cs="Arial"/>
          <w:lang w:val="en-US"/>
        </w:rPr>
        <w:t xml:space="preserve"> на</w:t>
      </w:r>
      <w:r>
        <w:rPr>
          <w:rFonts w:ascii="Arial" w:hAnsi="Arial" w:cs="Arial"/>
          <w:lang w:val="en-US"/>
        </w:rPr>
        <w:t xml:space="preserve"> </w:t>
      </w:r>
      <w:r w:rsidR="00ED7413">
        <w:rPr>
          <w:rFonts w:ascii="Arial" w:hAnsi="Arial" w:cs="Arial"/>
          <w:lang w:val="en-US"/>
        </w:rPr>
        <w:t>приходи</w:t>
      </w:r>
      <w:r w:rsidR="0098481B">
        <w:rPr>
          <w:rFonts w:ascii="Arial" w:hAnsi="Arial" w:cs="Arial"/>
          <w:lang w:val="en-US"/>
        </w:rPr>
        <w:t>те</w:t>
      </w:r>
      <w:r w:rsidR="000E1BC0">
        <w:rPr>
          <w:rFonts w:ascii="Arial" w:hAnsi="Arial" w:cs="Arial"/>
          <w:lang w:val="en-US"/>
        </w:rPr>
        <w:t xml:space="preserve"> от продажби</w:t>
      </w:r>
      <w:r w:rsidR="008126CD">
        <w:rPr>
          <w:rFonts w:ascii="Arial" w:hAnsi="Arial" w:cs="Arial"/>
          <w:lang w:val="en-US"/>
        </w:rPr>
        <w:t xml:space="preserve">, </w:t>
      </w:r>
      <w:r w:rsidR="0098481B">
        <w:rPr>
          <w:rFonts w:ascii="Arial" w:hAnsi="Arial" w:cs="Arial"/>
          <w:lang w:val="en-US"/>
        </w:rPr>
        <w:t>при леко</w:t>
      </w:r>
      <w:r w:rsidR="008126CD">
        <w:rPr>
          <w:rFonts w:ascii="Arial" w:hAnsi="Arial" w:cs="Arial"/>
          <w:color w:val="000000"/>
        </w:rPr>
        <w:t xml:space="preserve"> </w:t>
      </w:r>
      <w:r w:rsidR="0098481B">
        <w:rPr>
          <w:rFonts w:ascii="Arial" w:hAnsi="Arial" w:cs="Arial"/>
          <w:color w:val="000000"/>
          <w:lang w:val="en-US"/>
        </w:rPr>
        <w:t>спадащи</w:t>
      </w:r>
      <w:r w:rsidR="008126CD">
        <w:rPr>
          <w:rFonts w:ascii="Arial" w:hAnsi="Arial" w:cs="Arial"/>
          <w:color w:val="000000"/>
          <w:lang w:val="en-US"/>
        </w:rPr>
        <w:t xml:space="preserve"> административни </w:t>
      </w:r>
      <w:r w:rsidR="008126CD">
        <w:rPr>
          <w:rFonts w:ascii="Arial" w:hAnsi="Arial" w:cs="Arial"/>
          <w:color w:val="000000"/>
        </w:rPr>
        <w:t>разходи</w:t>
      </w:r>
      <w:r w:rsidR="008126CD">
        <w:rPr>
          <w:rFonts w:ascii="Arial" w:hAnsi="Arial" w:cs="Arial"/>
          <w:color w:val="000000"/>
          <w:lang w:val="en-US"/>
        </w:rPr>
        <w:t>.</w:t>
      </w:r>
      <w:r w:rsidR="0098481B">
        <w:rPr>
          <w:rFonts w:ascii="Arial" w:hAnsi="Arial" w:cs="Arial"/>
          <w:color w:val="000000"/>
          <w:lang w:val="en-US"/>
        </w:rPr>
        <w:t xml:space="preserve"> </w:t>
      </w:r>
    </w:p>
    <w:p w14:paraId="264438AC" w14:textId="77777777" w:rsidR="0098481B" w:rsidRDefault="0098481B" w:rsidP="00647AD1">
      <w:pPr>
        <w:pStyle w:val="a6"/>
        <w:spacing w:after="0" w:line="240" w:lineRule="auto"/>
        <w:ind w:left="0"/>
        <w:jc w:val="both"/>
        <w:rPr>
          <w:rFonts w:ascii="Arial" w:hAnsi="Arial" w:cs="Arial"/>
          <w:color w:val="000000"/>
          <w:lang w:val="en-US"/>
        </w:rPr>
      </w:pPr>
    </w:p>
    <w:p w14:paraId="223EECF0" w14:textId="77777777" w:rsidR="001D37A5" w:rsidRDefault="0098481B" w:rsidP="00647AD1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Съществената разлика спрямо предходната година се дължи и на извършената преоценка на инвестиционни имоти, която добавя допълнителни приходи в размер на 1,114 млн. лева. </w:t>
      </w:r>
      <w:r w:rsidR="008126CD">
        <w:rPr>
          <w:rFonts w:ascii="Arial" w:hAnsi="Arial" w:cs="Arial"/>
          <w:lang w:val="en-US"/>
        </w:rPr>
        <w:t xml:space="preserve"> </w:t>
      </w:r>
    </w:p>
    <w:p w14:paraId="63146D7B" w14:textId="77777777" w:rsidR="001D37A5" w:rsidRPr="003B0196" w:rsidRDefault="001D37A5" w:rsidP="00647AD1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21B8EDAA" w14:textId="77777777" w:rsidR="00C54C5A" w:rsidRPr="006A77D2" w:rsidRDefault="00C54C5A" w:rsidP="00D9764F">
      <w:pPr>
        <w:rPr>
          <w:rFonts w:ascii="Arial" w:hAnsi="Arial" w:cs="Arial"/>
          <w:sz w:val="22"/>
          <w:szCs w:val="22"/>
        </w:rPr>
      </w:pPr>
    </w:p>
    <w:p w14:paraId="4E824E66" w14:textId="77777777" w:rsidR="00D9764F" w:rsidRPr="00E36286" w:rsidRDefault="00D9764F" w:rsidP="00D9764F">
      <w:pPr>
        <w:pStyle w:val="2"/>
        <w:keepLines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36286">
        <w:rPr>
          <w:rFonts w:ascii="Arial" w:hAnsi="Arial" w:cs="Arial"/>
          <w:sz w:val="22"/>
          <w:szCs w:val="22"/>
        </w:rPr>
        <w:t>Анализ на Ликвидността</w:t>
      </w:r>
    </w:p>
    <w:p w14:paraId="78068F5E" w14:textId="77777777" w:rsidR="00E561DD" w:rsidRPr="00E36286" w:rsidRDefault="00E561DD" w:rsidP="00E561DD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</w:p>
    <w:p w14:paraId="2EB71411" w14:textId="77777777" w:rsidR="00876C4C" w:rsidRPr="00647AD1" w:rsidRDefault="00D9764F" w:rsidP="00E561DD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 w:rsidRPr="00E36286">
        <w:rPr>
          <w:rFonts w:ascii="Arial" w:hAnsi="Arial" w:cs="Arial"/>
        </w:rPr>
        <w:t>Показателите за ликвидност са количествени характеристики на способността на предприятието да изплаща текущите си задължения с краткотрайни активи (без разходите за бъдещи периоди).</w:t>
      </w:r>
    </w:p>
    <w:p w14:paraId="4089A106" w14:textId="77777777" w:rsidR="00186CC8" w:rsidRDefault="00186CC8" w:rsidP="00E561DD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7AF33CA4" w14:textId="77777777" w:rsidR="00DA4696" w:rsidRDefault="00186CC8" w:rsidP="00E561DD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Стойностите на показателите за обща и бърза ликвидност се </w:t>
      </w:r>
      <w:r w:rsidR="00872FD3">
        <w:rPr>
          <w:rFonts w:ascii="Arial" w:hAnsi="Arial" w:cs="Arial"/>
          <w:lang w:val="en-US"/>
        </w:rPr>
        <w:t>понижават</w:t>
      </w:r>
      <w:r>
        <w:rPr>
          <w:rFonts w:ascii="Arial" w:hAnsi="Arial" w:cs="Arial"/>
          <w:lang w:val="en-US"/>
        </w:rPr>
        <w:t xml:space="preserve"> през </w:t>
      </w:r>
      <w:r w:rsidR="00872FD3">
        <w:rPr>
          <w:rFonts w:ascii="Arial" w:hAnsi="Arial" w:cs="Arial"/>
          <w:lang w:val="en-US"/>
        </w:rPr>
        <w:t>второто</w:t>
      </w:r>
      <w:r>
        <w:rPr>
          <w:rFonts w:ascii="Arial" w:hAnsi="Arial" w:cs="Arial"/>
          <w:lang w:val="en-US"/>
        </w:rPr>
        <w:t xml:space="preserve"> тримесечие вследствие на </w:t>
      </w:r>
      <w:r w:rsidR="00872FD3">
        <w:rPr>
          <w:rFonts w:ascii="Arial" w:hAnsi="Arial" w:cs="Arial"/>
          <w:lang w:val="en-US"/>
        </w:rPr>
        <w:t>ръста</w:t>
      </w:r>
      <w:r>
        <w:rPr>
          <w:rFonts w:ascii="Arial" w:hAnsi="Arial" w:cs="Arial"/>
          <w:lang w:val="en-US"/>
        </w:rPr>
        <w:t xml:space="preserve"> при краткосрочните финансови задължения. Нивото</w:t>
      </w:r>
      <w:r w:rsidRPr="00DA4696">
        <w:rPr>
          <w:rFonts w:ascii="Arial" w:hAnsi="Arial" w:cs="Arial"/>
          <w:lang w:val="en-US"/>
        </w:rPr>
        <w:t xml:space="preserve"> на показателя за незабавна ликвидност </w:t>
      </w:r>
      <w:r>
        <w:rPr>
          <w:rFonts w:ascii="Arial" w:hAnsi="Arial" w:cs="Arial"/>
          <w:lang w:val="en-US"/>
        </w:rPr>
        <w:t>продължава да е притеснително ниско</w:t>
      </w:r>
      <w:r w:rsidR="00540031">
        <w:rPr>
          <w:rFonts w:ascii="Arial" w:hAnsi="Arial" w:cs="Arial"/>
          <w:lang w:val="en-US"/>
        </w:rPr>
        <w:t xml:space="preserve">, като тук следва да отбележим, че емитентът е успял да </w:t>
      </w:r>
      <w:r>
        <w:rPr>
          <w:rFonts w:ascii="Arial" w:hAnsi="Arial" w:cs="Arial"/>
          <w:lang w:val="en-US"/>
        </w:rPr>
        <w:t xml:space="preserve"> </w:t>
      </w:r>
      <w:r w:rsidRPr="00DA4696">
        <w:rPr>
          <w:rFonts w:ascii="Arial" w:hAnsi="Arial" w:cs="Arial"/>
          <w:lang w:val="en-US"/>
        </w:rPr>
        <w:t xml:space="preserve">генерира допълнителна ликвидност </w:t>
      </w:r>
      <w:r w:rsidR="00540031">
        <w:rPr>
          <w:rFonts w:ascii="Arial" w:hAnsi="Arial" w:cs="Arial"/>
          <w:lang w:val="en-US"/>
        </w:rPr>
        <w:t>и е погасил</w:t>
      </w:r>
      <w:r>
        <w:rPr>
          <w:rFonts w:ascii="Arial" w:hAnsi="Arial" w:cs="Arial"/>
          <w:lang w:val="en-US"/>
        </w:rPr>
        <w:t xml:space="preserve"> </w:t>
      </w:r>
      <w:r w:rsidR="00540031">
        <w:rPr>
          <w:rFonts w:ascii="Arial" w:hAnsi="Arial" w:cs="Arial"/>
          <w:lang w:val="en-US"/>
        </w:rPr>
        <w:t>просроченото от</w:t>
      </w:r>
      <w:r>
        <w:rPr>
          <w:rFonts w:ascii="Arial" w:hAnsi="Arial" w:cs="Arial"/>
          <w:lang w:val="en-US"/>
        </w:rPr>
        <w:t xml:space="preserve"> началото на юни лихвено плащане</w:t>
      </w:r>
      <w:r w:rsidRPr="00DA4696">
        <w:rPr>
          <w:rFonts w:ascii="Arial" w:hAnsi="Arial" w:cs="Arial"/>
          <w:lang w:val="en-US"/>
        </w:rPr>
        <w:t>.</w:t>
      </w:r>
      <w:r w:rsidR="00872FD3" w:rsidRPr="00872FD3">
        <w:rPr>
          <w:rFonts w:ascii="Arial" w:hAnsi="Arial" w:cs="Arial"/>
        </w:rPr>
        <w:t xml:space="preserve"> </w:t>
      </w:r>
      <w:r w:rsidR="00872FD3" w:rsidRPr="00571714">
        <w:rPr>
          <w:rFonts w:ascii="Arial" w:hAnsi="Arial" w:cs="Arial"/>
        </w:rPr>
        <w:t xml:space="preserve">/Виж стр.7 </w:t>
      </w:r>
      <w:r w:rsidR="00872FD3" w:rsidRPr="00647AD1">
        <w:rPr>
          <w:rFonts w:ascii="Arial" w:hAnsi="Arial" w:cs="Arial"/>
          <w:b/>
          <w:i/>
          <w:u w:val="single"/>
        </w:rPr>
        <w:t>“Обстоятелства, настъпили след крайната дата на разглеждания в доклада период”</w:t>
      </w:r>
      <w:r w:rsidR="00872FD3" w:rsidRPr="00571714">
        <w:rPr>
          <w:rFonts w:ascii="Arial" w:hAnsi="Arial" w:cs="Arial"/>
        </w:rPr>
        <w:t>/</w:t>
      </w:r>
      <w:r w:rsidR="00872FD3">
        <w:rPr>
          <w:rFonts w:ascii="Arial" w:hAnsi="Arial" w:cs="Arial"/>
        </w:rPr>
        <w:t>.</w:t>
      </w:r>
    </w:p>
    <w:p w14:paraId="606A5B22" w14:textId="77777777" w:rsidR="00186CC8" w:rsidRDefault="00186CC8" w:rsidP="00E561DD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tbl>
      <w:tblPr>
        <w:tblW w:w="4470" w:type="pct"/>
        <w:jc w:val="center"/>
        <w:tblLook w:val="04A0" w:firstRow="1" w:lastRow="0" w:firstColumn="1" w:lastColumn="0" w:noHBand="0" w:noVBand="1"/>
      </w:tblPr>
      <w:tblGrid>
        <w:gridCol w:w="2860"/>
        <w:gridCol w:w="222"/>
        <w:gridCol w:w="976"/>
        <w:gridCol w:w="976"/>
        <w:gridCol w:w="976"/>
        <w:gridCol w:w="976"/>
        <w:gridCol w:w="976"/>
      </w:tblGrid>
      <w:tr w:rsidR="00772A00" w:rsidRPr="00E36286" w14:paraId="3AD9C6AA" w14:textId="77777777" w:rsidTr="00872FD3">
        <w:trPr>
          <w:trHeight w:val="330"/>
          <w:jc w:val="center"/>
        </w:trPr>
        <w:tc>
          <w:tcPr>
            <w:tcW w:w="1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B37156B" w14:textId="77777777" w:rsidR="00772A00" w:rsidRPr="00214827" w:rsidRDefault="00772A00" w:rsidP="006648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48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 за ликвидност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</w:tcPr>
          <w:p w14:paraId="3B3DA38E" w14:textId="77777777" w:rsidR="00772A00" w:rsidRPr="005F22E3" w:rsidRDefault="00772A00" w:rsidP="00404C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46B857D3" w14:textId="77777777" w:rsidR="00772A00" w:rsidRPr="005F22E3" w:rsidRDefault="00772A00" w:rsidP="009123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5F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90E204E" w14:textId="77777777" w:rsidR="00772A00" w:rsidRPr="005F22E3" w:rsidRDefault="00772A00" w:rsidP="005000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5F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DFA2455" w14:textId="77777777" w:rsidR="00772A00" w:rsidRPr="0019109A" w:rsidRDefault="00772A00" w:rsidP="005000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5F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'2023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0509C1C" w14:textId="77777777" w:rsidR="00772A00" w:rsidRPr="00D101A3" w:rsidRDefault="00772A00" w:rsidP="005000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10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3</w:t>
            </w:r>
            <w:r w:rsidRPr="001910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4F819FBC" w14:textId="77777777" w:rsidR="00772A00" w:rsidRPr="00D101A3" w:rsidRDefault="00772A00" w:rsidP="005000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10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1910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72A00" w:rsidRPr="00E36286" w14:paraId="272F9600" w14:textId="77777777" w:rsidTr="00872FD3">
        <w:trPr>
          <w:trHeight w:val="330"/>
          <w:jc w:val="center"/>
        </w:trPr>
        <w:tc>
          <w:tcPr>
            <w:tcW w:w="1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A739A7" w14:textId="77777777" w:rsidR="00772A00" w:rsidRPr="00214827" w:rsidRDefault="00772A00" w:rsidP="00664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827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Обща</w:t>
            </w:r>
            <w:r w:rsidRPr="0021482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ликвидност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D5BA9F6" w14:textId="77777777" w:rsidR="00772A00" w:rsidRDefault="00772A00" w:rsidP="00404C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942A98" w14:textId="77777777" w:rsidR="00772A00" w:rsidRDefault="00772A00" w:rsidP="00404C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4.7807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32D618" w14:textId="77777777" w:rsidR="00772A00" w:rsidRDefault="00772A00" w:rsidP="005000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7.9176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4C3E7F" w14:textId="77777777" w:rsidR="00772A00" w:rsidRPr="00420E19" w:rsidRDefault="00772A00" w:rsidP="005000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6.2358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0657A4" w14:textId="77777777" w:rsidR="00772A00" w:rsidRPr="00FA6CB3" w:rsidRDefault="00772A00" w:rsidP="005000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19.6667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5D0FAF" w14:textId="77777777" w:rsidR="00772A00" w:rsidRDefault="00772A00" w:rsidP="005000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7.9283</w:t>
            </w:r>
          </w:p>
        </w:tc>
      </w:tr>
      <w:tr w:rsidR="00772A00" w:rsidRPr="00E36286" w14:paraId="08AC730A" w14:textId="77777777" w:rsidTr="00872FD3">
        <w:trPr>
          <w:trHeight w:val="330"/>
          <w:jc w:val="center"/>
        </w:trPr>
        <w:tc>
          <w:tcPr>
            <w:tcW w:w="1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9A4747" w14:textId="77777777" w:rsidR="00772A00" w:rsidRPr="00214827" w:rsidRDefault="00772A00" w:rsidP="00664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827">
              <w:rPr>
                <w:rFonts w:ascii="Arial" w:hAnsi="Arial" w:cs="Arial"/>
                <w:color w:val="000000"/>
                <w:sz w:val="20"/>
                <w:szCs w:val="20"/>
              </w:rPr>
              <w:t>Бърза ликвидност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4AD615C" w14:textId="77777777" w:rsidR="00772A00" w:rsidRDefault="00772A00" w:rsidP="00404C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7CD5D9" w14:textId="77777777" w:rsidR="00772A00" w:rsidRDefault="00772A00" w:rsidP="00404C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4.7807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24ADFE" w14:textId="77777777" w:rsidR="00772A00" w:rsidRDefault="00772A00" w:rsidP="005000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7.9176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3399AE" w14:textId="77777777" w:rsidR="00772A00" w:rsidRPr="00420E19" w:rsidRDefault="00772A00" w:rsidP="005000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6.2358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9B68B9" w14:textId="77777777" w:rsidR="00772A00" w:rsidRPr="00FA6CB3" w:rsidRDefault="00772A00" w:rsidP="005000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19.6667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0D6A1B" w14:textId="77777777" w:rsidR="00772A00" w:rsidRDefault="00772A00" w:rsidP="005000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7.9283</w:t>
            </w:r>
          </w:p>
        </w:tc>
      </w:tr>
      <w:tr w:rsidR="00772A00" w:rsidRPr="00E36286" w14:paraId="73CA7517" w14:textId="77777777" w:rsidTr="00872FD3">
        <w:trPr>
          <w:trHeight w:val="330"/>
          <w:jc w:val="center"/>
        </w:trPr>
        <w:tc>
          <w:tcPr>
            <w:tcW w:w="1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C60951" w14:textId="77777777" w:rsidR="00772A00" w:rsidRPr="00214827" w:rsidRDefault="00772A00" w:rsidP="00664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827">
              <w:rPr>
                <w:rFonts w:ascii="Arial" w:hAnsi="Arial" w:cs="Arial"/>
                <w:color w:val="000000"/>
                <w:sz w:val="20"/>
                <w:szCs w:val="20"/>
              </w:rPr>
              <w:t>Незабавна ликвидност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A605B96" w14:textId="77777777" w:rsidR="00772A00" w:rsidRDefault="00772A00" w:rsidP="00404C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A690A9" w14:textId="77777777" w:rsidR="00772A00" w:rsidRDefault="00772A00" w:rsidP="00404C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0.0271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08974F" w14:textId="77777777" w:rsidR="00772A00" w:rsidRDefault="00772A00" w:rsidP="005000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0.0755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A18B77" w14:textId="77777777" w:rsidR="00772A00" w:rsidRPr="00A80C27" w:rsidRDefault="00772A00" w:rsidP="005000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0.0105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701EEF" w14:textId="77777777" w:rsidR="00772A00" w:rsidRPr="00146FC5" w:rsidRDefault="00772A00" w:rsidP="005000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0.0110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5F9456" w14:textId="77777777" w:rsidR="00772A00" w:rsidRDefault="00772A00" w:rsidP="005000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0.0016</w:t>
            </w:r>
          </w:p>
        </w:tc>
      </w:tr>
    </w:tbl>
    <w:p w14:paraId="38FAE8FE" w14:textId="77777777" w:rsidR="00E863FB" w:rsidRDefault="00E863FB" w:rsidP="00D9764F">
      <w:pPr>
        <w:pStyle w:val="a6"/>
        <w:spacing w:after="0" w:line="240" w:lineRule="auto"/>
        <w:ind w:left="0" w:firstLine="567"/>
        <w:jc w:val="both"/>
        <w:rPr>
          <w:rFonts w:ascii="Arial" w:hAnsi="Arial" w:cs="Arial"/>
          <w:lang w:val="en-US"/>
        </w:rPr>
      </w:pPr>
    </w:p>
    <w:p w14:paraId="0CC93902" w14:textId="77777777" w:rsidR="00087061" w:rsidRDefault="00087061" w:rsidP="00E863FB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1E9CC850" w14:textId="77777777" w:rsidR="00D36BCB" w:rsidRPr="00D36BCB" w:rsidRDefault="00D36BCB" w:rsidP="00D9764F">
      <w:pPr>
        <w:pStyle w:val="a6"/>
        <w:spacing w:after="0" w:line="240" w:lineRule="auto"/>
        <w:jc w:val="both"/>
        <w:rPr>
          <w:rFonts w:ascii="Arial" w:hAnsi="Arial" w:cs="Arial"/>
          <w:lang w:val="en-US"/>
        </w:rPr>
      </w:pPr>
    </w:p>
    <w:p w14:paraId="7FBD5C95" w14:textId="77777777" w:rsidR="00D9764F" w:rsidRPr="00E36286" w:rsidRDefault="00D9764F" w:rsidP="00D9764F">
      <w:pPr>
        <w:pStyle w:val="2"/>
        <w:keepLines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36286">
        <w:rPr>
          <w:rFonts w:ascii="Arial" w:hAnsi="Arial" w:cs="Arial"/>
          <w:sz w:val="22"/>
          <w:szCs w:val="22"/>
        </w:rPr>
        <w:t>Анализ на Платежоспособността</w:t>
      </w:r>
    </w:p>
    <w:p w14:paraId="1E95B0D3" w14:textId="77777777" w:rsidR="00E561DD" w:rsidRPr="00E36286" w:rsidRDefault="00E561DD" w:rsidP="00E561DD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</w:p>
    <w:p w14:paraId="6FAD4952" w14:textId="77777777" w:rsidR="00D9764F" w:rsidRPr="00E36286" w:rsidRDefault="00D9764F" w:rsidP="00E561DD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  <w:r w:rsidRPr="00E36286">
        <w:rPr>
          <w:rFonts w:ascii="Arial" w:hAnsi="Arial" w:cs="Arial"/>
        </w:rPr>
        <w:t>Показателите за платежоспособност</w:t>
      </w:r>
      <w:r w:rsidR="00B03C40">
        <w:rPr>
          <w:rFonts w:ascii="Arial" w:hAnsi="Arial" w:cs="Arial"/>
          <w:lang w:val="en-US"/>
        </w:rPr>
        <w:t xml:space="preserve"> </w:t>
      </w:r>
      <w:r w:rsidRPr="00E36286">
        <w:rPr>
          <w:rFonts w:ascii="Arial" w:hAnsi="Arial" w:cs="Arial"/>
        </w:rPr>
        <w:t xml:space="preserve">измерват степента на задлъжнялост на Дружеството и възможностите </w:t>
      </w:r>
      <w:r w:rsidR="000846F9" w:rsidRPr="00E36286">
        <w:rPr>
          <w:rFonts w:ascii="Arial" w:hAnsi="Arial" w:cs="Arial"/>
        </w:rPr>
        <w:t>му</w:t>
      </w:r>
      <w:r w:rsidRPr="00E36286">
        <w:rPr>
          <w:rFonts w:ascii="Arial" w:hAnsi="Arial" w:cs="Arial"/>
        </w:rPr>
        <w:t xml:space="preserve"> да посрещне своите задължения.</w:t>
      </w:r>
    </w:p>
    <w:p w14:paraId="65E2B13E" w14:textId="77777777" w:rsidR="00D9764F" w:rsidRPr="00E36286" w:rsidRDefault="00D9764F" w:rsidP="00D9764F">
      <w:pPr>
        <w:pStyle w:val="a6"/>
        <w:spacing w:after="0" w:line="240" w:lineRule="auto"/>
        <w:ind w:left="0" w:firstLine="540"/>
        <w:jc w:val="both"/>
        <w:rPr>
          <w:rFonts w:ascii="Arial" w:hAnsi="Arial" w:cs="Arial"/>
        </w:rPr>
      </w:pPr>
    </w:p>
    <w:tbl>
      <w:tblPr>
        <w:tblW w:w="4578" w:type="pct"/>
        <w:jc w:val="center"/>
        <w:tblLook w:val="04A0" w:firstRow="1" w:lastRow="0" w:firstColumn="1" w:lastColumn="0" w:noHBand="0" w:noVBand="1"/>
      </w:tblPr>
      <w:tblGrid>
        <w:gridCol w:w="3058"/>
        <w:gridCol w:w="976"/>
        <w:gridCol w:w="976"/>
        <w:gridCol w:w="976"/>
        <w:gridCol w:w="976"/>
        <w:gridCol w:w="976"/>
      </w:tblGrid>
      <w:tr w:rsidR="009A4510" w:rsidRPr="00E36286" w14:paraId="6F48BFF2" w14:textId="77777777" w:rsidTr="00404C3F">
        <w:trPr>
          <w:trHeight w:val="330"/>
          <w:jc w:val="center"/>
        </w:trPr>
        <w:tc>
          <w:tcPr>
            <w:tcW w:w="20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4B68B70" w14:textId="77777777" w:rsidR="009A4510" w:rsidRPr="00214827" w:rsidRDefault="009A4510" w:rsidP="000346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48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Платежоспособност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A102174" w14:textId="77777777" w:rsidR="009A4510" w:rsidRPr="005F22E3" w:rsidRDefault="009A4510" w:rsidP="00404C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5F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47E029D8" w14:textId="77777777" w:rsidR="009A4510" w:rsidRPr="005F22E3" w:rsidRDefault="009A4510" w:rsidP="002131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5F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7DB220FA" w14:textId="77777777" w:rsidR="009A4510" w:rsidRPr="0019109A" w:rsidRDefault="009A4510" w:rsidP="002131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5F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'2023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5A80B09" w14:textId="77777777" w:rsidR="009A4510" w:rsidRPr="00FA4E12" w:rsidRDefault="009A4510" w:rsidP="002131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10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3</w:t>
            </w:r>
            <w:r w:rsidRPr="001910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ABC279F" w14:textId="77777777" w:rsidR="009A4510" w:rsidRPr="00FA4E12" w:rsidRDefault="009A4510" w:rsidP="002131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10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1910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A4510" w:rsidRPr="00E36286" w14:paraId="2C48E923" w14:textId="77777777" w:rsidTr="00404C3F">
        <w:trPr>
          <w:trHeight w:val="330"/>
          <w:jc w:val="center"/>
        </w:trPr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4F8A82A" w14:textId="77777777" w:rsidR="009A4510" w:rsidRPr="00214827" w:rsidRDefault="009A4510" w:rsidP="00034665">
            <w:pPr>
              <w:rPr>
                <w:rFonts w:ascii="Arial" w:hAnsi="Arial" w:cs="Arial"/>
                <w:sz w:val="20"/>
                <w:szCs w:val="20"/>
              </w:rPr>
            </w:pPr>
            <w:r w:rsidRPr="00214827">
              <w:rPr>
                <w:rFonts w:ascii="Arial" w:hAnsi="Arial" w:cs="Arial"/>
                <w:sz w:val="20"/>
                <w:szCs w:val="20"/>
              </w:rPr>
              <w:t>Дългосрочен дълг/Активи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5839D5" w14:textId="77777777" w:rsidR="009A4510" w:rsidRDefault="009A4510" w:rsidP="009A4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0.6848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AF93C4" w14:textId="77777777" w:rsidR="009A4510" w:rsidRDefault="009A4510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0.7260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C4BBEB" w14:textId="77777777" w:rsidR="009A4510" w:rsidRDefault="009A4510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0.7202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69E7A3" w14:textId="77777777" w:rsidR="009A4510" w:rsidRPr="00792F8B" w:rsidRDefault="009A4510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167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E813B5" w14:textId="77777777" w:rsidR="009A4510" w:rsidRDefault="009A4510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0.7493</w:t>
            </w:r>
          </w:p>
        </w:tc>
      </w:tr>
      <w:tr w:rsidR="009A4510" w:rsidRPr="00E36286" w14:paraId="0A34831D" w14:textId="77777777" w:rsidTr="00404C3F">
        <w:trPr>
          <w:trHeight w:val="330"/>
          <w:jc w:val="center"/>
        </w:trPr>
        <w:tc>
          <w:tcPr>
            <w:tcW w:w="20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424AA27" w14:textId="77777777" w:rsidR="009A4510" w:rsidRPr="00214827" w:rsidRDefault="009A4510" w:rsidP="00034665">
            <w:pPr>
              <w:rPr>
                <w:rFonts w:ascii="Arial" w:hAnsi="Arial" w:cs="Arial"/>
                <w:sz w:val="20"/>
                <w:szCs w:val="20"/>
              </w:rPr>
            </w:pPr>
            <w:r w:rsidRPr="00214827">
              <w:rPr>
                <w:rFonts w:ascii="Arial" w:hAnsi="Arial" w:cs="Arial"/>
                <w:sz w:val="20"/>
                <w:szCs w:val="20"/>
              </w:rPr>
              <w:t>Общ дълг/Активи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A043C2" w14:textId="77777777" w:rsidR="009A4510" w:rsidRDefault="009A4510" w:rsidP="009A4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0.7469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5415AF" w14:textId="77777777" w:rsidR="009A4510" w:rsidRDefault="009A4510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0.7635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D0BADC" w14:textId="77777777" w:rsidR="009A4510" w:rsidRDefault="009A4510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0.7715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9D4D0E" w14:textId="77777777" w:rsidR="009A4510" w:rsidRPr="00792F8B" w:rsidRDefault="009A4510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331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A208B2" w14:textId="77777777" w:rsidR="009A4510" w:rsidRDefault="009A4510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0.7959</w:t>
            </w:r>
          </w:p>
        </w:tc>
      </w:tr>
      <w:tr w:rsidR="009A4510" w:rsidRPr="00E36286" w14:paraId="6CFA1F1E" w14:textId="77777777" w:rsidTr="00404C3F">
        <w:trPr>
          <w:trHeight w:val="330"/>
          <w:jc w:val="center"/>
        </w:trPr>
        <w:tc>
          <w:tcPr>
            <w:tcW w:w="20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B9698F9" w14:textId="77777777" w:rsidR="009A4510" w:rsidRPr="00214827" w:rsidRDefault="009A4510" w:rsidP="00034665">
            <w:pPr>
              <w:rPr>
                <w:rFonts w:ascii="Arial" w:hAnsi="Arial" w:cs="Arial"/>
                <w:sz w:val="20"/>
                <w:szCs w:val="20"/>
              </w:rPr>
            </w:pPr>
            <w:r w:rsidRPr="00214827">
              <w:rPr>
                <w:rFonts w:ascii="Arial" w:hAnsi="Arial" w:cs="Arial"/>
                <w:sz w:val="20"/>
                <w:szCs w:val="20"/>
              </w:rPr>
              <w:t>Общ дълг/Собствен капитал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774D17" w14:textId="77777777" w:rsidR="009A4510" w:rsidRDefault="009A4510" w:rsidP="009A4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2.9512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D553E2" w14:textId="77777777" w:rsidR="009A4510" w:rsidRDefault="009A4510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3.2289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FFC790" w14:textId="77777777" w:rsidR="009A4510" w:rsidRPr="00582E88" w:rsidRDefault="009A4510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3.3761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97BD92" w14:textId="77777777" w:rsidR="009A4510" w:rsidRPr="00792F8B" w:rsidRDefault="009A4510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7461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507736" w14:textId="77777777" w:rsidR="009A4510" w:rsidRDefault="009A4510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3.8990</w:t>
            </w:r>
          </w:p>
        </w:tc>
      </w:tr>
      <w:tr w:rsidR="009A4510" w:rsidRPr="00E36286" w14:paraId="44C7B1B1" w14:textId="77777777" w:rsidTr="00404C3F">
        <w:trPr>
          <w:trHeight w:val="329"/>
          <w:jc w:val="center"/>
        </w:trPr>
        <w:tc>
          <w:tcPr>
            <w:tcW w:w="20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88AD32" w14:textId="77777777" w:rsidR="009A4510" w:rsidRPr="00214827" w:rsidRDefault="009A4510" w:rsidP="00034665">
            <w:pPr>
              <w:rPr>
                <w:rFonts w:ascii="Arial" w:hAnsi="Arial" w:cs="Arial"/>
                <w:sz w:val="20"/>
                <w:szCs w:val="20"/>
              </w:rPr>
            </w:pPr>
            <w:r w:rsidRPr="00214827">
              <w:rPr>
                <w:rFonts w:ascii="Arial" w:hAnsi="Arial" w:cs="Arial"/>
                <w:sz w:val="20"/>
                <w:szCs w:val="20"/>
              </w:rPr>
              <w:t>Общо активи/Собствен капитал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693533" w14:textId="77777777" w:rsidR="009A4510" w:rsidRDefault="009A4510" w:rsidP="009A4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3.9512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2ABDCB" w14:textId="77777777" w:rsidR="009A4510" w:rsidRDefault="009A4510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4.2289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BFED89" w14:textId="77777777" w:rsidR="009A4510" w:rsidRPr="00582E88" w:rsidRDefault="009A4510" w:rsidP="002131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4.3761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0883FA" w14:textId="77777777" w:rsidR="009A4510" w:rsidRDefault="009A4510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7461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BBD42D" w14:textId="77777777" w:rsidR="009A4510" w:rsidRDefault="009A4510" w:rsidP="00213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4.8990</w:t>
            </w:r>
          </w:p>
        </w:tc>
      </w:tr>
    </w:tbl>
    <w:p w14:paraId="3BF8A9FE" w14:textId="77777777" w:rsidR="00D9764F" w:rsidRPr="00E36286" w:rsidRDefault="00D9764F" w:rsidP="00D9764F">
      <w:pPr>
        <w:jc w:val="both"/>
        <w:rPr>
          <w:rFonts w:ascii="Arial" w:hAnsi="Arial" w:cs="Arial"/>
          <w:sz w:val="22"/>
          <w:szCs w:val="22"/>
        </w:rPr>
      </w:pPr>
    </w:p>
    <w:p w14:paraId="4D9E552E" w14:textId="77777777" w:rsidR="00D9764F" w:rsidRPr="00AF4D59" w:rsidRDefault="00D55BBB" w:rsidP="00E561DD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К</w:t>
      </w:r>
      <w:r w:rsidR="00D9764F" w:rsidRPr="00E36286">
        <w:rPr>
          <w:rFonts w:ascii="Arial" w:hAnsi="Arial" w:cs="Arial"/>
        </w:rPr>
        <w:t xml:space="preserve">ъм </w:t>
      </w:r>
      <w:r w:rsidR="00AD67DE" w:rsidRPr="00E36286">
        <w:rPr>
          <w:rFonts w:ascii="Arial" w:hAnsi="Arial" w:cs="Arial"/>
        </w:rPr>
        <w:t>3</w:t>
      </w:r>
      <w:r w:rsidR="0069634E">
        <w:rPr>
          <w:rFonts w:ascii="Arial" w:hAnsi="Arial" w:cs="Arial"/>
          <w:lang w:val="en-US"/>
        </w:rPr>
        <w:t>0</w:t>
      </w:r>
      <w:r w:rsidR="00AD67DE" w:rsidRPr="00E36286">
        <w:rPr>
          <w:rFonts w:ascii="Arial" w:hAnsi="Arial" w:cs="Arial"/>
        </w:rPr>
        <w:t>.</w:t>
      </w:r>
      <w:r w:rsidR="00186CC8">
        <w:rPr>
          <w:rFonts w:ascii="Arial" w:hAnsi="Arial" w:cs="Arial"/>
          <w:lang w:val="en-US"/>
        </w:rPr>
        <w:t>0</w:t>
      </w:r>
      <w:r w:rsidR="0069634E">
        <w:rPr>
          <w:rFonts w:ascii="Arial" w:hAnsi="Arial" w:cs="Arial"/>
          <w:lang w:val="en-US"/>
        </w:rPr>
        <w:t>6</w:t>
      </w:r>
      <w:r w:rsidR="00AD67DE" w:rsidRPr="00E36286">
        <w:rPr>
          <w:rFonts w:ascii="Arial" w:hAnsi="Arial" w:cs="Arial"/>
        </w:rPr>
        <w:t>.20</w:t>
      </w:r>
      <w:r>
        <w:rPr>
          <w:rFonts w:ascii="Arial" w:hAnsi="Arial" w:cs="Arial"/>
          <w:lang w:val="en-US"/>
        </w:rPr>
        <w:t>2</w:t>
      </w:r>
      <w:r w:rsidR="00186CC8">
        <w:rPr>
          <w:rFonts w:ascii="Arial" w:hAnsi="Arial" w:cs="Arial"/>
          <w:lang w:val="en-US"/>
        </w:rPr>
        <w:t>4</w:t>
      </w:r>
      <w:r w:rsidR="00101BFF">
        <w:rPr>
          <w:rFonts w:ascii="Arial" w:hAnsi="Arial" w:cs="Arial"/>
          <w:lang w:val="en-US"/>
        </w:rPr>
        <w:t xml:space="preserve"> </w:t>
      </w:r>
      <w:r w:rsidR="00AD67DE" w:rsidRPr="00E36286">
        <w:rPr>
          <w:rFonts w:ascii="Arial" w:hAnsi="Arial" w:cs="Arial"/>
        </w:rPr>
        <w:t>г</w:t>
      </w:r>
      <w:r w:rsidR="00BE3DEA">
        <w:rPr>
          <w:rFonts w:ascii="Arial" w:hAnsi="Arial" w:cs="Arial"/>
        </w:rPr>
        <w:t>.</w:t>
      </w:r>
      <w:r w:rsidR="00536EA6">
        <w:rPr>
          <w:rFonts w:ascii="Arial" w:hAnsi="Arial" w:cs="Arial"/>
          <w:lang w:val="en-US"/>
        </w:rPr>
        <w:t>,</w:t>
      </w:r>
      <w:r w:rsidR="00D9764F" w:rsidRPr="00E3628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регистрираните стойности </w:t>
      </w:r>
      <w:r w:rsidR="003E7D61">
        <w:rPr>
          <w:rFonts w:ascii="Arial" w:hAnsi="Arial" w:cs="Arial"/>
        </w:rPr>
        <w:t xml:space="preserve">и </w:t>
      </w:r>
      <w:r w:rsidR="003E7D61">
        <w:rPr>
          <w:rFonts w:ascii="Arial" w:hAnsi="Arial" w:cs="Arial"/>
          <w:lang w:val="en-US"/>
        </w:rPr>
        <w:t xml:space="preserve">на </w:t>
      </w:r>
      <w:r w:rsidR="003E7D61">
        <w:rPr>
          <w:rFonts w:ascii="Arial" w:hAnsi="Arial" w:cs="Arial"/>
        </w:rPr>
        <w:t xml:space="preserve">четирите </w:t>
      </w:r>
      <w:r w:rsidR="003E7D61" w:rsidRPr="00E36286">
        <w:rPr>
          <w:rFonts w:ascii="Arial" w:hAnsi="Arial" w:cs="Arial"/>
        </w:rPr>
        <w:t>показател</w:t>
      </w:r>
      <w:r w:rsidR="003E7D61">
        <w:rPr>
          <w:rFonts w:ascii="Arial" w:hAnsi="Arial" w:cs="Arial"/>
        </w:rPr>
        <w:t xml:space="preserve">я </w:t>
      </w:r>
      <w:r w:rsidR="003E7D61">
        <w:rPr>
          <w:rFonts w:ascii="Arial" w:hAnsi="Arial" w:cs="Arial"/>
          <w:lang w:val="en-US"/>
        </w:rPr>
        <w:t>бележат леко подобрение спрямо края на първото тримесечие</w:t>
      </w:r>
      <w:r w:rsidR="00186CC8">
        <w:rPr>
          <w:rFonts w:ascii="Arial" w:hAnsi="Arial" w:cs="Arial"/>
          <w:lang w:val="en-US"/>
        </w:rPr>
        <w:t xml:space="preserve"> </w:t>
      </w:r>
      <w:r w:rsidR="003E7D61">
        <w:rPr>
          <w:rFonts w:ascii="Arial" w:hAnsi="Arial" w:cs="Arial"/>
          <w:lang w:val="en-US"/>
        </w:rPr>
        <w:t>на</w:t>
      </w:r>
      <w:r w:rsidR="002461A8">
        <w:rPr>
          <w:rFonts w:ascii="Arial" w:hAnsi="Arial" w:cs="Arial"/>
          <w:lang w:val="en-US"/>
        </w:rPr>
        <w:t xml:space="preserve"> 202</w:t>
      </w:r>
      <w:r w:rsidR="003E7D61">
        <w:rPr>
          <w:rFonts w:ascii="Arial" w:hAnsi="Arial" w:cs="Arial"/>
          <w:lang w:val="en-US"/>
        </w:rPr>
        <w:t>4</w:t>
      </w:r>
      <w:r w:rsidR="00101BFF">
        <w:rPr>
          <w:rFonts w:ascii="Arial" w:hAnsi="Arial" w:cs="Arial"/>
          <w:lang w:val="en-US"/>
        </w:rPr>
        <w:t xml:space="preserve"> </w:t>
      </w:r>
      <w:r w:rsidR="002461A8">
        <w:rPr>
          <w:rFonts w:ascii="Arial" w:hAnsi="Arial" w:cs="Arial"/>
          <w:lang w:val="en-US"/>
        </w:rPr>
        <w:t>г.</w:t>
      </w:r>
      <w:r w:rsidR="001562D9">
        <w:rPr>
          <w:rFonts w:ascii="Arial" w:hAnsi="Arial" w:cs="Arial"/>
        </w:rPr>
        <w:t xml:space="preserve"> </w:t>
      </w:r>
      <w:r w:rsidR="00361BDB">
        <w:rPr>
          <w:rFonts w:ascii="Arial" w:hAnsi="Arial" w:cs="Arial"/>
          <w:lang w:val="en-US"/>
        </w:rPr>
        <w:t>Въпреки натрупаните загуби от предходни години, с</w:t>
      </w:r>
      <w:r w:rsidR="00A10CBB">
        <w:rPr>
          <w:rFonts w:ascii="Arial" w:hAnsi="Arial" w:cs="Arial"/>
        </w:rPr>
        <w:t xml:space="preserve">обственият </w:t>
      </w:r>
      <w:r w:rsidR="001562D9">
        <w:rPr>
          <w:rFonts w:ascii="Arial" w:hAnsi="Arial" w:cs="Arial"/>
        </w:rPr>
        <w:t>капитал на дружеството</w:t>
      </w:r>
      <w:r w:rsidR="00A10CBB">
        <w:rPr>
          <w:rFonts w:ascii="Arial" w:hAnsi="Arial" w:cs="Arial"/>
        </w:rPr>
        <w:t xml:space="preserve"> </w:t>
      </w:r>
      <w:r w:rsidR="00361BDB">
        <w:rPr>
          <w:rFonts w:ascii="Arial" w:hAnsi="Arial" w:cs="Arial"/>
          <w:lang w:val="en-US"/>
        </w:rPr>
        <w:t>е на добро ниво</w:t>
      </w:r>
      <w:r w:rsidR="00A10CBB">
        <w:rPr>
          <w:rFonts w:ascii="Arial" w:hAnsi="Arial" w:cs="Arial"/>
        </w:rPr>
        <w:t>, което обуславя и поддържането на нисък ливъридж</w:t>
      </w:r>
      <w:r w:rsidR="00AF4D59">
        <w:rPr>
          <w:rFonts w:ascii="Arial" w:hAnsi="Arial" w:cs="Arial"/>
          <w:lang w:val="en-US"/>
        </w:rPr>
        <w:t>.</w:t>
      </w:r>
    </w:p>
    <w:p w14:paraId="4E36B2BB" w14:textId="77777777" w:rsidR="00D9764F" w:rsidRDefault="00D9764F" w:rsidP="00D9764F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</w:p>
    <w:p w14:paraId="237394CA" w14:textId="77777777" w:rsidR="00E14354" w:rsidRPr="00E14354" w:rsidRDefault="00E14354" w:rsidP="00D9764F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</w:p>
    <w:p w14:paraId="241FCF98" w14:textId="77777777" w:rsidR="00D9764F" w:rsidRPr="00E36286" w:rsidRDefault="00D9764F" w:rsidP="00D9764F">
      <w:pPr>
        <w:pStyle w:val="1"/>
        <w:numPr>
          <w:ilvl w:val="0"/>
          <w:numId w:val="1"/>
        </w:numPr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E36286">
        <w:rPr>
          <w:rFonts w:ascii="Arial" w:hAnsi="Arial" w:cs="Arial"/>
          <w:color w:val="auto"/>
          <w:sz w:val="22"/>
          <w:szCs w:val="22"/>
        </w:rPr>
        <w:t>Състояние на обезпечението на облигационната емисия.</w:t>
      </w:r>
    </w:p>
    <w:p w14:paraId="736BB542" w14:textId="77777777" w:rsidR="00D9764F" w:rsidRPr="00E36286" w:rsidRDefault="00D9764F" w:rsidP="00D9764F">
      <w:pPr>
        <w:pStyle w:val="a6"/>
        <w:spacing w:after="0" w:line="240" w:lineRule="auto"/>
        <w:ind w:left="0" w:firstLine="540"/>
        <w:jc w:val="both"/>
        <w:rPr>
          <w:rFonts w:ascii="Arial" w:hAnsi="Arial" w:cs="Arial"/>
        </w:rPr>
      </w:pPr>
    </w:p>
    <w:p w14:paraId="0615AA47" w14:textId="77777777" w:rsidR="00F85566" w:rsidRPr="00E36286" w:rsidRDefault="00D9764F" w:rsidP="00FC3866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  <w:r w:rsidRPr="00E36286">
        <w:rPr>
          <w:rFonts w:ascii="Arial" w:hAnsi="Arial" w:cs="Arial"/>
        </w:rPr>
        <w:t xml:space="preserve">За обезпечаване на вземането по главницата и всички дължими лихви по облигационния заем </w:t>
      </w:r>
      <w:r w:rsidR="00627047">
        <w:rPr>
          <w:rFonts w:ascii="Arial" w:hAnsi="Arial" w:cs="Arial"/>
        </w:rPr>
        <w:t>ПАРК АДСИЦ</w:t>
      </w:r>
      <w:r w:rsidRPr="00E36286">
        <w:rPr>
          <w:rFonts w:ascii="Arial" w:hAnsi="Arial" w:cs="Arial"/>
        </w:rPr>
        <w:t xml:space="preserve"> е сключило застраховка при ЗАД А</w:t>
      </w:r>
      <w:r w:rsidR="001E58E7">
        <w:rPr>
          <w:rFonts w:ascii="Arial" w:hAnsi="Arial" w:cs="Arial"/>
        </w:rPr>
        <w:t>РМЕЕЦ</w:t>
      </w:r>
      <w:r w:rsidR="001A1DEF">
        <w:rPr>
          <w:rFonts w:ascii="Arial" w:hAnsi="Arial" w:cs="Arial"/>
        </w:rPr>
        <w:t xml:space="preserve"> АД</w:t>
      </w:r>
      <w:r w:rsidR="001E58E7">
        <w:rPr>
          <w:rFonts w:ascii="Arial" w:hAnsi="Arial" w:cs="Arial"/>
        </w:rPr>
        <w:t xml:space="preserve"> </w:t>
      </w:r>
      <w:r w:rsidR="00A85B0B" w:rsidRPr="00E36286">
        <w:rPr>
          <w:rFonts w:ascii="Arial" w:hAnsi="Arial" w:cs="Arial"/>
        </w:rPr>
        <w:t>на всички плащания по облигационната емисия срещу риск от неплащане</w:t>
      </w:r>
      <w:r w:rsidRPr="00E36286">
        <w:rPr>
          <w:rFonts w:ascii="Arial" w:hAnsi="Arial" w:cs="Arial"/>
        </w:rPr>
        <w:t>, с действие на полицата до датата на пълно погасяване на облигационния заем</w:t>
      </w:r>
      <w:r w:rsidR="00A85B0B" w:rsidRPr="00E36286">
        <w:rPr>
          <w:rFonts w:ascii="Arial" w:hAnsi="Arial" w:cs="Arial"/>
        </w:rPr>
        <w:t>, включително в случаите на удължаване на срока/падежа на емисията</w:t>
      </w:r>
      <w:r w:rsidRPr="00E36286">
        <w:rPr>
          <w:rFonts w:ascii="Arial" w:hAnsi="Arial" w:cs="Arial"/>
        </w:rPr>
        <w:t xml:space="preserve">. </w:t>
      </w:r>
    </w:p>
    <w:p w14:paraId="08321EAB" w14:textId="77777777" w:rsidR="00AE700E" w:rsidRPr="00E36286" w:rsidRDefault="00AE700E" w:rsidP="00FC3866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</w:p>
    <w:p w14:paraId="05CF346E" w14:textId="77777777" w:rsidR="00F157B6" w:rsidRDefault="00A10CBB" w:rsidP="00FC3866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 w:rsidRPr="0047564D">
        <w:rPr>
          <w:rFonts w:ascii="Arial" w:hAnsi="Arial" w:cs="Arial"/>
        </w:rPr>
        <w:t>К</w:t>
      </w:r>
      <w:r w:rsidR="00E47052" w:rsidRPr="0047564D">
        <w:rPr>
          <w:rFonts w:ascii="Arial" w:hAnsi="Arial" w:cs="Arial"/>
        </w:rPr>
        <w:t xml:space="preserve">ъм </w:t>
      </w:r>
      <w:r w:rsidR="00BD0993" w:rsidRPr="00E36286">
        <w:rPr>
          <w:rFonts w:ascii="Arial" w:hAnsi="Arial" w:cs="Arial"/>
        </w:rPr>
        <w:t>3</w:t>
      </w:r>
      <w:r w:rsidR="00F6295B">
        <w:rPr>
          <w:rFonts w:ascii="Arial" w:hAnsi="Arial" w:cs="Arial"/>
          <w:lang w:val="en-US"/>
        </w:rPr>
        <w:t>0</w:t>
      </w:r>
      <w:r w:rsidR="00BD0993" w:rsidRPr="00E36286">
        <w:rPr>
          <w:rFonts w:ascii="Arial" w:hAnsi="Arial" w:cs="Arial"/>
        </w:rPr>
        <w:t>.</w:t>
      </w:r>
      <w:r w:rsidR="00627476">
        <w:rPr>
          <w:rFonts w:ascii="Arial" w:hAnsi="Arial" w:cs="Arial"/>
          <w:lang w:val="en-US"/>
        </w:rPr>
        <w:t>0</w:t>
      </w:r>
      <w:r w:rsidR="00F6295B">
        <w:rPr>
          <w:rFonts w:ascii="Arial" w:hAnsi="Arial" w:cs="Arial"/>
          <w:lang w:val="en-US"/>
        </w:rPr>
        <w:t>6</w:t>
      </w:r>
      <w:r w:rsidR="00BD0993" w:rsidRPr="00E36286">
        <w:rPr>
          <w:rFonts w:ascii="Arial" w:hAnsi="Arial" w:cs="Arial"/>
        </w:rPr>
        <w:t>.20</w:t>
      </w:r>
      <w:r w:rsidR="00BD0993">
        <w:rPr>
          <w:rFonts w:ascii="Arial" w:hAnsi="Arial" w:cs="Arial"/>
          <w:lang w:val="en-US"/>
        </w:rPr>
        <w:t>2</w:t>
      </w:r>
      <w:r w:rsidR="00627476">
        <w:rPr>
          <w:rFonts w:ascii="Arial" w:hAnsi="Arial" w:cs="Arial"/>
          <w:lang w:val="en-US"/>
        </w:rPr>
        <w:t>4</w:t>
      </w:r>
      <w:r w:rsidR="000541D5">
        <w:rPr>
          <w:rFonts w:ascii="Arial" w:hAnsi="Arial" w:cs="Arial"/>
        </w:rPr>
        <w:t xml:space="preserve"> </w:t>
      </w:r>
      <w:r w:rsidRPr="0047564D">
        <w:rPr>
          <w:rFonts w:ascii="Arial" w:hAnsi="Arial" w:cs="Arial"/>
        </w:rPr>
        <w:t>г.</w:t>
      </w:r>
      <w:r w:rsidR="00AE700E" w:rsidRPr="0047564D">
        <w:rPr>
          <w:rFonts w:ascii="Arial" w:hAnsi="Arial" w:cs="Arial"/>
        </w:rPr>
        <w:t xml:space="preserve"> застраховката е валидна.</w:t>
      </w:r>
      <w:r w:rsidR="00AA7832" w:rsidRPr="0047564D">
        <w:rPr>
          <w:rFonts w:ascii="Arial" w:hAnsi="Arial" w:cs="Arial"/>
        </w:rPr>
        <w:t xml:space="preserve"> </w:t>
      </w:r>
      <w:r w:rsidR="00F50574" w:rsidRPr="00571714">
        <w:rPr>
          <w:rFonts w:ascii="Arial" w:hAnsi="Arial" w:cs="Arial"/>
        </w:rPr>
        <w:t xml:space="preserve">/Виж стр.7 </w:t>
      </w:r>
      <w:r w:rsidR="00F50574" w:rsidRPr="00647AD1">
        <w:rPr>
          <w:rFonts w:ascii="Arial" w:hAnsi="Arial" w:cs="Arial"/>
          <w:b/>
          <w:i/>
          <w:u w:val="single"/>
        </w:rPr>
        <w:t>“Обстоятелства, настъпили след крайната дата на разглеждания в доклада период”</w:t>
      </w:r>
      <w:r w:rsidR="00F50574" w:rsidRPr="00571714">
        <w:rPr>
          <w:rFonts w:ascii="Arial" w:hAnsi="Arial" w:cs="Arial"/>
        </w:rPr>
        <w:t>/</w:t>
      </w:r>
      <w:r w:rsidR="00F50574">
        <w:rPr>
          <w:rFonts w:ascii="Arial" w:hAnsi="Arial" w:cs="Arial"/>
        </w:rPr>
        <w:t>.</w:t>
      </w:r>
    </w:p>
    <w:p w14:paraId="791B1D2D" w14:textId="77777777" w:rsidR="00DB77BC" w:rsidRDefault="00DB77BC" w:rsidP="00FC3866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203B308D" w14:textId="77777777" w:rsidR="00F72D0C" w:rsidRPr="002C2988" w:rsidRDefault="00F72D0C" w:rsidP="00FC3866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19C2459A" w14:textId="77777777" w:rsidR="00D9764F" w:rsidRPr="00E36286" w:rsidRDefault="00D9764F" w:rsidP="00D9764F">
      <w:pPr>
        <w:pStyle w:val="1"/>
        <w:numPr>
          <w:ilvl w:val="0"/>
          <w:numId w:val="1"/>
        </w:numPr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E36286">
        <w:rPr>
          <w:rFonts w:ascii="Arial" w:hAnsi="Arial" w:cs="Arial"/>
          <w:color w:val="auto"/>
          <w:sz w:val="22"/>
          <w:szCs w:val="22"/>
        </w:rPr>
        <w:t>Изразходване на средствата от облигационния заем.</w:t>
      </w:r>
    </w:p>
    <w:p w14:paraId="4CF4D726" w14:textId="77777777" w:rsidR="00D9764F" w:rsidRPr="00E36286" w:rsidRDefault="00D9764F" w:rsidP="00D9764F">
      <w:pPr>
        <w:pStyle w:val="a6"/>
        <w:spacing w:after="0" w:line="240" w:lineRule="auto"/>
        <w:ind w:left="0" w:firstLine="540"/>
        <w:jc w:val="both"/>
        <w:rPr>
          <w:rFonts w:ascii="Arial" w:hAnsi="Arial" w:cs="Arial"/>
        </w:rPr>
      </w:pPr>
    </w:p>
    <w:p w14:paraId="67EE9B1A" w14:textId="77777777" w:rsidR="00314B80" w:rsidRDefault="00556E84" w:rsidP="00A838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36286">
        <w:rPr>
          <w:rFonts w:ascii="Arial" w:hAnsi="Arial" w:cs="Arial"/>
          <w:sz w:val="22"/>
          <w:szCs w:val="22"/>
        </w:rPr>
        <w:t>Набраните от емисията с</w:t>
      </w:r>
      <w:r w:rsidR="000846F9" w:rsidRPr="00E36286">
        <w:rPr>
          <w:rFonts w:ascii="Arial" w:hAnsi="Arial" w:cs="Arial"/>
          <w:sz w:val="22"/>
          <w:szCs w:val="22"/>
        </w:rPr>
        <w:t xml:space="preserve">редства </w:t>
      </w:r>
      <w:r w:rsidR="004A5D45" w:rsidRPr="00E36286">
        <w:rPr>
          <w:rFonts w:ascii="Arial" w:hAnsi="Arial" w:cs="Arial"/>
          <w:sz w:val="22"/>
          <w:szCs w:val="22"/>
          <w:lang w:val="bg-BG"/>
        </w:rPr>
        <w:t>са</w:t>
      </w:r>
      <w:r w:rsidR="000846F9" w:rsidRPr="00E36286">
        <w:rPr>
          <w:rFonts w:ascii="Arial" w:hAnsi="Arial" w:cs="Arial"/>
          <w:sz w:val="22"/>
          <w:szCs w:val="22"/>
        </w:rPr>
        <w:t xml:space="preserve"> използвани от </w:t>
      </w:r>
      <w:r w:rsidR="00627047">
        <w:rPr>
          <w:rFonts w:ascii="Arial" w:hAnsi="Arial" w:cs="Arial"/>
          <w:sz w:val="22"/>
          <w:szCs w:val="22"/>
        </w:rPr>
        <w:t>ПАРК АДСИЦ</w:t>
      </w:r>
      <w:r w:rsidRPr="00E36286">
        <w:rPr>
          <w:rFonts w:ascii="Arial" w:hAnsi="Arial" w:cs="Arial"/>
          <w:sz w:val="22"/>
          <w:szCs w:val="22"/>
        </w:rPr>
        <w:t xml:space="preserve"> </w:t>
      </w:r>
      <w:r w:rsidR="004D4877">
        <w:rPr>
          <w:rFonts w:ascii="Arial" w:hAnsi="Arial" w:cs="Arial"/>
          <w:sz w:val="22"/>
          <w:szCs w:val="22"/>
        </w:rPr>
        <w:t>по предмета на дейност на дружеството за:</w:t>
      </w:r>
    </w:p>
    <w:p w14:paraId="47C12D87" w14:textId="77777777" w:rsidR="00A83816" w:rsidRDefault="004D4877" w:rsidP="00314B8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р</w:t>
      </w:r>
      <w:r w:rsidR="00314B80">
        <w:rPr>
          <w:rFonts w:ascii="Arial" w:hAnsi="Arial" w:cs="Arial"/>
          <w:sz w:val="22"/>
          <w:szCs w:val="22"/>
        </w:rPr>
        <w:t>азширяване на портфейла от недвижими имоти</w:t>
      </w:r>
      <w:r>
        <w:rPr>
          <w:rFonts w:ascii="Arial" w:hAnsi="Arial" w:cs="Arial"/>
          <w:sz w:val="22"/>
          <w:szCs w:val="22"/>
        </w:rPr>
        <w:t xml:space="preserve"> и диверсификация по отношение на географското разположение и предназначението на имотите, в които дружеството инвестира;</w:t>
      </w:r>
    </w:p>
    <w:p w14:paraId="58FC8243" w14:textId="77777777" w:rsidR="004D4877" w:rsidRDefault="004D4877" w:rsidP="00314B8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придобиване на учас</w:t>
      </w:r>
      <w:r w:rsidR="00C06CC8">
        <w:rPr>
          <w:rFonts w:ascii="Arial" w:hAnsi="Arial" w:cs="Arial"/>
          <w:sz w:val="22"/>
          <w:szCs w:val="22"/>
        </w:rPr>
        <w:t>тия в специализирани дружества по чл.</w:t>
      </w:r>
      <w:r w:rsidR="006425DB">
        <w:rPr>
          <w:rFonts w:ascii="Arial" w:hAnsi="Arial" w:cs="Arial"/>
          <w:sz w:val="22"/>
          <w:szCs w:val="22"/>
        </w:rPr>
        <w:t xml:space="preserve"> </w:t>
      </w:r>
      <w:r w:rsidR="00C06CC8">
        <w:rPr>
          <w:rFonts w:ascii="Arial" w:hAnsi="Arial" w:cs="Arial"/>
          <w:sz w:val="22"/>
          <w:szCs w:val="22"/>
        </w:rPr>
        <w:t>28 от Закона за дружествата със специална инвестиционна цел и за дружествата за секюритизация;</w:t>
      </w:r>
    </w:p>
    <w:p w14:paraId="6A1E2598" w14:textId="77777777" w:rsidR="00C06CC8" w:rsidRPr="00314B80" w:rsidRDefault="00C06CC8" w:rsidP="00314B8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погасяване на задължения на дружеството и промяна в структурата на неговия дълг.</w:t>
      </w:r>
    </w:p>
    <w:p w14:paraId="21952F95" w14:textId="77777777" w:rsidR="00FC3866" w:rsidRPr="00E36286" w:rsidRDefault="00FC3866" w:rsidP="00FC38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bg-BG"/>
        </w:rPr>
      </w:pPr>
    </w:p>
    <w:p w14:paraId="734F282A" w14:textId="77777777" w:rsidR="00D9764F" w:rsidRPr="00C83FCE" w:rsidRDefault="00D9764F" w:rsidP="00FC38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3FCE">
        <w:rPr>
          <w:rFonts w:ascii="Arial" w:hAnsi="Arial" w:cs="Arial"/>
          <w:sz w:val="22"/>
          <w:szCs w:val="22"/>
        </w:rPr>
        <w:t xml:space="preserve">Лихвата по настоящата облигационна емисия </w:t>
      </w:r>
      <w:r w:rsidR="009240AC">
        <w:rPr>
          <w:rFonts w:ascii="Arial" w:hAnsi="Arial" w:cs="Arial"/>
          <w:sz w:val="22"/>
          <w:szCs w:val="22"/>
          <w:lang w:val="bg-BG"/>
        </w:rPr>
        <w:t xml:space="preserve">е </w:t>
      </w:r>
      <w:r w:rsidR="00E04759" w:rsidRPr="00C83FCE">
        <w:rPr>
          <w:rFonts w:ascii="Arial" w:hAnsi="Arial" w:cs="Arial"/>
          <w:sz w:val="22"/>
          <w:szCs w:val="22"/>
        </w:rPr>
        <w:t xml:space="preserve">плаваща и </w:t>
      </w:r>
      <w:r w:rsidR="00300BFB" w:rsidRPr="00C83FCE">
        <w:rPr>
          <w:rFonts w:ascii="Arial" w:hAnsi="Arial" w:cs="Arial"/>
          <w:sz w:val="22"/>
          <w:szCs w:val="22"/>
        </w:rPr>
        <w:t>се определя от</w:t>
      </w:r>
      <w:r w:rsidRPr="00C83FCE">
        <w:rPr>
          <w:rFonts w:ascii="Arial" w:hAnsi="Arial" w:cs="Arial"/>
          <w:sz w:val="22"/>
          <w:szCs w:val="22"/>
        </w:rPr>
        <w:t xml:space="preserve"> </w:t>
      </w:r>
      <w:r w:rsidR="00300BFB" w:rsidRPr="00C83FCE">
        <w:rPr>
          <w:rFonts w:ascii="Arial" w:hAnsi="Arial" w:cs="Arial"/>
          <w:sz w:val="22"/>
          <w:szCs w:val="22"/>
        </w:rPr>
        <w:t xml:space="preserve">6 м. EURIBOR + </w:t>
      </w:r>
      <w:r w:rsidR="00E04759" w:rsidRPr="00C83FCE">
        <w:rPr>
          <w:rFonts w:ascii="Arial" w:hAnsi="Arial" w:cs="Arial"/>
          <w:sz w:val="22"/>
          <w:szCs w:val="22"/>
        </w:rPr>
        <w:t xml:space="preserve">надбавка от </w:t>
      </w:r>
      <w:r w:rsidR="00300BFB" w:rsidRPr="00C83FCE">
        <w:rPr>
          <w:rFonts w:ascii="Arial" w:hAnsi="Arial" w:cs="Arial"/>
          <w:sz w:val="22"/>
          <w:szCs w:val="22"/>
        </w:rPr>
        <w:t>4.50%, но не по-малко от 3.60%</w:t>
      </w:r>
      <w:r w:rsidR="00E04759" w:rsidRPr="00C83FCE">
        <w:rPr>
          <w:rFonts w:ascii="Arial" w:hAnsi="Arial" w:cs="Arial"/>
          <w:sz w:val="22"/>
          <w:szCs w:val="22"/>
        </w:rPr>
        <w:t xml:space="preserve"> годишно, начислявана при лихвена конвенция Реален брой дни в периода към Реален брой дни в годината (Actual/365L, ISMA - Year).</w:t>
      </w:r>
      <w:r w:rsidR="00300BFB" w:rsidRPr="00C83FCE">
        <w:rPr>
          <w:rFonts w:ascii="Arial" w:hAnsi="Arial" w:cs="Arial"/>
          <w:sz w:val="22"/>
          <w:szCs w:val="22"/>
        </w:rPr>
        <w:t xml:space="preserve"> Текущата стойност на лихвения процент е </w:t>
      </w:r>
      <w:r w:rsidR="001B73A6">
        <w:rPr>
          <w:rFonts w:ascii="Arial" w:hAnsi="Arial" w:cs="Arial"/>
          <w:sz w:val="22"/>
          <w:szCs w:val="22"/>
        </w:rPr>
        <w:t>8</w:t>
      </w:r>
      <w:r w:rsidR="00300BFB" w:rsidRPr="00C83FCE">
        <w:rPr>
          <w:rFonts w:ascii="Arial" w:hAnsi="Arial" w:cs="Arial"/>
          <w:sz w:val="22"/>
          <w:szCs w:val="22"/>
        </w:rPr>
        <w:t>.</w:t>
      </w:r>
      <w:r w:rsidR="00F16663">
        <w:rPr>
          <w:rFonts w:ascii="Arial" w:hAnsi="Arial" w:cs="Arial"/>
          <w:sz w:val="22"/>
          <w:szCs w:val="22"/>
        </w:rPr>
        <w:t>238</w:t>
      </w:r>
      <w:r w:rsidR="00300BFB" w:rsidRPr="00C83FCE">
        <w:rPr>
          <w:rFonts w:ascii="Arial" w:hAnsi="Arial" w:cs="Arial"/>
          <w:sz w:val="22"/>
          <w:szCs w:val="22"/>
        </w:rPr>
        <w:t>%.</w:t>
      </w:r>
      <w:r w:rsidR="00E04759" w:rsidRPr="00C83FCE">
        <w:rPr>
          <w:rFonts w:ascii="Arial" w:hAnsi="Arial" w:cs="Arial"/>
          <w:sz w:val="22"/>
          <w:szCs w:val="22"/>
        </w:rPr>
        <w:t xml:space="preserve"> Периодът на лихвени плащания по емисията е два пъти в годината, на всеки 6 месеца.</w:t>
      </w:r>
    </w:p>
    <w:p w14:paraId="3EC4C693" w14:textId="77777777" w:rsidR="00FC3866" w:rsidRPr="00E36286" w:rsidRDefault="00FC3866" w:rsidP="00FC3866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</w:p>
    <w:p w14:paraId="1E02BDDC" w14:textId="77777777" w:rsidR="00D9764F" w:rsidRPr="00E04759" w:rsidRDefault="00D9764F" w:rsidP="00FC3866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 w:rsidRPr="00E36286">
        <w:rPr>
          <w:rFonts w:ascii="Arial" w:hAnsi="Arial" w:cs="Arial"/>
        </w:rPr>
        <w:t>Облигационния</w:t>
      </w:r>
      <w:r w:rsidR="00FC3866" w:rsidRPr="00E36286">
        <w:rPr>
          <w:rFonts w:ascii="Arial" w:hAnsi="Arial" w:cs="Arial"/>
        </w:rPr>
        <w:t>т</w:t>
      </w:r>
      <w:r w:rsidRPr="00E36286">
        <w:rPr>
          <w:rFonts w:ascii="Arial" w:hAnsi="Arial" w:cs="Arial"/>
        </w:rPr>
        <w:t xml:space="preserve"> заем е за период от </w:t>
      </w:r>
      <w:r w:rsidR="00C06CC8">
        <w:rPr>
          <w:rFonts w:ascii="Arial" w:hAnsi="Arial" w:cs="Arial"/>
          <w:lang w:val="en-US"/>
        </w:rPr>
        <w:t>9</w:t>
      </w:r>
      <w:r w:rsidRPr="00E36286">
        <w:rPr>
          <w:rFonts w:ascii="Arial" w:hAnsi="Arial" w:cs="Arial"/>
        </w:rPr>
        <w:t xml:space="preserve"> години с </w:t>
      </w:r>
      <w:r w:rsidR="00C06CC8">
        <w:rPr>
          <w:rFonts w:ascii="Arial" w:hAnsi="Arial" w:cs="Arial"/>
          <w:lang w:val="en-US"/>
        </w:rPr>
        <w:t>три години гратисен период</w:t>
      </w:r>
      <w:r w:rsidR="00E04759">
        <w:rPr>
          <w:rFonts w:ascii="Arial" w:hAnsi="Arial" w:cs="Arial"/>
          <w:lang w:val="en-US"/>
        </w:rPr>
        <w:t>.</w:t>
      </w:r>
    </w:p>
    <w:p w14:paraId="6A3A6D32" w14:textId="77777777" w:rsidR="006D2C2D" w:rsidRDefault="006D2C2D" w:rsidP="008300B6">
      <w:pPr>
        <w:pStyle w:val="a6"/>
        <w:spacing w:line="240" w:lineRule="auto"/>
        <w:ind w:left="0"/>
        <w:jc w:val="both"/>
        <w:rPr>
          <w:rFonts w:ascii="Arial" w:hAnsi="Arial" w:cs="Arial"/>
          <w:lang w:val="en-US"/>
        </w:rPr>
      </w:pPr>
    </w:p>
    <w:p w14:paraId="5E7C13EB" w14:textId="77777777" w:rsidR="00B468EC" w:rsidRDefault="00F50574" w:rsidP="009921A8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 w:rsidRPr="00571714">
        <w:rPr>
          <w:rFonts w:ascii="Arial" w:hAnsi="Arial" w:cs="Arial"/>
        </w:rPr>
        <w:t>Съгласно условията на облигационния заем, на 09.06.202</w:t>
      </w:r>
      <w:r>
        <w:rPr>
          <w:rFonts w:ascii="Arial" w:hAnsi="Arial" w:cs="Arial"/>
          <w:lang w:val="en-US"/>
        </w:rPr>
        <w:t>4</w:t>
      </w:r>
      <w:r w:rsidRPr="00571714">
        <w:rPr>
          <w:rFonts w:ascii="Arial" w:hAnsi="Arial" w:cs="Arial"/>
        </w:rPr>
        <w:t xml:space="preserve"> г. бе дължимо лихвено плащане по емисията, което не е извършено на датата на падежа. /Виж стр.7 </w:t>
      </w:r>
      <w:r w:rsidRPr="00647AD1">
        <w:rPr>
          <w:rFonts w:ascii="Arial" w:hAnsi="Arial" w:cs="Arial"/>
          <w:b/>
          <w:i/>
          <w:u w:val="single"/>
        </w:rPr>
        <w:t>“Обстоятелства, настъпили след крайната дата на разглеждания в доклада период”</w:t>
      </w:r>
      <w:r w:rsidRPr="00571714">
        <w:rPr>
          <w:rFonts w:ascii="Arial" w:hAnsi="Arial" w:cs="Arial"/>
        </w:rPr>
        <w:t>/</w:t>
      </w:r>
      <w:r>
        <w:rPr>
          <w:rFonts w:ascii="Arial" w:hAnsi="Arial" w:cs="Arial"/>
        </w:rPr>
        <w:t>.</w:t>
      </w:r>
    </w:p>
    <w:p w14:paraId="591508C5" w14:textId="77777777" w:rsidR="00F50574" w:rsidRDefault="00F50574" w:rsidP="009921A8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16FE44B6" w14:textId="77777777" w:rsidR="00F50574" w:rsidRPr="00F50574" w:rsidRDefault="00F50574" w:rsidP="009921A8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339EB71C" w14:textId="77777777" w:rsidR="00D9764F" w:rsidRPr="00E36286" w:rsidRDefault="00D9764F" w:rsidP="00D9764F">
      <w:pPr>
        <w:pStyle w:val="1"/>
        <w:numPr>
          <w:ilvl w:val="0"/>
          <w:numId w:val="1"/>
        </w:numPr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E36286">
        <w:rPr>
          <w:rFonts w:ascii="Arial" w:hAnsi="Arial" w:cs="Arial"/>
          <w:color w:val="auto"/>
          <w:sz w:val="22"/>
          <w:szCs w:val="22"/>
        </w:rPr>
        <w:t>Финансови показатели.</w:t>
      </w:r>
    </w:p>
    <w:p w14:paraId="6AE38177" w14:textId="77777777" w:rsidR="00D9764F" w:rsidRPr="00E36286" w:rsidRDefault="00D9764F" w:rsidP="00D9764F">
      <w:pPr>
        <w:pStyle w:val="a6"/>
        <w:spacing w:after="0" w:line="240" w:lineRule="auto"/>
        <w:ind w:left="0" w:firstLine="540"/>
        <w:jc w:val="both"/>
        <w:rPr>
          <w:rFonts w:ascii="Arial" w:hAnsi="Arial" w:cs="Arial"/>
        </w:rPr>
      </w:pPr>
    </w:p>
    <w:p w14:paraId="34EA9955" w14:textId="77777777" w:rsidR="00D9764F" w:rsidRDefault="00D9764F" w:rsidP="00FC3866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  <w:r w:rsidRPr="00E36286">
        <w:rPr>
          <w:rFonts w:ascii="Arial" w:hAnsi="Arial" w:cs="Arial"/>
        </w:rPr>
        <w:t>Емитентът е поел да спазва следните финансови показатели до пълното погасяване на облигационния заем:</w:t>
      </w:r>
    </w:p>
    <w:p w14:paraId="27092952" w14:textId="77777777" w:rsidR="00865998" w:rsidRPr="00E36286" w:rsidRDefault="00865998" w:rsidP="00FC3866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</w:p>
    <w:p w14:paraId="258307A8" w14:textId="77777777" w:rsidR="00C72125" w:rsidRDefault="00D9764F" w:rsidP="00D9764F">
      <w:pPr>
        <w:pStyle w:val="a6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36286">
        <w:rPr>
          <w:rFonts w:ascii="Arial" w:hAnsi="Arial" w:cs="Arial"/>
        </w:rPr>
        <w:t xml:space="preserve">-- Коефициент на максимална стойност на отношението „Пасиви/Активи” от максимум 97%. </w:t>
      </w:r>
    </w:p>
    <w:p w14:paraId="2EC97BD8" w14:textId="77777777" w:rsidR="00D9764F" w:rsidRDefault="00D9764F" w:rsidP="00186CC8">
      <w:pPr>
        <w:pStyle w:val="a6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36286">
        <w:rPr>
          <w:rFonts w:ascii="Arial" w:hAnsi="Arial" w:cs="Arial"/>
        </w:rPr>
        <w:t xml:space="preserve">Към </w:t>
      </w:r>
      <w:r w:rsidR="00AD67DE" w:rsidRPr="00E36286">
        <w:rPr>
          <w:rFonts w:ascii="Arial" w:hAnsi="Arial" w:cs="Arial"/>
        </w:rPr>
        <w:t>3</w:t>
      </w:r>
      <w:r w:rsidR="009C6698">
        <w:rPr>
          <w:rFonts w:ascii="Arial" w:hAnsi="Arial" w:cs="Arial"/>
          <w:lang w:val="en-US"/>
        </w:rPr>
        <w:t>0</w:t>
      </w:r>
      <w:r w:rsidR="00AD67DE" w:rsidRPr="00E36286">
        <w:rPr>
          <w:rFonts w:ascii="Arial" w:hAnsi="Arial" w:cs="Arial"/>
        </w:rPr>
        <w:t>.</w:t>
      </w:r>
      <w:r w:rsidR="00627476">
        <w:rPr>
          <w:rFonts w:ascii="Arial" w:hAnsi="Arial" w:cs="Arial"/>
          <w:lang w:val="en-US"/>
        </w:rPr>
        <w:t>0</w:t>
      </w:r>
      <w:r w:rsidR="009C6698">
        <w:rPr>
          <w:rFonts w:ascii="Arial" w:hAnsi="Arial" w:cs="Arial"/>
          <w:lang w:val="en-US"/>
        </w:rPr>
        <w:t>6</w:t>
      </w:r>
      <w:r w:rsidR="00AD67DE" w:rsidRPr="00E36286">
        <w:rPr>
          <w:rFonts w:ascii="Arial" w:hAnsi="Arial" w:cs="Arial"/>
        </w:rPr>
        <w:t>.20</w:t>
      </w:r>
      <w:r w:rsidR="00AA72FE">
        <w:rPr>
          <w:rFonts w:ascii="Arial" w:hAnsi="Arial" w:cs="Arial"/>
          <w:lang w:val="en-US"/>
        </w:rPr>
        <w:t>2</w:t>
      </w:r>
      <w:r w:rsidR="00627476">
        <w:rPr>
          <w:rFonts w:ascii="Arial" w:hAnsi="Arial" w:cs="Arial"/>
          <w:lang w:val="en-US"/>
        </w:rPr>
        <w:t>4</w:t>
      </w:r>
      <w:r w:rsidR="00462D3D">
        <w:rPr>
          <w:rFonts w:ascii="Arial" w:hAnsi="Arial" w:cs="Arial"/>
        </w:rPr>
        <w:t xml:space="preserve"> </w:t>
      </w:r>
      <w:r w:rsidR="00AD67DE" w:rsidRPr="00E36286">
        <w:rPr>
          <w:rFonts w:ascii="Arial" w:hAnsi="Arial" w:cs="Arial"/>
        </w:rPr>
        <w:t>г.</w:t>
      </w:r>
      <w:r w:rsidRPr="00E36286">
        <w:rPr>
          <w:rFonts w:ascii="Arial" w:hAnsi="Arial" w:cs="Arial"/>
        </w:rPr>
        <w:t xml:space="preserve"> стойността на показателя е </w:t>
      </w:r>
      <w:r w:rsidR="00E40679">
        <w:rPr>
          <w:rFonts w:ascii="Arial" w:hAnsi="Arial" w:cs="Arial"/>
          <w:lang w:val="en-US"/>
        </w:rPr>
        <w:t>7</w:t>
      </w:r>
      <w:r w:rsidR="004320A7">
        <w:rPr>
          <w:rFonts w:ascii="Arial" w:hAnsi="Arial" w:cs="Arial"/>
          <w:lang w:val="en-US"/>
        </w:rPr>
        <w:t>4</w:t>
      </w:r>
      <w:r w:rsidR="00E20764">
        <w:rPr>
          <w:rFonts w:ascii="Arial" w:hAnsi="Arial" w:cs="Arial"/>
          <w:lang w:val="en-US"/>
        </w:rPr>
        <w:t>.</w:t>
      </w:r>
      <w:r w:rsidR="00F16663">
        <w:rPr>
          <w:rFonts w:ascii="Arial" w:hAnsi="Arial" w:cs="Arial"/>
          <w:lang w:val="en-US"/>
        </w:rPr>
        <w:t>6</w:t>
      </w:r>
      <w:r w:rsidR="004320A7">
        <w:rPr>
          <w:rFonts w:ascii="Arial" w:hAnsi="Arial" w:cs="Arial"/>
          <w:lang w:val="en-US"/>
        </w:rPr>
        <w:t>9</w:t>
      </w:r>
      <w:r w:rsidRPr="00E36286">
        <w:rPr>
          <w:rFonts w:ascii="Arial" w:hAnsi="Arial" w:cs="Arial"/>
        </w:rPr>
        <w:t>%.</w:t>
      </w:r>
    </w:p>
    <w:p w14:paraId="02A0CFB6" w14:textId="77777777" w:rsidR="00865998" w:rsidRPr="006832E0" w:rsidRDefault="00865998" w:rsidP="00D9764F">
      <w:pPr>
        <w:pStyle w:val="a6"/>
        <w:spacing w:after="0" w:line="240" w:lineRule="auto"/>
        <w:ind w:left="0" w:firstLine="540"/>
        <w:jc w:val="both"/>
        <w:rPr>
          <w:rFonts w:ascii="Arial" w:hAnsi="Arial" w:cs="Arial"/>
          <w:lang w:val="en-US"/>
        </w:rPr>
      </w:pPr>
    </w:p>
    <w:p w14:paraId="6E4D1C1B" w14:textId="77777777" w:rsidR="00C72125" w:rsidRDefault="00D9764F" w:rsidP="00D9764F">
      <w:pPr>
        <w:pStyle w:val="a6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36286">
        <w:rPr>
          <w:rFonts w:ascii="Arial" w:hAnsi="Arial" w:cs="Arial"/>
        </w:rPr>
        <w:t xml:space="preserve">-- Коефициент на покритие на разходите за лихви, изчислен като печалбата от обичайната дейност, увеличена с разходи за лихви, се раздели на разходи за лихви - минимална стойност на показателя за </w:t>
      </w:r>
      <w:r w:rsidR="007861E3">
        <w:rPr>
          <w:rFonts w:ascii="Arial" w:hAnsi="Arial" w:cs="Arial"/>
        </w:rPr>
        <w:t>срока на облигационния заем е 1</w:t>
      </w:r>
      <w:r w:rsidR="00E20764">
        <w:rPr>
          <w:rFonts w:ascii="Arial" w:hAnsi="Arial" w:cs="Arial"/>
          <w:lang w:val="en-US"/>
        </w:rPr>
        <w:t>.</w:t>
      </w:r>
      <w:r w:rsidRPr="00E36286">
        <w:rPr>
          <w:rFonts w:ascii="Arial" w:hAnsi="Arial" w:cs="Arial"/>
        </w:rPr>
        <w:t xml:space="preserve">05. </w:t>
      </w:r>
    </w:p>
    <w:p w14:paraId="1F3C3159" w14:textId="77777777" w:rsidR="00D9764F" w:rsidRDefault="00D9764F" w:rsidP="00186CC8">
      <w:pPr>
        <w:pStyle w:val="a6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36286">
        <w:rPr>
          <w:rFonts w:ascii="Arial" w:hAnsi="Arial" w:cs="Arial"/>
        </w:rPr>
        <w:t xml:space="preserve">Към </w:t>
      </w:r>
      <w:r w:rsidR="008801DD" w:rsidRPr="00E36286">
        <w:rPr>
          <w:rFonts w:ascii="Arial" w:hAnsi="Arial" w:cs="Arial"/>
        </w:rPr>
        <w:t>3</w:t>
      </w:r>
      <w:r w:rsidR="009C6698">
        <w:rPr>
          <w:rFonts w:ascii="Arial" w:hAnsi="Arial" w:cs="Arial"/>
          <w:lang w:val="en-US"/>
        </w:rPr>
        <w:t>0</w:t>
      </w:r>
      <w:r w:rsidR="008801DD" w:rsidRPr="00E36286">
        <w:rPr>
          <w:rFonts w:ascii="Arial" w:hAnsi="Arial" w:cs="Arial"/>
        </w:rPr>
        <w:t>.</w:t>
      </w:r>
      <w:r w:rsidR="00627476">
        <w:rPr>
          <w:rFonts w:ascii="Arial" w:hAnsi="Arial" w:cs="Arial"/>
          <w:lang w:val="en-US"/>
        </w:rPr>
        <w:t>0</w:t>
      </w:r>
      <w:r w:rsidR="009C6698">
        <w:rPr>
          <w:rFonts w:ascii="Arial" w:hAnsi="Arial" w:cs="Arial"/>
          <w:lang w:val="en-US"/>
        </w:rPr>
        <w:t>6</w:t>
      </w:r>
      <w:r w:rsidR="008801DD" w:rsidRPr="00E36286">
        <w:rPr>
          <w:rFonts w:ascii="Arial" w:hAnsi="Arial" w:cs="Arial"/>
        </w:rPr>
        <w:t>.20</w:t>
      </w:r>
      <w:r w:rsidR="008801DD">
        <w:rPr>
          <w:rFonts w:ascii="Arial" w:hAnsi="Arial" w:cs="Arial"/>
          <w:lang w:val="en-US"/>
        </w:rPr>
        <w:t>2</w:t>
      </w:r>
      <w:r w:rsidR="00627476">
        <w:rPr>
          <w:rFonts w:ascii="Arial" w:hAnsi="Arial" w:cs="Arial"/>
          <w:lang w:val="en-US"/>
        </w:rPr>
        <w:t>4</w:t>
      </w:r>
      <w:r w:rsidR="00462D3D">
        <w:rPr>
          <w:rFonts w:ascii="Arial" w:hAnsi="Arial" w:cs="Arial"/>
        </w:rPr>
        <w:t xml:space="preserve"> </w:t>
      </w:r>
      <w:r w:rsidR="00AD67DE" w:rsidRPr="00E36286">
        <w:rPr>
          <w:rFonts w:ascii="Arial" w:hAnsi="Arial" w:cs="Arial"/>
        </w:rPr>
        <w:t>г.</w:t>
      </w:r>
      <w:r w:rsidRPr="00E36286">
        <w:rPr>
          <w:rFonts w:ascii="Arial" w:hAnsi="Arial" w:cs="Arial"/>
        </w:rPr>
        <w:t xml:space="preserve"> стойността на показателя е </w:t>
      </w:r>
      <w:r w:rsidR="004F4514">
        <w:rPr>
          <w:rFonts w:ascii="Arial" w:hAnsi="Arial" w:cs="Arial"/>
        </w:rPr>
        <w:t>1</w:t>
      </w:r>
      <w:r w:rsidR="00E20764">
        <w:rPr>
          <w:rFonts w:ascii="Arial" w:hAnsi="Arial" w:cs="Arial"/>
          <w:lang w:val="en-US"/>
        </w:rPr>
        <w:t>.</w:t>
      </w:r>
      <w:r w:rsidR="00D302D4">
        <w:rPr>
          <w:rFonts w:ascii="Arial" w:hAnsi="Arial" w:cs="Arial"/>
          <w:lang w:val="en-US"/>
        </w:rPr>
        <w:t>0</w:t>
      </w:r>
      <w:r w:rsidR="004320A7">
        <w:rPr>
          <w:rFonts w:ascii="Arial" w:hAnsi="Arial" w:cs="Arial"/>
          <w:lang w:val="en-US"/>
        </w:rPr>
        <w:t>8</w:t>
      </w:r>
      <w:r w:rsidRPr="00E36286">
        <w:rPr>
          <w:rFonts w:ascii="Arial" w:hAnsi="Arial" w:cs="Arial"/>
        </w:rPr>
        <w:t xml:space="preserve">. </w:t>
      </w:r>
    </w:p>
    <w:p w14:paraId="633DDF59" w14:textId="77777777" w:rsidR="00865998" w:rsidRPr="006832E0" w:rsidRDefault="00865998" w:rsidP="00D9764F">
      <w:pPr>
        <w:pStyle w:val="a6"/>
        <w:spacing w:after="0" w:line="240" w:lineRule="auto"/>
        <w:ind w:left="0" w:firstLine="540"/>
        <w:jc w:val="both"/>
        <w:rPr>
          <w:rFonts w:ascii="Arial" w:hAnsi="Arial" w:cs="Arial"/>
          <w:lang w:val="en-US"/>
        </w:rPr>
      </w:pPr>
    </w:p>
    <w:p w14:paraId="57AE4620" w14:textId="77777777" w:rsidR="00C72125" w:rsidRDefault="00D9764F" w:rsidP="00D9764F">
      <w:pPr>
        <w:pStyle w:val="a6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36286">
        <w:rPr>
          <w:rFonts w:ascii="Arial" w:hAnsi="Arial" w:cs="Arial"/>
        </w:rPr>
        <w:t>-- Коефициент на текуща ликвидност, изчислен като общата сума на краткотрайните активи в баланса се раздели на общата сума на краткотрайните пасиви  - минимална сто</w:t>
      </w:r>
      <w:r w:rsidR="00164832">
        <w:rPr>
          <w:rFonts w:ascii="Arial" w:hAnsi="Arial" w:cs="Arial"/>
        </w:rPr>
        <w:t>й</w:t>
      </w:r>
      <w:r w:rsidRPr="00E36286">
        <w:rPr>
          <w:rFonts w:ascii="Arial" w:hAnsi="Arial" w:cs="Arial"/>
        </w:rPr>
        <w:t>ност на показателя за срока на облигационния заем е 0</w:t>
      </w:r>
      <w:r w:rsidR="00E20764">
        <w:rPr>
          <w:rFonts w:ascii="Arial" w:hAnsi="Arial" w:cs="Arial"/>
          <w:lang w:val="en-US"/>
        </w:rPr>
        <w:t>.</w:t>
      </w:r>
      <w:r w:rsidRPr="00E36286">
        <w:rPr>
          <w:rFonts w:ascii="Arial" w:hAnsi="Arial" w:cs="Arial"/>
        </w:rPr>
        <w:t xml:space="preserve">5. </w:t>
      </w:r>
    </w:p>
    <w:p w14:paraId="53C52FF0" w14:textId="77777777" w:rsidR="00571714" w:rsidRPr="00F1781A" w:rsidRDefault="00D9764F" w:rsidP="00186CC8">
      <w:pPr>
        <w:pStyle w:val="a6"/>
        <w:spacing w:after="0" w:line="240" w:lineRule="auto"/>
        <w:ind w:left="0" w:firstLine="540"/>
        <w:jc w:val="both"/>
        <w:rPr>
          <w:rFonts w:ascii="Arial" w:hAnsi="Arial" w:cs="Arial"/>
          <w:lang w:val="en-US"/>
        </w:rPr>
      </w:pPr>
      <w:r w:rsidRPr="00E36286">
        <w:rPr>
          <w:rFonts w:ascii="Arial" w:hAnsi="Arial" w:cs="Arial"/>
        </w:rPr>
        <w:t xml:space="preserve">Към </w:t>
      </w:r>
      <w:r w:rsidR="008801DD" w:rsidRPr="00E36286">
        <w:rPr>
          <w:rFonts w:ascii="Arial" w:hAnsi="Arial" w:cs="Arial"/>
        </w:rPr>
        <w:t>3</w:t>
      </w:r>
      <w:r w:rsidR="009C6698">
        <w:rPr>
          <w:rFonts w:ascii="Arial" w:hAnsi="Arial" w:cs="Arial"/>
          <w:lang w:val="en-US"/>
        </w:rPr>
        <w:t>0</w:t>
      </w:r>
      <w:r w:rsidR="008801DD" w:rsidRPr="00E36286">
        <w:rPr>
          <w:rFonts w:ascii="Arial" w:hAnsi="Arial" w:cs="Arial"/>
        </w:rPr>
        <w:t>.</w:t>
      </w:r>
      <w:r w:rsidR="00627476">
        <w:rPr>
          <w:rFonts w:ascii="Arial" w:hAnsi="Arial" w:cs="Arial"/>
          <w:lang w:val="en-US"/>
        </w:rPr>
        <w:t>0</w:t>
      </w:r>
      <w:r w:rsidR="009C6698">
        <w:rPr>
          <w:rFonts w:ascii="Arial" w:hAnsi="Arial" w:cs="Arial"/>
          <w:lang w:val="en-US"/>
        </w:rPr>
        <w:t>6</w:t>
      </w:r>
      <w:r w:rsidR="008801DD" w:rsidRPr="00E36286">
        <w:rPr>
          <w:rFonts w:ascii="Arial" w:hAnsi="Arial" w:cs="Arial"/>
        </w:rPr>
        <w:t>.20</w:t>
      </w:r>
      <w:r w:rsidR="008801DD">
        <w:rPr>
          <w:rFonts w:ascii="Arial" w:hAnsi="Arial" w:cs="Arial"/>
          <w:lang w:val="en-US"/>
        </w:rPr>
        <w:t>2</w:t>
      </w:r>
      <w:r w:rsidR="00627476">
        <w:rPr>
          <w:rFonts w:ascii="Arial" w:hAnsi="Arial" w:cs="Arial"/>
          <w:lang w:val="en-US"/>
        </w:rPr>
        <w:t>4</w:t>
      </w:r>
      <w:r w:rsidR="00462D3D">
        <w:rPr>
          <w:rFonts w:ascii="Arial" w:hAnsi="Arial" w:cs="Arial"/>
        </w:rPr>
        <w:t xml:space="preserve"> </w:t>
      </w:r>
      <w:r w:rsidR="00AD67DE" w:rsidRPr="00E36286">
        <w:rPr>
          <w:rFonts w:ascii="Arial" w:hAnsi="Arial" w:cs="Arial"/>
        </w:rPr>
        <w:t>г.</w:t>
      </w:r>
      <w:r w:rsidRPr="00E36286">
        <w:rPr>
          <w:rFonts w:ascii="Arial" w:hAnsi="Arial" w:cs="Arial"/>
        </w:rPr>
        <w:t xml:space="preserve"> стойността на показателя е </w:t>
      </w:r>
      <w:r w:rsidR="004320A7">
        <w:rPr>
          <w:rFonts w:ascii="Arial" w:hAnsi="Arial" w:cs="Arial"/>
          <w:lang w:val="en-US"/>
        </w:rPr>
        <w:t>4</w:t>
      </w:r>
      <w:r w:rsidR="00F14111" w:rsidRPr="006023AD">
        <w:rPr>
          <w:rFonts w:ascii="Arial" w:hAnsi="Arial" w:cs="Arial"/>
          <w:lang w:val="en-US"/>
        </w:rPr>
        <w:t>.</w:t>
      </w:r>
      <w:r w:rsidR="00627476">
        <w:rPr>
          <w:rFonts w:ascii="Arial" w:hAnsi="Arial" w:cs="Arial"/>
          <w:lang w:val="en-US"/>
        </w:rPr>
        <w:t>7</w:t>
      </w:r>
      <w:r w:rsidR="00F16663">
        <w:rPr>
          <w:rFonts w:ascii="Arial" w:hAnsi="Arial" w:cs="Arial"/>
          <w:lang w:val="en-US"/>
        </w:rPr>
        <w:t>8</w:t>
      </w:r>
      <w:r w:rsidRPr="00E36286">
        <w:rPr>
          <w:rFonts w:ascii="Arial" w:hAnsi="Arial" w:cs="Arial"/>
        </w:rPr>
        <w:t>.</w:t>
      </w:r>
    </w:p>
    <w:p w14:paraId="4ECCDCC2" w14:textId="77777777" w:rsidR="00571714" w:rsidRDefault="00571714" w:rsidP="00AA72F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43DDEC3" w14:textId="77777777" w:rsidR="00AA72FE" w:rsidRPr="00416D0B" w:rsidRDefault="00AA72FE" w:rsidP="00AA72FE">
      <w:pPr>
        <w:contextualSpacing/>
        <w:jc w:val="both"/>
        <w:rPr>
          <w:rFonts w:ascii="Arial" w:hAnsi="Arial" w:cs="Arial"/>
          <w:sz w:val="22"/>
          <w:szCs w:val="22"/>
        </w:rPr>
      </w:pPr>
      <w:r w:rsidRPr="00E36286">
        <w:rPr>
          <w:rFonts w:ascii="Arial" w:hAnsi="Arial" w:cs="Arial"/>
          <w:sz w:val="22"/>
          <w:szCs w:val="22"/>
          <w:lang w:val="bg-BG"/>
        </w:rPr>
        <w:t xml:space="preserve">Съгласно </w:t>
      </w:r>
      <w:r>
        <w:rPr>
          <w:rFonts w:ascii="Arial" w:hAnsi="Arial" w:cs="Arial"/>
          <w:sz w:val="22"/>
          <w:szCs w:val="22"/>
          <w:lang w:val="bg-BG"/>
        </w:rPr>
        <w:t xml:space="preserve">Предложението за записване на облигациите и </w:t>
      </w:r>
      <w:r w:rsidRPr="00E36286">
        <w:rPr>
          <w:rFonts w:ascii="Arial" w:hAnsi="Arial" w:cs="Arial"/>
          <w:sz w:val="22"/>
          <w:szCs w:val="22"/>
          <w:lang w:val="bg-BG"/>
        </w:rPr>
        <w:t>потвърдения от Комисията за финансов надзор Проспект за допускане на облигациите до търговия на регулиран пазар, а</w:t>
      </w:r>
      <w:r w:rsidRPr="00E36286">
        <w:rPr>
          <w:rFonts w:ascii="Arial" w:hAnsi="Arial" w:cs="Arial"/>
          <w:sz w:val="22"/>
          <w:szCs w:val="22"/>
        </w:rPr>
        <w:t xml:space="preserve">ко наруши 2 или повече от определените финансови съотношения, Емитентът ще </w:t>
      </w:r>
      <w:r w:rsidRPr="00E36286">
        <w:rPr>
          <w:rFonts w:ascii="Arial" w:hAnsi="Arial" w:cs="Arial"/>
          <w:sz w:val="22"/>
          <w:szCs w:val="22"/>
          <w:lang w:val="bg-BG"/>
        </w:rPr>
        <w:t>п</w:t>
      </w:r>
      <w:r w:rsidRPr="00E36286">
        <w:rPr>
          <w:rFonts w:ascii="Arial" w:hAnsi="Arial" w:cs="Arial"/>
          <w:sz w:val="22"/>
          <w:szCs w:val="22"/>
        </w:rPr>
        <w:t>редприеме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 </w:t>
      </w:r>
      <w:r w:rsidRPr="00E36286">
        <w:rPr>
          <w:rFonts w:ascii="Arial" w:hAnsi="Arial" w:cs="Arial"/>
          <w:sz w:val="22"/>
          <w:szCs w:val="22"/>
        </w:rPr>
        <w:t>действия в срок до 6 месеца от настъпването на съответното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 </w:t>
      </w:r>
      <w:r w:rsidRPr="00E36286">
        <w:rPr>
          <w:rFonts w:ascii="Arial" w:hAnsi="Arial" w:cs="Arial"/>
          <w:sz w:val="22"/>
          <w:szCs w:val="22"/>
        </w:rPr>
        <w:t>обстоятелство да приведе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 </w:t>
      </w:r>
      <w:r w:rsidRPr="00E36286">
        <w:rPr>
          <w:rFonts w:ascii="Arial" w:hAnsi="Arial" w:cs="Arial"/>
          <w:sz w:val="22"/>
          <w:szCs w:val="22"/>
        </w:rPr>
        <w:t>показателите/съотношенията в съответствие с изискванията по-горе. Ако в този срок не се постигнат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 </w:t>
      </w:r>
      <w:r w:rsidRPr="00E36286">
        <w:rPr>
          <w:rFonts w:ascii="Arial" w:hAnsi="Arial" w:cs="Arial"/>
          <w:sz w:val="22"/>
          <w:szCs w:val="22"/>
        </w:rPr>
        <w:t>заложените параметри, Емитентът незабавно ще предложи на Общото събрание на облигационерите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 </w:t>
      </w:r>
      <w:r w:rsidRPr="00E36286">
        <w:rPr>
          <w:rFonts w:ascii="Arial" w:hAnsi="Arial" w:cs="Arial"/>
          <w:sz w:val="22"/>
          <w:szCs w:val="22"/>
        </w:rPr>
        <w:t>програма за привеждане в съответствие с изискванията</w:t>
      </w:r>
      <w:r w:rsidRPr="00E36286">
        <w:rPr>
          <w:rFonts w:ascii="Arial" w:hAnsi="Arial" w:cs="Arial"/>
          <w:sz w:val="22"/>
          <w:szCs w:val="22"/>
          <w:lang w:val="bg-BG"/>
        </w:rPr>
        <w:t>.</w:t>
      </w:r>
      <w:r w:rsidR="00416D0B">
        <w:rPr>
          <w:rFonts w:ascii="Arial" w:hAnsi="Arial" w:cs="Arial"/>
          <w:sz w:val="22"/>
          <w:szCs w:val="22"/>
        </w:rPr>
        <w:t xml:space="preserve"> В случай, че </w:t>
      </w:r>
      <w:r w:rsidR="00416D0B" w:rsidRPr="00416D0B">
        <w:rPr>
          <w:rFonts w:ascii="Arial" w:hAnsi="Arial" w:cs="Arial"/>
          <w:sz w:val="22"/>
          <w:szCs w:val="22"/>
        </w:rPr>
        <w:t xml:space="preserve">Общото събрание на облигационерите </w:t>
      </w:r>
      <w:r w:rsidR="00416D0B">
        <w:rPr>
          <w:rFonts w:ascii="Arial" w:hAnsi="Arial" w:cs="Arial"/>
          <w:sz w:val="22"/>
          <w:szCs w:val="22"/>
        </w:rPr>
        <w:t xml:space="preserve">не одобри </w:t>
      </w:r>
      <w:r w:rsidR="00416D0B" w:rsidRPr="00416D0B">
        <w:rPr>
          <w:rFonts w:ascii="Arial" w:hAnsi="Arial" w:cs="Arial"/>
          <w:sz w:val="22"/>
          <w:szCs w:val="22"/>
        </w:rPr>
        <w:t xml:space="preserve">предложената от Емитента програма, той е длъжен да свика ново Общо събрание </w:t>
      </w:r>
      <w:r w:rsidR="00416D0B" w:rsidRPr="00416D0B">
        <w:rPr>
          <w:rFonts w:ascii="Arial" w:hAnsi="Arial" w:cs="Arial"/>
          <w:sz w:val="22"/>
          <w:szCs w:val="22"/>
        </w:rPr>
        <w:lastRenderedPageBreak/>
        <w:t>на облигационерите</w:t>
      </w:r>
      <w:r w:rsidR="00416D0B">
        <w:rPr>
          <w:rFonts w:ascii="Arial" w:hAnsi="Arial" w:cs="Arial"/>
          <w:sz w:val="22"/>
          <w:szCs w:val="22"/>
        </w:rPr>
        <w:t>, на което да предложи за приемане нова</w:t>
      </w:r>
      <w:r w:rsidR="00416D0B" w:rsidRPr="00416D0B">
        <w:rPr>
          <w:rFonts w:ascii="Arial" w:hAnsi="Arial" w:cs="Arial"/>
          <w:sz w:val="22"/>
          <w:szCs w:val="22"/>
        </w:rPr>
        <w:t xml:space="preserve"> програма</w:t>
      </w:r>
      <w:r w:rsidR="00416D0B">
        <w:rPr>
          <w:rFonts w:ascii="Arial" w:hAnsi="Arial" w:cs="Arial"/>
          <w:sz w:val="22"/>
          <w:szCs w:val="22"/>
        </w:rPr>
        <w:t>, изготвена с участието на Довереника на облигационерите и в съответствие с направените забележки/препоръки</w:t>
      </w:r>
      <w:r w:rsidR="00493689">
        <w:rPr>
          <w:rFonts w:ascii="Arial" w:hAnsi="Arial" w:cs="Arial"/>
          <w:sz w:val="22"/>
          <w:szCs w:val="22"/>
        </w:rPr>
        <w:t xml:space="preserve"> от облигационерите на Общото събрание, на което предложената програма е била отхвърлена.</w:t>
      </w:r>
    </w:p>
    <w:p w14:paraId="7497A1F9" w14:textId="77777777" w:rsidR="006832E0" w:rsidRDefault="006832E0" w:rsidP="008E3E4B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82DC411" w14:textId="77777777" w:rsidR="00D878D6" w:rsidRPr="00186CC8" w:rsidRDefault="00F1781A" w:rsidP="00186CC8">
      <w:pPr>
        <w:contextualSpacing/>
        <w:jc w:val="both"/>
        <w:rPr>
          <w:rFonts w:ascii="Arial" w:hAnsi="Arial" w:cs="Arial"/>
          <w:sz w:val="22"/>
          <w:szCs w:val="22"/>
        </w:rPr>
      </w:pPr>
      <w:r w:rsidRPr="00F1781A">
        <w:rPr>
          <w:rFonts w:ascii="Arial" w:hAnsi="Arial" w:cs="Arial"/>
          <w:sz w:val="22"/>
          <w:szCs w:val="22"/>
        </w:rPr>
        <w:t>Към 3</w:t>
      </w:r>
      <w:r w:rsidR="00F6295B">
        <w:rPr>
          <w:rFonts w:ascii="Arial" w:hAnsi="Arial" w:cs="Arial"/>
          <w:sz w:val="22"/>
          <w:szCs w:val="22"/>
        </w:rPr>
        <w:t>0</w:t>
      </w:r>
      <w:r w:rsidRPr="00F1781A">
        <w:rPr>
          <w:rFonts w:ascii="Arial" w:hAnsi="Arial" w:cs="Arial"/>
          <w:sz w:val="22"/>
          <w:szCs w:val="22"/>
        </w:rPr>
        <w:t>.</w:t>
      </w:r>
      <w:r w:rsidR="00627476">
        <w:rPr>
          <w:rFonts w:ascii="Arial" w:hAnsi="Arial" w:cs="Arial"/>
          <w:sz w:val="22"/>
          <w:szCs w:val="22"/>
        </w:rPr>
        <w:t>0</w:t>
      </w:r>
      <w:r w:rsidR="00F6295B">
        <w:rPr>
          <w:rFonts w:ascii="Arial" w:hAnsi="Arial" w:cs="Arial"/>
          <w:sz w:val="22"/>
          <w:szCs w:val="22"/>
        </w:rPr>
        <w:t>6</w:t>
      </w:r>
      <w:r w:rsidRPr="00F1781A">
        <w:rPr>
          <w:rFonts w:ascii="Arial" w:hAnsi="Arial" w:cs="Arial"/>
          <w:sz w:val="22"/>
          <w:szCs w:val="22"/>
        </w:rPr>
        <w:t>.202</w:t>
      </w:r>
      <w:r w:rsidR="00627476">
        <w:rPr>
          <w:rFonts w:ascii="Arial" w:hAnsi="Arial" w:cs="Arial"/>
          <w:sz w:val="22"/>
          <w:szCs w:val="22"/>
        </w:rPr>
        <w:t>4</w:t>
      </w:r>
      <w:r w:rsidRPr="00F1781A">
        <w:rPr>
          <w:rFonts w:ascii="Arial" w:hAnsi="Arial" w:cs="Arial"/>
          <w:sz w:val="22"/>
          <w:szCs w:val="22"/>
        </w:rPr>
        <w:t xml:space="preserve"> г., и трите коефицента са на по-добри нива спрямо съответната минимална / максимална стойност, която Емитентът се е задължил да поддържа в рамките на срока на облигационния заем.</w:t>
      </w:r>
    </w:p>
    <w:p w14:paraId="0EC7AEB3" w14:textId="77777777" w:rsidR="002452BD" w:rsidRPr="00001E46" w:rsidRDefault="002452BD" w:rsidP="00120B8C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1D85B982" w14:textId="77777777" w:rsidR="00D9764F" w:rsidRPr="00E36286" w:rsidRDefault="00D9764F" w:rsidP="00D9764F">
      <w:pPr>
        <w:pStyle w:val="1"/>
        <w:numPr>
          <w:ilvl w:val="0"/>
          <w:numId w:val="1"/>
        </w:numPr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E36286">
        <w:rPr>
          <w:rFonts w:ascii="Arial" w:hAnsi="Arial" w:cs="Arial"/>
          <w:color w:val="auto"/>
          <w:sz w:val="22"/>
          <w:szCs w:val="22"/>
        </w:rPr>
        <w:t>Обстоятелс</w:t>
      </w:r>
      <w:r w:rsidR="00C81B79">
        <w:rPr>
          <w:rFonts w:ascii="Arial" w:hAnsi="Arial" w:cs="Arial"/>
          <w:color w:val="auto"/>
          <w:sz w:val="22"/>
          <w:szCs w:val="22"/>
        </w:rPr>
        <w:t>тва по чл. 100г, ал. 3 от ЗППЦК</w:t>
      </w:r>
      <w:r w:rsidR="00C81B79">
        <w:rPr>
          <w:rFonts w:ascii="Arial" w:hAnsi="Arial" w:cs="Arial"/>
          <w:color w:val="auto"/>
          <w:sz w:val="22"/>
          <w:szCs w:val="22"/>
          <w:lang w:val="en-US"/>
        </w:rPr>
        <w:t>.</w:t>
      </w:r>
    </w:p>
    <w:p w14:paraId="2E2A77B6" w14:textId="77777777" w:rsidR="00BE512E" w:rsidRPr="00E36286" w:rsidRDefault="00BE512E" w:rsidP="00BE512E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</w:p>
    <w:p w14:paraId="2E3F3F89" w14:textId="77777777" w:rsidR="00052301" w:rsidRDefault="009458BF" w:rsidP="00186CC8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 отно</w:t>
      </w:r>
      <w:r w:rsidR="00875E7D">
        <w:rPr>
          <w:rFonts w:ascii="Arial" w:hAnsi="Arial" w:cs="Arial"/>
        </w:rPr>
        <w:t>ш</w:t>
      </w:r>
      <w:r>
        <w:rPr>
          <w:rFonts w:ascii="Arial" w:hAnsi="Arial" w:cs="Arial"/>
        </w:rPr>
        <w:t>ение на Де Ново ЕАД н</w:t>
      </w:r>
      <w:r w:rsidRPr="00E36286">
        <w:rPr>
          <w:rFonts w:ascii="Arial" w:hAnsi="Arial" w:cs="Arial"/>
        </w:rPr>
        <w:t>е са налице обстоятелства по чл.100г, ал.3 от ЗППЦК.</w:t>
      </w:r>
    </w:p>
    <w:p w14:paraId="4B752A02" w14:textId="77777777" w:rsidR="00186CC8" w:rsidRDefault="00186CC8" w:rsidP="00186CC8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68D97441" w14:textId="77777777" w:rsidR="00F50574" w:rsidRPr="00186CC8" w:rsidRDefault="00F50574" w:rsidP="00186CC8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794DC02B" w14:textId="77777777" w:rsidR="00F50574" w:rsidRPr="00571714" w:rsidRDefault="00F50574" w:rsidP="00F50574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71714">
        <w:rPr>
          <w:rFonts w:ascii="Arial" w:hAnsi="Arial" w:cs="Arial"/>
          <w:b/>
          <w:i/>
          <w:sz w:val="22"/>
          <w:szCs w:val="22"/>
          <w:u w:val="single"/>
        </w:rPr>
        <w:t>Обстоятелства, настъпили след крайната дата на разглеждания в доклада период</w:t>
      </w:r>
    </w:p>
    <w:p w14:paraId="36D23AAA" w14:textId="77777777" w:rsidR="00F50574" w:rsidRPr="00571714" w:rsidRDefault="00F50574" w:rsidP="00F50574">
      <w:pPr>
        <w:jc w:val="both"/>
        <w:rPr>
          <w:rFonts w:ascii="Arial" w:hAnsi="Arial" w:cs="Arial"/>
          <w:sz w:val="22"/>
          <w:szCs w:val="22"/>
        </w:rPr>
      </w:pPr>
    </w:p>
    <w:p w14:paraId="3A216E24" w14:textId="77777777" w:rsidR="00F50574" w:rsidRPr="00571714" w:rsidRDefault="00F50574" w:rsidP="00F5057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71714">
        <w:rPr>
          <w:rFonts w:ascii="Arial" w:hAnsi="Arial" w:cs="Arial"/>
          <w:sz w:val="22"/>
          <w:szCs w:val="22"/>
        </w:rPr>
        <w:t>1.</w:t>
      </w:r>
      <w:r w:rsidRPr="00571714">
        <w:rPr>
          <w:rFonts w:ascii="Arial" w:hAnsi="Arial" w:cs="Arial"/>
          <w:sz w:val="22"/>
          <w:szCs w:val="22"/>
        </w:rPr>
        <w:tab/>
        <w:t>С писмо от 1</w:t>
      </w:r>
      <w:r w:rsidR="004A535D">
        <w:rPr>
          <w:rFonts w:ascii="Arial" w:hAnsi="Arial" w:cs="Arial"/>
          <w:sz w:val="22"/>
          <w:szCs w:val="22"/>
        </w:rPr>
        <w:t>0</w:t>
      </w:r>
      <w:r w:rsidRPr="00571714">
        <w:rPr>
          <w:rFonts w:ascii="Arial" w:hAnsi="Arial" w:cs="Arial"/>
          <w:sz w:val="22"/>
          <w:szCs w:val="22"/>
        </w:rPr>
        <w:t>.07.202</w:t>
      </w:r>
      <w:r w:rsidR="004A535D">
        <w:rPr>
          <w:rFonts w:ascii="Arial" w:hAnsi="Arial" w:cs="Arial"/>
          <w:sz w:val="22"/>
          <w:szCs w:val="22"/>
        </w:rPr>
        <w:t>4</w:t>
      </w:r>
      <w:r w:rsidRPr="00571714">
        <w:rPr>
          <w:rFonts w:ascii="Arial" w:hAnsi="Arial" w:cs="Arial"/>
          <w:sz w:val="22"/>
          <w:szCs w:val="22"/>
        </w:rPr>
        <w:t xml:space="preserve"> г., в съответствие с условията на застрахователна полица No.</w:t>
      </w:r>
      <w:r>
        <w:rPr>
          <w:rFonts w:ascii="Arial" w:hAnsi="Arial" w:cs="Arial"/>
          <w:sz w:val="22"/>
          <w:szCs w:val="22"/>
        </w:rPr>
        <w:t xml:space="preserve"> </w:t>
      </w:r>
      <w:r w:rsidRPr="00571714">
        <w:rPr>
          <w:rFonts w:ascii="Arial" w:hAnsi="Arial" w:cs="Arial"/>
          <w:sz w:val="22"/>
          <w:szCs w:val="22"/>
        </w:rPr>
        <w:t>2110014080000928894 / 09.06.2021 г., Де Ново ЕАД е предявило претенция пред застрахователно акционерно дружество АРМЕЕЦ АД за изплащане на застрахователно обезщетение, вследствие на настъпило застрахователно събитие – неплащане на дължимото на 09.06.202</w:t>
      </w:r>
      <w:r>
        <w:rPr>
          <w:rFonts w:ascii="Arial" w:hAnsi="Arial" w:cs="Arial"/>
          <w:sz w:val="22"/>
          <w:szCs w:val="22"/>
        </w:rPr>
        <w:t>4</w:t>
      </w:r>
      <w:r w:rsidRPr="00571714">
        <w:rPr>
          <w:rFonts w:ascii="Arial" w:hAnsi="Arial" w:cs="Arial"/>
          <w:sz w:val="22"/>
          <w:szCs w:val="22"/>
        </w:rPr>
        <w:t xml:space="preserve"> г. лихвено плащане в срок до 30 дни от датата на падежа. </w:t>
      </w:r>
    </w:p>
    <w:p w14:paraId="2F8B2183" w14:textId="77777777" w:rsidR="00F50574" w:rsidRDefault="00F50574" w:rsidP="00F5057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71714">
        <w:rPr>
          <w:rFonts w:ascii="Arial" w:hAnsi="Arial" w:cs="Arial"/>
          <w:sz w:val="22"/>
          <w:szCs w:val="22"/>
        </w:rPr>
        <w:t>2.</w:t>
      </w:r>
      <w:r w:rsidRPr="00571714">
        <w:rPr>
          <w:rFonts w:ascii="Arial" w:hAnsi="Arial" w:cs="Arial"/>
          <w:sz w:val="22"/>
          <w:szCs w:val="22"/>
        </w:rPr>
        <w:tab/>
        <w:t>С писмо от 1</w:t>
      </w:r>
      <w:r w:rsidR="004A535D">
        <w:rPr>
          <w:rFonts w:ascii="Arial" w:hAnsi="Arial" w:cs="Arial"/>
          <w:sz w:val="22"/>
          <w:szCs w:val="22"/>
        </w:rPr>
        <w:t>1</w:t>
      </w:r>
      <w:r w:rsidRPr="00571714">
        <w:rPr>
          <w:rFonts w:ascii="Arial" w:hAnsi="Arial" w:cs="Arial"/>
          <w:sz w:val="22"/>
          <w:szCs w:val="22"/>
        </w:rPr>
        <w:t>.07.202</w:t>
      </w:r>
      <w:r w:rsidR="004A535D">
        <w:rPr>
          <w:rFonts w:ascii="Arial" w:hAnsi="Arial" w:cs="Arial"/>
          <w:sz w:val="22"/>
          <w:szCs w:val="22"/>
        </w:rPr>
        <w:t>4</w:t>
      </w:r>
      <w:r w:rsidRPr="00571714">
        <w:rPr>
          <w:rFonts w:ascii="Arial" w:hAnsi="Arial" w:cs="Arial"/>
          <w:sz w:val="22"/>
          <w:szCs w:val="22"/>
        </w:rPr>
        <w:t xml:space="preserve"> г., Де Ново ЕАД е поискало от емитента предприемането на конкретни действия във връзка с осъществяването на хипотезата на т.т.</w:t>
      </w:r>
      <w:r>
        <w:rPr>
          <w:rFonts w:ascii="Arial" w:hAnsi="Arial" w:cs="Arial"/>
          <w:sz w:val="22"/>
          <w:szCs w:val="22"/>
        </w:rPr>
        <w:t xml:space="preserve"> </w:t>
      </w:r>
      <w:r w:rsidRPr="00571714">
        <w:rPr>
          <w:rFonts w:ascii="Arial" w:hAnsi="Arial" w:cs="Arial"/>
          <w:sz w:val="22"/>
          <w:szCs w:val="22"/>
        </w:rPr>
        <w:t>4.7.3.3 и 4.7.4.4 от Част ІІ “Документ за предлаганите ценни книжа“ на Проспекта за допускане до търговия на регулиран пазар на ценни книжа на емисия корпоративни облигации с ISIN</w:t>
      </w:r>
      <w:r w:rsidR="003F516B">
        <w:rPr>
          <w:rFonts w:ascii="Arial" w:hAnsi="Arial" w:cs="Arial"/>
          <w:sz w:val="22"/>
          <w:szCs w:val="22"/>
        </w:rPr>
        <w:t>:</w:t>
      </w:r>
      <w:r w:rsidRPr="00571714">
        <w:rPr>
          <w:rFonts w:ascii="Arial" w:hAnsi="Arial" w:cs="Arial"/>
          <w:sz w:val="22"/>
          <w:szCs w:val="22"/>
        </w:rPr>
        <w:t xml:space="preserve"> BG2100006217.</w:t>
      </w:r>
    </w:p>
    <w:p w14:paraId="07916E8B" w14:textId="77777777" w:rsidR="00F50574" w:rsidRPr="00571714" w:rsidRDefault="00F50574" w:rsidP="00F505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7241BD">
        <w:rPr>
          <w:rFonts w:ascii="Arial" w:hAnsi="Arial" w:cs="Arial"/>
          <w:sz w:val="22"/>
          <w:szCs w:val="22"/>
        </w:rPr>
        <w:t>Съгласно уведомление от емитента, дължимото на 09.06.202</w:t>
      </w:r>
      <w:r w:rsidR="004A535D">
        <w:rPr>
          <w:rFonts w:ascii="Arial" w:hAnsi="Arial" w:cs="Arial"/>
          <w:sz w:val="22"/>
          <w:szCs w:val="22"/>
        </w:rPr>
        <w:t>4</w:t>
      </w:r>
      <w:r w:rsidRPr="007241BD">
        <w:rPr>
          <w:rFonts w:ascii="Arial" w:hAnsi="Arial" w:cs="Arial"/>
          <w:sz w:val="22"/>
          <w:szCs w:val="22"/>
        </w:rPr>
        <w:t xml:space="preserve"> г. лихвено плащане по облигационната емисия е изплатено на </w:t>
      </w:r>
      <w:r w:rsidR="004A535D">
        <w:rPr>
          <w:rFonts w:ascii="Arial" w:hAnsi="Arial" w:cs="Arial"/>
          <w:sz w:val="22"/>
          <w:szCs w:val="22"/>
        </w:rPr>
        <w:t>29</w:t>
      </w:r>
      <w:r w:rsidRPr="007241BD">
        <w:rPr>
          <w:rFonts w:ascii="Arial" w:hAnsi="Arial" w:cs="Arial"/>
          <w:sz w:val="22"/>
          <w:szCs w:val="22"/>
        </w:rPr>
        <w:t>.0</w:t>
      </w:r>
      <w:r w:rsidR="004A535D">
        <w:rPr>
          <w:rFonts w:ascii="Arial" w:hAnsi="Arial" w:cs="Arial"/>
          <w:sz w:val="22"/>
          <w:szCs w:val="22"/>
        </w:rPr>
        <w:t>7</w:t>
      </w:r>
      <w:r w:rsidRPr="007241BD">
        <w:rPr>
          <w:rFonts w:ascii="Arial" w:hAnsi="Arial" w:cs="Arial"/>
          <w:sz w:val="22"/>
          <w:szCs w:val="22"/>
        </w:rPr>
        <w:t>.202</w:t>
      </w:r>
      <w:r w:rsidR="004A535D">
        <w:rPr>
          <w:rFonts w:ascii="Arial" w:hAnsi="Arial" w:cs="Arial"/>
          <w:sz w:val="22"/>
          <w:szCs w:val="22"/>
        </w:rPr>
        <w:t>4</w:t>
      </w:r>
      <w:r w:rsidRPr="007241BD">
        <w:rPr>
          <w:rFonts w:ascii="Arial" w:hAnsi="Arial" w:cs="Arial"/>
          <w:sz w:val="22"/>
          <w:szCs w:val="22"/>
        </w:rPr>
        <w:t xml:space="preserve"> г.</w:t>
      </w:r>
    </w:p>
    <w:p w14:paraId="714A76B3" w14:textId="77777777" w:rsidR="00F50574" w:rsidRPr="00571714" w:rsidRDefault="00F50574" w:rsidP="00F505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571714">
        <w:rPr>
          <w:rFonts w:ascii="Arial" w:hAnsi="Arial" w:cs="Arial"/>
          <w:sz w:val="22"/>
          <w:szCs w:val="22"/>
        </w:rPr>
        <w:t>.</w:t>
      </w:r>
      <w:r w:rsidRPr="00571714">
        <w:rPr>
          <w:rFonts w:ascii="Arial" w:hAnsi="Arial" w:cs="Arial"/>
          <w:sz w:val="22"/>
          <w:szCs w:val="22"/>
        </w:rPr>
        <w:tab/>
        <w:t xml:space="preserve">Доколкото Де Ново ЕАД не е уведомено от емитента за предприемане на действия съгласно отправеното искане по т.2 по-горе, с писма от </w:t>
      </w:r>
      <w:r>
        <w:rPr>
          <w:rFonts w:ascii="Arial" w:hAnsi="Arial" w:cs="Arial"/>
          <w:sz w:val="22"/>
          <w:szCs w:val="22"/>
        </w:rPr>
        <w:t>06</w:t>
      </w:r>
      <w:r w:rsidRPr="00571714">
        <w:rPr>
          <w:rFonts w:ascii="Arial" w:hAnsi="Arial" w:cs="Arial"/>
          <w:sz w:val="22"/>
          <w:szCs w:val="22"/>
        </w:rPr>
        <w:t>.08.202</w:t>
      </w:r>
      <w:r>
        <w:rPr>
          <w:rFonts w:ascii="Arial" w:hAnsi="Arial" w:cs="Arial"/>
          <w:sz w:val="22"/>
          <w:szCs w:val="22"/>
        </w:rPr>
        <w:t>4</w:t>
      </w:r>
      <w:r w:rsidRPr="00571714">
        <w:rPr>
          <w:rFonts w:ascii="Arial" w:hAnsi="Arial" w:cs="Arial"/>
          <w:sz w:val="22"/>
          <w:szCs w:val="22"/>
        </w:rPr>
        <w:t xml:space="preserve"> г., Де Ново ЕАД е информирало облигационерите по емисия облигации </w:t>
      </w:r>
      <w:r w:rsidR="003F516B">
        <w:rPr>
          <w:rFonts w:ascii="Arial" w:hAnsi="Arial" w:cs="Arial"/>
          <w:sz w:val="22"/>
          <w:szCs w:val="22"/>
        </w:rPr>
        <w:br/>
      </w:r>
      <w:r w:rsidRPr="00571714">
        <w:rPr>
          <w:rFonts w:ascii="Arial" w:hAnsi="Arial" w:cs="Arial"/>
          <w:sz w:val="22"/>
          <w:szCs w:val="22"/>
        </w:rPr>
        <w:t>ISIN</w:t>
      </w:r>
      <w:r w:rsidR="003F516B">
        <w:rPr>
          <w:rFonts w:ascii="Arial" w:hAnsi="Arial" w:cs="Arial"/>
          <w:sz w:val="22"/>
          <w:szCs w:val="22"/>
        </w:rPr>
        <w:t>:</w:t>
      </w:r>
      <w:r w:rsidRPr="00571714">
        <w:rPr>
          <w:rFonts w:ascii="Arial" w:hAnsi="Arial" w:cs="Arial"/>
          <w:sz w:val="22"/>
          <w:szCs w:val="22"/>
        </w:rPr>
        <w:t xml:space="preserve"> BG2100006217 към дата 0</w:t>
      </w:r>
      <w:r>
        <w:rPr>
          <w:rFonts w:ascii="Arial" w:hAnsi="Arial" w:cs="Arial"/>
          <w:sz w:val="22"/>
          <w:szCs w:val="22"/>
        </w:rPr>
        <w:t>7</w:t>
      </w:r>
      <w:r w:rsidRPr="00571714">
        <w:rPr>
          <w:rFonts w:ascii="Arial" w:hAnsi="Arial" w:cs="Arial"/>
          <w:sz w:val="22"/>
          <w:szCs w:val="22"/>
        </w:rPr>
        <w:t>.06.202</w:t>
      </w:r>
      <w:r>
        <w:rPr>
          <w:rFonts w:ascii="Arial" w:hAnsi="Arial" w:cs="Arial"/>
          <w:sz w:val="22"/>
          <w:szCs w:val="22"/>
        </w:rPr>
        <w:t>4</w:t>
      </w:r>
      <w:r w:rsidRPr="00571714">
        <w:rPr>
          <w:rFonts w:ascii="Arial" w:hAnsi="Arial" w:cs="Arial"/>
          <w:sz w:val="22"/>
          <w:szCs w:val="22"/>
        </w:rPr>
        <w:t xml:space="preserve"> г., датата към която облигационерите по емисията имат право на лихвено плащане, дължимо на 09.06.202</w:t>
      </w:r>
      <w:r>
        <w:rPr>
          <w:rFonts w:ascii="Arial" w:hAnsi="Arial" w:cs="Arial"/>
          <w:sz w:val="22"/>
          <w:szCs w:val="22"/>
        </w:rPr>
        <w:t>4</w:t>
      </w:r>
      <w:r w:rsidRPr="00571714">
        <w:rPr>
          <w:rFonts w:ascii="Arial" w:hAnsi="Arial" w:cs="Arial"/>
          <w:sz w:val="22"/>
          <w:szCs w:val="22"/>
        </w:rPr>
        <w:t xml:space="preserve"> г., като е поискало от тях да вземат отношение по повод възникналия казус.</w:t>
      </w:r>
    </w:p>
    <w:p w14:paraId="50B8B7AC" w14:textId="77777777" w:rsidR="00F50574" w:rsidRDefault="00F50574" w:rsidP="00F50574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596B2B0F" w14:textId="77777777" w:rsidR="00D801AA" w:rsidRPr="00D801AA" w:rsidRDefault="00F50574" w:rsidP="00F50574">
      <w:pPr>
        <w:pStyle w:val="a6"/>
        <w:spacing w:after="0" w:line="240" w:lineRule="auto"/>
        <w:ind w:left="0"/>
        <w:jc w:val="both"/>
        <w:rPr>
          <w:rFonts w:ascii="Arial" w:hAnsi="Arial" w:cs="Arial"/>
          <w:b/>
          <w:i/>
          <w:lang w:val="en-US"/>
        </w:rPr>
      </w:pPr>
      <w:r w:rsidRPr="00D801AA">
        <w:rPr>
          <w:rFonts w:ascii="Arial" w:hAnsi="Arial" w:cs="Arial"/>
          <w:b/>
          <w:i/>
        </w:rPr>
        <w:t>Предвид фактите и обстоятелствата, изложени в доклада, включително обстоятелствата, настъпили след крайната дата на разглеждания в доклада период, може да бъде направен обоснован извод, че Емитентът изпълнява добросъвестно задълженията си към облигационерите, съгласно условията на сключения облигационен заем.</w:t>
      </w:r>
    </w:p>
    <w:p w14:paraId="7F5FB5AA" w14:textId="77777777" w:rsidR="00AF4D59" w:rsidRDefault="00AF4D59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15C92515" w14:textId="77777777" w:rsidR="00F50574" w:rsidRDefault="00F50574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60A066E0" w14:textId="77777777" w:rsidR="00F50574" w:rsidRDefault="006B51C2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</w:t>
      </w:r>
      <w:r w:rsidR="004548D8">
        <w:rPr>
          <w:rFonts w:ascii="Arial" w:hAnsi="Arial" w:cs="Arial"/>
          <w:lang w:val="en-US"/>
        </w:rPr>
        <w:t>2</w:t>
      </w:r>
      <w:r w:rsidR="00566947" w:rsidRPr="00E36286">
        <w:rPr>
          <w:rFonts w:ascii="Arial" w:hAnsi="Arial" w:cs="Arial"/>
        </w:rPr>
        <w:t>.</w:t>
      </w:r>
      <w:r w:rsidR="00D10DAF">
        <w:rPr>
          <w:rFonts w:ascii="Arial" w:hAnsi="Arial" w:cs="Arial"/>
          <w:lang w:val="en-US"/>
        </w:rPr>
        <w:t>0</w:t>
      </w:r>
      <w:r w:rsidR="006951FD">
        <w:rPr>
          <w:rFonts w:ascii="Arial" w:hAnsi="Arial" w:cs="Arial"/>
          <w:lang w:val="en-US"/>
        </w:rPr>
        <w:t>8</w:t>
      </w:r>
      <w:r w:rsidR="00566947" w:rsidRPr="00E36286">
        <w:rPr>
          <w:rFonts w:ascii="Arial" w:hAnsi="Arial" w:cs="Arial"/>
        </w:rPr>
        <w:t>.20</w:t>
      </w:r>
      <w:r w:rsidR="00437254">
        <w:rPr>
          <w:rFonts w:ascii="Arial" w:hAnsi="Arial" w:cs="Arial"/>
        </w:rPr>
        <w:t>2</w:t>
      </w:r>
      <w:r w:rsidR="00D10DAF">
        <w:rPr>
          <w:rFonts w:ascii="Arial" w:hAnsi="Arial" w:cs="Arial"/>
          <w:lang w:val="en-US"/>
        </w:rPr>
        <w:t>4</w:t>
      </w:r>
      <w:r w:rsidR="0003554B">
        <w:rPr>
          <w:rFonts w:ascii="Arial" w:hAnsi="Arial" w:cs="Arial"/>
          <w:lang w:val="en-US"/>
        </w:rPr>
        <w:t xml:space="preserve"> </w:t>
      </w:r>
      <w:r w:rsidR="00566947" w:rsidRPr="00E36286">
        <w:rPr>
          <w:rFonts w:ascii="Arial" w:hAnsi="Arial" w:cs="Arial"/>
        </w:rPr>
        <w:t>г</w:t>
      </w:r>
      <w:r w:rsidR="00185088">
        <w:rPr>
          <w:rFonts w:ascii="Arial" w:hAnsi="Arial" w:cs="Arial"/>
          <w:lang w:val="en-US"/>
        </w:rPr>
        <w:t>.</w:t>
      </w:r>
      <w:r w:rsidR="00566947" w:rsidRPr="00E36286">
        <w:rPr>
          <w:rFonts w:ascii="Arial" w:hAnsi="Arial" w:cs="Arial"/>
        </w:rPr>
        <w:t>, София</w:t>
      </w:r>
    </w:p>
    <w:p w14:paraId="04978DD3" w14:textId="77777777" w:rsidR="002452BD" w:rsidRDefault="00DC6560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За Де Ново ЕАД</w:t>
      </w:r>
      <w:r>
        <w:rPr>
          <w:rFonts w:ascii="Arial" w:hAnsi="Arial" w:cs="Arial"/>
          <w:lang w:val="en-US"/>
        </w:rPr>
        <w:t>:</w:t>
      </w:r>
    </w:p>
    <w:p w14:paraId="45288116" w14:textId="77777777" w:rsidR="00AF4D59" w:rsidRDefault="00AF4D59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3DED13FE" w14:textId="77777777" w:rsidR="00F50574" w:rsidRPr="00DA4696" w:rsidRDefault="00F50574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4B24B96F" w14:textId="77777777" w:rsidR="006C5330" w:rsidRPr="00E36286" w:rsidRDefault="0080019C" w:rsidP="00D9764F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Симеон Петков</w:t>
      </w:r>
      <w:r w:rsidR="00566947" w:rsidRPr="00E36286">
        <w:rPr>
          <w:rFonts w:ascii="Arial" w:hAnsi="Arial" w:cs="Arial"/>
        </w:rPr>
        <w:t>:...............................</w:t>
      </w:r>
      <w:r w:rsidR="00D24B37">
        <w:rPr>
          <w:rFonts w:ascii="Arial" w:hAnsi="Arial" w:cs="Arial"/>
          <w:lang w:val="en-US"/>
        </w:rPr>
        <w:t>....</w:t>
      </w:r>
      <w:r w:rsidR="00510016">
        <w:rPr>
          <w:rFonts w:ascii="Arial" w:hAnsi="Arial" w:cs="Arial"/>
          <w:lang w:val="en-US"/>
        </w:rPr>
        <w:t>.</w:t>
      </w:r>
      <w:r w:rsidR="00B13704">
        <w:rPr>
          <w:rFonts w:ascii="Arial" w:hAnsi="Arial" w:cs="Arial"/>
        </w:rPr>
        <w:tab/>
      </w:r>
      <w:r w:rsidR="00B13704">
        <w:rPr>
          <w:rFonts w:ascii="Arial" w:hAnsi="Arial" w:cs="Arial"/>
        </w:rPr>
        <w:tab/>
      </w:r>
      <w:r w:rsidR="006C5330" w:rsidRPr="00E36286">
        <w:rPr>
          <w:rFonts w:ascii="Arial" w:hAnsi="Arial" w:cs="Arial"/>
        </w:rPr>
        <w:t xml:space="preserve">Йордан </w:t>
      </w:r>
      <w:r w:rsidR="00B13704">
        <w:rPr>
          <w:rFonts w:ascii="Arial" w:hAnsi="Arial" w:cs="Arial"/>
        </w:rPr>
        <w:t>П</w:t>
      </w:r>
      <w:r w:rsidR="006C5330" w:rsidRPr="00E36286">
        <w:rPr>
          <w:rFonts w:ascii="Arial" w:hAnsi="Arial" w:cs="Arial"/>
        </w:rPr>
        <w:t>опов</w:t>
      </w:r>
      <w:r w:rsidR="00566947" w:rsidRPr="00E36286">
        <w:rPr>
          <w:rFonts w:ascii="Arial" w:hAnsi="Arial" w:cs="Arial"/>
        </w:rPr>
        <w:t>:...............................</w:t>
      </w:r>
    </w:p>
    <w:p w14:paraId="5AEAC013" w14:textId="77777777" w:rsidR="002C35FD" w:rsidRPr="00F81719" w:rsidRDefault="00566947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 w:rsidRPr="00E36286">
        <w:rPr>
          <w:rFonts w:ascii="Arial" w:hAnsi="Arial" w:cs="Arial"/>
        </w:rPr>
        <w:tab/>
      </w:r>
      <w:r w:rsidRPr="00E36286">
        <w:rPr>
          <w:rFonts w:ascii="Arial" w:hAnsi="Arial" w:cs="Arial"/>
        </w:rPr>
        <w:tab/>
      </w:r>
      <w:r w:rsidR="00875E7D">
        <w:rPr>
          <w:rFonts w:ascii="Arial" w:hAnsi="Arial" w:cs="Arial"/>
        </w:rPr>
        <w:t xml:space="preserve">  </w:t>
      </w:r>
      <w:r w:rsidR="008F1B99">
        <w:rPr>
          <w:rFonts w:ascii="Arial" w:hAnsi="Arial" w:cs="Arial"/>
          <w:lang w:val="en-US"/>
        </w:rPr>
        <w:t xml:space="preserve"> </w:t>
      </w:r>
      <w:r w:rsidRPr="00E36286">
        <w:rPr>
          <w:rFonts w:ascii="Arial" w:hAnsi="Arial" w:cs="Arial"/>
        </w:rPr>
        <w:t>/</w:t>
      </w:r>
      <w:r w:rsidR="0080019C">
        <w:rPr>
          <w:rFonts w:ascii="Arial" w:hAnsi="Arial" w:cs="Arial"/>
        </w:rPr>
        <w:t>Председател</w:t>
      </w:r>
      <w:r w:rsidRPr="00E36286">
        <w:rPr>
          <w:rFonts w:ascii="Arial" w:hAnsi="Arial" w:cs="Arial"/>
        </w:rPr>
        <w:t xml:space="preserve"> на СД/</w:t>
      </w:r>
      <w:r w:rsidRPr="00E36286">
        <w:rPr>
          <w:rFonts w:ascii="Arial" w:hAnsi="Arial" w:cs="Arial"/>
        </w:rPr>
        <w:tab/>
      </w:r>
      <w:r w:rsidRPr="00E36286">
        <w:rPr>
          <w:rFonts w:ascii="Arial" w:hAnsi="Arial" w:cs="Arial"/>
        </w:rPr>
        <w:tab/>
      </w:r>
      <w:r w:rsidRPr="00E36286">
        <w:rPr>
          <w:rFonts w:ascii="Arial" w:hAnsi="Arial" w:cs="Arial"/>
        </w:rPr>
        <w:tab/>
      </w:r>
      <w:r w:rsidR="00D24B37">
        <w:rPr>
          <w:rFonts w:ascii="Arial" w:hAnsi="Arial" w:cs="Arial"/>
          <w:lang w:val="en-US"/>
        </w:rPr>
        <w:tab/>
      </w:r>
      <w:r w:rsidR="00875E7D">
        <w:rPr>
          <w:rFonts w:ascii="Arial" w:hAnsi="Arial" w:cs="Arial"/>
        </w:rPr>
        <w:t xml:space="preserve"> </w:t>
      </w:r>
      <w:r w:rsidR="008F1B99">
        <w:rPr>
          <w:rFonts w:ascii="Arial" w:hAnsi="Arial" w:cs="Arial"/>
          <w:lang w:val="en-US"/>
        </w:rPr>
        <w:t xml:space="preserve"> </w:t>
      </w:r>
      <w:r w:rsidRPr="00E36286">
        <w:rPr>
          <w:rFonts w:ascii="Arial" w:hAnsi="Arial" w:cs="Arial"/>
        </w:rPr>
        <w:t>/Изп. Директор/</w:t>
      </w:r>
    </w:p>
    <w:sectPr w:rsidR="002C35FD" w:rsidRPr="00F81719" w:rsidSect="00001E46">
      <w:headerReference w:type="default" r:id="rId8"/>
      <w:footerReference w:type="default" r:id="rId9"/>
      <w:pgSz w:w="11909" w:h="16834" w:code="9"/>
      <w:pgMar w:top="1985" w:right="1419" w:bottom="141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3D415" w14:textId="77777777" w:rsidR="00385A1D" w:rsidRDefault="00385A1D">
      <w:r>
        <w:separator/>
      </w:r>
    </w:p>
  </w:endnote>
  <w:endnote w:type="continuationSeparator" w:id="0">
    <w:p w14:paraId="3EF041AE" w14:textId="77777777" w:rsidR="00385A1D" w:rsidRDefault="0038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62D64" w14:textId="77777777" w:rsidR="00717E19" w:rsidRDefault="00717E19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2D94">
      <w:rPr>
        <w:noProof/>
      </w:rPr>
      <w:t>1</w:t>
    </w:r>
    <w:r>
      <w:rPr>
        <w:noProof/>
      </w:rPr>
      <w:fldChar w:fldCharType="end"/>
    </w:r>
  </w:p>
  <w:p w14:paraId="43484B45" w14:textId="77777777" w:rsidR="00717E19" w:rsidRDefault="00717E19">
    <w:pPr>
      <w:pStyle w:val="a4"/>
      <w:rPr>
        <w:rFonts w:ascii="Arial" w:hAnsi="Arial"/>
        <w:sz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7F918" w14:textId="77777777" w:rsidR="00385A1D" w:rsidRDefault="00385A1D">
      <w:r>
        <w:separator/>
      </w:r>
    </w:p>
  </w:footnote>
  <w:footnote w:type="continuationSeparator" w:id="0">
    <w:p w14:paraId="187E426B" w14:textId="77777777" w:rsidR="00385A1D" w:rsidRDefault="00385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6D2E" w14:textId="7B5FE324" w:rsidR="00717E19" w:rsidRDefault="002820C9">
    <w:pPr>
      <w:pStyle w:val="a3"/>
    </w:pPr>
    <w:r>
      <w:rPr>
        <w:noProof/>
      </w:rPr>
      <w:drawing>
        <wp:inline distT="0" distB="0" distL="0" distR="0" wp14:anchorId="7161A1CD" wp14:editId="27DD99BE">
          <wp:extent cx="1455420" cy="57912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8A1"/>
    <w:multiLevelType w:val="hybridMultilevel"/>
    <w:tmpl w:val="ED9C4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45175"/>
    <w:multiLevelType w:val="hybridMultilevel"/>
    <w:tmpl w:val="9272C3CC"/>
    <w:lvl w:ilvl="0" w:tplc="0BCE21DE">
      <w:start w:val="3"/>
      <w:numFmt w:val="bullet"/>
      <w:lvlText w:val="-"/>
      <w:lvlJc w:val="left"/>
      <w:pPr>
        <w:ind w:left="371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253A6B95"/>
    <w:multiLevelType w:val="hybridMultilevel"/>
    <w:tmpl w:val="6DFCC998"/>
    <w:lvl w:ilvl="0" w:tplc="E27C71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26B47"/>
    <w:multiLevelType w:val="hybridMultilevel"/>
    <w:tmpl w:val="F5CE726E"/>
    <w:lvl w:ilvl="0" w:tplc="3EF0CE32">
      <w:start w:val="6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9043F"/>
    <w:multiLevelType w:val="hybridMultilevel"/>
    <w:tmpl w:val="2A4E4A3A"/>
    <w:lvl w:ilvl="0" w:tplc="96C22F9E">
      <w:start w:val="6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B76CC"/>
    <w:multiLevelType w:val="hybridMultilevel"/>
    <w:tmpl w:val="15B87738"/>
    <w:lvl w:ilvl="0" w:tplc="F4E0C4F8">
      <w:start w:val="6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112D9"/>
    <w:multiLevelType w:val="multilevel"/>
    <w:tmpl w:val="0402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79F8033D"/>
    <w:multiLevelType w:val="hybridMultilevel"/>
    <w:tmpl w:val="A1084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781939">
    <w:abstractNumId w:val="6"/>
  </w:num>
  <w:num w:numId="2" w16cid:durableId="1905021872">
    <w:abstractNumId w:val="0"/>
  </w:num>
  <w:num w:numId="3" w16cid:durableId="1295257714">
    <w:abstractNumId w:val="1"/>
  </w:num>
  <w:num w:numId="4" w16cid:durableId="457914924">
    <w:abstractNumId w:val="2"/>
  </w:num>
  <w:num w:numId="5" w16cid:durableId="2044790067">
    <w:abstractNumId w:val="4"/>
  </w:num>
  <w:num w:numId="6" w16cid:durableId="333067683">
    <w:abstractNumId w:val="3"/>
  </w:num>
  <w:num w:numId="7" w16cid:durableId="1776944157">
    <w:abstractNumId w:val="5"/>
  </w:num>
  <w:num w:numId="8" w16cid:durableId="18646602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53"/>
    <w:rsid w:val="00001E46"/>
    <w:rsid w:val="000025B8"/>
    <w:rsid w:val="00002826"/>
    <w:rsid w:val="00004394"/>
    <w:rsid w:val="000049EE"/>
    <w:rsid w:val="0000527F"/>
    <w:rsid w:val="000138BC"/>
    <w:rsid w:val="00013A2D"/>
    <w:rsid w:val="000200FE"/>
    <w:rsid w:val="00020416"/>
    <w:rsid w:val="0002078B"/>
    <w:rsid w:val="0002294E"/>
    <w:rsid w:val="00026090"/>
    <w:rsid w:val="00026CA9"/>
    <w:rsid w:val="0003067C"/>
    <w:rsid w:val="0003315F"/>
    <w:rsid w:val="000342C2"/>
    <w:rsid w:val="00034665"/>
    <w:rsid w:val="00035059"/>
    <w:rsid w:val="00035173"/>
    <w:rsid w:val="0003554B"/>
    <w:rsid w:val="00036A53"/>
    <w:rsid w:val="00040FD9"/>
    <w:rsid w:val="00043D94"/>
    <w:rsid w:val="00045904"/>
    <w:rsid w:val="00045C75"/>
    <w:rsid w:val="00046F00"/>
    <w:rsid w:val="0004737A"/>
    <w:rsid w:val="00047840"/>
    <w:rsid w:val="000478FF"/>
    <w:rsid w:val="000502D6"/>
    <w:rsid w:val="00050456"/>
    <w:rsid w:val="00051095"/>
    <w:rsid w:val="00052301"/>
    <w:rsid w:val="00053678"/>
    <w:rsid w:val="00053926"/>
    <w:rsid w:val="000541D5"/>
    <w:rsid w:val="0005661C"/>
    <w:rsid w:val="000569CC"/>
    <w:rsid w:val="00057E51"/>
    <w:rsid w:val="00061A46"/>
    <w:rsid w:val="000640B9"/>
    <w:rsid w:val="00064712"/>
    <w:rsid w:val="00065E98"/>
    <w:rsid w:val="0006666E"/>
    <w:rsid w:val="00071F36"/>
    <w:rsid w:val="000764BD"/>
    <w:rsid w:val="000771AE"/>
    <w:rsid w:val="00080C2C"/>
    <w:rsid w:val="00081D1A"/>
    <w:rsid w:val="000822D6"/>
    <w:rsid w:val="00082D9B"/>
    <w:rsid w:val="0008373E"/>
    <w:rsid w:val="000846F9"/>
    <w:rsid w:val="00087061"/>
    <w:rsid w:val="00087677"/>
    <w:rsid w:val="000876A4"/>
    <w:rsid w:val="00087762"/>
    <w:rsid w:val="00087800"/>
    <w:rsid w:val="00091966"/>
    <w:rsid w:val="0009278E"/>
    <w:rsid w:val="00092D88"/>
    <w:rsid w:val="00093830"/>
    <w:rsid w:val="000942B9"/>
    <w:rsid w:val="00096E9F"/>
    <w:rsid w:val="000A1F06"/>
    <w:rsid w:val="000A41B8"/>
    <w:rsid w:val="000A47E9"/>
    <w:rsid w:val="000A699E"/>
    <w:rsid w:val="000B07D0"/>
    <w:rsid w:val="000B0E32"/>
    <w:rsid w:val="000B0E8C"/>
    <w:rsid w:val="000B13CB"/>
    <w:rsid w:val="000B1B4E"/>
    <w:rsid w:val="000B2EC6"/>
    <w:rsid w:val="000B4636"/>
    <w:rsid w:val="000B6986"/>
    <w:rsid w:val="000C08BF"/>
    <w:rsid w:val="000C0E0A"/>
    <w:rsid w:val="000C16B3"/>
    <w:rsid w:val="000C369C"/>
    <w:rsid w:val="000C3DCB"/>
    <w:rsid w:val="000C4B03"/>
    <w:rsid w:val="000C5236"/>
    <w:rsid w:val="000D0926"/>
    <w:rsid w:val="000D12E0"/>
    <w:rsid w:val="000D1E62"/>
    <w:rsid w:val="000D2A82"/>
    <w:rsid w:val="000D2C1A"/>
    <w:rsid w:val="000D4397"/>
    <w:rsid w:val="000D4A92"/>
    <w:rsid w:val="000D6298"/>
    <w:rsid w:val="000D6455"/>
    <w:rsid w:val="000D6AED"/>
    <w:rsid w:val="000D6EA4"/>
    <w:rsid w:val="000D7C25"/>
    <w:rsid w:val="000D7CAC"/>
    <w:rsid w:val="000E1BC0"/>
    <w:rsid w:val="000E233F"/>
    <w:rsid w:val="000E2D00"/>
    <w:rsid w:val="000E30DD"/>
    <w:rsid w:val="000E5775"/>
    <w:rsid w:val="000E62D7"/>
    <w:rsid w:val="000E75C2"/>
    <w:rsid w:val="000F2FBC"/>
    <w:rsid w:val="000F7382"/>
    <w:rsid w:val="000F7BDF"/>
    <w:rsid w:val="00100380"/>
    <w:rsid w:val="00101BFF"/>
    <w:rsid w:val="00101E71"/>
    <w:rsid w:val="00103055"/>
    <w:rsid w:val="0010467F"/>
    <w:rsid w:val="00104DBE"/>
    <w:rsid w:val="0010532C"/>
    <w:rsid w:val="001056B0"/>
    <w:rsid w:val="00105B9D"/>
    <w:rsid w:val="001065FB"/>
    <w:rsid w:val="0010732C"/>
    <w:rsid w:val="0011129D"/>
    <w:rsid w:val="001116FD"/>
    <w:rsid w:val="001121C6"/>
    <w:rsid w:val="001127A2"/>
    <w:rsid w:val="00112854"/>
    <w:rsid w:val="001138E2"/>
    <w:rsid w:val="0011395B"/>
    <w:rsid w:val="00113FB7"/>
    <w:rsid w:val="00116910"/>
    <w:rsid w:val="00117B8A"/>
    <w:rsid w:val="00120173"/>
    <w:rsid w:val="00120B8C"/>
    <w:rsid w:val="00121BC2"/>
    <w:rsid w:val="0012271D"/>
    <w:rsid w:val="001231E9"/>
    <w:rsid w:val="00124B48"/>
    <w:rsid w:val="00125681"/>
    <w:rsid w:val="00125805"/>
    <w:rsid w:val="00126092"/>
    <w:rsid w:val="00127E16"/>
    <w:rsid w:val="00131E9F"/>
    <w:rsid w:val="00131FEE"/>
    <w:rsid w:val="00132E23"/>
    <w:rsid w:val="00133944"/>
    <w:rsid w:val="001339A6"/>
    <w:rsid w:val="00133A14"/>
    <w:rsid w:val="00134C11"/>
    <w:rsid w:val="001368F1"/>
    <w:rsid w:val="00141791"/>
    <w:rsid w:val="0014195F"/>
    <w:rsid w:val="00141A17"/>
    <w:rsid w:val="00142D94"/>
    <w:rsid w:val="001434C0"/>
    <w:rsid w:val="00144384"/>
    <w:rsid w:val="001458FE"/>
    <w:rsid w:val="00145BFE"/>
    <w:rsid w:val="00146FC5"/>
    <w:rsid w:val="00150653"/>
    <w:rsid w:val="001509C9"/>
    <w:rsid w:val="001513B4"/>
    <w:rsid w:val="00153154"/>
    <w:rsid w:val="00154249"/>
    <w:rsid w:val="00154E4F"/>
    <w:rsid w:val="00155381"/>
    <w:rsid w:val="001562D9"/>
    <w:rsid w:val="001563BB"/>
    <w:rsid w:val="00156F1B"/>
    <w:rsid w:val="00157A17"/>
    <w:rsid w:val="00157D26"/>
    <w:rsid w:val="00157FDD"/>
    <w:rsid w:val="001607A2"/>
    <w:rsid w:val="0016107E"/>
    <w:rsid w:val="00161EA3"/>
    <w:rsid w:val="001641A8"/>
    <w:rsid w:val="00164832"/>
    <w:rsid w:val="00164E83"/>
    <w:rsid w:val="0016670A"/>
    <w:rsid w:val="001706DA"/>
    <w:rsid w:val="001712E2"/>
    <w:rsid w:val="0017452E"/>
    <w:rsid w:val="0018354A"/>
    <w:rsid w:val="00184B25"/>
    <w:rsid w:val="00185088"/>
    <w:rsid w:val="001857D2"/>
    <w:rsid w:val="001864E2"/>
    <w:rsid w:val="00186CC8"/>
    <w:rsid w:val="00186FE9"/>
    <w:rsid w:val="00190F28"/>
    <w:rsid w:val="0019109A"/>
    <w:rsid w:val="001911B1"/>
    <w:rsid w:val="00191846"/>
    <w:rsid w:val="0019235A"/>
    <w:rsid w:val="0019506B"/>
    <w:rsid w:val="00195157"/>
    <w:rsid w:val="0019543C"/>
    <w:rsid w:val="00197A29"/>
    <w:rsid w:val="001A0073"/>
    <w:rsid w:val="001A1DEF"/>
    <w:rsid w:val="001A331F"/>
    <w:rsid w:val="001A4D4F"/>
    <w:rsid w:val="001A5935"/>
    <w:rsid w:val="001A6B4C"/>
    <w:rsid w:val="001A729E"/>
    <w:rsid w:val="001A77F9"/>
    <w:rsid w:val="001A7EA9"/>
    <w:rsid w:val="001B0450"/>
    <w:rsid w:val="001B18E5"/>
    <w:rsid w:val="001B1954"/>
    <w:rsid w:val="001B28DB"/>
    <w:rsid w:val="001B425A"/>
    <w:rsid w:val="001B4F93"/>
    <w:rsid w:val="001B73A6"/>
    <w:rsid w:val="001C06FC"/>
    <w:rsid w:val="001C0A49"/>
    <w:rsid w:val="001C1C65"/>
    <w:rsid w:val="001C2198"/>
    <w:rsid w:val="001C44C9"/>
    <w:rsid w:val="001C5CC2"/>
    <w:rsid w:val="001C7B90"/>
    <w:rsid w:val="001C7CF8"/>
    <w:rsid w:val="001D2F9C"/>
    <w:rsid w:val="001D37A5"/>
    <w:rsid w:val="001D5717"/>
    <w:rsid w:val="001D5F28"/>
    <w:rsid w:val="001D6466"/>
    <w:rsid w:val="001D724F"/>
    <w:rsid w:val="001D734F"/>
    <w:rsid w:val="001D7380"/>
    <w:rsid w:val="001D7472"/>
    <w:rsid w:val="001D7D34"/>
    <w:rsid w:val="001E1577"/>
    <w:rsid w:val="001E4E9E"/>
    <w:rsid w:val="001E4FAB"/>
    <w:rsid w:val="001E50E7"/>
    <w:rsid w:val="001E55C6"/>
    <w:rsid w:val="001E58E7"/>
    <w:rsid w:val="001E5F78"/>
    <w:rsid w:val="001E79DA"/>
    <w:rsid w:val="001F1119"/>
    <w:rsid w:val="001F3271"/>
    <w:rsid w:val="001F3600"/>
    <w:rsid w:val="001F606B"/>
    <w:rsid w:val="001F6B6D"/>
    <w:rsid w:val="001F6D51"/>
    <w:rsid w:val="00200109"/>
    <w:rsid w:val="002002F8"/>
    <w:rsid w:val="00200F64"/>
    <w:rsid w:val="002018B3"/>
    <w:rsid w:val="0020312C"/>
    <w:rsid w:val="002043DC"/>
    <w:rsid w:val="00205185"/>
    <w:rsid w:val="00205C22"/>
    <w:rsid w:val="002064D7"/>
    <w:rsid w:val="0020665F"/>
    <w:rsid w:val="00207AC5"/>
    <w:rsid w:val="00207C7B"/>
    <w:rsid w:val="0021022A"/>
    <w:rsid w:val="00211505"/>
    <w:rsid w:val="00212EC6"/>
    <w:rsid w:val="00213150"/>
    <w:rsid w:val="0021398E"/>
    <w:rsid w:val="00214827"/>
    <w:rsid w:val="00215D18"/>
    <w:rsid w:val="00216447"/>
    <w:rsid w:val="00216C47"/>
    <w:rsid w:val="00217755"/>
    <w:rsid w:val="00220920"/>
    <w:rsid w:val="0022216A"/>
    <w:rsid w:val="002224F2"/>
    <w:rsid w:val="002225F3"/>
    <w:rsid w:val="00222C1A"/>
    <w:rsid w:val="00223C5C"/>
    <w:rsid w:val="00226883"/>
    <w:rsid w:val="00226B48"/>
    <w:rsid w:val="00226E14"/>
    <w:rsid w:val="002306A1"/>
    <w:rsid w:val="00230AF9"/>
    <w:rsid w:val="002311AC"/>
    <w:rsid w:val="0023432A"/>
    <w:rsid w:val="00235586"/>
    <w:rsid w:val="002357FC"/>
    <w:rsid w:val="002409FF"/>
    <w:rsid w:val="00241B6A"/>
    <w:rsid w:val="00243426"/>
    <w:rsid w:val="00243F69"/>
    <w:rsid w:val="00243F95"/>
    <w:rsid w:val="0024466E"/>
    <w:rsid w:val="002452BD"/>
    <w:rsid w:val="00245539"/>
    <w:rsid w:val="002461A8"/>
    <w:rsid w:val="00251D4B"/>
    <w:rsid w:val="002527F0"/>
    <w:rsid w:val="00253EE2"/>
    <w:rsid w:val="00254BAB"/>
    <w:rsid w:val="00255519"/>
    <w:rsid w:val="00255D55"/>
    <w:rsid w:val="0025715E"/>
    <w:rsid w:val="00261DD2"/>
    <w:rsid w:val="00261E04"/>
    <w:rsid w:val="00265395"/>
    <w:rsid w:val="002653C7"/>
    <w:rsid w:val="00266E47"/>
    <w:rsid w:val="002676F1"/>
    <w:rsid w:val="00267CC6"/>
    <w:rsid w:val="00270AE9"/>
    <w:rsid w:val="00271775"/>
    <w:rsid w:val="00273B14"/>
    <w:rsid w:val="002757E0"/>
    <w:rsid w:val="00276E45"/>
    <w:rsid w:val="002779CD"/>
    <w:rsid w:val="00277C79"/>
    <w:rsid w:val="0028142F"/>
    <w:rsid w:val="002819BE"/>
    <w:rsid w:val="00281B8A"/>
    <w:rsid w:val="002820C9"/>
    <w:rsid w:val="002837DA"/>
    <w:rsid w:val="00285327"/>
    <w:rsid w:val="00285DAE"/>
    <w:rsid w:val="00286DA1"/>
    <w:rsid w:val="00287EB6"/>
    <w:rsid w:val="002903A7"/>
    <w:rsid w:val="0029399F"/>
    <w:rsid w:val="00294FA0"/>
    <w:rsid w:val="002A004F"/>
    <w:rsid w:val="002A1768"/>
    <w:rsid w:val="002A3093"/>
    <w:rsid w:val="002A486E"/>
    <w:rsid w:val="002A641E"/>
    <w:rsid w:val="002A73DD"/>
    <w:rsid w:val="002A7EF3"/>
    <w:rsid w:val="002B0178"/>
    <w:rsid w:val="002B1ADE"/>
    <w:rsid w:val="002B4306"/>
    <w:rsid w:val="002B536F"/>
    <w:rsid w:val="002B6DB6"/>
    <w:rsid w:val="002B78B2"/>
    <w:rsid w:val="002C2988"/>
    <w:rsid w:val="002C35FD"/>
    <w:rsid w:val="002C3FD4"/>
    <w:rsid w:val="002C419B"/>
    <w:rsid w:val="002C520B"/>
    <w:rsid w:val="002C5435"/>
    <w:rsid w:val="002D064C"/>
    <w:rsid w:val="002D1498"/>
    <w:rsid w:val="002D2F29"/>
    <w:rsid w:val="002D431A"/>
    <w:rsid w:val="002D476D"/>
    <w:rsid w:val="002D49D0"/>
    <w:rsid w:val="002D6A3A"/>
    <w:rsid w:val="002D701E"/>
    <w:rsid w:val="002E2D17"/>
    <w:rsid w:val="002E2EBD"/>
    <w:rsid w:val="002E57D1"/>
    <w:rsid w:val="002E5A82"/>
    <w:rsid w:val="002E661C"/>
    <w:rsid w:val="002E68DF"/>
    <w:rsid w:val="002F0143"/>
    <w:rsid w:val="002F082A"/>
    <w:rsid w:val="002F0B6F"/>
    <w:rsid w:val="002F28C1"/>
    <w:rsid w:val="002F456E"/>
    <w:rsid w:val="002F4683"/>
    <w:rsid w:val="002F7331"/>
    <w:rsid w:val="002F7896"/>
    <w:rsid w:val="002F7B99"/>
    <w:rsid w:val="002F7BD7"/>
    <w:rsid w:val="00300986"/>
    <w:rsid w:val="00300BFB"/>
    <w:rsid w:val="00303282"/>
    <w:rsid w:val="003033A7"/>
    <w:rsid w:val="00303726"/>
    <w:rsid w:val="0030390A"/>
    <w:rsid w:val="00303E4E"/>
    <w:rsid w:val="00304F9A"/>
    <w:rsid w:val="00305C80"/>
    <w:rsid w:val="00307B10"/>
    <w:rsid w:val="003103C5"/>
    <w:rsid w:val="00311059"/>
    <w:rsid w:val="0031163C"/>
    <w:rsid w:val="00312564"/>
    <w:rsid w:val="00313372"/>
    <w:rsid w:val="00314B80"/>
    <w:rsid w:val="00315DD3"/>
    <w:rsid w:val="00315E31"/>
    <w:rsid w:val="003170E9"/>
    <w:rsid w:val="00320C96"/>
    <w:rsid w:val="00321F9E"/>
    <w:rsid w:val="00323376"/>
    <w:rsid w:val="0032580A"/>
    <w:rsid w:val="003325C4"/>
    <w:rsid w:val="003378A5"/>
    <w:rsid w:val="003400BE"/>
    <w:rsid w:val="00340352"/>
    <w:rsid w:val="00341352"/>
    <w:rsid w:val="003445E7"/>
    <w:rsid w:val="00344D35"/>
    <w:rsid w:val="00345AA8"/>
    <w:rsid w:val="00345CB7"/>
    <w:rsid w:val="00346564"/>
    <w:rsid w:val="0034659F"/>
    <w:rsid w:val="003475EF"/>
    <w:rsid w:val="00350485"/>
    <w:rsid w:val="00351AE9"/>
    <w:rsid w:val="0035201F"/>
    <w:rsid w:val="00352931"/>
    <w:rsid w:val="00353562"/>
    <w:rsid w:val="003550E7"/>
    <w:rsid w:val="00356801"/>
    <w:rsid w:val="00357471"/>
    <w:rsid w:val="003578B6"/>
    <w:rsid w:val="00361BDB"/>
    <w:rsid w:val="00361C59"/>
    <w:rsid w:val="003629FC"/>
    <w:rsid w:val="00362EC2"/>
    <w:rsid w:val="00364A12"/>
    <w:rsid w:val="00365B69"/>
    <w:rsid w:val="00370972"/>
    <w:rsid w:val="00370C5B"/>
    <w:rsid w:val="003768B2"/>
    <w:rsid w:val="0038032E"/>
    <w:rsid w:val="0038062F"/>
    <w:rsid w:val="00380E97"/>
    <w:rsid w:val="0038164E"/>
    <w:rsid w:val="00381EE9"/>
    <w:rsid w:val="00382E6C"/>
    <w:rsid w:val="00385A1D"/>
    <w:rsid w:val="00386223"/>
    <w:rsid w:val="003874ED"/>
    <w:rsid w:val="00390A66"/>
    <w:rsid w:val="00390FD8"/>
    <w:rsid w:val="00394A03"/>
    <w:rsid w:val="003960BE"/>
    <w:rsid w:val="00397980"/>
    <w:rsid w:val="00397F2A"/>
    <w:rsid w:val="003A1367"/>
    <w:rsid w:val="003A2E2A"/>
    <w:rsid w:val="003A5F86"/>
    <w:rsid w:val="003A731F"/>
    <w:rsid w:val="003A74CE"/>
    <w:rsid w:val="003A7D89"/>
    <w:rsid w:val="003B0196"/>
    <w:rsid w:val="003B0E92"/>
    <w:rsid w:val="003B1B34"/>
    <w:rsid w:val="003B22E0"/>
    <w:rsid w:val="003B3C7E"/>
    <w:rsid w:val="003B4897"/>
    <w:rsid w:val="003B68FE"/>
    <w:rsid w:val="003C1827"/>
    <w:rsid w:val="003C2BD4"/>
    <w:rsid w:val="003C39B4"/>
    <w:rsid w:val="003C41B0"/>
    <w:rsid w:val="003C4F6A"/>
    <w:rsid w:val="003C628A"/>
    <w:rsid w:val="003C7AFD"/>
    <w:rsid w:val="003C7D69"/>
    <w:rsid w:val="003D21CF"/>
    <w:rsid w:val="003D3433"/>
    <w:rsid w:val="003D66ED"/>
    <w:rsid w:val="003D7189"/>
    <w:rsid w:val="003E0639"/>
    <w:rsid w:val="003E0F5C"/>
    <w:rsid w:val="003E28EB"/>
    <w:rsid w:val="003E4183"/>
    <w:rsid w:val="003E5523"/>
    <w:rsid w:val="003E5617"/>
    <w:rsid w:val="003E7095"/>
    <w:rsid w:val="003E7D61"/>
    <w:rsid w:val="003F1E8E"/>
    <w:rsid w:val="003F2120"/>
    <w:rsid w:val="003F516B"/>
    <w:rsid w:val="003F6B05"/>
    <w:rsid w:val="003F781E"/>
    <w:rsid w:val="003F7941"/>
    <w:rsid w:val="00400F76"/>
    <w:rsid w:val="00402F78"/>
    <w:rsid w:val="00403F9C"/>
    <w:rsid w:val="00404C3F"/>
    <w:rsid w:val="00407510"/>
    <w:rsid w:val="004100E9"/>
    <w:rsid w:val="00411A22"/>
    <w:rsid w:val="00412604"/>
    <w:rsid w:val="004141AF"/>
    <w:rsid w:val="004142B2"/>
    <w:rsid w:val="00415186"/>
    <w:rsid w:val="00416D0B"/>
    <w:rsid w:val="00417901"/>
    <w:rsid w:val="00420E19"/>
    <w:rsid w:val="00422F81"/>
    <w:rsid w:val="00423B10"/>
    <w:rsid w:val="00423C91"/>
    <w:rsid w:val="00423E95"/>
    <w:rsid w:val="0042429D"/>
    <w:rsid w:val="004245FB"/>
    <w:rsid w:val="00425E99"/>
    <w:rsid w:val="0042704A"/>
    <w:rsid w:val="004277A7"/>
    <w:rsid w:val="00431A97"/>
    <w:rsid w:val="004320A7"/>
    <w:rsid w:val="00432672"/>
    <w:rsid w:val="00433BF4"/>
    <w:rsid w:val="00434C0F"/>
    <w:rsid w:val="00435AB6"/>
    <w:rsid w:val="00436727"/>
    <w:rsid w:val="00437254"/>
    <w:rsid w:val="00440044"/>
    <w:rsid w:val="00441E6D"/>
    <w:rsid w:val="004426ED"/>
    <w:rsid w:val="0044296B"/>
    <w:rsid w:val="00444A56"/>
    <w:rsid w:val="00444B70"/>
    <w:rsid w:val="004452F5"/>
    <w:rsid w:val="00445E96"/>
    <w:rsid w:val="00446C7D"/>
    <w:rsid w:val="00447349"/>
    <w:rsid w:val="004478B2"/>
    <w:rsid w:val="004479EF"/>
    <w:rsid w:val="00450FEB"/>
    <w:rsid w:val="00451501"/>
    <w:rsid w:val="00451557"/>
    <w:rsid w:val="00452062"/>
    <w:rsid w:val="004548D8"/>
    <w:rsid w:val="0045524E"/>
    <w:rsid w:val="00455CAE"/>
    <w:rsid w:val="004571E6"/>
    <w:rsid w:val="00460A02"/>
    <w:rsid w:val="004627C8"/>
    <w:rsid w:val="00462D3D"/>
    <w:rsid w:val="004635D5"/>
    <w:rsid w:val="00467F0B"/>
    <w:rsid w:val="00471F68"/>
    <w:rsid w:val="004726AF"/>
    <w:rsid w:val="004726B0"/>
    <w:rsid w:val="004736F2"/>
    <w:rsid w:val="0047432B"/>
    <w:rsid w:val="0047564D"/>
    <w:rsid w:val="0047572A"/>
    <w:rsid w:val="0047616E"/>
    <w:rsid w:val="00476C49"/>
    <w:rsid w:val="004825E9"/>
    <w:rsid w:val="00484787"/>
    <w:rsid w:val="00484D84"/>
    <w:rsid w:val="004856B7"/>
    <w:rsid w:val="00491BE6"/>
    <w:rsid w:val="004923DD"/>
    <w:rsid w:val="00493689"/>
    <w:rsid w:val="00493E1E"/>
    <w:rsid w:val="00494642"/>
    <w:rsid w:val="004947E6"/>
    <w:rsid w:val="00496E15"/>
    <w:rsid w:val="004A1A7A"/>
    <w:rsid w:val="004A2F22"/>
    <w:rsid w:val="004A4CC6"/>
    <w:rsid w:val="004A535D"/>
    <w:rsid w:val="004A5D45"/>
    <w:rsid w:val="004A6003"/>
    <w:rsid w:val="004A6678"/>
    <w:rsid w:val="004A6D0F"/>
    <w:rsid w:val="004B03A9"/>
    <w:rsid w:val="004B05E3"/>
    <w:rsid w:val="004B06E2"/>
    <w:rsid w:val="004B1448"/>
    <w:rsid w:val="004B19BE"/>
    <w:rsid w:val="004B3E4E"/>
    <w:rsid w:val="004B4BCC"/>
    <w:rsid w:val="004B567B"/>
    <w:rsid w:val="004B5F3E"/>
    <w:rsid w:val="004B7751"/>
    <w:rsid w:val="004C1C29"/>
    <w:rsid w:val="004C31C2"/>
    <w:rsid w:val="004C42BE"/>
    <w:rsid w:val="004C45F6"/>
    <w:rsid w:val="004D1AA4"/>
    <w:rsid w:val="004D3B22"/>
    <w:rsid w:val="004D42AC"/>
    <w:rsid w:val="004D4877"/>
    <w:rsid w:val="004D4C41"/>
    <w:rsid w:val="004D5516"/>
    <w:rsid w:val="004D55B7"/>
    <w:rsid w:val="004D7537"/>
    <w:rsid w:val="004E0652"/>
    <w:rsid w:val="004E0932"/>
    <w:rsid w:val="004E0A0B"/>
    <w:rsid w:val="004E0E9A"/>
    <w:rsid w:val="004E0F3C"/>
    <w:rsid w:val="004E11B4"/>
    <w:rsid w:val="004E301C"/>
    <w:rsid w:val="004E5648"/>
    <w:rsid w:val="004F20B5"/>
    <w:rsid w:val="004F2467"/>
    <w:rsid w:val="004F2EF1"/>
    <w:rsid w:val="004F3D6A"/>
    <w:rsid w:val="004F3E52"/>
    <w:rsid w:val="004F40ED"/>
    <w:rsid w:val="004F4514"/>
    <w:rsid w:val="004F53B1"/>
    <w:rsid w:val="004F5A7C"/>
    <w:rsid w:val="004F66F5"/>
    <w:rsid w:val="004F7711"/>
    <w:rsid w:val="005000A7"/>
    <w:rsid w:val="0050060B"/>
    <w:rsid w:val="005019C8"/>
    <w:rsid w:val="00502A99"/>
    <w:rsid w:val="0050494D"/>
    <w:rsid w:val="00505A01"/>
    <w:rsid w:val="00506280"/>
    <w:rsid w:val="00506DBE"/>
    <w:rsid w:val="00507A7C"/>
    <w:rsid w:val="00510016"/>
    <w:rsid w:val="005128B3"/>
    <w:rsid w:val="0051363A"/>
    <w:rsid w:val="00514045"/>
    <w:rsid w:val="00514186"/>
    <w:rsid w:val="005141C6"/>
    <w:rsid w:val="00514AC6"/>
    <w:rsid w:val="005150C6"/>
    <w:rsid w:val="0051544A"/>
    <w:rsid w:val="00516023"/>
    <w:rsid w:val="00517712"/>
    <w:rsid w:val="0052180E"/>
    <w:rsid w:val="005219C4"/>
    <w:rsid w:val="00521DAF"/>
    <w:rsid w:val="0052237C"/>
    <w:rsid w:val="00522726"/>
    <w:rsid w:val="00524EE0"/>
    <w:rsid w:val="00525801"/>
    <w:rsid w:val="00525D0A"/>
    <w:rsid w:val="005269F8"/>
    <w:rsid w:val="00526BFB"/>
    <w:rsid w:val="00530577"/>
    <w:rsid w:val="00530BF6"/>
    <w:rsid w:val="00531070"/>
    <w:rsid w:val="0053127F"/>
    <w:rsid w:val="0053221E"/>
    <w:rsid w:val="00534D42"/>
    <w:rsid w:val="00536C2F"/>
    <w:rsid w:val="00536E99"/>
    <w:rsid w:val="00536EA6"/>
    <w:rsid w:val="00540031"/>
    <w:rsid w:val="00541298"/>
    <w:rsid w:val="005416E8"/>
    <w:rsid w:val="005417BE"/>
    <w:rsid w:val="005418FB"/>
    <w:rsid w:val="00542761"/>
    <w:rsid w:val="00544173"/>
    <w:rsid w:val="0054426A"/>
    <w:rsid w:val="00544B2C"/>
    <w:rsid w:val="00544CC9"/>
    <w:rsid w:val="005451F5"/>
    <w:rsid w:val="00545D7E"/>
    <w:rsid w:val="00547C0B"/>
    <w:rsid w:val="0055299E"/>
    <w:rsid w:val="00553A53"/>
    <w:rsid w:val="00554147"/>
    <w:rsid w:val="00555133"/>
    <w:rsid w:val="0055565B"/>
    <w:rsid w:val="00555CF3"/>
    <w:rsid w:val="00556E84"/>
    <w:rsid w:val="00557C51"/>
    <w:rsid w:val="00563DB2"/>
    <w:rsid w:val="00566947"/>
    <w:rsid w:val="0056717B"/>
    <w:rsid w:val="00571714"/>
    <w:rsid w:val="00571FD6"/>
    <w:rsid w:val="00572125"/>
    <w:rsid w:val="005721EF"/>
    <w:rsid w:val="0057282F"/>
    <w:rsid w:val="005729FA"/>
    <w:rsid w:val="005731A1"/>
    <w:rsid w:val="005752B0"/>
    <w:rsid w:val="00575C3D"/>
    <w:rsid w:val="005809AF"/>
    <w:rsid w:val="00581D2F"/>
    <w:rsid w:val="00582951"/>
    <w:rsid w:val="00582E88"/>
    <w:rsid w:val="00583625"/>
    <w:rsid w:val="005864D1"/>
    <w:rsid w:val="0058663A"/>
    <w:rsid w:val="005866FE"/>
    <w:rsid w:val="00587B8E"/>
    <w:rsid w:val="00592DDC"/>
    <w:rsid w:val="00594827"/>
    <w:rsid w:val="0059733F"/>
    <w:rsid w:val="00597982"/>
    <w:rsid w:val="005A06B8"/>
    <w:rsid w:val="005A14FA"/>
    <w:rsid w:val="005A4233"/>
    <w:rsid w:val="005A45C0"/>
    <w:rsid w:val="005A45FA"/>
    <w:rsid w:val="005A4851"/>
    <w:rsid w:val="005A6964"/>
    <w:rsid w:val="005B3A22"/>
    <w:rsid w:val="005B3E71"/>
    <w:rsid w:val="005B42E7"/>
    <w:rsid w:val="005B5FFA"/>
    <w:rsid w:val="005C11B0"/>
    <w:rsid w:val="005C2DC4"/>
    <w:rsid w:val="005C3463"/>
    <w:rsid w:val="005C4CF8"/>
    <w:rsid w:val="005C5996"/>
    <w:rsid w:val="005C7B08"/>
    <w:rsid w:val="005D05E5"/>
    <w:rsid w:val="005D3F76"/>
    <w:rsid w:val="005D48B8"/>
    <w:rsid w:val="005D4F91"/>
    <w:rsid w:val="005D5510"/>
    <w:rsid w:val="005D5DE5"/>
    <w:rsid w:val="005D648B"/>
    <w:rsid w:val="005D6E18"/>
    <w:rsid w:val="005D7709"/>
    <w:rsid w:val="005D7B7C"/>
    <w:rsid w:val="005E16F4"/>
    <w:rsid w:val="005E301C"/>
    <w:rsid w:val="005E393A"/>
    <w:rsid w:val="005F22E3"/>
    <w:rsid w:val="005F4325"/>
    <w:rsid w:val="005F5509"/>
    <w:rsid w:val="005F69FA"/>
    <w:rsid w:val="005F7985"/>
    <w:rsid w:val="00601B20"/>
    <w:rsid w:val="00601CEB"/>
    <w:rsid w:val="006023AD"/>
    <w:rsid w:val="00603770"/>
    <w:rsid w:val="00603CAB"/>
    <w:rsid w:val="00605669"/>
    <w:rsid w:val="00606128"/>
    <w:rsid w:val="0060789E"/>
    <w:rsid w:val="00607E04"/>
    <w:rsid w:val="00610184"/>
    <w:rsid w:val="00610517"/>
    <w:rsid w:val="006117C5"/>
    <w:rsid w:val="00611D00"/>
    <w:rsid w:val="0061254B"/>
    <w:rsid w:val="00614165"/>
    <w:rsid w:val="00614C28"/>
    <w:rsid w:val="00614D9D"/>
    <w:rsid w:val="006207F9"/>
    <w:rsid w:val="006212A9"/>
    <w:rsid w:val="006212E7"/>
    <w:rsid w:val="006228A2"/>
    <w:rsid w:val="00623B4C"/>
    <w:rsid w:val="00623DB8"/>
    <w:rsid w:val="00624E2C"/>
    <w:rsid w:val="00627047"/>
    <w:rsid w:val="00627476"/>
    <w:rsid w:val="00627DD9"/>
    <w:rsid w:val="00630C8B"/>
    <w:rsid w:val="006351F2"/>
    <w:rsid w:val="00640BE4"/>
    <w:rsid w:val="00641139"/>
    <w:rsid w:val="00641856"/>
    <w:rsid w:val="006425DB"/>
    <w:rsid w:val="00642681"/>
    <w:rsid w:val="00643134"/>
    <w:rsid w:val="00643221"/>
    <w:rsid w:val="006447AD"/>
    <w:rsid w:val="006458E1"/>
    <w:rsid w:val="006469DC"/>
    <w:rsid w:val="00647AD1"/>
    <w:rsid w:val="00651C39"/>
    <w:rsid w:val="0065279A"/>
    <w:rsid w:val="00653973"/>
    <w:rsid w:val="0065684E"/>
    <w:rsid w:val="00657534"/>
    <w:rsid w:val="006600CA"/>
    <w:rsid w:val="0066155A"/>
    <w:rsid w:val="00662D41"/>
    <w:rsid w:val="00664872"/>
    <w:rsid w:val="00664ECD"/>
    <w:rsid w:val="0066598D"/>
    <w:rsid w:val="00665A90"/>
    <w:rsid w:val="0066642A"/>
    <w:rsid w:val="006671B7"/>
    <w:rsid w:val="00670AB3"/>
    <w:rsid w:val="00671DDD"/>
    <w:rsid w:val="006723F1"/>
    <w:rsid w:val="00672995"/>
    <w:rsid w:val="00672B69"/>
    <w:rsid w:val="00675AA4"/>
    <w:rsid w:val="00675BA2"/>
    <w:rsid w:val="006832E0"/>
    <w:rsid w:val="00684088"/>
    <w:rsid w:val="00685418"/>
    <w:rsid w:val="00686435"/>
    <w:rsid w:val="00686B23"/>
    <w:rsid w:val="00686EF7"/>
    <w:rsid w:val="006870BB"/>
    <w:rsid w:val="00687904"/>
    <w:rsid w:val="00687DB0"/>
    <w:rsid w:val="00691C15"/>
    <w:rsid w:val="00692BBA"/>
    <w:rsid w:val="006931F6"/>
    <w:rsid w:val="006932D1"/>
    <w:rsid w:val="00694654"/>
    <w:rsid w:val="0069466D"/>
    <w:rsid w:val="00694F9D"/>
    <w:rsid w:val="006951FD"/>
    <w:rsid w:val="0069634E"/>
    <w:rsid w:val="006963D2"/>
    <w:rsid w:val="00697DB6"/>
    <w:rsid w:val="006A1F06"/>
    <w:rsid w:val="006A31E6"/>
    <w:rsid w:val="006A3330"/>
    <w:rsid w:val="006A372A"/>
    <w:rsid w:val="006A4D66"/>
    <w:rsid w:val="006A5603"/>
    <w:rsid w:val="006A56DB"/>
    <w:rsid w:val="006A61FD"/>
    <w:rsid w:val="006A77D2"/>
    <w:rsid w:val="006B01D9"/>
    <w:rsid w:val="006B192D"/>
    <w:rsid w:val="006B1F96"/>
    <w:rsid w:val="006B51C2"/>
    <w:rsid w:val="006B6AA2"/>
    <w:rsid w:val="006B6BF6"/>
    <w:rsid w:val="006B71CD"/>
    <w:rsid w:val="006C3CCB"/>
    <w:rsid w:val="006C4B69"/>
    <w:rsid w:val="006C5330"/>
    <w:rsid w:val="006C6B74"/>
    <w:rsid w:val="006D04D4"/>
    <w:rsid w:val="006D1469"/>
    <w:rsid w:val="006D29ED"/>
    <w:rsid w:val="006D2C2D"/>
    <w:rsid w:val="006D4754"/>
    <w:rsid w:val="006D5379"/>
    <w:rsid w:val="006D5C22"/>
    <w:rsid w:val="006D5F6A"/>
    <w:rsid w:val="006D6014"/>
    <w:rsid w:val="006E02FB"/>
    <w:rsid w:val="006E0645"/>
    <w:rsid w:val="006E391C"/>
    <w:rsid w:val="006E5588"/>
    <w:rsid w:val="006E6CC9"/>
    <w:rsid w:val="006E7FD5"/>
    <w:rsid w:val="006F0D07"/>
    <w:rsid w:val="006F1174"/>
    <w:rsid w:val="006F22AF"/>
    <w:rsid w:val="006F3131"/>
    <w:rsid w:val="006F327F"/>
    <w:rsid w:val="006F628B"/>
    <w:rsid w:val="006F7B5A"/>
    <w:rsid w:val="00700070"/>
    <w:rsid w:val="0070087A"/>
    <w:rsid w:val="007109DF"/>
    <w:rsid w:val="007115A4"/>
    <w:rsid w:val="00713705"/>
    <w:rsid w:val="00715B87"/>
    <w:rsid w:val="00716FB5"/>
    <w:rsid w:val="00717548"/>
    <w:rsid w:val="00717E19"/>
    <w:rsid w:val="0072048D"/>
    <w:rsid w:val="007204F6"/>
    <w:rsid w:val="007210E5"/>
    <w:rsid w:val="007215CB"/>
    <w:rsid w:val="0072176A"/>
    <w:rsid w:val="0072188E"/>
    <w:rsid w:val="00722293"/>
    <w:rsid w:val="00722494"/>
    <w:rsid w:val="007241BD"/>
    <w:rsid w:val="007243EE"/>
    <w:rsid w:val="0072514A"/>
    <w:rsid w:val="007252D6"/>
    <w:rsid w:val="007258A8"/>
    <w:rsid w:val="00725D7C"/>
    <w:rsid w:val="00726F1B"/>
    <w:rsid w:val="007274D6"/>
    <w:rsid w:val="0073037B"/>
    <w:rsid w:val="00730A25"/>
    <w:rsid w:val="00730C68"/>
    <w:rsid w:val="00731132"/>
    <w:rsid w:val="00731DFE"/>
    <w:rsid w:val="007327EB"/>
    <w:rsid w:val="0073383E"/>
    <w:rsid w:val="00733EBF"/>
    <w:rsid w:val="007341A7"/>
    <w:rsid w:val="0073461F"/>
    <w:rsid w:val="00735351"/>
    <w:rsid w:val="00736DD4"/>
    <w:rsid w:val="00737775"/>
    <w:rsid w:val="007403D3"/>
    <w:rsid w:val="00743AFE"/>
    <w:rsid w:val="00744862"/>
    <w:rsid w:val="00747E18"/>
    <w:rsid w:val="0075011F"/>
    <w:rsid w:val="00750892"/>
    <w:rsid w:val="00751D2F"/>
    <w:rsid w:val="00751E6E"/>
    <w:rsid w:val="0075341E"/>
    <w:rsid w:val="007537EE"/>
    <w:rsid w:val="00755EF2"/>
    <w:rsid w:val="00760CAB"/>
    <w:rsid w:val="007616F5"/>
    <w:rsid w:val="00765D0F"/>
    <w:rsid w:val="00765F84"/>
    <w:rsid w:val="007660C6"/>
    <w:rsid w:val="00770350"/>
    <w:rsid w:val="00771E73"/>
    <w:rsid w:val="00771F2C"/>
    <w:rsid w:val="00772A00"/>
    <w:rsid w:val="0077312C"/>
    <w:rsid w:val="007737C5"/>
    <w:rsid w:val="00777B6F"/>
    <w:rsid w:val="00780088"/>
    <w:rsid w:val="00780738"/>
    <w:rsid w:val="00781114"/>
    <w:rsid w:val="00782A10"/>
    <w:rsid w:val="00783407"/>
    <w:rsid w:val="00785065"/>
    <w:rsid w:val="007861E3"/>
    <w:rsid w:val="007862F5"/>
    <w:rsid w:val="0079007D"/>
    <w:rsid w:val="00790792"/>
    <w:rsid w:val="00791440"/>
    <w:rsid w:val="00792E16"/>
    <w:rsid w:val="00792F8B"/>
    <w:rsid w:val="00792FD2"/>
    <w:rsid w:val="007946A5"/>
    <w:rsid w:val="00794FDE"/>
    <w:rsid w:val="00797945"/>
    <w:rsid w:val="007A2EFE"/>
    <w:rsid w:val="007A31F0"/>
    <w:rsid w:val="007A444D"/>
    <w:rsid w:val="007A73D5"/>
    <w:rsid w:val="007A75D4"/>
    <w:rsid w:val="007B0CD0"/>
    <w:rsid w:val="007B164E"/>
    <w:rsid w:val="007B5209"/>
    <w:rsid w:val="007B540A"/>
    <w:rsid w:val="007B5CA6"/>
    <w:rsid w:val="007B71B7"/>
    <w:rsid w:val="007B7AF4"/>
    <w:rsid w:val="007C29E6"/>
    <w:rsid w:val="007C5145"/>
    <w:rsid w:val="007C6560"/>
    <w:rsid w:val="007D07D3"/>
    <w:rsid w:val="007D0A0A"/>
    <w:rsid w:val="007D25B1"/>
    <w:rsid w:val="007D3EBA"/>
    <w:rsid w:val="007D4602"/>
    <w:rsid w:val="007D4BD9"/>
    <w:rsid w:val="007D4EE8"/>
    <w:rsid w:val="007D5418"/>
    <w:rsid w:val="007D6870"/>
    <w:rsid w:val="007D7056"/>
    <w:rsid w:val="007E04B2"/>
    <w:rsid w:val="007E21B4"/>
    <w:rsid w:val="007E23A4"/>
    <w:rsid w:val="007E3D7B"/>
    <w:rsid w:val="007E3FA9"/>
    <w:rsid w:val="007E5EC8"/>
    <w:rsid w:val="007E723D"/>
    <w:rsid w:val="007E7C06"/>
    <w:rsid w:val="007E7FAF"/>
    <w:rsid w:val="007F029A"/>
    <w:rsid w:val="007F2569"/>
    <w:rsid w:val="007F266A"/>
    <w:rsid w:val="007F3DF6"/>
    <w:rsid w:val="007F5174"/>
    <w:rsid w:val="007F5374"/>
    <w:rsid w:val="00800086"/>
    <w:rsid w:val="0080019C"/>
    <w:rsid w:val="00800B73"/>
    <w:rsid w:val="00800E03"/>
    <w:rsid w:val="0080175E"/>
    <w:rsid w:val="00803A99"/>
    <w:rsid w:val="00803C42"/>
    <w:rsid w:val="008052ED"/>
    <w:rsid w:val="00806A85"/>
    <w:rsid w:val="008073C4"/>
    <w:rsid w:val="008076B1"/>
    <w:rsid w:val="00811579"/>
    <w:rsid w:val="008126CD"/>
    <w:rsid w:val="0081502B"/>
    <w:rsid w:val="00815D83"/>
    <w:rsid w:val="008170B6"/>
    <w:rsid w:val="008173AB"/>
    <w:rsid w:val="0082072D"/>
    <w:rsid w:val="00820B95"/>
    <w:rsid w:val="00820E00"/>
    <w:rsid w:val="00821FAF"/>
    <w:rsid w:val="00822A7C"/>
    <w:rsid w:val="00822EA6"/>
    <w:rsid w:val="00823D08"/>
    <w:rsid w:val="00824048"/>
    <w:rsid w:val="008250BA"/>
    <w:rsid w:val="0082634B"/>
    <w:rsid w:val="008300B6"/>
    <w:rsid w:val="008307D1"/>
    <w:rsid w:val="00830D9B"/>
    <w:rsid w:val="00833010"/>
    <w:rsid w:val="00836232"/>
    <w:rsid w:val="0083624A"/>
    <w:rsid w:val="0084008A"/>
    <w:rsid w:val="00844162"/>
    <w:rsid w:val="00844A49"/>
    <w:rsid w:val="00844E6B"/>
    <w:rsid w:val="00845212"/>
    <w:rsid w:val="00847E59"/>
    <w:rsid w:val="008509E5"/>
    <w:rsid w:val="00850A27"/>
    <w:rsid w:val="00854F03"/>
    <w:rsid w:val="0086001B"/>
    <w:rsid w:val="00860C91"/>
    <w:rsid w:val="008624E6"/>
    <w:rsid w:val="00863B20"/>
    <w:rsid w:val="00865998"/>
    <w:rsid w:val="00867A69"/>
    <w:rsid w:val="008702F7"/>
    <w:rsid w:val="0087194B"/>
    <w:rsid w:val="00872FD3"/>
    <w:rsid w:val="00874D57"/>
    <w:rsid w:val="00875E7D"/>
    <w:rsid w:val="0087620A"/>
    <w:rsid w:val="00876C4C"/>
    <w:rsid w:val="008801DD"/>
    <w:rsid w:val="008808BE"/>
    <w:rsid w:val="00883D6C"/>
    <w:rsid w:val="00884A91"/>
    <w:rsid w:val="008853EF"/>
    <w:rsid w:val="00885837"/>
    <w:rsid w:val="008864A0"/>
    <w:rsid w:val="008864F1"/>
    <w:rsid w:val="0089129C"/>
    <w:rsid w:val="00891BD2"/>
    <w:rsid w:val="00893FD2"/>
    <w:rsid w:val="008963F6"/>
    <w:rsid w:val="008965B1"/>
    <w:rsid w:val="00896AA8"/>
    <w:rsid w:val="00897C84"/>
    <w:rsid w:val="008A05BA"/>
    <w:rsid w:val="008A05DC"/>
    <w:rsid w:val="008A06CF"/>
    <w:rsid w:val="008A0F80"/>
    <w:rsid w:val="008A1BF6"/>
    <w:rsid w:val="008A3AFD"/>
    <w:rsid w:val="008A4268"/>
    <w:rsid w:val="008A7696"/>
    <w:rsid w:val="008B2A51"/>
    <w:rsid w:val="008B33CC"/>
    <w:rsid w:val="008B43F8"/>
    <w:rsid w:val="008B4B60"/>
    <w:rsid w:val="008B4C63"/>
    <w:rsid w:val="008B7069"/>
    <w:rsid w:val="008C06D0"/>
    <w:rsid w:val="008C0BC5"/>
    <w:rsid w:val="008C1436"/>
    <w:rsid w:val="008C15CF"/>
    <w:rsid w:val="008C1751"/>
    <w:rsid w:val="008C5062"/>
    <w:rsid w:val="008C65FD"/>
    <w:rsid w:val="008C6F5B"/>
    <w:rsid w:val="008C6FBA"/>
    <w:rsid w:val="008C775C"/>
    <w:rsid w:val="008D0ABA"/>
    <w:rsid w:val="008D0BA9"/>
    <w:rsid w:val="008D0EDE"/>
    <w:rsid w:val="008D27D4"/>
    <w:rsid w:val="008D282C"/>
    <w:rsid w:val="008D70C9"/>
    <w:rsid w:val="008D70E1"/>
    <w:rsid w:val="008E28FE"/>
    <w:rsid w:val="008E384A"/>
    <w:rsid w:val="008E3E4B"/>
    <w:rsid w:val="008E432F"/>
    <w:rsid w:val="008E4361"/>
    <w:rsid w:val="008E45AB"/>
    <w:rsid w:val="008E48BD"/>
    <w:rsid w:val="008E61B8"/>
    <w:rsid w:val="008E6704"/>
    <w:rsid w:val="008E77CA"/>
    <w:rsid w:val="008F1B99"/>
    <w:rsid w:val="008F2279"/>
    <w:rsid w:val="008F2F3A"/>
    <w:rsid w:val="008F3235"/>
    <w:rsid w:val="008F421E"/>
    <w:rsid w:val="008F4353"/>
    <w:rsid w:val="008F468B"/>
    <w:rsid w:val="008F4ABD"/>
    <w:rsid w:val="008F61B8"/>
    <w:rsid w:val="008F678D"/>
    <w:rsid w:val="008F6C1F"/>
    <w:rsid w:val="008F705A"/>
    <w:rsid w:val="008F73CE"/>
    <w:rsid w:val="0090004F"/>
    <w:rsid w:val="009001CB"/>
    <w:rsid w:val="00900E6F"/>
    <w:rsid w:val="0090266D"/>
    <w:rsid w:val="00903327"/>
    <w:rsid w:val="00903F4C"/>
    <w:rsid w:val="0090441A"/>
    <w:rsid w:val="0090783B"/>
    <w:rsid w:val="00907ABE"/>
    <w:rsid w:val="0091009C"/>
    <w:rsid w:val="00911602"/>
    <w:rsid w:val="00911F10"/>
    <w:rsid w:val="009121C2"/>
    <w:rsid w:val="00912380"/>
    <w:rsid w:val="009125DC"/>
    <w:rsid w:val="00914416"/>
    <w:rsid w:val="0091546D"/>
    <w:rsid w:val="009161ED"/>
    <w:rsid w:val="00916A5A"/>
    <w:rsid w:val="00917B8B"/>
    <w:rsid w:val="00920977"/>
    <w:rsid w:val="00921562"/>
    <w:rsid w:val="009219A2"/>
    <w:rsid w:val="00922AED"/>
    <w:rsid w:val="009240AC"/>
    <w:rsid w:val="0092443D"/>
    <w:rsid w:val="0092466E"/>
    <w:rsid w:val="009260E8"/>
    <w:rsid w:val="00926DEF"/>
    <w:rsid w:val="00926DFF"/>
    <w:rsid w:val="00927842"/>
    <w:rsid w:val="00936437"/>
    <w:rsid w:val="009377B6"/>
    <w:rsid w:val="00937DA9"/>
    <w:rsid w:val="0094038B"/>
    <w:rsid w:val="0094217B"/>
    <w:rsid w:val="009445DB"/>
    <w:rsid w:val="00944FBB"/>
    <w:rsid w:val="009458BF"/>
    <w:rsid w:val="00946FCD"/>
    <w:rsid w:val="009473F9"/>
    <w:rsid w:val="0094741E"/>
    <w:rsid w:val="00947AC5"/>
    <w:rsid w:val="00947BD9"/>
    <w:rsid w:val="00950165"/>
    <w:rsid w:val="0095096E"/>
    <w:rsid w:val="00950976"/>
    <w:rsid w:val="00951421"/>
    <w:rsid w:val="00952846"/>
    <w:rsid w:val="00956099"/>
    <w:rsid w:val="009561B9"/>
    <w:rsid w:val="0096036B"/>
    <w:rsid w:val="00960CCB"/>
    <w:rsid w:val="00961791"/>
    <w:rsid w:val="009629AA"/>
    <w:rsid w:val="009657CB"/>
    <w:rsid w:val="00965BBB"/>
    <w:rsid w:val="0096794E"/>
    <w:rsid w:val="00971F98"/>
    <w:rsid w:val="00972982"/>
    <w:rsid w:val="00972E14"/>
    <w:rsid w:val="009745DC"/>
    <w:rsid w:val="00976E9E"/>
    <w:rsid w:val="00977782"/>
    <w:rsid w:val="0098056D"/>
    <w:rsid w:val="009824EE"/>
    <w:rsid w:val="0098481B"/>
    <w:rsid w:val="00987716"/>
    <w:rsid w:val="00990708"/>
    <w:rsid w:val="00991DCD"/>
    <w:rsid w:val="009921A8"/>
    <w:rsid w:val="009926C9"/>
    <w:rsid w:val="00992992"/>
    <w:rsid w:val="009929E1"/>
    <w:rsid w:val="0099411A"/>
    <w:rsid w:val="00997D79"/>
    <w:rsid w:val="009A4510"/>
    <w:rsid w:val="009A60A3"/>
    <w:rsid w:val="009A6D37"/>
    <w:rsid w:val="009B0C8D"/>
    <w:rsid w:val="009B27CB"/>
    <w:rsid w:val="009B2CE9"/>
    <w:rsid w:val="009B3F18"/>
    <w:rsid w:val="009B3FF1"/>
    <w:rsid w:val="009B4F20"/>
    <w:rsid w:val="009B6FF2"/>
    <w:rsid w:val="009B7A95"/>
    <w:rsid w:val="009B7B95"/>
    <w:rsid w:val="009C0B75"/>
    <w:rsid w:val="009C1751"/>
    <w:rsid w:val="009C3433"/>
    <w:rsid w:val="009C6698"/>
    <w:rsid w:val="009C6C8A"/>
    <w:rsid w:val="009C7C06"/>
    <w:rsid w:val="009D1D0B"/>
    <w:rsid w:val="009D1E36"/>
    <w:rsid w:val="009D1F59"/>
    <w:rsid w:val="009D255B"/>
    <w:rsid w:val="009D2A80"/>
    <w:rsid w:val="009D3F74"/>
    <w:rsid w:val="009D44AD"/>
    <w:rsid w:val="009D4B66"/>
    <w:rsid w:val="009D550B"/>
    <w:rsid w:val="009D631B"/>
    <w:rsid w:val="009D6883"/>
    <w:rsid w:val="009D6ACC"/>
    <w:rsid w:val="009D730C"/>
    <w:rsid w:val="009E00A7"/>
    <w:rsid w:val="009E134E"/>
    <w:rsid w:val="009E29E9"/>
    <w:rsid w:val="009E3C71"/>
    <w:rsid w:val="009E44F7"/>
    <w:rsid w:val="009E496E"/>
    <w:rsid w:val="009E4D19"/>
    <w:rsid w:val="009E5050"/>
    <w:rsid w:val="009E57E9"/>
    <w:rsid w:val="009F4C19"/>
    <w:rsid w:val="009F5A7C"/>
    <w:rsid w:val="009F5F8F"/>
    <w:rsid w:val="00A0299F"/>
    <w:rsid w:val="00A039AD"/>
    <w:rsid w:val="00A047BA"/>
    <w:rsid w:val="00A04D70"/>
    <w:rsid w:val="00A06E3E"/>
    <w:rsid w:val="00A0724A"/>
    <w:rsid w:val="00A0745F"/>
    <w:rsid w:val="00A079C3"/>
    <w:rsid w:val="00A107AA"/>
    <w:rsid w:val="00A10CBB"/>
    <w:rsid w:val="00A10EE0"/>
    <w:rsid w:val="00A11013"/>
    <w:rsid w:val="00A119D2"/>
    <w:rsid w:val="00A11F23"/>
    <w:rsid w:val="00A1237C"/>
    <w:rsid w:val="00A12927"/>
    <w:rsid w:val="00A13703"/>
    <w:rsid w:val="00A139B9"/>
    <w:rsid w:val="00A16D38"/>
    <w:rsid w:val="00A17BD3"/>
    <w:rsid w:val="00A17C28"/>
    <w:rsid w:val="00A17D2D"/>
    <w:rsid w:val="00A21E45"/>
    <w:rsid w:val="00A23426"/>
    <w:rsid w:val="00A2359A"/>
    <w:rsid w:val="00A2491B"/>
    <w:rsid w:val="00A24AE6"/>
    <w:rsid w:val="00A27B64"/>
    <w:rsid w:val="00A27CAA"/>
    <w:rsid w:val="00A317FB"/>
    <w:rsid w:val="00A325B4"/>
    <w:rsid w:val="00A33972"/>
    <w:rsid w:val="00A34D85"/>
    <w:rsid w:val="00A36316"/>
    <w:rsid w:val="00A37DD4"/>
    <w:rsid w:val="00A37F5D"/>
    <w:rsid w:val="00A414E2"/>
    <w:rsid w:val="00A41B0E"/>
    <w:rsid w:val="00A436D5"/>
    <w:rsid w:val="00A45090"/>
    <w:rsid w:val="00A5123D"/>
    <w:rsid w:val="00A51345"/>
    <w:rsid w:val="00A51349"/>
    <w:rsid w:val="00A51F91"/>
    <w:rsid w:val="00A534A9"/>
    <w:rsid w:val="00A55965"/>
    <w:rsid w:val="00A57194"/>
    <w:rsid w:val="00A60541"/>
    <w:rsid w:val="00A60574"/>
    <w:rsid w:val="00A65AD0"/>
    <w:rsid w:val="00A674A0"/>
    <w:rsid w:val="00A67A57"/>
    <w:rsid w:val="00A715FC"/>
    <w:rsid w:val="00A745E9"/>
    <w:rsid w:val="00A77837"/>
    <w:rsid w:val="00A80C27"/>
    <w:rsid w:val="00A81257"/>
    <w:rsid w:val="00A8218F"/>
    <w:rsid w:val="00A8263C"/>
    <w:rsid w:val="00A83816"/>
    <w:rsid w:val="00A84D7C"/>
    <w:rsid w:val="00A85B0B"/>
    <w:rsid w:val="00A865B4"/>
    <w:rsid w:val="00A927CA"/>
    <w:rsid w:val="00A94BD3"/>
    <w:rsid w:val="00A950D9"/>
    <w:rsid w:val="00A96399"/>
    <w:rsid w:val="00AA10BC"/>
    <w:rsid w:val="00AA16FA"/>
    <w:rsid w:val="00AA25C6"/>
    <w:rsid w:val="00AA265F"/>
    <w:rsid w:val="00AA2A0D"/>
    <w:rsid w:val="00AA3071"/>
    <w:rsid w:val="00AA4989"/>
    <w:rsid w:val="00AA598F"/>
    <w:rsid w:val="00AA6AE6"/>
    <w:rsid w:val="00AA72C8"/>
    <w:rsid w:val="00AA72FE"/>
    <w:rsid w:val="00AA76B8"/>
    <w:rsid w:val="00AA7832"/>
    <w:rsid w:val="00AB1915"/>
    <w:rsid w:val="00AB1FC1"/>
    <w:rsid w:val="00AB26AF"/>
    <w:rsid w:val="00AB345D"/>
    <w:rsid w:val="00AB47F5"/>
    <w:rsid w:val="00AB510B"/>
    <w:rsid w:val="00AB628E"/>
    <w:rsid w:val="00AB652A"/>
    <w:rsid w:val="00AB7BEB"/>
    <w:rsid w:val="00AB7C5E"/>
    <w:rsid w:val="00AB7DC9"/>
    <w:rsid w:val="00AC157B"/>
    <w:rsid w:val="00AC27A2"/>
    <w:rsid w:val="00AC40AD"/>
    <w:rsid w:val="00AC59B8"/>
    <w:rsid w:val="00AC7DD6"/>
    <w:rsid w:val="00AC7F38"/>
    <w:rsid w:val="00AD02EB"/>
    <w:rsid w:val="00AD0406"/>
    <w:rsid w:val="00AD1844"/>
    <w:rsid w:val="00AD2E24"/>
    <w:rsid w:val="00AD3114"/>
    <w:rsid w:val="00AD4F69"/>
    <w:rsid w:val="00AD5377"/>
    <w:rsid w:val="00AD5BC9"/>
    <w:rsid w:val="00AD5E5C"/>
    <w:rsid w:val="00AD67DE"/>
    <w:rsid w:val="00AE0030"/>
    <w:rsid w:val="00AE1E21"/>
    <w:rsid w:val="00AE2042"/>
    <w:rsid w:val="00AE2B02"/>
    <w:rsid w:val="00AE2C6C"/>
    <w:rsid w:val="00AE2C8B"/>
    <w:rsid w:val="00AE32D2"/>
    <w:rsid w:val="00AE5C3C"/>
    <w:rsid w:val="00AE5CD2"/>
    <w:rsid w:val="00AE6094"/>
    <w:rsid w:val="00AE700E"/>
    <w:rsid w:val="00AE7BB9"/>
    <w:rsid w:val="00AE7DD7"/>
    <w:rsid w:val="00AF37F6"/>
    <w:rsid w:val="00AF4D59"/>
    <w:rsid w:val="00AF6352"/>
    <w:rsid w:val="00B0032C"/>
    <w:rsid w:val="00B02223"/>
    <w:rsid w:val="00B03C40"/>
    <w:rsid w:val="00B04095"/>
    <w:rsid w:val="00B04D33"/>
    <w:rsid w:val="00B1080C"/>
    <w:rsid w:val="00B13034"/>
    <w:rsid w:val="00B13704"/>
    <w:rsid w:val="00B155EE"/>
    <w:rsid w:val="00B15694"/>
    <w:rsid w:val="00B15E25"/>
    <w:rsid w:val="00B20BE1"/>
    <w:rsid w:val="00B22647"/>
    <w:rsid w:val="00B26214"/>
    <w:rsid w:val="00B26864"/>
    <w:rsid w:val="00B27E8D"/>
    <w:rsid w:val="00B27E97"/>
    <w:rsid w:val="00B33D0C"/>
    <w:rsid w:val="00B3418B"/>
    <w:rsid w:val="00B3433A"/>
    <w:rsid w:val="00B35354"/>
    <w:rsid w:val="00B35475"/>
    <w:rsid w:val="00B370BB"/>
    <w:rsid w:val="00B37D4E"/>
    <w:rsid w:val="00B37F53"/>
    <w:rsid w:val="00B422ED"/>
    <w:rsid w:val="00B45706"/>
    <w:rsid w:val="00B468EC"/>
    <w:rsid w:val="00B46923"/>
    <w:rsid w:val="00B47574"/>
    <w:rsid w:val="00B47A9B"/>
    <w:rsid w:val="00B507A8"/>
    <w:rsid w:val="00B5151F"/>
    <w:rsid w:val="00B53DC3"/>
    <w:rsid w:val="00B56AC3"/>
    <w:rsid w:val="00B61549"/>
    <w:rsid w:val="00B619EA"/>
    <w:rsid w:val="00B640A9"/>
    <w:rsid w:val="00B64112"/>
    <w:rsid w:val="00B652A6"/>
    <w:rsid w:val="00B65A15"/>
    <w:rsid w:val="00B67D3B"/>
    <w:rsid w:val="00B70FF7"/>
    <w:rsid w:val="00B72346"/>
    <w:rsid w:val="00B729E9"/>
    <w:rsid w:val="00B7358B"/>
    <w:rsid w:val="00B74C23"/>
    <w:rsid w:val="00B75582"/>
    <w:rsid w:val="00B75AFD"/>
    <w:rsid w:val="00B76889"/>
    <w:rsid w:val="00B76AF3"/>
    <w:rsid w:val="00B779C6"/>
    <w:rsid w:val="00B77AAE"/>
    <w:rsid w:val="00B8155E"/>
    <w:rsid w:val="00B82207"/>
    <w:rsid w:val="00B82DEA"/>
    <w:rsid w:val="00B83A91"/>
    <w:rsid w:val="00B83A95"/>
    <w:rsid w:val="00B87640"/>
    <w:rsid w:val="00B87A57"/>
    <w:rsid w:val="00B90FCF"/>
    <w:rsid w:val="00B911F2"/>
    <w:rsid w:val="00B9139C"/>
    <w:rsid w:val="00B95543"/>
    <w:rsid w:val="00B95741"/>
    <w:rsid w:val="00B959C5"/>
    <w:rsid w:val="00B9679D"/>
    <w:rsid w:val="00B97829"/>
    <w:rsid w:val="00BA0091"/>
    <w:rsid w:val="00BA020B"/>
    <w:rsid w:val="00BA13A0"/>
    <w:rsid w:val="00BA2C5C"/>
    <w:rsid w:val="00BA3A1A"/>
    <w:rsid w:val="00BA4741"/>
    <w:rsid w:val="00BB080B"/>
    <w:rsid w:val="00BB0865"/>
    <w:rsid w:val="00BB0B67"/>
    <w:rsid w:val="00BB0E50"/>
    <w:rsid w:val="00BB1CFA"/>
    <w:rsid w:val="00BB202B"/>
    <w:rsid w:val="00BB4200"/>
    <w:rsid w:val="00BB5E05"/>
    <w:rsid w:val="00BB7CA0"/>
    <w:rsid w:val="00BC06EA"/>
    <w:rsid w:val="00BC0B33"/>
    <w:rsid w:val="00BC104E"/>
    <w:rsid w:val="00BC142B"/>
    <w:rsid w:val="00BC23CB"/>
    <w:rsid w:val="00BC32B9"/>
    <w:rsid w:val="00BC7A93"/>
    <w:rsid w:val="00BD0993"/>
    <w:rsid w:val="00BD2C49"/>
    <w:rsid w:val="00BD4A45"/>
    <w:rsid w:val="00BD5C7A"/>
    <w:rsid w:val="00BD60CC"/>
    <w:rsid w:val="00BD73F2"/>
    <w:rsid w:val="00BD744A"/>
    <w:rsid w:val="00BE090F"/>
    <w:rsid w:val="00BE12C2"/>
    <w:rsid w:val="00BE3285"/>
    <w:rsid w:val="00BE3CC2"/>
    <w:rsid w:val="00BE3DEA"/>
    <w:rsid w:val="00BE41E9"/>
    <w:rsid w:val="00BE49C9"/>
    <w:rsid w:val="00BE4C7F"/>
    <w:rsid w:val="00BE512E"/>
    <w:rsid w:val="00BE5842"/>
    <w:rsid w:val="00BF1F0F"/>
    <w:rsid w:val="00BF2595"/>
    <w:rsid w:val="00BF265E"/>
    <w:rsid w:val="00BF3297"/>
    <w:rsid w:val="00BF3C0A"/>
    <w:rsid w:val="00BF3E34"/>
    <w:rsid w:val="00BF480A"/>
    <w:rsid w:val="00BF4B58"/>
    <w:rsid w:val="00BF5938"/>
    <w:rsid w:val="00C016C7"/>
    <w:rsid w:val="00C02544"/>
    <w:rsid w:val="00C0305C"/>
    <w:rsid w:val="00C030EC"/>
    <w:rsid w:val="00C047FD"/>
    <w:rsid w:val="00C0480A"/>
    <w:rsid w:val="00C069C2"/>
    <w:rsid w:val="00C06CC8"/>
    <w:rsid w:val="00C11076"/>
    <w:rsid w:val="00C118A5"/>
    <w:rsid w:val="00C1415C"/>
    <w:rsid w:val="00C149A4"/>
    <w:rsid w:val="00C14D4E"/>
    <w:rsid w:val="00C151B4"/>
    <w:rsid w:val="00C17177"/>
    <w:rsid w:val="00C17C10"/>
    <w:rsid w:val="00C20082"/>
    <w:rsid w:val="00C214F5"/>
    <w:rsid w:val="00C21580"/>
    <w:rsid w:val="00C21EC2"/>
    <w:rsid w:val="00C2234C"/>
    <w:rsid w:val="00C22709"/>
    <w:rsid w:val="00C30ACB"/>
    <w:rsid w:val="00C3193C"/>
    <w:rsid w:val="00C351E4"/>
    <w:rsid w:val="00C372A9"/>
    <w:rsid w:val="00C3756D"/>
    <w:rsid w:val="00C37AA8"/>
    <w:rsid w:val="00C42188"/>
    <w:rsid w:val="00C43F4F"/>
    <w:rsid w:val="00C449B2"/>
    <w:rsid w:val="00C46A61"/>
    <w:rsid w:val="00C523AB"/>
    <w:rsid w:val="00C53ACC"/>
    <w:rsid w:val="00C54497"/>
    <w:rsid w:val="00C546DA"/>
    <w:rsid w:val="00C54C5A"/>
    <w:rsid w:val="00C56196"/>
    <w:rsid w:val="00C56A54"/>
    <w:rsid w:val="00C60DAB"/>
    <w:rsid w:val="00C613EB"/>
    <w:rsid w:val="00C61D9C"/>
    <w:rsid w:val="00C61DAF"/>
    <w:rsid w:val="00C620D7"/>
    <w:rsid w:val="00C635C6"/>
    <w:rsid w:val="00C63C90"/>
    <w:rsid w:val="00C647B9"/>
    <w:rsid w:val="00C64F69"/>
    <w:rsid w:val="00C65608"/>
    <w:rsid w:val="00C67DF1"/>
    <w:rsid w:val="00C7085B"/>
    <w:rsid w:val="00C72125"/>
    <w:rsid w:val="00C73A37"/>
    <w:rsid w:val="00C81B79"/>
    <w:rsid w:val="00C81F9A"/>
    <w:rsid w:val="00C83FCE"/>
    <w:rsid w:val="00C84B5B"/>
    <w:rsid w:val="00C86125"/>
    <w:rsid w:val="00C86A63"/>
    <w:rsid w:val="00C879B0"/>
    <w:rsid w:val="00C91840"/>
    <w:rsid w:val="00C91B93"/>
    <w:rsid w:val="00C929F1"/>
    <w:rsid w:val="00C947A6"/>
    <w:rsid w:val="00C9592A"/>
    <w:rsid w:val="00C9643B"/>
    <w:rsid w:val="00C964AF"/>
    <w:rsid w:val="00C97E61"/>
    <w:rsid w:val="00CA19C0"/>
    <w:rsid w:val="00CA30D2"/>
    <w:rsid w:val="00CA3B84"/>
    <w:rsid w:val="00CA51F3"/>
    <w:rsid w:val="00CA6DA2"/>
    <w:rsid w:val="00CB735A"/>
    <w:rsid w:val="00CC1A50"/>
    <w:rsid w:val="00CC38E4"/>
    <w:rsid w:val="00CC3A46"/>
    <w:rsid w:val="00CC492F"/>
    <w:rsid w:val="00CC63C2"/>
    <w:rsid w:val="00CC6B9F"/>
    <w:rsid w:val="00CC7779"/>
    <w:rsid w:val="00CD097E"/>
    <w:rsid w:val="00CD23E5"/>
    <w:rsid w:val="00CD3E2B"/>
    <w:rsid w:val="00CD4811"/>
    <w:rsid w:val="00CD5A4A"/>
    <w:rsid w:val="00CD5B41"/>
    <w:rsid w:val="00CD65D9"/>
    <w:rsid w:val="00CD78B4"/>
    <w:rsid w:val="00CE1057"/>
    <w:rsid w:val="00CE16CB"/>
    <w:rsid w:val="00CE1904"/>
    <w:rsid w:val="00CE2FE6"/>
    <w:rsid w:val="00CE46A8"/>
    <w:rsid w:val="00CE78A2"/>
    <w:rsid w:val="00CF03F2"/>
    <w:rsid w:val="00CF0A1A"/>
    <w:rsid w:val="00CF176B"/>
    <w:rsid w:val="00CF216E"/>
    <w:rsid w:val="00CF3154"/>
    <w:rsid w:val="00CF5435"/>
    <w:rsid w:val="00CF746E"/>
    <w:rsid w:val="00D01306"/>
    <w:rsid w:val="00D01845"/>
    <w:rsid w:val="00D03962"/>
    <w:rsid w:val="00D0410D"/>
    <w:rsid w:val="00D101A3"/>
    <w:rsid w:val="00D1056F"/>
    <w:rsid w:val="00D10575"/>
    <w:rsid w:val="00D10DAF"/>
    <w:rsid w:val="00D11106"/>
    <w:rsid w:val="00D11744"/>
    <w:rsid w:val="00D11EF3"/>
    <w:rsid w:val="00D128E8"/>
    <w:rsid w:val="00D13FE6"/>
    <w:rsid w:val="00D15897"/>
    <w:rsid w:val="00D169CF"/>
    <w:rsid w:val="00D177DE"/>
    <w:rsid w:val="00D208B3"/>
    <w:rsid w:val="00D20DDF"/>
    <w:rsid w:val="00D210A0"/>
    <w:rsid w:val="00D23FE8"/>
    <w:rsid w:val="00D24915"/>
    <w:rsid w:val="00D24B37"/>
    <w:rsid w:val="00D2590E"/>
    <w:rsid w:val="00D26B18"/>
    <w:rsid w:val="00D2770C"/>
    <w:rsid w:val="00D27E81"/>
    <w:rsid w:val="00D302D4"/>
    <w:rsid w:val="00D30351"/>
    <w:rsid w:val="00D305ED"/>
    <w:rsid w:val="00D314CC"/>
    <w:rsid w:val="00D31B1A"/>
    <w:rsid w:val="00D3505F"/>
    <w:rsid w:val="00D35772"/>
    <w:rsid w:val="00D36BCB"/>
    <w:rsid w:val="00D416C0"/>
    <w:rsid w:val="00D42B80"/>
    <w:rsid w:val="00D42BA7"/>
    <w:rsid w:val="00D47785"/>
    <w:rsid w:val="00D50617"/>
    <w:rsid w:val="00D50BEA"/>
    <w:rsid w:val="00D52F44"/>
    <w:rsid w:val="00D54AE0"/>
    <w:rsid w:val="00D54C35"/>
    <w:rsid w:val="00D5543F"/>
    <w:rsid w:val="00D55BBB"/>
    <w:rsid w:val="00D56295"/>
    <w:rsid w:val="00D57A08"/>
    <w:rsid w:val="00D608ED"/>
    <w:rsid w:val="00D60B0F"/>
    <w:rsid w:val="00D60DF2"/>
    <w:rsid w:val="00D61109"/>
    <w:rsid w:val="00D6121E"/>
    <w:rsid w:val="00D628ED"/>
    <w:rsid w:val="00D64367"/>
    <w:rsid w:val="00D645B4"/>
    <w:rsid w:val="00D65991"/>
    <w:rsid w:val="00D6699A"/>
    <w:rsid w:val="00D70C7B"/>
    <w:rsid w:val="00D71CEF"/>
    <w:rsid w:val="00D72E52"/>
    <w:rsid w:val="00D72F4A"/>
    <w:rsid w:val="00D77B35"/>
    <w:rsid w:val="00D801AA"/>
    <w:rsid w:val="00D80212"/>
    <w:rsid w:val="00D81FF0"/>
    <w:rsid w:val="00D83A9D"/>
    <w:rsid w:val="00D83FE8"/>
    <w:rsid w:val="00D84322"/>
    <w:rsid w:val="00D878D6"/>
    <w:rsid w:val="00D87CC4"/>
    <w:rsid w:val="00D900F3"/>
    <w:rsid w:val="00D90548"/>
    <w:rsid w:val="00D9175A"/>
    <w:rsid w:val="00D9263F"/>
    <w:rsid w:val="00D940FF"/>
    <w:rsid w:val="00D946A5"/>
    <w:rsid w:val="00D94CC5"/>
    <w:rsid w:val="00D955FA"/>
    <w:rsid w:val="00D9587D"/>
    <w:rsid w:val="00D9764F"/>
    <w:rsid w:val="00DA04D3"/>
    <w:rsid w:val="00DA0A61"/>
    <w:rsid w:val="00DA28A6"/>
    <w:rsid w:val="00DA3E8A"/>
    <w:rsid w:val="00DA4696"/>
    <w:rsid w:val="00DA5012"/>
    <w:rsid w:val="00DA5FF3"/>
    <w:rsid w:val="00DA698C"/>
    <w:rsid w:val="00DA796F"/>
    <w:rsid w:val="00DB0D7A"/>
    <w:rsid w:val="00DB23AC"/>
    <w:rsid w:val="00DB2C3C"/>
    <w:rsid w:val="00DB3528"/>
    <w:rsid w:val="00DB77BC"/>
    <w:rsid w:val="00DB77F4"/>
    <w:rsid w:val="00DC05A5"/>
    <w:rsid w:val="00DC214B"/>
    <w:rsid w:val="00DC311D"/>
    <w:rsid w:val="00DC4602"/>
    <w:rsid w:val="00DC5364"/>
    <w:rsid w:val="00DC627E"/>
    <w:rsid w:val="00DC6560"/>
    <w:rsid w:val="00DC6FBA"/>
    <w:rsid w:val="00DC70E5"/>
    <w:rsid w:val="00DD52CE"/>
    <w:rsid w:val="00DD7248"/>
    <w:rsid w:val="00DE0D13"/>
    <w:rsid w:val="00DE3052"/>
    <w:rsid w:val="00DF10DD"/>
    <w:rsid w:val="00DF304E"/>
    <w:rsid w:val="00DF514A"/>
    <w:rsid w:val="00DF6FE5"/>
    <w:rsid w:val="00DF7EE6"/>
    <w:rsid w:val="00E002C2"/>
    <w:rsid w:val="00E022FF"/>
    <w:rsid w:val="00E0469E"/>
    <w:rsid w:val="00E04759"/>
    <w:rsid w:val="00E04D99"/>
    <w:rsid w:val="00E04DDE"/>
    <w:rsid w:val="00E068D2"/>
    <w:rsid w:val="00E06E56"/>
    <w:rsid w:val="00E071B6"/>
    <w:rsid w:val="00E102D1"/>
    <w:rsid w:val="00E113A3"/>
    <w:rsid w:val="00E1156F"/>
    <w:rsid w:val="00E1218C"/>
    <w:rsid w:val="00E1394E"/>
    <w:rsid w:val="00E13F2B"/>
    <w:rsid w:val="00E14354"/>
    <w:rsid w:val="00E14474"/>
    <w:rsid w:val="00E171B8"/>
    <w:rsid w:val="00E17ACD"/>
    <w:rsid w:val="00E17D6F"/>
    <w:rsid w:val="00E205BB"/>
    <w:rsid w:val="00E20764"/>
    <w:rsid w:val="00E2081F"/>
    <w:rsid w:val="00E211F8"/>
    <w:rsid w:val="00E21F1E"/>
    <w:rsid w:val="00E22560"/>
    <w:rsid w:val="00E22BC5"/>
    <w:rsid w:val="00E24778"/>
    <w:rsid w:val="00E24A37"/>
    <w:rsid w:val="00E270D3"/>
    <w:rsid w:val="00E27E44"/>
    <w:rsid w:val="00E32088"/>
    <w:rsid w:val="00E34011"/>
    <w:rsid w:val="00E3460D"/>
    <w:rsid w:val="00E36286"/>
    <w:rsid w:val="00E40410"/>
    <w:rsid w:val="00E40679"/>
    <w:rsid w:val="00E4187C"/>
    <w:rsid w:val="00E41A85"/>
    <w:rsid w:val="00E42C8B"/>
    <w:rsid w:val="00E434FF"/>
    <w:rsid w:val="00E43A3E"/>
    <w:rsid w:val="00E43B26"/>
    <w:rsid w:val="00E45B7E"/>
    <w:rsid w:val="00E461A2"/>
    <w:rsid w:val="00E46A13"/>
    <w:rsid w:val="00E47052"/>
    <w:rsid w:val="00E47245"/>
    <w:rsid w:val="00E5087E"/>
    <w:rsid w:val="00E52327"/>
    <w:rsid w:val="00E52531"/>
    <w:rsid w:val="00E55FF3"/>
    <w:rsid w:val="00E561DD"/>
    <w:rsid w:val="00E569F9"/>
    <w:rsid w:val="00E57E6D"/>
    <w:rsid w:val="00E6060D"/>
    <w:rsid w:val="00E614F9"/>
    <w:rsid w:val="00E61856"/>
    <w:rsid w:val="00E61FC1"/>
    <w:rsid w:val="00E63000"/>
    <w:rsid w:val="00E63415"/>
    <w:rsid w:val="00E65017"/>
    <w:rsid w:val="00E66D49"/>
    <w:rsid w:val="00E67D87"/>
    <w:rsid w:val="00E72626"/>
    <w:rsid w:val="00E73FA1"/>
    <w:rsid w:val="00E74793"/>
    <w:rsid w:val="00E74F21"/>
    <w:rsid w:val="00E7551B"/>
    <w:rsid w:val="00E76B12"/>
    <w:rsid w:val="00E80DB0"/>
    <w:rsid w:val="00E828C1"/>
    <w:rsid w:val="00E83182"/>
    <w:rsid w:val="00E832FB"/>
    <w:rsid w:val="00E8570A"/>
    <w:rsid w:val="00E85CA6"/>
    <w:rsid w:val="00E85D25"/>
    <w:rsid w:val="00E863FB"/>
    <w:rsid w:val="00E874F5"/>
    <w:rsid w:val="00E87717"/>
    <w:rsid w:val="00E8786B"/>
    <w:rsid w:val="00E87870"/>
    <w:rsid w:val="00E9151C"/>
    <w:rsid w:val="00E91589"/>
    <w:rsid w:val="00E92F2F"/>
    <w:rsid w:val="00E935BE"/>
    <w:rsid w:val="00E94028"/>
    <w:rsid w:val="00E94986"/>
    <w:rsid w:val="00E970D9"/>
    <w:rsid w:val="00E97791"/>
    <w:rsid w:val="00EA0AFD"/>
    <w:rsid w:val="00EA0F1D"/>
    <w:rsid w:val="00EA1520"/>
    <w:rsid w:val="00EA1B45"/>
    <w:rsid w:val="00EA35D2"/>
    <w:rsid w:val="00EA4854"/>
    <w:rsid w:val="00EA52F4"/>
    <w:rsid w:val="00EA6185"/>
    <w:rsid w:val="00EA6527"/>
    <w:rsid w:val="00EA73E5"/>
    <w:rsid w:val="00EA78E6"/>
    <w:rsid w:val="00EA7A30"/>
    <w:rsid w:val="00EA7E2A"/>
    <w:rsid w:val="00EB039B"/>
    <w:rsid w:val="00EB52FB"/>
    <w:rsid w:val="00EB540C"/>
    <w:rsid w:val="00EC037C"/>
    <w:rsid w:val="00EC05F8"/>
    <w:rsid w:val="00EC1442"/>
    <w:rsid w:val="00EC16E0"/>
    <w:rsid w:val="00EC3F48"/>
    <w:rsid w:val="00EC6C75"/>
    <w:rsid w:val="00EC6C8C"/>
    <w:rsid w:val="00EC6F52"/>
    <w:rsid w:val="00EC7034"/>
    <w:rsid w:val="00EC74EA"/>
    <w:rsid w:val="00EC7711"/>
    <w:rsid w:val="00ED182A"/>
    <w:rsid w:val="00ED2CA8"/>
    <w:rsid w:val="00ED7248"/>
    <w:rsid w:val="00ED7413"/>
    <w:rsid w:val="00ED7B9B"/>
    <w:rsid w:val="00ED7BE7"/>
    <w:rsid w:val="00EE236D"/>
    <w:rsid w:val="00EE2396"/>
    <w:rsid w:val="00EE2FEA"/>
    <w:rsid w:val="00EE4151"/>
    <w:rsid w:val="00EE419A"/>
    <w:rsid w:val="00EE717C"/>
    <w:rsid w:val="00EF08F4"/>
    <w:rsid w:val="00EF0AD4"/>
    <w:rsid w:val="00EF5000"/>
    <w:rsid w:val="00EF6DF0"/>
    <w:rsid w:val="00F00019"/>
    <w:rsid w:val="00F00221"/>
    <w:rsid w:val="00F044A0"/>
    <w:rsid w:val="00F04DA8"/>
    <w:rsid w:val="00F05D5E"/>
    <w:rsid w:val="00F05EB5"/>
    <w:rsid w:val="00F072F8"/>
    <w:rsid w:val="00F1011B"/>
    <w:rsid w:val="00F1112B"/>
    <w:rsid w:val="00F11A9B"/>
    <w:rsid w:val="00F12DCD"/>
    <w:rsid w:val="00F13B42"/>
    <w:rsid w:val="00F14111"/>
    <w:rsid w:val="00F146C4"/>
    <w:rsid w:val="00F14D2D"/>
    <w:rsid w:val="00F157B6"/>
    <w:rsid w:val="00F1598E"/>
    <w:rsid w:val="00F16663"/>
    <w:rsid w:val="00F1763B"/>
    <w:rsid w:val="00F1781A"/>
    <w:rsid w:val="00F22BB4"/>
    <w:rsid w:val="00F24E28"/>
    <w:rsid w:val="00F27EEC"/>
    <w:rsid w:val="00F31814"/>
    <w:rsid w:val="00F31F3F"/>
    <w:rsid w:val="00F31FB2"/>
    <w:rsid w:val="00F3563D"/>
    <w:rsid w:val="00F36BEF"/>
    <w:rsid w:val="00F374B7"/>
    <w:rsid w:val="00F37DE6"/>
    <w:rsid w:val="00F40226"/>
    <w:rsid w:val="00F4072A"/>
    <w:rsid w:val="00F40C87"/>
    <w:rsid w:val="00F44245"/>
    <w:rsid w:val="00F45041"/>
    <w:rsid w:val="00F46DC1"/>
    <w:rsid w:val="00F50574"/>
    <w:rsid w:val="00F505DD"/>
    <w:rsid w:val="00F50E90"/>
    <w:rsid w:val="00F51607"/>
    <w:rsid w:val="00F52C95"/>
    <w:rsid w:val="00F536C1"/>
    <w:rsid w:val="00F54F69"/>
    <w:rsid w:val="00F55625"/>
    <w:rsid w:val="00F5577E"/>
    <w:rsid w:val="00F568C3"/>
    <w:rsid w:val="00F57EA3"/>
    <w:rsid w:val="00F60193"/>
    <w:rsid w:val="00F6295B"/>
    <w:rsid w:val="00F6557B"/>
    <w:rsid w:val="00F65E70"/>
    <w:rsid w:val="00F65F6C"/>
    <w:rsid w:val="00F67D0E"/>
    <w:rsid w:val="00F67D7E"/>
    <w:rsid w:val="00F706EB"/>
    <w:rsid w:val="00F70E81"/>
    <w:rsid w:val="00F71746"/>
    <w:rsid w:val="00F7174F"/>
    <w:rsid w:val="00F718B2"/>
    <w:rsid w:val="00F72D0C"/>
    <w:rsid w:val="00F732FA"/>
    <w:rsid w:val="00F74522"/>
    <w:rsid w:val="00F751BB"/>
    <w:rsid w:val="00F7580F"/>
    <w:rsid w:val="00F81719"/>
    <w:rsid w:val="00F81BAE"/>
    <w:rsid w:val="00F81CA6"/>
    <w:rsid w:val="00F83100"/>
    <w:rsid w:val="00F85566"/>
    <w:rsid w:val="00F85896"/>
    <w:rsid w:val="00F879D2"/>
    <w:rsid w:val="00F87CD2"/>
    <w:rsid w:val="00F90EB9"/>
    <w:rsid w:val="00F91A86"/>
    <w:rsid w:val="00F928F0"/>
    <w:rsid w:val="00F93567"/>
    <w:rsid w:val="00F965F2"/>
    <w:rsid w:val="00FA0480"/>
    <w:rsid w:val="00FA0C4D"/>
    <w:rsid w:val="00FA41CD"/>
    <w:rsid w:val="00FA4E12"/>
    <w:rsid w:val="00FA570C"/>
    <w:rsid w:val="00FA687F"/>
    <w:rsid w:val="00FA6CB3"/>
    <w:rsid w:val="00FB14CA"/>
    <w:rsid w:val="00FB5A1B"/>
    <w:rsid w:val="00FB5EB6"/>
    <w:rsid w:val="00FB614D"/>
    <w:rsid w:val="00FB7353"/>
    <w:rsid w:val="00FB7603"/>
    <w:rsid w:val="00FC3866"/>
    <w:rsid w:val="00FC3E09"/>
    <w:rsid w:val="00FC495E"/>
    <w:rsid w:val="00FC60AB"/>
    <w:rsid w:val="00FC6831"/>
    <w:rsid w:val="00FC6D89"/>
    <w:rsid w:val="00FC778D"/>
    <w:rsid w:val="00FD0754"/>
    <w:rsid w:val="00FD12A6"/>
    <w:rsid w:val="00FD2957"/>
    <w:rsid w:val="00FD4571"/>
    <w:rsid w:val="00FE13B5"/>
    <w:rsid w:val="00FE2D8F"/>
    <w:rsid w:val="00FE4C6B"/>
    <w:rsid w:val="00FE4E8C"/>
    <w:rsid w:val="00FE5A0C"/>
    <w:rsid w:val="00FF1200"/>
    <w:rsid w:val="00FF1333"/>
    <w:rsid w:val="00FF1D92"/>
    <w:rsid w:val="00FF32D2"/>
    <w:rsid w:val="00FF4CC3"/>
    <w:rsid w:val="00FF6E05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2B5C5388"/>
  <w15:chartTrackingRefBased/>
  <w15:docId w15:val="{44485F1D-10F9-41D1-A15C-37F2ABAB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06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9764F"/>
    <w:pPr>
      <w:keepNext/>
      <w:keepLines/>
      <w:spacing w:before="480" w:line="276" w:lineRule="auto"/>
      <w:ind w:left="432" w:hanging="432"/>
      <w:outlineLvl w:val="0"/>
    </w:pPr>
    <w:rPr>
      <w:rFonts w:ascii="Cambria" w:eastAsia="PMingLiU" w:hAnsi="Cambria"/>
      <w:b/>
      <w:bCs/>
      <w:color w:val="365F91"/>
      <w:sz w:val="28"/>
      <w:szCs w:val="28"/>
      <w:lang w:val="bg-BG" w:eastAsia="zh-TW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lang w:val="bg-BG" w:eastAsia="x-none"/>
    </w:rPr>
  </w:style>
  <w:style w:type="paragraph" w:styleId="3">
    <w:name w:val="heading 3"/>
    <w:basedOn w:val="a"/>
    <w:next w:val="a"/>
    <w:uiPriority w:val="99"/>
    <w:qFormat/>
    <w:pPr>
      <w:keepNext/>
      <w:outlineLvl w:val="2"/>
    </w:pPr>
    <w:rPr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D9764F"/>
    <w:pPr>
      <w:keepNext/>
      <w:keepLines/>
      <w:spacing w:before="200" w:line="276" w:lineRule="auto"/>
      <w:ind w:left="864" w:hanging="864"/>
      <w:outlineLvl w:val="3"/>
    </w:pPr>
    <w:rPr>
      <w:rFonts w:ascii="Cambria" w:eastAsia="PMingLiU" w:hAnsi="Cambria"/>
      <w:b/>
      <w:bCs/>
      <w:i/>
      <w:iCs/>
      <w:color w:val="4F81BD"/>
      <w:sz w:val="22"/>
      <w:szCs w:val="22"/>
      <w:lang w:val="bg-BG" w:eastAsia="zh-TW"/>
    </w:rPr>
  </w:style>
  <w:style w:type="paragraph" w:styleId="5">
    <w:name w:val="heading 5"/>
    <w:basedOn w:val="a"/>
    <w:next w:val="a"/>
    <w:link w:val="50"/>
    <w:uiPriority w:val="99"/>
    <w:qFormat/>
    <w:rsid w:val="00D9764F"/>
    <w:pPr>
      <w:keepNext/>
      <w:keepLines/>
      <w:spacing w:before="200" w:line="276" w:lineRule="auto"/>
      <w:ind w:left="1008" w:hanging="1008"/>
      <w:outlineLvl w:val="4"/>
    </w:pPr>
    <w:rPr>
      <w:rFonts w:ascii="Cambria" w:eastAsia="PMingLiU" w:hAnsi="Cambria"/>
      <w:color w:val="243F60"/>
      <w:sz w:val="22"/>
      <w:szCs w:val="22"/>
      <w:lang w:val="bg-BG" w:eastAsia="zh-TW"/>
    </w:rPr>
  </w:style>
  <w:style w:type="paragraph" w:styleId="6">
    <w:name w:val="heading 6"/>
    <w:basedOn w:val="a"/>
    <w:next w:val="a"/>
    <w:link w:val="60"/>
    <w:uiPriority w:val="99"/>
    <w:qFormat/>
    <w:rsid w:val="00D9764F"/>
    <w:pPr>
      <w:keepNext/>
      <w:keepLines/>
      <w:spacing w:before="200" w:line="276" w:lineRule="auto"/>
      <w:ind w:left="1152" w:hanging="1152"/>
      <w:outlineLvl w:val="5"/>
    </w:pPr>
    <w:rPr>
      <w:rFonts w:ascii="Cambria" w:eastAsia="PMingLiU" w:hAnsi="Cambria"/>
      <w:i/>
      <w:iCs/>
      <w:color w:val="243F60"/>
      <w:sz w:val="22"/>
      <w:szCs w:val="22"/>
      <w:lang w:val="bg-BG" w:eastAsia="zh-TW"/>
    </w:rPr>
  </w:style>
  <w:style w:type="paragraph" w:styleId="7">
    <w:name w:val="heading 7"/>
    <w:basedOn w:val="a"/>
    <w:next w:val="a"/>
    <w:link w:val="70"/>
    <w:uiPriority w:val="99"/>
    <w:qFormat/>
    <w:rsid w:val="00D9764F"/>
    <w:pPr>
      <w:keepNext/>
      <w:keepLines/>
      <w:spacing w:before="200" w:line="276" w:lineRule="auto"/>
      <w:ind w:left="1296" w:hanging="1296"/>
      <w:outlineLvl w:val="6"/>
    </w:pPr>
    <w:rPr>
      <w:rFonts w:ascii="Cambria" w:eastAsia="PMingLiU" w:hAnsi="Cambria"/>
      <w:i/>
      <w:iCs/>
      <w:color w:val="404040"/>
      <w:sz w:val="22"/>
      <w:szCs w:val="22"/>
      <w:lang w:val="bg-BG" w:eastAsia="zh-TW"/>
    </w:rPr>
  </w:style>
  <w:style w:type="paragraph" w:styleId="8">
    <w:name w:val="heading 8"/>
    <w:basedOn w:val="a"/>
    <w:next w:val="a"/>
    <w:link w:val="80"/>
    <w:uiPriority w:val="99"/>
    <w:qFormat/>
    <w:rsid w:val="00D9764F"/>
    <w:pPr>
      <w:keepNext/>
      <w:keepLines/>
      <w:spacing w:before="200" w:line="276" w:lineRule="auto"/>
      <w:ind w:left="1440" w:hanging="1440"/>
      <w:outlineLvl w:val="7"/>
    </w:pPr>
    <w:rPr>
      <w:rFonts w:ascii="Cambria" w:eastAsia="PMingLiU" w:hAnsi="Cambria"/>
      <w:color w:val="404040"/>
      <w:sz w:val="20"/>
      <w:szCs w:val="20"/>
      <w:lang w:val="bg-BG" w:eastAsia="zh-TW"/>
    </w:rPr>
  </w:style>
  <w:style w:type="paragraph" w:styleId="9">
    <w:name w:val="heading 9"/>
    <w:basedOn w:val="a"/>
    <w:next w:val="a"/>
    <w:link w:val="90"/>
    <w:uiPriority w:val="99"/>
    <w:qFormat/>
    <w:rsid w:val="00D9764F"/>
    <w:pPr>
      <w:keepNext/>
      <w:keepLines/>
      <w:spacing w:before="200" w:line="276" w:lineRule="auto"/>
      <w:ind w:left="1584" w:hanging="1584"/>
      <w:outlineLvl w:val="8"/>
    </w:pPr>
    <w:rPr>
      <w:rFonts w:ascii="Cambria" w:eastAsia="PMingLiU" w:hAnsi="Cambria"/>
      <w:i/>
      <w:iCs/>
      <w:color w:val="404040"/>
      <w:sz w:val="20"/>
      <w:szCs w:val="20"/>
      <w:lang w:val="bg-BG" w:eastAsia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10">
    <w:name w:val="Заглавие 1 Знак"/>
    <w:link w:val="1"/>
    <w:uiPriority w:val="99"/>
    <w:rsid w:val="00D9764F"/>
    <w:rPr>
      <w:rFonts w:ascii="Cambria" w:eastAsia="PMingLiU" w:hAnsi="Cambria"/>
      <w:b/>
      <w:bCs/>
      <w:color w:val="365F91"/>
      <w:sz w:val="28"/>
      <w:szCs w:val="28"/>
      <w:lang w:val="bg-BG" w:eastAsia="zh-TW"/>
    </w:rPr>
  </w:style>
  <w:style w:type="character" w:customStyle="1" w:styleId="40">
    <w:name w:val="Заглавие 4 Знак"/>
    <w:link w:val="4"/>
    <w:uiPriority w:val="99"/>
    <w:rsid w:val="00D9764F"/>
    <w:rPr>
      <w:rFonts w:ascii="Cambria" w:eastAsia="PMingLiU" w:hAnsi="Cambria"/>
      <w:b/>
      <w:bCs/>
      <w:i/>
      <w:iCs/>
      <w:color w:val="4F81BD"/>
      <w:sz w:val="22"/>
      <w:szCs w:val="22"/>
      <w:lang w:val="bg-BG" w:eastAsia="zh-TW"/>
    </w:rPr>
  </w:style>
  <w:style w:type="character" w:customStyle="1" w:styleId="50">
    <w:name w:val="Заглавие 5 Знак"/>
    <w:link w:val="5"/>
    <w:uiPriority w:val="99"/>
    <w:rsid w:val="00D9764F"/>
    <w:rPr>
      <w:rFonts w:ascii="Cambria" w:eastAsia="PMingLiU" w:hAnsi="Cambria"/>
      <w:color w:val="243F60"/>
      <w:sz w:val="22"/>
      <w:szCs w:val="22"/>
      <w:lang w:val="bg-BG" w:eastAsia="zh-TW"/>
    </w:rPr>
  </w:style>
  <w:style w:type="character" w:customStyle="1" w:styleId="60">
    <w:name w:val="Заглавие 6 Знак"/>
    <w:link w:val="6"/>
    <w:uiPriority w:val="99"/>
    <w:rsid w:val="00D9764F"/>
    <w:rPr>
      <w:rFonts w:ascii="Cambria" w:eastAsia="PMingLiU" w:hAnsi="Cambria"/>
      <w:i/>
      <w:iCs/>
      <w:color w:val="243F60"/>
      <w:sz w:val="22"/>
      <w:szCs w:val="22"/>
      <w:lang w:val="bg-BG" w:eastAsia="zh-TW"/>
    </w:rPr>
  </w:style>
  <w:style w:type="character" w:customStyle="1" w:styleId="70">
    <w:name w:val="Заглавие 7 Знак"/>
    <w:link w:val="7"/>
    <w:uiPriority w:val="99"/>
    <w:rsid w:val="00D9764F"/>
    <w:rPr>
      <w:rFonts w:ascii="Cambria" w:eastAsia="PMingLiU" w:hAnsi="Cambria"/>
      <w:i/>
      <w:iCs/>
      <w:color w:val="404040"/>
      <w:sz w:val="22"/>
      <w:szCs w:val="22"/>
      <w:lang w:val="bg-BG" w:eastAsia="zh-TW"/>
    </w:rPr>
  </w:style>
  <w:style w:type="character" w:customStyle="1" w:styleId="80">
    <w:name w:val="Заглавие 8 Знак"/>
    <w:link w:val="8"/>
    <w:uiPriority w:val="99"/>
    <w:rsid w:val="00D9764F"/>
    <w:rPr>
      <w:rFonts w:ascii="Cambria" w:eastAsia="PMingLiU" w:hAnsi="Cambria"/>
      <w:color w:val="404040"/>
      <w:lang w:val="bg-BG" w:eastAsia="zh-TW"/>
    </w:rPr>
  </w:style>
  <w:style w:type="character" w:customStyle="1" w:styleId="90">
    <w:name w:val="Заглавие 9 Знак"/>
    <w:link w:val="9"/>
    <w:uiPriority w:val="99"/>
    <w:rsid w:val="00D9764F"/>
    <w:rPr>
      <w:rFonts w:ascii="Cambria" w:eastAsia="PMingLiU" w:hAnsi="Cambria"/>
      <w:i/>
      <w:iCs/>
      <w:color w:val="404040"/>
      <w:lang w:val="bg-BG" w:eastAsia="zh-TW"/>
    </w:rPr>
  </w:style>
  <w:style w:type="character" w:customStyle="1" w:styleId="20">
    <w:name w:val="Заглавие 2 Знак"/>
    <w:link w:val="2"/>
    <w:uiPriority w:val="99"/>
    <w:locked/>
    <w:rsid w:val="00D9764F"/>
    <w:rPr>
      <w:b/>
      <w:bCs/>
      <w:sz w:val="24"/>
      <w:szCs w:val="24"/>
      <w:lang w:val="bg-BG"/>
    </w:rPr>
  </w:style>
  <w:style w:type="paragraph" w:styleId="a6">
    <w:name w:val="List Paragraph"/>
    <w:basedOn w:val="a"/>
    <w:uiPriority w:val="99"/>
    <w:qFormat/>
    <w:rsid w:val="00D9764F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val="bg-BG" w:eastAsia="zh-TW"/>
    </w:rPr>
  </w:style>
  <w:style w:type="character" w:customStyle="1" w:styleId="a5">
    <w:name w:val="Долен колонтитул Знак"/>
    <w:link w:val="a4"/>
    <w:uiPriority w:val="99"/>
    <w:rsid w:val="007B0CD0"/>
    <w:rPr>
      <w:sz w:val="24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A83816"/>
    <w:rPr>
      <w:rFonts w:ascii="Calibri" w:eastAsia="Calibri" w:hAnsi="Calibri"/>
      <w:sz w:val="22"/>
      <w:szCs w:val="21"/>
      <w:lang w:val="x-none" w:eastAsia="x-none"/>
    </w:rPr>
  </w:style>
  <w:style w:type="character" w:customStyle="1" w:styleId="a8">
    <w:name w:val="Обикновен текст Знак"/>
    <w:link w:val="a7"/>
    <w:uiPriority w:val="99"/>
    <w:semiHidden/>
    <w:rsid w:val="00A83816"/>
    <w:rPr>
      <w:rFonts w:ascii="Calibri" w:eastAsia="Calibri" w:hAnsi="Calibri"/>
      <w:sz w:val="2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1370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Изнесен текст Знак"/>
    <w:link w:val="a9"/>
    <w:uiPriority w:val="99"/>
    <w:semiHidden/>
    <w:rsid w:val="00B1370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0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Banks\&#1057;&#1086;&#1089;&#1080;&#1077;&#1090;&#1077;%20&#1046;&#1077;&#1085;&#1077;&#1088;&#1072;&#1083;\BLANKA-potvyrxdenie-2.dot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51AE-B19D-4C12-8B53-FC5576A5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BLANKA-potvyrxdenie-2.dot</Template>
  <TotalTime>1</TotalTime>
  <Pages>7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</dc:creator>
  <cp:keywords/>
  <cp:lastModifiedBy>Sofia Marinova</cp:lastModifiedBy>
  <cp:revision>2</cp:revision>
  <cp:lastPrinted>2020-12-03T09:19:00Z</cp:lastPrinted>
  <dcterms:created xsi:type="dcterms:W3CDTF">2024-08-22T12:36:00Z</dcterms:created>
  <dcterms:modified xsi:type="dcterms:W3CDTF">2024-08-22T12:36:00Z</dcterms:modified>
</cp:coreProperties>
</file>