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D00A" w14:textId="77777777" w:rsidR="00571FD6" w:rsidRPr="00086D70" w:rsidRDefault="00571FD6">
      <w:pPr>
        <w:rPr>
          <w:rFonts w:ascii="Arial" w:hAnsi="Arial" w:cs="Arial"/>
          <w:sz w:val="22"/>
          <w:szCs w:val="22"/>
          <w:lang w:val="bg-BG"/>
        </w:rPr>
      </w:pPr>
    </w:p>
    <w:p w14:paraId="4E04E1D4" w14:textId="77777777" w:rsidR="00824FE1" w:rsidRDefault="00824FE1" w:rsidP="00891C31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C5865D2" w14:textId="77777777" w:rsidR="00D9764F" w:rsidRPr="00086D70" w:rsidRDefault="00D9764F" w:rsidP="00891C31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</w:rPr>
        <w:t>Доклад</w:t>
      </w:r>
    </w:p>
    <w:p w14:paraId="56470107" w14:textId="77777777" w:rsidR="00D9764F" w:rsidRPr="00086D70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086D70">
        <w:rPr>
          <w:rFonts w:ascii="Arial" w:hAnsi="Arial" w:cs="Arial"/>
          <w:b/>
          <w:sz w:val="22"/>
          <w:szCs w:val="22"/>
        </w:rPr>
        <w:t xml:space="preserve"> Де Ново ЕАД</w:t>
      </w:r>
    </w:p>
    <w:p w14:paraId="7CFF5E47" w14:textId="77777777" w:rsidR="00E36286" w:rsidRPr="00086D70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086D70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086D70">
        <w:rPr>
          <w:rFonts w:ascii="Arial" w:hAnsi="Arial" w:cs="Arial"/>
          <w:b/>
          <w:sz w:val="22"/>
          <w:szCs w:val="22"/>
          <w:lang w:val="bg-BG"/>
        </w:rPr>
        <w:t>му</w:t>
      </w:r>
      <w:r w:rsidRPr="00086D70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14:paraId="6BD0C9D8" w14:textId="77777777" w:rsidR="00C33565" w:rsidRPr="00086D70" w:rsidRDefault="00A65AD0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086D70">
        <w:rPr>
          <w:rFonts w:ascii="Arial" w:hAnsi="Arial" w:cs="Arial"/>
          <w:b/>
          <w:sz w:val="22"/>
          <w:szCs w:val="22"/>
          <w:lang w:val="bg-BG"/>
        </w:rPr>
        <w:t xml:space="preserve"> по емисия корпоративни облигации </w:t>
      </w:r>
    </w:p>
    <w:p w14:paraId="43DC4DA4" w14:textId="77777777" w:rsidR="00C33565" w:rsidRPr="00086D70" w:rsidRDefault="00A65AD0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086D70">
        <w:rPr>
          <w:rFonts w:ascii="Arial" w:hAnsi="Arial" w:cs="Arial"/>
          <w:b/>
          <w:sz w:val="22"/>
          <w:szCs w:val="22"/>
          <w:lang w:val="bg-BG"/>
        </w:rPr>
        <w:t>с емитент</w:t>
      </w:r>
      <w:r w:rsidR="00D9764F" w:rsidRPr="00086D70">
        <w:rPr>
          <w:rFonts w:ascii="Arial" w:hAnsi="Arial" w:cs="Arial"/>
          <w:b/>
          <w:sz w:val="22"/>
          <w:szCs w:val="22"/>
        </w:rPr>
        <w:t xml:space="preserve"> </w:t>
      </w:r>
      <w:r w:rsidR="00783226" w:rsidRPr="00086D70">
        <w:rPr>
          <w:rFonts w:ascii="Arial" w:hAnsi="Arial" w:cs="Arial"/>
          <w:b/>
          <w:sz w:val="22"/>
          <w:szCs w:val="22"/>
          <w:lang w:val="bg-BG"/>
        </w:rPr>
        <w:t>Северкооп-</w:t>
      </w:r>
      <w:r w:rsidR="007B1208">
        <w:rPr>
          <w:rFonts w:ascii="Arial" w:hAnsi="Arial" w:cs="Arial"/>
          <w:b/>
          <w:sz w:val="22"/>
          <w:szCs w:val="22"/>
          <w:lang w:val="bg-BG"/>
        </w:rPr>
        <w:t>Гъмза</w:t>
      </w:r>
      <w:r w:rsidR="00020416" w:rsidRPr="00086D70">
        <w:rPr>
          <w:rFonts w:ascii="Arial" w:hAnsi="Arial" w:cs="Arial"/>
          <w:b/>
          <w:sz w:val="22"/>
          <w:szCs w:val="22"/>
        </w:rPr>
        <w:t xml:space="preserve"> Холдинг </w:t>
      </w:r>
      <w:r w:rsidR="006C5330" w:rsidRPr="00086D70">
        <w:rPr>
          <w:rFonts w:ascii="Arial" w:hAnsi="Arial" w:cs="Arial"/>
          <w:b/>
          <w:sz w:val="22"/>
          <w:szCs w:val="22"/>
        </w:rPr>
        <w:t>АД</w:t>
      </w:r>
      <w:r w:rsidRPr="00086D70">
        <w:rPr>
          <w:rFonts w:ascii="Arial" w:hAnsi="Arial" w:cs="Arial"/>
          <w:b/>
          <w:sz w:val="22"/>
          <w:szCs w:val="22"/>
          <w:lang w:val="bg-BG"/>
        </w:rPr>
        <w:t xml:space="preserve">, </w:t>
      </w:r>
    </w:p>
    <w:p w14:paraId="759B7540" w14:textId="77777777" w:rsidR="00D9764F" w:rsidRPr="00086D70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</w:rPr>
        <w:t>ISIN:</w:t>
      </w:r>
      <w:r w:rsidR="00783226" w:rsidRPr="00086D70">
        <w:rPr>
          <w:rFonts w:ascii="Arial" w:hAnsi="Arial" w:cs="Arial"/>
          <w:b/>
          <w:sz w:val="22"/>
          <w:szCs w:val="22"/>
        </w:rPr>
        <w:t xml:space="preserve"> BG2100008189</w:t>
      </w:r>
      <w:r w:rsidR="00A65AD0" w:rsidRPr="00086D70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086D70">
        <w:rPr>
          <w:rFonts w:ascii="Arial" w:hAnsi="Arial" w:cs="Arial"/>
          <w:b/>
          <w:sz w:val="22"/>
          <w:szCs w:val="22"/>
          <w:lang w:val="bg-BG"/>
        </w:rPr>
        <w:t>б</w:t>
      </w:r>
      <w:r w:rsidRPr="00086D70">
        <w:rPr>
          <w:rFonts w:ascii="Arial" w:hAnsi="Arial" w:cs="Arial"/>
          <w:b/>
          <w:sz w:val="22"/>
          <w:szCs w:val="22"/>
        </w:rPr>
        <w:t>орсов код:</w:t>
      </w:r>
      <w:r w:rsidR="00783226" w:rsidRPr="00086D70">
        <w:rPr>
          <w:rFonts w:ascii="Arial" w:hAnsi="Arial" w:cs="Arial"/>
          <w:b/>
          <w:sz w:val="22"/>
          <w:szCs w:val="22"/>
          <w:lang w:val="bg-BG"/>
        </w:rPr>
        <w:t>6</w:t>
      </w:r>
      <w:r w:rsidR="00783226" w:rsidRPr="00086D70">
        <w:rPr>
          <w:rFonts w:ascii="Arial" w:hAnsi="Arial" w:cs="Arial"/>
          <w:b/>
          <w:sz w:val="22"/>
          <w:szCs w:val="22"/>
        </w:rPr>
        <w:t>S4N</w:t>
      </w:r>
    </w:p>
    <w:p w14:paraId="67EE0EEF" w14:textId="77777777" w:rsidR="00E36286" w:rsidRPr="005D22DA" w:rsidRDefault="00D9764F" w:rsidP="003D7787">
      <w:pPr>
        <w:jc w:val="center"/>
        <w:rPr>
          <w:rFonts w:ascii="Arial" w:hAnsi="Arial" w:cs="Arial"/>
          <w:b/>
          <w:sz w:val="22"/>
          <w:szCs w:val="22"/>
        </w:rPr>
      </w:pPr>
      <w:r w:rsidRPr="00086D70">
        <w:rPr>
          <w:rFonts w:ascii="Arial" w:hAnsi="Arial" w:cs="Arial"/>
          <w:b/>
          <w:sz w:val="22"/>
          <w:szCs w:val="22"/>
        </w:rPr>
        <w:t>Период: 01.</w:t>
      </w:r>
      <w:r w:rsidR="00F01BCB">
        <w:rPr>
          <w:rFonts w:ascii="Arial" w:hAnsi="Arial" w:cs="Arial"/>
          <w:b/>
          <w:sz w:val="22"/>
          <w:szCs w:val="22"/>
        </w:rPr>
        <w:t>01</w:t>
      </w:r>
      <w:r w:rsidRPr="00086D70">
        <w:rPr>
          <w:rFonts w:ascii="Arial" w:hAnsi="Arial" w:cs="Arial"/>
          <w:b/>
          <w:sz w:val="22"/>
          <w:szCs w:val="22"/>
        </w:rPr>
        <w:t>.20</w:t>
      </w:r>
      <w:r w:rsidR="00C25ECD">
        <w:rPr>
          <w:rFonts w:ascii="Arial" w:hAnsi="Arial" w:cs="Arial"/>
          <w:b/>
          <w:sz w:val="22"/>
          <w:szCs w:val="22"/>
        </w:rPr>
        <w:t>2</w:t>
      </w:r>
      <w:r w:rsidR="00F01BCB">
        <w:rPr>
          <w:rFonts w:ascii="Arial" w:hAnsi="Arial" w:cs="Arial"/>
          <w:b/>
          <w:sz w:val="22"/>
          <w:szCs w:val="22"/>
        </w:rPr>
        <w:t>3</w:t>
      </w:r>
      <w:r w:rsidR="007D3B3E">
        <w:rPr>
          <w:rFonts w:ascii="Arial" w:hAnsi="Arial" w:cs="Arial"/>
          <w:b/>
          <w:sz w:val="22"/>
          <w:szCs w:val="22"/>
        </w:rPr>
        <w:t xml:space="preserve"> </w:t>
      </w:r>
      <w:r w:rsidRPr="00086D70">
        <w:rPr>
          <w:rFonts w:ascii="Arial" w:hAnsi="Arial" w:cs="Arial"/>
          <w:b/>
          <w:sz w:val="22"/>
          <w:szCs w:val="22"/>
        </w:rPr>
        <w:t>г.</w:t>
      </w:r>
      <w:r w:rsidRPr="00086D70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b/>
          <w:sz w:val="22"/>
          <w:szCs w:val="22"/>
        </w:rPr>
        <w:t>- 3</w:t>
      </w:r>
      <w:r w:rsidR="000063D0">
        <w:rPr>
          <w:rFonts w:ascii="Arial" w:hAnsi="Arial" w:cs="Arial"/>
          <w:b/>
          <w:sz w:val="22"/>
          <w:szCs w:val="22"/>
        </w:rPr>
        <w:t>1</w:t>
      </w:r>
      <w:r w:rsidRPr="00086D70">
        <w:rPr>
          <w:rFonts w:ascii="Arial" w:hAnsi="Arial" w:cs="Arial"/>
          <w:b/>
          <w:sz w:val="22"/>
          <w:szCs w:val="22"/>
        </w:rPr>
        <w:t>.</w:t>
      </w:r>
      <w:r w:rsidR="00F01BCB">
        <w:rPr>
          <w:rFonts w:ascii="Arial" w:hAnsi="Arial" w:cs="Arial"/>
          <w:b/>
          <w:sz w:val="22"/>
          <w:szCs w:val="22"/>
        </w:rPr>
        <w:t>03</w:t>
      </w:r>
      <w:r w:rsidRPr="00086D70">
        <w:rPr>
          <w:rFonts w:ascii="Arial" w:hAnsi="Arial" w:cs="Arial"/>
          <w:b/>
          <w:sz w:val="22"/>
          <w:szCs w:val="22"/>
        </w:rPr>
        <w:t>.20</w:t>
      </w:r>
      <w:r w:rsidR="00C25ECD">
        <w:rPr>
          <w:rFonts w:ascii="Arial" w:hAnsi="Arial" w:cs="Arial"/>
          <w:b/>
          <w:sz w:val="22"/>
          <w:szCs w:val="22"/>
        </w:rPr>
        <w:t>2</w:t>
      </w:r>
      <w:r w:rsidR="00F01BCB">
        <w:rPr>
          <w:rFonts w:ascii="Arial" w:hAnsi="Arial" w:cs="Arial"/>
          <w:b/>
          <w:sz w:val="22"/>
          <w:szCs w:val="22"/>
        </w:rPr>
        <w:t>3</w:t>
      </w:r>
      <w:r w:rsidR="007D3B3E">
        <w:rPr>
          <w:rFonts w:ascii="Arial" w:hAnsi="Arial" w:cs="Arial"/>
          <w:b/>
          <w:sz w:val="22"/>
          <w:szCs w:val="22"/>
        </w:rPr>
        <w:t xml:space="preserve"> </w:t>
      </w:r>
      <w:r w:rsidR="00713E5B">
        <w:rPr>
          <w:rFonts w:ascii="Arial" w:hAnsi="Arial" w:cs="Arial"/>
          <w:b/>
          <w:sz w:val="22"/>
          <w:szCs w:val="22"/>
        </w:rPr>
        <w:t>г</w:t>
      </w:r>
      <w:r w:rsidR="00081E11">
        <w:rPr>
          <w:rFonts w:ascii="Arial" w:hAnsi="Arial" w:cs="Arial"/>
          <w:b/>
          <w:sz w:val="22"/>
          <w:szCs w:val="22"/>
        </w:rPr>
        <w:t>.</w:t>
      </w:r>
    </w:p>
    <w:p w14:paraId="32BFDC3D" w14:textId="77777777" w:rsidR="00E36286" w:rsidRPr="00086D70" w:rsidRDefault="00E36286" w:rsidP="00D9764F">
      <w:pPr>
        <w:jc w:val="center"/>
        <w:rPr>
          <w:rFonts w:ascii="Arial" w:hAnsi="Arial" w:cs="Arial"/>
          <w:b/>
          <w:sz w:val="22"/>
          <w:szCs w:val="22"/>
        </w:rPr>
      </w:pPr>
    </w:p>
    <w:p w14:paraId="0570DBD7" w14:textId="77777777" w:rsidR="00D70591" w:rsidRPr="002A19E3" w:rsidRDefault="00D70591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55AE8C1D" w14:textId="77777777" w:rsidR="00D9764F" w:rsidRPr="00086D70" w:rsidRDefault="00D9764F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</w:rPr>
        <w:t>Настоящия</w:t>
      </w:r>
      <w:r w:rsidR="00BE512E" w:rsidRPr="00086D70">
        <w:rPr>
          <w:rFonts w:ascii="Arial" w:hAnsi="Arial" w:cs="Arial"/>
          <w:sz w:val="22"/>
          <w:szCs w:val="22"/>
          <w:lang w:val="bg-BG"/>
        </w:rPr>
        <w:t>т</w:t>
      </w:r>
      <w:r w:rsidRPr="00086D70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086D70">
        <w:rPr>
          <w:rFonts w:ascii="Arial" w:hAnsi="Arial" w:cs="Arial"/>
          <w:sz w:val="22"/>
          <w:szCs w:val="22"/>
        </w:rPr>
        <w:t>с изискванията на чл. 100ж, ал.</w:t>
      </w:r>
      <w:r w:rsidRPr="00086D70">
        <w:rPr>
          <w:rFonts w:ascii="Arial" w:hAnsi="Arial" w:cs="Arial"/>
          <w:sz w:val="22"/>
          <w:szCs w:val="22"/>
        </w:rPr>
        <w:t>1, т.</w:t>
      </w:r>
      <w:r w:rsidRPr="00086D70">
        <w:rPr>
          <w:rFonts w:ascii="Arial" w:hAnsi="Arial" w:cs="Arial"/>
          <w:sz w:val="22"/>
          <w:szCs w:val="22"/>
          <w:lang w:val="ru-RU"/>
        </w:rPr>
        <w:t>3</w:t>
      </w:r>
      <w:r w:rsidRPr="00086D70">
        <w:rPr>
          <w:rFonts w:ascii="Arial" w:hAnsi="Arial" w:cs="Arial"/>
          <w:sz w:val="22"/>
          <w:szCs w:val="22"/>
        </w:rPr>
        <w:t xml:space="preserve"> от Закона за публично</w:t>
      </w:r>
      <w:r w:rsidR="00CA427D" w:rsidRPr="00086D70">
        <w:rPr>
          <w:rFonts w:ascii="Arial" w:hAnsi="Arial" w:cs="Arial"/>
          <w:sz w:val="22"/>
          <w:szCs w:val="22"/>
          <w:lang w:val="bg-BG"/>
        </w:rPr>
        <w:t>то</w:t>
      </w:r>
      <w:r w:rsidRPr="00086D70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 w:rsidRPr="00086D70">
        <w:rPr>
          <w:rFonts w:ascii="Arial" w:hAnsi="Arial" w:cs="Arial"/>
          <w:sz w:val="22"/>
          <w:szCs w:val="22"/>
          <w:lang w:val="bg-BG"/>
        </w:rPr>
        <w:t>/</w:t>
      </w:r>
      <w:r w:rsidRPr="00086D70">
        <w:rPr>
          <w:rFonts w:ascii="Arial" w:hAnsi="Arial" w:cs="Arial"/>
          <w:sz w:val="22"/>
          <w:szCs w:val="22"/>
        </w:rPr>
        <w:t>ЗППЦК</w:t>
      </w:r>
      <w:r w:rsidR="00DC70E5" w:rsidRPr="00086D70">
        <w:rPr>
          <w:rFonts w:ascii="Arial" w:hAnsi="Arial" w:cs="Arial"/>
          <w:sz w:val="22"/>
          <w:szCs w:val="22"/>
          <w:lang w:val="bg-BG"/>
        </w:rPr>
        <w:t>/</w:t>
      </w:r>
      <w:r w:rsidRPr="00086D70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086D70">
        <w:rPr>
          <w:rFonts w:ascii="Arial" w:hAnsi="Arial" w:cs="Arial"/>
          <w:sz w:val="22"/>
          <w:szCs w:val="22"/>
          <w:lang w:val="bg-BG"/>
        </w:rPr>
        <w:t>му</w:t>
      </w:r>
      <w:r w:rsidRPr="00086D70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086D70">
        <w:rPr>
          <w:rFonts w:ascii="Arial" w:hAnsi="Arial" w:cs="Arial"/>
          <w:sz w:val="22"/>
          <w:szCs w:val="22"/>
        </w:rPr>
        <w:t xml:space="preserve"> ISIN:</w:t>
      </w:r>
      <w:r w:rsidR="00783226" w:rsidRPr="00086D70">
        <w:rPr>
          <w:rFonts w:ascii="Arial" w:hAnsi="Arial" w:cs="Arial"/>
          <w:sz w:val="22"/>
          <w:szCs w:val="22"/>
        </w:rPr>
        <w:t>BG2100008189</w:t>
      </w:r>
      <w:r w:rsidRPr="00086D70">
        <w:rPr>
          <w:rFonts w:ascii="Arial" w:hAnsi="Arial" w:cs="Arial"/>
          <w:sz w:val="22"/>
          <w:szCs w:val="22"/>
        </w:rPr>
        <w:t>, емитирани от</w:t>
      </w:r>
      <w:r w:rsidR="00DC70E5"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</w:rPr>
        <w:t xml:space="preserve"> на </w:t>
      </w:r>
      <w:r w:rsidR="003B3C7E" w:rsidRPr="00086D70">
        <w:rPr>
          <w:rFonts w:ascii="Arial" w:hAnsi="Arial" w:cs="Arial"/>
          <w:sz w:val="22"/>
          <w:szCs w:val="22"/>
        </w:rPr>
        <w:t>1</w:t>
      </w:r>
      <w:r w:rsidR="00783226" w:rsidRPr="00086D70">
        <w:rPr>
          <w:rFonts w:ascii="Arial" w:hAnsi="Arial" w:cs="Arial"/>
          <w:sz w:val="22"/>
          <w:szCs w:val="22"/>
          <w:lang w:val="bg-BG"/>
        </w:rPr>
        <w:t>6</w:t>
      </w:r>
      <w:r w:rsidRPr="00086D70">
        <w:rPr>
          <w:rFonts w:ascii="Arial" w:hAnsi="Arial" w:cs="Arial"/>
          <w:sz w:val="22"/>
          <w:szCs w:val="22"/>
        </w:rPr>
        <w:t>.</w:t>
      </w:r>
      <w:r w:rsidR="003B3C7E" w:rsidRPr="00086D70">
        <w:rPr>
          <w:rFonts w:ascii="Arial" w:hAnsi="Arial" w:cs="Arial"/>
          <w:sz w:val="22"/>
          <w:szCs w:val="22"/>
        </w:rPr>
        <w:t>0</w:t>
      </w:r>
      <w:r w:rsidR="00783226" w:rsidRPr="00086D70">
        <w:rPr>
          <w:rFonts w:ascii="Arial" w:hAnsi="Arial" w:cs="Arial"/>
          <w:sz w:val="22"/>
          <w:szCs w:val="22"/>
          <w:lang w:val="bg-BG"/>
        </w:rPr>
        <w:t>7</w:t>
      </w:r>
      <w:r w:rsidRPr="00086D70">
        <w:rPr>
          <w:rFonts w:ascii="Arial" w:hAnsi="Arial" w:cs="Arial"/>
          <w:sz w:val="22"/>
          <w:szCs w:val="22"/>
        </w:rPr>
        <w:t>.</w:t>
      </w:r>
      <w:r w:rsidR="00E950F5" w:rsidRPr="00086D70">
        <w:rPr>
          <w:rFonts w:ascii="Arial" w:hAnsi="Arial" w:cs="Arial"/>
          <w:sz w:val="22"/>
          <w:szCs w:val="22"/>
        </w:rPr>
        <w:t>201</w:t>
      </w:r>
      <w:r w:rsidR="00783226" w:rsidRPr="00086D70">
        <w:rPr>
          <w:rFonts w:ascii="Arial" w:hAnsi="Arial" w:cs="Arial"/>
          <w:sz w:val="22"/>
          <w:szCs w:val="22"/>
          <w:lang w:val="bg-BG"/>
        </w:rPr>
        <w:t>8</w:t>
      </w:r>
      <w:r w:rsidR="00AA6AAB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г.</w:t>
      </w:r>
    </w:p>
    <w:p w14:paraId="2442198A" w14:textId="77777777" w:rsidR="00AA5FC0" w:rsidRPr="00086D70" w:rsidRDefault="00AA5FC0" w:rsidP="00A65AD0">
      <w:pPr>
        <w:jc w:val="both"/>
        <w:rPr>
          <w:rFonts w:ascii="Arial" w:hAnsi="Arial" w:cs="Arial"/>
          <w:sz w:val="22"/>
          <w:szCs w:val="22"/>
        </w:rPr>
      </w:pPr>
    </w:p>
    <w:p w14:paraId="16DA9748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</w:rPr>
        <w:t xml:space="preserve">Де Ново ЕАД 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086D70">
        <w:rPr>
          <w:rFonts w:ascii="Arial" w:hAnsi="Arial" w:cs="Arial"/>
          <w:sz w:val="22"/>
          <w:szCs w:val="22"/>
        </w:rPr>
        <w:t>функциите на довереник на облигационерите по емисия  ISIN:BG2100008189</w:t>
      </w:r>
      <w:r w:rsidR="00BF473A" w:rsidRPr="00086D70">
        <w:rPr>
          <w:rFonts w:ascii="Arial" w:hAnsi="Arial" w:cs="Arial"/>
          <w:sz w:val="22"/>
          <w:szCs w:val="22"/>
          <w:lang w:val="bg-BG"/>
        </w:rPr>
        <w:t xml:space="preserve">, на 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основа </w:t>
      </w:r>
      <w:r w:rsidRPr="00086D70">
        <w:rPr>
          <w:rFonts w:ascii="Arial" w:hAnsi="Arial" w:cs="Arial"/>
          <w:sz w:val="22"/>
          <w:szCs w:val="22"/>
        </w:rPr>
        <w:t>на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договор от 16.07.2018</w:t>
      </w:r>
      <w:r w:rsidR="00B457C5">
        <w:rPr>
          <w:rFonts w:ascii="Arial" w:hAnsi="Arial" w:cs="Arial"/>
          <w:sz w:val="22"/>
          <w:szCs w:val="22"/>
        </w:rPr>
        <w:t xml:space="preserve"> 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г. сключен с емитента </w:t>
      </w:r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АД.</w:t>
      </w:r>
    </w:p>
    <w:p w14:paraId="5AEA57F5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6B3D31AF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С 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Решение №</w:t>
      </w:r>
      <w:r w:rsidR="00BF473A"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1118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-Е от 0</w:t>
      </w:r>
      <w:r w:rsidR="00BF473A"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4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F473A"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12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.2018</w:t>
      </w:r>
      <w:r w:rsidR="00573AF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>г.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, Комисията за финансов надзор /КФН/ потвърждава Проспект за допускане до търговия на регулиран пазар на емисията облигации </w:t>
      </w:r>
      <w:r w:rsidRPr="00086D70">
        <w:rPr>
          <w:rFonts w:ascii="Arial" w:hAnsi="Arial" w:cs="Arial"/>
          <w:sz w:val="22"/>
          <w:szCs w:val="22"/>
        </w:rPr>
        <w:t>ISIN:BG2100008189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с емитент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  <w:lang w:val="bg-BG"/>
        </w:rPr>
        <w:t>.</w:t>
      </w:r>
    </w:p>
    <w:p w14:paraId="25A8050E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9D6B4F1" w14:textId="77777777" w:rsidR="00D70591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С 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 xml:space="preserve">Решение 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на Съвета на директорите на Българска фондова борса АД /БФБ/, БФБ допуска до търговия на основен пазар</w:t>
      </w:r>
      <w:r w:rsidRPr="00086D70">
        <w:rPr>
          <w:rFonts w:ascii="Arial" w:hAnsi="Arial" w:cs="Arial"/>
          <w:sz w:val="22"/>
          <w:szCs w:val="22"/>
          <w:shd w:val="clear" w:color="auto" w:fill="FFFFFF"/>
        </w:rPr>
        <w:t xml:space="preserve"> BSE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, Сегмент за облигации, емисията облигации </w:t>
      </w:r>
      <w:r w:rsidRPr="00086D70">
        <w:rPr>
          <w:rFonts w:ascii="Arial" w:hAnsi="Arial" w:cs="Arial"/>
          <w:sz w:val="22"/>
          <w:szCs w:val="22"/>
        </w:rPr>
        <w:t>ISIN:BG2100008189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</w:t>
      </w:r>
      <w:r w:rsidRPr="00086D70">
        <w:rPr>
          <w:rFonts w:ascii="Arial" w:hAnsi="Arial" w:cs="Arial"/>
          <w:sz w:val="22"/>
          <w:szCs w:val="22"/>
          <w:shd w:val="clear" w:color="auto" w:fill="FFFFFF"/>
          <w:lang w:val="bg-BG"/>
        </w:rPr>
        <w:t>с емитент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борсов код </w:t>
      </w:r>
      <w:r w:rsidRPr="00086D70">
        <w:rPr>
          <w:rFonts w:ascii="Arial" w:hAnsi="Arial" w:cs="Arial"/>
          <w:sz w:val="22"/>
          <w:szCs w:val="22"/>
        </w:rPr>
        <w:t>6S4N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, с начална дата за търговия </w:t>
      </w:r>
      <w:r w:rsidRPr="00086D70">
        <w:rPr>
          <w:rFonts w:ascii="Arial" w:hAnsi="Arial" w:cs="Arial"/>
          <w:sz w:val="22"/>
          <w:szCs w:val="22"/>
        </w:rPr>
        <w:t>18</w:t>
      </w:r>
      <w:r w:rsidRPr="00086D70">
        <w:rPr>
          <w:rFonts w:ascii="Arial" w:hAnsi="Arial" w:cs="Arial"/>
          <w:sz w:val="22"/>
          <w:szCs w:val="22"/>
          <w:lang w:val="bg-BG"/>
        </w:rPr>
        <w:t>.</w:t>
      </w:r>
      <w:r w:rsidRPr="00086D70">
        <w:rPr>
          <w:rFonts w:ascii="Arial" w:hAnsi="Arial" w:cs="Arial"/>
          <w:sz w:val="22"/>
          <w:szCs w:val="22"/>
        </w:rPr>
        <w:t>12</w:t>
      </w:r>
      <w:r w:rsidRPr="00086D70">
        <w:rPr>
          <w:rFonts w:ascii="Arial" w:hAnsi="Arial" w:cs="Arial"/>
          <w:sz w:val="22"/>
          <w:szCs w:val="22"/>
          <w:lang w:val="bg-BG"/>
        </w:rPr>
        <w:t>.2018</w:t>
      </w:r>
      <w:r w:rsidR="00AA6AAB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  <w:lang w:val="bg-BG"/>
        </w:rPr>
        <w:t>г.</w:t>
      </w:r>
    </w:p>
    <w:p w14:paraId="7CE846A2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5EAA0D2" w14:textId="77777777" w:rsidR="0020275F" w:rsidRPr="00086D70" w:rsidRDefault="0020275F" w:rsidP="0020275F">
      <w:pPr>
        <w:jc w:val="both"/>
        <w:rPr>
          <w:rFonts w:ascii="Arial" w:hAnsi="Arial" w:cs="Arial"/>
          <w:sz w:val="22"/>
          <w:szCs w:val="22"/>
        </w:rPr>
      </w:pPr>
    </w:p>
    <w:p w14:paraId="45288EC0" w14:textId="77777777" w:rsidR="00803B4B" w:rsidRPr="00086D70" w:rsidRDefault="00803B4B" w:rsidP="00F226FA">
      <w:pPr>
        <w:pStyle w:val="1"/>
        <w:numPr>
          <w:ilvl w:val="0"/>
          <w:numId w:val="14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3FF93C55" w14:textId="77777777" w:rsidR="00AA5FC0" w:rsidRPr="00086D70" w:rsidRDefault="00AA5FC0" w:rsidP="00C94028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78C67E3" w14:textId="77777777" w:rsidR="00F60FAE" w:rsidRPr="00086D70" w:rsidRDefault="00F60FAE" w:rsidP="00F60FA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 xml:space="preserve">Предметът на дейност на </w:t>
      </w:r>
      <w:bookmarkStart w:id="0" w:name="OLE_LINK275"/>
      <w:bookmarkStart w:id="1" w:name="OLE_LINK276"/>
      <w:bookmarkStart w:id="2" w:name="OLE_LINK277"/>
      <w:bookmarkStart w:id="3" w:name="OLE_LINK279"/>
      <w:bookmarkStart w:id="4" w:name="OLE_LINK280"/>
      <w:bookmarkStart w:id="5" w:name="OLE_LINK281"/>
      <w:bookmarkStart w:id="6" w:name="OLE_LINK282"/>
      <w:r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</w:t>
      </w:r>
      <w:bookmarkEnd w:id="0"/>
      <w:bookmarkEnd w:id="1"/>
      <w:bookmarkEnd w:id="2"/>
      <w:bookmarkEnd w:id="3"/>
      <w:bookmarkEnd w:id="4"/>
      <w:bookmarkEnd w:id="5"/>
      <w:bookmarkEnd w:id="6"/>
      <w:r w:rsidRPr="00086D70">
        <w:rPr>
          <w:rFonts w:ascii="Arial" w:hAnsi="Arial" w:cs="Arial"/>
          <w:sz w:val="22"/>
          <w:szCs w:val="22"/>
          <w:lang w:val="bg-BG"/>
        </w:rPr>
        <w:t>, с</w:t>
      </w:r>
      <w:r w:rsidRPr="00086D70">
        <w:rPr>
          <w:rFonts w:ascii="Arial" w:hAnsi="Arial" w:cs="Arial"/>
          <w:sz w:val="22"/>
          <w:szCs w:val="22"/>
        </w:rPr>
        <w:t>ъгласно неговия Устав</w:t>
      </w:r>
      <w:r w:rsidRPr="00086D70">
        <w:rPr>
          <w:rFonts w:ascii="Arial" w:hAnsi="Arial" w:cs="Arial"/>
          <w:sz w:val="22"/>
          <w:szCs w:val="22"/>
          <w:lang w:val="bg-BG"/>
        </w:rPr>
        <w:t>,</w:t>
      </w:r>
      <w:r w:rsidRPr="00086D70">
        <w:rPr>
          <w:rFonts w:ascii="Arial" w:hAnsi="Arial" w:cs="Arial"/>
          <w:sz w:val="22"/>
          <w:szCs w:val="22"/>
        </w:rPr>
        <w:t xml:space="preserve"> е</w:t>
      </w:r>
      <w:r w:rsidRPr="00086D70">
        <w:rPr>
          <w:rFonts w:ascii="Arial" w:hAnsi="Arial" w:cs="Arial"/>
          <w:sz w:val="22"/>
          <w:szCs w:val="22"/>
          <w:lang w:val="bg-BG"/>
        </w:rPr>
        <w:t>:</w:t>
      </w:r>
      <w:r w:rsidRPr="00086D70">
        <w:rPr>
          <w:rFonts w:ascii="Arial" w:hAnsi="Arial" w:cs="Arial"/>
          <w:sz w:val="22"/>
          <w:szCs w:val="22"/>
        </w:rPr>
        <w:t xml:space="preserve"> </w:t>
      </w:r>
      <w:r w:rsidRPr="00086D70">
        <w:rPr>
          <w:rFonts w:ascii="Arial" w:hAnsi="Arial" w:cs="Arial"/>
          <w:bCs/>
          <w:iCs/>
          <w:sz w:val="22"/>
          <w:szCs w:val="22"/>
          <w:lang w:eastAsia="bg-BG"/>
        </w:rPr>
        <w:t>Придобиване, управление, оценка и продажба на участия в български и чуждестранни дружества; Предоставяне на заеми на дружества, в които Холдингът има пряко участие или ги контролира; Финансиране на дружества, в които холдинговото дружество участва</w:t>
      </w:r>
      <w:r w:rsidRPr="00086D70">
        <w:rPr>
          <w:rFonts w:ascii="Arial" w:hAnsi="Arial" w:cs="Arial"/>
          <w:sz w:val="22"/>
          <w:szCs w:val="22"/>
        </w:rPr>
        <w:t>.</w:t>
      </w:r>
    </w:p>
    <w:p w14:paraId="407A5598" w14:textId="77777777" w:rsidR="00F60FAE" w:rsidRDefault="00F60FAE" w:rsidP="0098206E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</w:rPr>
        <w:t>Същността на дейността на 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Pr="00086D70">
        <w:rPr>
          <w:rFonts w:ascii="Arial" w:hAnsi="Arial" w:cs="Arial"/>
          <w:sz w:val="22"/>
          <w:szCs w:val="22"/>
        </w:rPr>
        <w:t xml:space="preserve"> Холдинг АД е </w:t>
      </w:r>
      <w:r w:rsidRPr="00086D70">
        <w:rPr>
          <w:rFonts w:ascii="Arial" w:hAnsi="Arial" w:cs="Arial"/>
          <w:sz w:val="22"/>
          <w:szCs w:val="22"/>
          <w:lang w:val="bg-BG"/>
        </w:rPr>
        <w:t>концентриран</w:t>
      </w:r>
      <w:r w:rsidR="007219CD" w:rsidRPr="00086D70">
        <w:rPr>
          <w:rFonts w:ascii="Arial" w:hAnsi="Arial" w:cs="Arial"/>
          <w:sz w:val="22"/>
          <w:szCs w:val="22"/>
          <w:lang w:val="bg-BG"/>
        </w:rPr>
        <w:t>а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</w:t>
      </w:r>
      <w:r w:rsidRPr="00086D70">
        <w:rPr>
          <w:rFonts w:ascii="Arial" w:hAnsi="Arial" w:cs="Arial"/>
          <w:sz w:val="22"/>
          <w:szCs w:val="22"/>
        </w:rPr>
        <w:t>в структурирането и професионалното управление на набраните от множество индивидуални и институционални инвеститори средства в балансиран и диверсифициран портфейл от дялови участия и управлението на дъщерните дружества на Холдинга. Основната цел е формиране на диверсифициран портфейл, който да носи висока възвръщаемост за дружеството.</w:t>
      </w:r>
    </w:p>
    <w:p w14:paraId="303271CD" w14:textId="77777777" w:rsidR="00B92AC9" w:rsidRDefault="00B92AC9" w:rsidP="00F60FAE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14:paraId="1A448730" w14:textId="77777777" w:rsidR="002E2EB1" w:rsidRPr="005067CE" w:rsidRDefault="007D2A89" w:rsidP="00F60FAE">
      <w:pPr>
        <w:jc w:val="both"/>
        <w:rPr>
          <w:rFonts w:ascii="Arial" w:hAnsi="Arial" w:cs="Arial"/>
          <w:sz w:val="22"/>
          <w:szCs w:val="22"/>
          <w:lang w:val="bg-BG" w:eastAsia="x-none"/>
        </w:rPr>
      </w:pPr>
      <w:r w:rsidRPr="007D2A89">
        <w:rPr>
          <w:rFonts w:ascii="Arial" w:hAnsi="Arial" w:cs="Arial"/>
          <w:sz w:val="22"/>
          <w:szCs w:val="22"/>
          <w:lang w:eastAsia="x-none"/>
        </w:rPr>
        <w:t>Продължаващата и към 3</w:t>
      </w:r>
      <w:r w:rsidR="00D147D7">
        <w:rPr>
          <w:rFonts w:ascii="Arial" w:hAnsi="Arial" w:cs="Arial"/>
          <w:sz w:val="22"/>
          <w:szCs w:val="22"/>
          <w:lang w:eastAsia="x-none"/>
        </w:rPr>
        <w:t>1</w:t>
      </w:r>
      <w:r w:rsidRPr="007D2A89">
        <w:rPr>
          <w:rFonts w:ascii="Arial" w:hAnsi="Arial" w:cs="Arial"/>
          <w:sz w:val="22"/>
          <w:szCs w:val="22"/>
          <w:lang w:eastAsia="x-none"/>
        </w:rPr>
        <w:t>.</w:t>
      </w:r>
      <w:r w:rsidR="00A3394A">
        <w:rPr>
          <w:rFonts w:ascii="Arial" w:hAnsi="Arial" w:cs="Arial"/>
          <w:sz w:val="22"/>
          <w:szCs w:val="22"/>
          <w:lang w:eastAsia="x-none"/>
        </w:rPr>
        <w:t>03</w:t>
      </w:r>
      <w:r w:rsidRPr="007D2A89">
        <w:rPr>
          <w:rFonts w:ascii="Arial" w:hAnsi="Arial" w:cs="Arial"/>
          <w:sz w:val="22"/>
          <w:szCs w:val="22"/>
          <w:lang w:eastAsia="x-none"/>
        </w:rPr>
        <w:t>.202</w:t>
      </w:r>
      <w:r w:rsidR="00A3394A">
        <w:rPr>
          <w:rFonts w:ascii="Arial" w:hAnsi="Arial" w:cs="Arial"/>
          <w:sz w:val="22"/>
          <w:szCs w:val="22"/>
          <w:lang w:eastAsia="x-none"/>
        </w:rPr>
        <w:t>3</w:t>
      </w:r>
      <w:r w:rsidRPr="007D2A89">
        <w:rPr>
          <w:rFonts w:ascii="Arial" w:hAnsi="Arial" w:cs="Arial"/>
          <w:sz w:val="22"/>
          <w:szCs w:val="22"/>
          <w:lang w:eastAsia="x-none"/>
        </w:rPr>
        <w:t xml:space="preserve"> г. </w:t>
      </w:r>
      <w:r w:rsidR="00D10204">
        <w:rPr>
          <w:rFonts w:ascii="Arial" w:hAnsi="Arial" w:cs="Arial"/>
          <w:sz w:val="22"/>
          <w:szCs w:val="22"/>
          <w:lang w:val="bg-BG" w:eastAsia="x-none"/>
        </w:rPr>
        <w:t>р</w:t>
      </w:r>
      <w:r w:rsidRPr="007D2A89">
        <w:rPr>
          <w:rFonts w:ascii="Arial" w:hAnsi="Arial" w:cs="Arial"/>
          <w:sz w:val="22"/>
          <w:szCs w:val="22"/>
          <w:lang w:eastAsia="x-none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руски субекти. Извън общия негативен ефект върху макроикономическите условия в страната и в Европа, </w:t>
      </w:r>
      <w:r w:rsidR="00805776" w:rsidRPr="00086D70">
        <w:rPr>
          <w:rFonts w:ascii="Arial" w:hAnsi="Arial" w:cs="Arial"/>
          <w:sz w:val="22"/>
          <w:szCs w:val="22"/>
        </w:rPr>
        <w:t>Северкооп-</w:t>
      </w:r>
      <w:r w:rsidR="00805776">
        <w:rPr>
          <w:rFonts w:ascii="Arial" w:hAnsi="Arial" w:cs="Arial"/>
          <w:sz w:val="22"/>
          <w:szCs w:val="22"/>
        </w:rPr>
        <w:t>Гъмза</w:t>
      </w:r>
      <w:r w:rsidR="00805776"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7D2A89">
        <w:rPr>
          <w:rFonts w:ascii="Arial" w:hAnsi="Arial" w:cs="Arial"/>
          <w:sz w:val="22"/>
          <w:szCs w:val="22"/>
          <w:lang w:eastAsia="x-none"/>
        </w:rPr>
        <w:t xml:space="preserve"> не регистрира конкретно негативно влияние от войната</w:t>
      </w:r>
      <w:r>
        <w:rPr>
          <w:rFonts w:ascii="Arial" w:hAnsi="Arial" w:cs="Arial"/>
          <w:sz w:val="22"/>
          <w:szCs w:val="22"/>
          <w:lang w:eastAsia="x-none"/>
        </w:rPr>
        <w:t xml:space="preserve"> в Украйна върху своята дейност</w:t>
      </w:r>
      <w:r w:rsidR="005067CE">
        <w:rPr>
          <w:rFonts w:ascii="Arial" w:hAnsi="Arial" w:cs="Arial"/>
          <w:sz w:val="22"/>
          <w:szCs w:val="22"/>
          <w:lang w:val="bg-BG" w:eastAsia="x-none"/>
        </w:rPr>
        <w:t>.</w:t>
      </w:r>
    </w:p>
    <w:p w14:paraId="5202FB60" w14:textId="77777777" w:rsidR="00021FCA" w:rsidRDefault="00021FCA" w:rsidP="00021FCA">
      <w:pPr>
        <w:pStyle w:val="2"/>
        <w:ind w:left="360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577281E4" w14:textId="77777777" w:rsidR="000B3B86" w:rsidRDefault="000B3B86" w:rsidP="000B3B86">
      <w:pPr>
        <w:rPr>
          <w:lang w:eastAsia="x-none"/>
        </w:rPr>
      </w:pPr>
    </w:p>
    <w:p w14:paraId="5EEDF6DF" w14:textId="77777777" w:rsidR="00576F4D" w:rsidRDefault="00576F4D" w:rsidP="000B3B86">
      <w:pPr>
        <w:rPr>
          <w:lang w:eastAsia="x-none"/>
        </w:rPr>
      </w:pPr>
    </w:p>
    <w:p w14:paraId="6A24AA31" w14:textId="77777777" w:rsidR="00576F4D" w:rsidRPr="000B3B86" w:rsidRDefault="00576F4D" w:rsidP="000B3B86">
      <w:pPr>
        <w:rPr>
          <w:lang w:eastAsia="x-none"/>
        </w:rPr>
      </w:pPr>
    </w:p>
    <w:p w14:paraId="1BA20A32" w14:textId="77777777" w:rsidR="00803B4B" w:rsidRPr="00086D70" w:rsidRDefault="00803B4B" w:rsidP="00F226FA">
      <w:pPr>
        <w:pStyle w:val="2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 xml:space="preserve">Анализ на активите на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</w:p>
    <w:p w14:paraId="326DE553" w14:textId="77777777" w:rsidR="000C0985" w:rsidRPr="00086D70" w:rsidRDefault="000C0985" w:rsidP="00766BFC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D036DBB" w14:textId="77777777" w:rsidR="00032520" w:rsidRDefault="005B6158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Към края </w:t>
      </w:r>
      <w:r w:rsidR="00915683">
        <w:rPr>
          <w:rFonts w:ascii="Arial" w:hAnsi="Arial" w:cs="Arial"/>
          <w:lang w:val="en-US"/>
        </w:rPr>
        <w:t>на</w:t>
      </w:r>
      <w:r w:rsidR="00A11C67">
        <w:rPr>
          <w:rFonts w:ascii="Arial" w:hAnsi="Arial" w:cs="Arial"/>
          <w:lang w:val="en-US"/>
        </w:rPr>
        <w:t xml:space="preserve"> първото тримесечие на</w:t>
      </w:r>
      <w:r w:rsidR="00915683">
        <w:rPr>
          <w:rFonts w:ascii="Arial" w:hAnsi="Arial" w:cs="Arial"/>
          <w:lang w:val="en-US"/>
        </w:rPr>
        <w:t xml:space="preserve"> </w:t>
      </w:r>
      <w:r w:rsidR="00E950F5" w:rsidRPr="00086D70">
        <w:rPr>
          <w:rFonts w:ascii="Arial" w:hAnsi="Arial" w:cs="Arial"/>
        </w:rPr>
        <w:t>20</w:t>
      </w:r>
      <w:r w:rsidR="00141417">
        <w:rPr>
          <w:rFonts w:ascii="Arial" w:hAnsi="Arial" w:cs="Arial"/>
          <w:lang w:val="en-US"/>
        </w:rPr>
        <w:t>2</w:t>
      </w:r>
      <w:r w:rsidR="00A11C67">
        <w:rPr>
          <w:rFonts w:ascii="Arial" w:hAnsi="Arial" w:cs="Arial"/>
          <w:lang w:val="en-US"/>
        </w:rPr>
        <w:t>3</w:t>
      </w:r>
      <w:r w:rsidR="007D3B3E">
        <w:rPr>
          <w:rFonts w:ascii="Arial" w:hAnsi="Arial" w:cs="Arial"/>
          <w:lang w:val="en-US"/>
        </w:rPr>
        <w:t xml:space="preserve"> </w:t>
      </w:r>
      <w:r w:rsidR="0031114E" w:rsidRPr="00086D70">
        <w:rPr>
          <w:rFonts w:ascii="Arial" w:hAnsi="Arial" w:cs="Arial"/>
        </w:rPr>
        <w:t>г.</w:t>
      </w:r>
      <w:r w:rsidR="0056654E" w:rsidRPr="00086D70">
        <w:rPr>
          <w:rFonts w:ascii="Arial" w:hAnsi="Arial" w:cs="Arial"/>
        </w:rPr>
        <w:t>,</w:t>
      </w:r>
      <w:r w:rsidR="0031114E" w:rsidRPr="00086D70">
        <w:rPr>
          <w:rFonts w:ascii="Arial" w:hAnsi="Arial" w:cs="Arial"/>
        </w:rPr>
        <w:t xml:space="preserve"> активите на </w:t>
      </w:r>
      <w:r w:rsidR="00783226" w:rsidRPr="00086D70">
        <w:rPr>
          <w:rFonts w:ascii="Arial" w:hAnsi="Arial" w:cs="Arial"/>
        </w:rPr>
        <w:t>Северкооп-</w:t>
      </w:r>
      <w:r w:rsidR="007B1208">
        <w:rPr>
          <w:rFonts w:ascii="Arial" w:hAnsi="Arial" w:cs="Arial"/>
        </w:rPr>
        <w:t>Гъмза</w:t>
      </w:r>
      <w:r w:rsidR="00783226" w:rsidRPr="00086D70">
        <w:rPr>
          <w:rFonts w:ascii="Arial" w:hAnsi="Arial" w:cs="Arial"/>
        </w:rPr>
        <w:t xml:space="preserve"> Холдинг АД</w:t>
      </w:r>
      <w:r w:rsidR="003D617E">
        <w:rPr>
          <w:rFonts w:ascii="Arial" w:hAnsi="Arial" w:cs="Arial"/>
        </w:rPr>
        <w:t>, на консолидирана основа,</w:t>
      </w:r>
      <w:r w:rsidR="00803B4B" w:rsidRPr="00086D70">
        <w:rPr>
          <w:rFonts w:ascii="Arial" w:hAnsi="Arial" w:cs="Arial"/>
        </w:rPr>
        <w:t xml:space="preserve"> </w:t>
      </w:r>
      <w:r w:rsidR="00A11C67">
        <w:rPr>
          <w:rFonts w:ascii="Arial" w:hAnsi="Arial" w:cs="Arial"/>
          <w:lang w:val="en-US"/>
        </w:rPr>
        <w:t>нарастват минимално</w:t>
      </w:r>
      <w:r w:rsidR="00043115">
        <w:rPr>
          <w:rFonts w:ascii="Arial" w:hAnsi="Arial" w:cs="Arial"/>
          <w:lang w:val="en-US"/>
        </w:rPr>
        <w:t xml:space="preserve"> </w:t>
      </w:r>
      <w:r w:rsidR="00A11C67">
        <w:rPr>
          <w:rFonts w:ascii="Arial" w:hAnsi="Arial" w:cs="Arial"/>
          <w:lang w:val="en-US"/>
        </w:rPr>
        <w:t>/+1</w:t>
      </w:r>
      <w:r w:rsidR="007A2961">
        <w:rPr>
          <w:rFonts w:ascii="Arial" w:hAnsi="Arial" w:cs="Arial"/>
        </w:rPr>
        <w:t>.</w:t>
      </w:r>
      <w:r w:rsidR="00A11C67">
        <w:rPr>
          <w:rFonts w:ascii="Arial" w:hAnsi="Arial" w:cs="Arial"/>
          <w:lang w:val="en-US"/>
        </w:rPr>
        <w:t>52</w:t>
      </w:r>
      <w:r w:rsidR="007A2961">
        <w:rPr>
          <w:rFonts w:ascii="Arial" w:hAnsi="Arial" w:cs="Arial"/>
        </w:rPr>
        <w:t>%</w:t>
      </w:r>
      <w:r w:rsidR="00A11C67">
        <w:rPr>
          <w:rFonts w:ascii="Arial" w:hAnsi="Arial" w:cs="Arial"/>
          <w:lang w:val="en-US"/>
        </w:rPr>
        <w:t>/</w:t>
      </w:r>
      <w:r w:rsidR="007A2961" w:rsidRPr="00086D70">
        <w:rPr>
          <w:rFonts w:ascii="Arial" w:hAnsi="Arial" w:cs="Arial"/>
        </w:rPr>
        <w:t xml:space="preserve"> до ниво от</w:t>
      </w:r>
      <w:r w:rsidR="00282959">
        <w:rPr>
          <w:rFonts w:ascii="Arial" w:hAnsi="Arial" w:cs="Arial"/>
          <w:lang w:val="en-US"/>
        </w:rPr>
        <w:t xml:space="preserve"> </w:t>
      </w:r>
      <w:r w:rsidR="00A3038C">
        <w:rPr>
          <w:rFonts w:ascii="Arial" w:hAnsi="Arial" w:cs="Arial"/>
          <w:lang w:val="en-US"/>
        </w:rPr>
        <w:t>10</w:t>
      </w:r>
      <w:r w:rsidR="008D06C5">
        <w:rPr>
          <w:rFonts w:ascii="Arial" w:hAnsi="Arial" w:cs="Arial"/>
          <w:lang w:val="en-US"/>
        </w:rPr>
        <w:t>6</w:t>
      </w:r>
      <w:r w:rsidR="00A3038C">
        <w:rPr>
          <w:rFonts w:ascii="Arial" w:hAnsi="Arial" w:cs="Arial"/>
          <w:lang w:val="en-US"/>
        </w:rPr>
        <w:t>,</w:t>
      </w:r>
      <w:r w:rsidR="008D06C5">
        <w:rPr>
          <w:rFonts w:ascii="Arial" w:hAnsi="Arial" w:cs="Arial"/>
          <w:lang w:val="en-US"/>
        </w:rPr>
        <w:t>831</w:t>
      </w:r>
      <w:r w:rsidR="005971D7">
        <w:rPr>
          <w:rFonts w:ascii="Arial" w:hAnsi="Arial" w:cs="Arial"/>
          <w:lang w:val="en-US"/>
        </w:rPr>
        <w:t xml:space="preserve"> </w:t>
      </w:r>
      <w:r w:rsidR="007A2961">
        <w:rPr>
          <w:rFonts w:ascii="Arial" w:hAnsi="Arial" w:cs="Arial"/>
        </w:rPr>
        <w:t xml:space="preserve"> млн. лева </w:t>
      </w:r>
      <w:r w:rsidR="00915683">
        <w:rPr>
          <w:rFonts w:ascii="Arial" w:hAnsi="Arial" w:cs="Arial"/>
        </w:rPr>
        <w:t>спрямо</w:t>
      </w:r>
      <w:r w:rsidR="00A3038C" w:rsidRPr="00A3038C">
        <w:rPr>
          <w:rFonts w:ascii="Arial" w:hAnsi="Arial" w:cs="Arial"/>
          <w:lang w:val="en-US"/>
        </w:rPr>
        <w:t xml:space="preserve"> </w:t>
      </w:r>
      <w:r w:rsidR="00A3038C">
        <w:rPr>
          <w:rFonts w:ascii="Arial" w:hAnsi="Arial" w:cs="Arial"/>
          <w:lang w:val="en-US"/>
        </w:rPr>
        <w:t>10</w:t>
      </w:r>
      <w:r w:rsidR="00A11C67">
        <w:rPr>
          <w:rFonts w:ascii="Arial" w:hAnsi="Arial" w:cs="Arial"/>
          <w:lang w:val="en-US"/>
        </w:rPr>
        <w:t>5</w:t>
      </w:r>
      <w:r w:rsidR="00A3038C">
        <w:rPr>
          <w:rFonts w:ascii="Arial" w:hAnsi="Arial" w:cs="Arial"/>
          <w:lang w:val="en-US"/>
        </w:rPr>
        <w:t>,</w:t>
      </w:r>
      <w:r w:rsidR="00A11C67">
        <w:rPr>
          <w:rFonts w:ascii="Arial" w:hAnsi="Arial" w:cs="Arial"/>
          <w:lang w:val="en-US"/>
        </w:rPr>
        <w:t>232</w:t>
      </w:r>
      <w:r w:rsidR="005971D7">
        <w:rPr>
          <w:rFonts w:ascii="Arial" w:hAnsi="Arial" w:cs="Arial"/>
          <w:lang w:val="en-US"/>
        </w:rPr>
        <w:t xml:space="preserve"> </w:t>
      </w:r>
      <w:r w:rsidR="007A2961" w:rsidRPr="00086D70">
        <w:rPr>
          <w:rFonts w:ascii="Arial" w:hAnsi="Arial" w:cs="Arial"/>
        </w:rPr>
        <w:t xml:space="preserve">млн. лева към </w:t>
      </w:r>
      <w:r w:rsidR="00342B26">
        <w:rPr>
          <w:rFonts w:ascii="Arial" w:hAnsi="Arial" w:cs="Arial"/>
          <w:lang w:val="en-US"/>
        </w:rPr>
        <w:t>3</w:t>
      </w:r>
      <w:r w:rsidR="00A11C67">
        <w:rPr>
          <w:rFonts w:ascii="Arial" w:hAnsi="Arial" w:cs="Arial"/>
          <w:lang w:val="en-US"/>
        </w:rPr>
        <w:t>1</w:t>
      </w:r>
      <w:r w:rsidR="00342B26">
        <w:rPr>
          <w:rFonts w:ascii="Arial" w:hAnsi="Arial" w:cs="Arial"/>
          <w:lang w:val="en-US"/>
        </w:rPr>
        <w:t>.</w:t>
      </w:r>
      <w:r w:rsidR="00A11C67">
        <w:rPr>
          <w:rFonts w:ascii="Arial" w:hAnsi="Arial" w:cs="Arial"/>
          <w:lang w:val="en-US"/>
        </w:rPr>
        <w:t>12</w:t>
      </w:r>
      <w:r w:rsidR="00342B26">
        <w:rPr>
          <w:rFonts w:ascii="Arial" w:hAnsi="Arial" w:cs="Arial"/>
          <w:lang w:val="en-US"/>
        </w:rPr>
        <w:t>.</w:t>
      </w:r>
      <w:r w:rsidR="007A2961" w:rsidRPr="00086D70">
        <w:rPr>
          <w:rFonts w:ascii="Arial" w:hAnsi="Arial" w:cs="Arial"/>
        </w:rPr>
        <w:t>20</w:t>
      </w:r>
      <w:r w:rsidR="00342B26">
        <w:rPr>
          <w:rFonts w:ascii="Arial" w:hAnsi="Arial" w:cs="Arial"/>
          <w:lang w:val="en-US"/>
        </w:rPr>
        <w:t>2</w:t>
      </w:r>
      <w:r w:rsidR="005971D7">
        <w:rPr>
          <w:rFonts w:ascii="Arial" w:hAnsi="Arial" w:cs="Arial"/>
          <w:lang w:val="en-US"/>
        </w:rPr>
        <w:t>2</w:t>
      </w:r>
      <w:r w:rsidR="007D3B3E">
        <w:rPr>
          <w:rFonts w:ascii="Arial" w:hAnsi="Arial" w:cs="Arial"/>
          <w:lang w:val="en-US"/>
        </w:rPr>
        <w:t xml:space="preserve"> </w:t>
      </w:r>
      <w:r w:rsidR="007A2961" w:rsidRPr="00086D70">
        <w:rPr>
          <w:rFonts w:ascii="Arial" w:hAnsi="Arial" w:cs="Arial"/>
        </w:rPr>
        <w:t>г.</w:t>
      </w:r>
      <w:r w:rsidR="00A27A66" w:rsidRPr="00086D70">
        <w:rPr>
          <w:rFonts w:ascii="Arial" w:hAnsi="Arial" w:cs="Arial"/>
        </w:rPr>
        <w:t xml:space="preserve"> </w:t>
      </w:r>
    </w:p>
    <w:p w14:paraId="47956AD6" w14:textId="77777777" w:rsidR="00032520" w:rsidRDefault="00032520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A306DA8" w14:textId="77777777" w:rsidR="000C07E8" w:rsidRPr="00D35028" w:rsidRDefault="00A11C67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</w:t>
      </w:r>
      <w:r w:rsidR="003D617E">
        <w:rPr>
          <w:rFonts w:ascii="Arial" w:hAnsi="Arial" w:cs="Arial"/>
        </w:rPr>
        <w:t xml:space="preserve">труктурата на активите </w:t>
      </w:r>
      <w:r>
        <w:rPr>
          <w:rFonts w:ascii="Arial" w:hAnsi="Arial" w:cs="Arial"/>
          <w:lang w:val="en-US"/>
        </w:rPr>
        <w:t>към края на 2023</w:t>
      </w:r>
      <w:r w:rsidR="007E0E7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 също е без съществена промяна като</w:t>
      </w:r>
      <w:r w:rsidR="00D44B32">
        <w:rPr>
          <w:rFonts w:ascii="Arial" w:hAnsi="Arial" w:cs="Arial"/>
          <w:lang w:val="en-US"/>
        </w:rPr>
        <w:t xml:space="preserve"> текущите активи</w:t>
      </w:r>
      <w:r w:rsidR="008540CA">
        <w:rPr>
          <w:rFonts w:ascii="Arial" w:hAnsi="Arial" w:cs="Arial"/>
          <w:lang w:val="en-US"/>
        </w:rPr>
        <w:t xml:space="preserve"> </w:t>
      </w:r>
      <w:r w:rsidR="00D44B32">
        <w:rPr>
          <w:rFonts w:ascii="Arial" w:hAnsi="Arial" w:cs="Arial"/>
          <w:lang w:val="en-US"/>
        </w:rPr>
        <w:t xml:space="preserve">са с дял от </w:t>
      </w:r>
      <w:r w:rsidR="004922EA">
        <w:rPr>
          <w:rFonts w:ascii="Arial" w:hAnsi="Arial" w:cs="Arial"/>
          <w:lang w:val="en-US"/>
        </w:rPr>
        <w:t>7</w:t>
      </w:r>
      <w:r w:rsidR="00BD4E51">
        <w:rPr>
          <w:rFonts w:ascii="Arial" w:hAnsi="Arial" w:cs="Arial"/>
        </w:rPr>
        <w:t>9</w:t>
      </w:r>
      <w:r w:rsidR="004922E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50</w:t>
      </w:r>
      <w:r w:rsidR="00D44B32">
        <w:rPr>
          <w:rFonts w:ascii="Arial" w:hAnsi="Arial" w:cs="Arial"/>
          <w:lang w:val="en-US"/>
        </w:rPr>
        <w:t>%</w:t>
      </w:r>
      <w:r w:rsidR="008540CA">
        <w:rPr>
          <w:rFonts w:ascii="Arial" w:hAnsi="Arial" w:cs="Arial"/>
          <w:lang w:val="en-US"/>
        </w:rPr>
        <w:t xml:space="preserve"> от всички активи</w:t>
      </w:r>
      <w:r w:rsidR="00576CD6">
        <w:rPr>
          <w:rFonts w:ascii="Arial" w:hAnsi="Arial" w:cs="Arial"/>
          <w:lang w:val="en-US"/>
        </w:rPr>
        <w:t xml:space="preserve"> спрямо</w:t>
      </w:r>
      <w:r w:rsidR="003D617E">
        <w:rPr>
          <w:rFonts w:ascii="Arial" w:hAnsi="Arial" w:cs="Arial"/>
        </w:rPr>
        <w:t xml:space="preserve"> </w:t>
      </w:r>
      <w:r w:rsidR="004922EA">
        <w:rPr>
          <w:rFonts w:ascii="Arial" w:hAnsi="Arial" w:cs="Arial"/>
          <w:lang w:val="en-US"/>
        </w:rPr>
        <w:t>2</w:t>
      </w:r>
      <w:r w:rsidR="00BD4E51">
        <w:rPr>
          <w:rFonts w:ascii="Arial" w:hAnsi="Arial" w:cs="Arial"/>
        </w:rPr>
        <w:t>0</w:t>
      </w:r>
      <w:r w:rsidR="00576CD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50</w:t>
      </w:r>
      <w:r w:rsidR="00576CD6">
        <w:rPr>
          <w:rFonts w:ascii="Arial" w:hAnsi="Arial" w:cs="Arial"/>
          <w:lang w:val="en-US"/>
        </w:rPr>
        <w:t xml:space="preserve">% за </w:t>
      </w:r>
      <w:r w:rsidR="003D617E">
        <w:rPr>
          <w:rFonts w:ascii="Arial" w:hAnsi="Arial" w:cs="Arial"/>
        </w:rPr>
        <w:t>нетекущи</w:t>
      </w:r>
      <w:r w:rsidR="00576CD6">
        <w:rPr>
          <w:rFonts w:ascii="Arial" w:hAnsi="Arial" w:cs="Arial"/>
          <w:lang w:val="en-US"/>
        </w:rPr>
        <w:t>те</w:t>
      </w:r>
      <w:r w:rsidR="00576CD6">
        <w:rPr>
          <w:rFonts w:ascii="Arial" w:hAnsi="Arial" w:cs="Arial"/>
        </w:rPr>
        <w:t xml:space="preserve"> активи</w:t>
      </w:r>
      <w:r w:rsidR="005B6158">
        <w:rPr>
          <w:rFonts w:ascii="Arial" w:hAnsi="Arial" w:cs="Arial"/>
          <w:lang w:val="en-US"/>
        </w:rPr>
        <w:t xml:space="preserve"> /към 3</w:t>
      </w:r>
      <w:r>
        <w:rPr>
          <w:rFonts w:ascii="Arial" w:hAnsi="Arial" w:cs="Arial"/>
          <w:lang w:val="en-US"/>
        </w:rPr>
        <w:t>1</w:t>
      </w:r>
      <w:r w:rsidR="005B615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12</w:t>
      </w:r>
      <w:r w:rsidR="005B6158">
        <w:rPr>
          <w:rFonts w:ascii="Arial" w:hAnsi="Arial" w:cs="Arial"/>
          <w:lang w:val="en-US"/>
        </w:rPr>
        <w:t>.202</w:t>
      </w:r>
      <w:r w:rsidR="005971D7">
        <w:rPr>
          <w:rFonts w:ascii="Arial" w:hAnsi="Arial" w:cs="Arial"/>
          <w:lang w:val="en-US"/>
        </w:rPr>
        <w:t>2</w:t>
      </w:r>
      <w:r w:rsidR="007D3B3E">
        <w:rPr>
          <w:rFonts w:ascii="Arial" w:hAnsi="Arial" w:cs="Arial"/>
          <w:lang w:val="en-US"/>
        </w:rPr>
        <w:t xml:space="preserve"> </w:t>
      </w:r>
      <w:r w:rsidR="005B6158">
        <w:rPr>
          <w:rFonts w:ascii="Arial" w:hAnsi="Arial" w:cs="Arial"/>
          <w:lang w:val="en-US"/>
        </w:rPr>
        <w:t>г.</w:t>
      </w:r>
      <w:r w:rsidR="002D6718">
        <w:rPr>
          <w:rFonts w:ascii="Arial" w:hAnsi="Arial" w:cs="Arial"/>
          <w:lang w:val="en-US"/>
        </w:rPr>
        <w:t xml:space="preserve"> </w:t>
      </w:r>
      <w:r w:rsidR="002D6718" w:rsidRPr="00D35028">
        <w:rPr>
          <w:rFonts w:ascii="Arial" w:hAnsi="Arial" w:cs="Arial"/>
          <w:lang w:val="en-US"/>
        </w:rPr>
        <w:t xml:space="preserve">съотношението е </w:t>
      </w:r>
      <w:r w:rsidR="005B6158" w:rsidRPr="00D35028">
        <w:rPr>
          <w:rFonts w:ascii="Arial" w:hAnsi="Arial" w:cs="Arial"/>
          <w:lang w:val="en-US"/>
        </w:rPr>
        <w:t xml:space="preserve">съответно </w:t>
      </w:r>
      <w:r w:rsidR="004922EA" w:rsidRPr="00D35028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9</w:t>
      </w:r>
      <w:r w:rsidR="005B6158" w:rsidRPr="00D3502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06</w:t>
      </w:r>
      <w:r w:rsidR="005B6158" w:rsidRPr="00D35028">
        <w:rPr>
          <w:rFonts w:ascii="Arial" w:hAnsi="Arial" w:cs="Arial"/>
          <w:lang w:val="en-US"/>
        </w:rPr>
        <w:t xml:space="preserve">% спрямо </w:t>
      </w:r>
      <w:r w:rsidR="005971D7" w:rsidRPr="00D35028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0</w:t>
      </w:r>
      <w:r w:rsidR="005B6158" w:rsidRPr="00D3502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94</w:t>
      </w:r>
      <w:r w:rsidR="005B6158" w:rsidRPr="00D35028">
        <w:rPr>
          <w:rFonts w:ascii="Arial" w:hAnsi="Arial" w:cs="Arial"/>
          <w:lang w:val="en-US"/>
        </w:rPr>
        <w:t>%/</w:t>
      </w:r>
      <w:r w:rsidR="002D6718" w:rsidRPr="00D35028">
        <w:rPr>
          <w:rFonts w:ascii="Arial" w:hAnsi="Arial" w:cs="Arial"/>
          <w:lang w:val="en-US"/>
        </w:rPr>
        <w:t>.</w:t>
      </w:r>
    </w:p>
    <w:p w14:paraId="3EEB9EAC" w14:textId="77777777" w:rsidR="00AE1347" w:rsidRPr="00086D70" w:rsidRDefault="00AE1347" w:rsidP="00A27A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03301C0" w14:textId="77777777" w:rsidR="006D5653" w:rsidRDefault="00F3026C" w:rsidP="00A27A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</w:t>
      </w:r>
      <w:r w:rsidR="00431689">
        <w:rPr>
          <w:rFonts w:ascii="Arial" w:hAnsi="Arial" w:cs="Arial"/>
        </w:rPr>
        <w:t xml:space="preserve">сновни позиции </w:t>
      </w:r>
      <w:r>
        <w:rPr>
          <w:rFonts w:ascii="Arial" w:hAnsi="Arial" w:cs="Arial"/>
          <w:lang w:val="en-US"/>
        </w:rPr>
        <w:t xml:space="preserve">при текущите активи </w:t>
      </w:r>
      <w:r w:rsidR="004928EC">
        <w:rPr>
          <w:rFonts w:ascii="Arial" w:hAnsi="Arial" w:cs="Arial"/>
        </w:rPr>
        <w:t xml:space="preserve">продължават да са </w:t>
      </w:r>
      <w:r w:rsidR="00431689">
        <w:rPr>
          <w:rFonts w:ascii="Arial" w:hAnsi="Arial" w:cs="Arial"/>
        </w:rPr>
        <w:t>“</w:t>
      </w:r>
      <w:r w:rsidR="00431689" w:rsidRPr="00431689">
        <w:rPr>
          <w:rFonts w:ascii="Arial" w:hAnsi="Arial" w:cs="Arial"/>
        </w:rPr>
        <w:t>Краткосрочни финансови активи</w:t>
      </w:r>
      <w:r w:rsidR="00431689">
        <w:rPr>
          <w:rFonts w:ascii="Arial" w:hAnsi="Arial" w:cs="Arial"/>
        </w:rPr>
        <w:t>“</w:t>
      </w:r>
      <w:r w:rsidR="000F563F">
        <w:rPr>
          <w:rFonts w:ascii="Arial" w:hAnsi="Arial" w:cs="Arial"/>
        </w:rPr>
        <w:t xml:space="preserve">, където </w:t>
      </w:r>
      <w:r w:rsidR="004928EC">
        <w:rPr>
          <w:rFonts w:ascii="Arial" w:hAnsi="Arial" w:cs="Arial"/>
        </w:rPr>
        <w:t>салдо</w:t>
      </w:r>
      <w:r w:rsidR="000F563F">
        <w:rPr>
          <w:rFonts w:ascii="Arial" w:hAnsi="Arial" w:cs="Arial"/>
        </w:rPr>
        <w:t xml:space="preserve">то </w:t>
      </w:r>
      <w:r w:rsidR="005971D7">
        <w:rPr>
          <w:rFonts w:ascii="Arial" w:hAnsi="Arial" w:cs="Arial"/>
          <w:lang w:val="en-US"/>
        </w:rPr>
        <w:t>нараства</w:t>
      </w:r>
      <w:r w:rsidR="003F6C50">
        <w:rPr>
          <w:rFonts w:ascii="Arial" w:hAnsi="Arial" w:cs="Arial"/>
          <w:lang w:val="en-US"/>
        </w:rPr>
        <w:t xml:space="preserve"> до</w:t>
      </w:r>
      <w:r w:rsidR="004928EC">
        <w:rPr>
          <w:rFonts w:ascii="Arial" w:hAnsi="Arial" w:cs="Arial"/>
        </w:rPr>
        <w:t xml:space="preserve"> </w:t>
      </w:r>
      <w:r w:rsidR="00845DA3">
        <w:rPr>
          <w:rFonts w:ascii="Arial" w:hAnsi="Arial" w:cs="Arial"/>
          <w:lang w:val="en-US"/>
        </w:rPr>
        <w:t>3</w:t>
      </w:r>
      <w:r w:rsidR="00A11C67">
        <w:rPr>
          <w:rFonts w:ascii="Arial" w:hAnsi="Arial" w:cs="Arial"/>
          <w:lang w:val="en-US"/>
        </w:rPr>
        <w:t>4</w:t>
      </w:r>
      <w:r w:rsidR="00845DA3">
        <w:rPr>
          <w:rFonts w:ascii="Arial" w:hAnsi="Arial" w:cs="Arial"/>
          <w:lang w:val="en-US"/>
        </w:rPr>
        <w:t>,</w:t>
      </w:r>
      <w:r w:rsidR="00A11C67">
        <w:rPr>
          <w:rFonts w:ascii="Arial" w:hAnsi="Arial" w:cs="Arial"/>
          <w:lang w:val="en-US"/>
        </w:rPr>
        <w:t>71</w:t>
      </w:r>
      <w:r w:rsidR="00BD4E51">
        <w:rPr>
          <w:rFonts w:ascii="Arial" w:hAnsi="Arial" w:cs="Arial"/>
        </w:rPr>
        <w:t>6</w:t>
      </w:r>
      <w:r w:rsidR="00845DA3">
        <w:rPr>
          <w:rFonts w:ascii="Arial" w:hAnsi="Arial" w:cs="Arial"/>
          <w:lang w:val="en-US"/>
        </w:rPr>
        <w:t xml:space="preserve"> млн. лева </w:t>
      </w:r>
      <w:r w:rsidR="00845DA3">
        <w:rPr>
          <w:rFonts w:ascii="Arial" w:hAnsi="Arial" w:cs="Arial"/>
        </w:rPr>
        <w:t>/</w:t>
      </w:r>
      <w:r w:rsidR="00845DA3">
        <w:rPr>
          <w:rFonts w:ascii="Arial" w:hAnsi="Arial" w:cs="Arial"/>
          <w:lang w:val="en-US"/>
        </w:rPr>
        <w:t>+</w:t>
      </w:r>
      <w:r w:rsidR="00A11C67">
        <w:rPr>
          <w:rFonts w:ascii="Arial" w:hAnsi="Arial" w:cs="Arial"/>
          <w:lang w:val="en-US"/>
        </w:rPr>
        <w:t>3</w:t>
      </w:r>
      <w:r w:rsidR="00845DA3">
        <w:rPr>
          <w:rFonts w:ascii="Arial" w:hAnsi="Arial" w:cs="Arial"/>
        </w:rPr>
        <w:t>.</w:t>
      </w:r>
      <w:r w:rsidR="00A11C67">
        <w:rPr>
          <w:rFonts w:ascii="Arial" w:hAnsi="Arial" w:cs="Arial"/>
          <w:lang w:val="en-US"/>
        </w:rPr>
        <w:t>21</w:t>
      </w:r>
      <w:r w:rsidR="00845DA3">
        <w:rPr>
          <w:rFonts w:ascii="Arial" w:hAnsi="Arial" w:cs="Arial"/>
        </w:rPr>
        <w:t>%/</w:t>
      </w:r>
      <w:r w:rsidR="00845DA3">
        <w:rPr>
          <w:rFonts w:ascii="Arial" w:hAnsi="Arial" w:cs="Arial"/>
          <w:lang w:val="en-US"/>
        </w:rPr>
        <w:t xml:space="preserve"> спрямо </w:t>
      </w:r>
      <w:r w:rsidR="00BD4E51">
        <w:rPr>
          <w:rFonts w:ascii="Arial" w:hAnsi="Arial" w:cs="Arial"/>
        </w:rPr>
        <w:t>3</w:t>
      </w:r>
      <w:r w:rsidR="00A11C67">
        <w:rPr>
          <w:rFonts w:ascii="Arial" w:hAnsi="Arial" w:cs="Arial"/>
          <w:lang w:val="en-US"/>
        </w:rPr>
        <w:t>3</w:t>
      </w:r>
      <w:r w:rsidR="00B772FB">
        <w:rPr>
          <w:rFonts w:ascii="Arial" w:hAnsi="Arial" w:cs="Arial"/>
        </w:rPr>
        <w:t>,</w:t>
      </w:r>
      <w:r w:rsidR="00A11C67">
        <w:rPr>
          <w:rFonts w:ascii="Arial" w:hAnsi="Arial" w:cs="Arial"/>
          <w:lang w:val="en-US"/>
        </w:rPr>
        <w:t>636</w:t>
      </w:r>
      <w:r w:rsidR="00082A9F">
        <w:rPr>
          <w:rFonts w:ascii="Arial" w:hAnsi="Arial" w:cs="Arial"/>
        </w:rPr>
        <w:t xml:space="preserve"> </w:t>
      </w:r>
      <w:r w:rsidR="004928EC">
        <w:rPr>
          <w:rFonts w:ascii="Arial" w:hAnsi="Arial" w:cs="Arial"/>
        </w:rPr>
        <w:t>млн. лева</w:t>
      </w:r>
      <w:r w:rsidR="00845DA3">
        <w:rPr>
          <w:rFonts w:ascii="Arial" w:hAnsi="Arial" w:cs="Arial"/>
          <w:lang w:val="en-US"/>
        </w:rPr>
        <w:t xml:space="preserve"> в края на </w:t>
      </w:r>
      <w:r w:rsidR="00A11C67">
        <w:rPr>
          <w:rFonts w:ascii="Arial" w:hAnsi="Arial" w:cs="Arial"/>
          <w:lang w:val="en-US"/>
        </w:rPr>
        <w:t>2022 година</w:t>
      </w:r>
      <w:r w:rsidR="00AC05FB">
        <w:rPr>
          <w:rFonts w:ascii="Arial" w:hAnsi="Arial" w:cs="Arial"/>
          <w:lang w:val="en-US"/>
        </w:rPr>
        <w:t>,</w:t>
      </w:r>
      <w:r w:rsidR="00175CAC">
        <w:rPr>
          <w:rFonts w:ascii="Arial" w:hAnsi="Arial" w:cs="Arial"/>
        </w:rPr>
        <w:t xml:space="preserve"> </w:t>
      </w:r>
      <w:r w:rsidR="004928EC">
        <w:rPr>
          <w:rFonts w:ascii="Arial" w:hAnsi="Arial" w:cs="Arial"/>
        </w:rPr>
        <w:t>и</w:t>
      </w:r>
      <w:r w:rsidR="00431689" w:rsidRPr="00431689">
        <w:rPr>
          <w:rFonts w:ascii="Arial" w:hAnsi="Arial" w:cs="Arial"/>
        </w:rPr>
        <w:t xml:space="preserve"> </w:t>
      </w:r>
      <w:r w:rsidR="00431689">
        <w:rPr>
          <w:rFonts w:ascii="Arial" w:hAnsi="Arial" w:cs="Arial"/>
        </w:rPr>
        <w:t>“</w:t>
      </w:r>
      <w:r w:rsidR="00431689" w:rsidRPr="00431689">
        <w:rPr>
          <w:rFonts w:ascii="Arial" w:hAnsi="Arial" w:cs="Arial"/>
        </w:rPr>
        <w:t>Търговски и други вземания</w:t>
      </w:r>
      <w:r w:rsidR="00431689">
        <w:rPr>
          <w:rFonts w:ascii="Arial" w:hAnsi="Arial" w:cs="Arial"/>
        </w:rPr>
        <w:t>“</w:t>
      </w:r>
      <w:r w:rsidR="004928EC">
        <w:rPr>
          <w:rFonts w:ascii="Arial" w:hAnsi="Arial" w:cs="Arial"/>
        </w:rPr>
        <w:t xml:space="preserve"> със салдо от </w:t>
      </w:r>
      <w:r w:rsidR="00BD4E51">
        <w:rPr>
          <w:rFonts w:ascii="Arial" w:hAnsi="Arial" w:cs="Arial"/>
        </w:rPr>
        <w:t>4</w:t>
      </w:r>
      <w:r w:rsidR="00A11C67">
        <w:rPr>
          <w:rFonts w:ascii="Arial" w:hAnsi="Arial" w:cs="Arial"/>
          <w:lang w:val="en-US"/>
        </w:rPr>
        <w:t>9</w:t>
      </w:r>
      <w:r w:rsidR="00082A9F">
        <w:rPr>
          <w:rFonts w:ascii="Arial" w:hAnsi="Arial" w:cs="Arial"/>
        </w:rPr>
        <w:t>,</w:t>
      </w:r>
      <w:r w:rsidR="00A11C67">
        <w:rPr>
          <w:rFonts w:ascii="Arial" w:hAnsi="Arial" w:cs="Arial"/>
          <w:lang w:val="en-US"/>
        </w:rPr>
        <w:t>369</w:t>
      </w:r>
      <w:r w:rsidR="00BD4E51">
        <w:rPr>
          <w:rFonts w:ascii="Arial" w:hAnsi="Arial" w:cs="Arial"/>
        </w:rPr>
        <w:t xml:space="preserve"> млн. лева</w:t>
      </w:r>
      <w:r w:rsidR="00082A9F">
        <w:rPr>
          <w:rFonts w:ascii="Arial" w:hAnsi="Arial" w:cs="Arial"/>
        </w:rPr>
        <w:t xml:space="preserve"> </w:t>
      </w:r>
      <w:r w:rsidR="00175CAC">
        <w:rPr>
          <w:rFonts w:ascii="Arial" w:hAnsi="Arial" w:cs="Arial"/>
        </w:rPr>
        <w:t>/</w:t>
      </w:r>
      <w:r w:rsidR="00A11C67">
        <w:rPr>
          <w:rFonts w:ascii="Arial" w:hAnsi="Arial" w:cs="Arial"/>
          <w:lang w:val="en-US"/>
        </w:rPr>
        <w:t>+1</w:t>
      </w:r>
      <w:r w:rsidR="00806E80">
        <w:rPr>
          <w:rFonts w:ascii="Arial" w:hAnsi="Arial" w:cs="Arial"/>
        </w:rPr>
        <w:t>.</w:t>
      </w:r>
      <w:r w:rsidR="00A11C67">
        <w:rPr>
          <w:rFonts w:ascii="Arial" w:hAnsi="Arial" w:cs="Arial"/>
          <w:lang w:val="en-US"/>
        </w:rPr>
        <w:t>21</w:t>
      </w:r>
      <w:r w:rsidR="00175CAC">
        <w:rPr>
          <w:rFonts w:ascii="Arial" w:hAnsi="Arial" w:cs="Arial"/>
        </w:rPr>
        <w:t>%/</w:t>
      </w:r>
      <w:r w:rsidR="000F563F">
        <w:rPr>
          <w:rFonts w:ascii="Arial" w:hAnsi="Arial" w:cs="Arial"/>
        </w:rPr>
        <w:t>.</w:t>
      </w:r>
      <w:r w:rsidR="00815B5B">
        <w:rPr>
          <w:rFonts w:ascii="Arial" w:hAnsi="Arial" w:cs="Arial"/>
          <w:lang w:val="en-US"/>
        </w:rPr>
        <w:t xml:space="preserve"> Салдото по позицията “Пари и парични еквиваленти” </w:t>
      </w:r>
      <w:r w:rsidR="00BD4E51">
        <w:rPr>
          <w:rFonts w:ascii="Arial" w:hAnsi="Arial" w:cs="Arial"/>
        </w:rPr>
        <w:t>остава почти без промяна,</w:t>
      </w:r>
      <w:r w:rsidR="00BD342E">
        <w:rPr>
          <w:rFonts w:ascii="Arial" w:hAnsi="Arial" w:cs="Arial"/>
          <w:lang w:val="en-US"/>
        </w:rPr>
        <w:t xml:space="preserve"> на ниво от</w:t>
      </w:r>
      <w:r w:rsidR="00815B5B">
        <w:rPr>
          <w:rFonts w:ascii="Arial" w:hAnsi="Arial" w:cs="Arial"/>
          <w:lang w:val="en-US"/>
        </w:rPr>
        <w:t xml:space="preserve"> </w:t>
      </w:r>
      <w:r w:rsidR="005971D7">
        <w:rPr>
          <w:rFonts w:ascii="Arial" w:hAnsi="Arial" w:cs="Arial"/>
          <w:lang w:val="en-US"/>
        </w:rPr>
        <w:t>3</w:t>
      </w:r>
      <w:r w:rsidR="00A11C67">
        <w:rPr>
          <w:rFonts w:ascii="Arial" w:hAnsi="Arial" w:cs="Arial"/>
          <w:lang w:val="en-US"/>
        </w:rPr>
        <w:t>88</w:t>
      </w:r>
      <w:r w:rsidR="00815B5B">
        <w:rPr>
          <w:rFonts w:ascii="Arial" w:hAnsi="Arial" w:cs="Arial"/>
          <w:lang w:val="en-US"/>
        </w:rPr>
        <w:t xml:space="preserve"> хиляди лева спрямо </w:t>
      </w:r>
      <w:r w:rsidR="005971D7">
        <w:rPr>
          <w:rFonts w:ascii="Arial" w:hAnsi="Arial" w:cs="Arial"/>
          <w:lang w:val="en-US"/>
        </w:rPr>
        <w:t>3</w:t>
      </w:r>
      <w:r w:rsidR="00A11C67">
        <w:rPr>
          <w:rFonts w:ascii="Arial" w:hAnsi="Arial" w:cs="Arial"/>
          <w:lang w:val="en-US"/>
        </w:rPr>
        <w:t>34</w:t>
      </w:r>
      <w:r w:rsidR="00815B5B">
        <w:rPr>
          <w:rFonts w:ascii="Arial" w:hAnsi="Arial" w:cs="Arial"/>
          <w:lang w:val="en-US"/>
        </w:rPr>
        <w:t xml:space="preserve"> </w:t>
      </w:r>
      <w:r w:rsidR="006E6254">
        <w:rPr>
          <w:rFonts w:ascii="Arial" w:hAnsi="Arial" w:cs="Arial"/>
          <w:lang w:val="en-US"/>
        </w:rPr>
        <w:t>хиляди</w:t>
      </w:r>
      <w:r w:rsidR="00815B5B">
        <w:rPr>
          <w:rFonts w:ascii="Arial" w:hAnsi="Arial" w:cs="Arial"/>
          <w:lang w:val="en-US"/>
        </w:rPr>
        <w:t xml:space="preserve"> лева в края на </w:t>
      </w:r>
      <w:r w:rsidR="002706E1">
        <w:rPr>
          <w:rFonts w:ascii="Arial" w:hAnsi="Arial" w:cs="Arial"/>
          <w:lang w:val="en-US"/>
        </w:rPr>
        <w:t>2022</w:t>
      </w:r>
      <w:r w:rsidR="007E0E70">
        <w:rPr>
          <w:rFonts w:ascii="Arial" w:hAnsi="Arial" w:cs="Arial"/>
          <w:lang w:val="en-US"/>
        </w:rPr>
        <w:t xml:space="preserve"> </w:t>
      </w:r>
      <w:r w:rsidR="002706E1">
        <w:rPr>
          <w:rFonts w:ascii="Arial" w:hAnsi="Arial" w:cs="Arial"/>
          <w:lang w:val="en-US"/>
        </w:rPr>
        <w:t>г.</w:t>
      </w:r>
      <w:r w:rsidR="00815B5B">
        <w:rPr>
          <w:rFonts w:ascii="Arial" w:hAnsi="Arial" w:cs="Arial"/>
          <w:lang w:val="en-US"/>
        </w:rPr>
        <w:t xml:space="preserve">, </w:t>
      </w:r>
      <w:r w:rsidR="00845DA3">
        <w:rPr>
          <w:rFonts w:ascii="Arial" w:hAnsi="Arial" w:cs="Arial"/>
          <w:lang w:val="en-US"/>
        </w:rPr>
        <w:t xml:space="preserve">като </w:t>
      </w:r>
      <w:r w:rsidR="0024267C">
        <w:rPr>
          <w:rFonts w:ascii="Arial" w:hAnsi="Arial" w:cs="Arial"/>
          <w:lang w:val="en-US"/>
        </w:rPr>
        <w:t xml:space="preserve">тук </w:t>
      </w:r>
      <w:r w:rsidR="00845DA3">
        <w:rPr>
          <w:rFonts w:ascii="Arial" w:hAnsi="Arial" w:cs="Arial"/>
          <w:lang w:val="en-US"/>
        </w:rPr>
        <w:t xml:space="preserve">трябва да отбележим, че </w:t>
      </w:r>
      <w:r w:rsidR="002706E1">
        <w:rPr>
          <w:rFonts w:ascii="Arial" w:hAnsi="Arial" w:cs="Arial"/>
          <w:lang w:val="en-US"/>
        </w:rPr>
        <w:t>след изтичане на разглеждания в доклада период,</w:t>
      </w:r>
      <w:r w:rsidR="00845DA3">
        <w:rPr>
          <w:rFonts w:ascii="Arial" w:hAnsi="Arial" w:cs="Arial"/>
          <w:lang w:val="en-US"/>
        </w:rPr>
        <w:t xml:space="preserve"> емитентът е успял да генерира свеж паричен ресурс и да погаси просрочените</w:t>
      </w:r>
      <w:r w:rsidR="0024267C">
        <w:rPr>
          <w:rFonts w:ascii="Arial" w:hAnsi="Arial" w:cs="Arial"/>
          <w:lang w:val="en-US"/>
        </w:rPr>
        <w:t xml:space="preserve"> плащания </w:t>
      </w:r>
      <w:r w:rsidR="00BD4E51">
        <w:rPr>
          <w:rFonts w:ascii="Arial" w:hAnsi="Arial" w:cs="Arial"/>
        </w:rPr>
        <w:t xml:space="preserve">на лихва и главница </w:t>
      </w:r>
      <w:r w:rsidR="00DA4445">
        <w:rPr>
          <w:rFonts w:ascii="Arial" w:hAnsi="Arial" w:cs="Arial"/>
        </w:rPr>
        <w:t>с падеж</w:t>
      </w:r>
      <w:r w:rsidR="0024267C">
        <w:rPr>
          <w:rFonts w:ascii="Arial" w:hAnsi="Arial" w:cs="Arial"/>
          <w:lang w:val="en-US"/>
        </w:rPr>
        <w:t xml:space="preserve"> 16.0</w:t>
      </w:r>
      <w:r w:rsidR="002706E1">
        <w:rPr>
          <w:rFonts w:ascii="Arial" w:hAnsi="Arial" w:cs="Arial"/>
          <w:lang w:val="en-US"/>
        </w:rPr>
        <w:t>1</w:t>
      </w:r>
      <w:r w:rsidR="0024267C">
        <w:rPr>
          <w:rFonts w:ascii="Arial" w:hAnsi="Arial" w:cs="Arial"/>
          <w:lang w:val="en-US"/>
        </w:rPr>
        <w:t>.202</w:t>
      </w:r>
      <w:r w:rsidR="002706E1">
        <w:rPr>
          <w:rFonts w:ascii="Arial" w:hAnsi="Arial" w:cs="Arial"/>
          <w:lang w:val="en-US"/>
        </w:rPr>
        <w:t>3</w:t>
      </w:r>
      <w:r w:rsidR="00FE67AF">
        <w:rPr>
          <w:rFonts w:ascii="Arial" w:hAnsi="Arial" w:cs="Arial"/>
          <w:lang w:val="en-US"/>
        </w:rPr>
        <w:t xml:space="preserve"> </w:t>
      </w:r>
      <w:r w:rsidR="0024267C">
        <w:rPr>
          <w:rFonts w:ascii="Arial" w:hAnsi="Arial" w:cs="Arial"/>
          <w:lang w:val="en-US"/>
        </w:rPr>
        <w:t>г</w:t>
      </w:r>
      <w:r w:rsidR="00845DA3">
        <w:rPr>
          <w:rFonts w:ascii="Arial" w:hAnsi="Arial" w:cs="Arial"/>
          <w:lang w:val="en-US"/>
        </w:rPr>
        <w:t>.</w:t>
      </w:r>
      <w:r w:rsidR="0024267C">
        <w:rPr>
          <w:rFonts w:ascii="Arial" w:hAnsi="Arial" w:cs="Arial"/>
          <w:lang w:val="en-US"/>
        </w:rPr>
        <w:t xml:space="preserve"> </w:t>
      </w:r>
      <w:r w:rsidR="0024267C" w:rsidRPr="0024267C">
        <w:rPr>
          <w:rFonts w:ascii="Arial" w:hAnsi="Arial" w:cs="Arial"/>
          <w:lang w:val="en-US"/>
        </w:rPr>
        <w:t xml:space="preserve">Виж стр.7: </w:t>
      </w:r>
      <w:r w:rsidR="0024267C" w:rsidRPr="0024267C">
        <w:rPr>
          <w:rFonts w:ascii="Arial" w:hAnsi="Arial" w:cs="Arial"/>
          <w:b/>
          <w:i/>
          <w:u w:val="single"/>
          <w:lang w:val="en-US"/>
        </w:rPr>
        <w:t>/Обстоятелства, настъпили след крайната дата на разглеждания в доклада период/</w:t>
      </w:r>
      <w:r w:rsidR="0024267C">
        <w:rPr>
          <w:rFonts w:ascii="Arial" w:hAnsi="Arial" w:cs="Arial"/>
          <w:b/>
          <w:i/>
          <w:u w:val="single"/>
          <w:lang w:val="en-US"/>
        </w:rPr>
        <w:t>.</w:t>
      </w:r>
    </w:p>
    <w:p w14:paraId="6FD717B6" w14:textId="77777777" w:rsidR="000D2F6D" w:rsidRPr="006D5653" w:rsidRDefault="000D2F6D" w:rsidP="00A27A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51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42"/>
        <w:gridCol w:w="1267"/>
        <w:gridCol w:w="1255"/>
        <w:gridCol w:w="1253"/>
      </w:tblGrid>
      <w:tr w:rsidR="005E6513" w:rsidRPr="00086D70" w14:paraId="730A0939" w14:textId="77777777" w:rsidTr="00B21937">
        <w:trPr>
          <w:trHeight w:val="274"/>
        </w:trPr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8FCA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  <w:p w14:paraId="3559F6CD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D5B6" w14:textId="77777777" w:rsidR="005E6513" w:rsidRPr="00086D70" w:rsidRDefault="005E6513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8CA5" w14:textId="77777777" w:rsidR="005E6513" w:rsidRPr="00086D70" w:rsidRDefault="005E6513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390C7480" w14:textId="77777777" w:rsidR="005E6513" w:rsidRDefault="005E6513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2DDE352F" w14:textId="77777777" w:rsidR="005E6513" w:rsidRPr="00086D70" w:rsidRDefault="005E6513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40AB0804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F6747" w14:textId="77777777" w:rsidR="005E6513" w:rsidRPr="00086D70" w:rsidRDefault="005E6513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активите, 31.03.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6513" w:rsidRPr="00086D70" w14:paraId="24A84070" w14:textId="77777777" w:rsidTr="00B21937">
        <w:trPr>
          <w:trHeight w:val="277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C86A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7C54" w14:textId="77777777" w:rsidR="005E6513" w:rsidRPr="00086D7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529F" w14:textId="77777777" w:rsidR="005E6513" w:rsidRPr="00086D7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168C4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FA38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6513" w:rsidRPr="00086D70" w14:paraId="12677337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CD988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Нетекущи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363D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70FE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87E7" w14:textId="77777777" w:rsidR="005E6513" w:rsidRPr="00086D70" w:rsidRDefault="005E6513" w:rsidP="00B2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9BA2" w14:textId="77777777" w:rsidR="005E6513" w:rsidRPr="00086D70" w:rsidRDefault="005E6513" w:rsidP="00B2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E6513" w:rsidRPr="00E24240" w14:paraId="2E76C788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BC4E5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Имоти, машини и съоръжения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D5CB6" w14:textId="77777777" w:rsidR="005E6513" w:rsidRPr="001C2122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A6B96" w14:textId="77777777" w:rsidR="005E6513" w:rsidRPr="001C2122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E3F8B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8A0A0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5E6513" w:rsidRPr="00E24240" w14:paraId="46CDB60E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18919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542A7" w14:textId="77777777" w:rsidR="005E6513" w:rsidRPr="00E902DE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AA77B" w14:textId="77777777" w:rsidR="005E6513" w:rsidRPr="00E902DE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7F6F7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A6768" w14:textId="77777777" w:rsidR="005E6513" w:rsidRPr="006C0166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</w:t>
            </w:r>
          </w:p>
        </w:tc>
      </w:tr>
      <w:tr w:rsidR="005E6513" w:rsidRPr="00E24240" w14:paraId="009B4667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E168B" w14:textId="77777777" w:rsidR="005E6513" w:rsidRPr="00512A45" w:rsidRDefault="005E6513" w:rsidP="00B2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Дългосрочни финансови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3BC11" w14:textId="77777777" w:rsidR="005E6513" w:rsidRPr="00512A45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2D5C1" w14:textId="77777777" w:rsidR="005E6513" w:rsidRPr="00512A45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F3770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E93DD" w14:textId="77777777" w:rsidR="005E6513" w:rsidRPr="006C0166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5E6513" w:rsidRPr="00E24240" w14:paraId="220BF851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88AF9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Предплатени разходи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85D14" w14:textId="77777777" w:rsidR="005E6513" w:rsidRPr="00512A45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7BFC6" w14:textId="77777777" w:rsidR="005E6513" w:rsidRPr="00512A45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0459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6FA5" w14:textId="77777777" w:rsidR="005E6513" w:rsidRPr="00E24240" w:rsidRDefault="005E6513" w:rsidP="007D38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7D38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E6513" w:rsidRPr="00E24240" w14:paraId="715EB5EB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1FA11" w14:textId="77777777" w:rsidR="005E6513" w:rsidRPr="00C631A2" w:rsidRDefault="005E6513" w:rsidP="00B2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Дългосрочни търговски и други вземания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33252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E4CF4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B0C53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4A444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</w:tr>
      <w:tr w:rsidR="005E6513" w:rsidRPr="00E24240" w14:paraId="1169BE4A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5E3E4" w14:textId="77777777" w:rsidR="005E6513" w:rsidRDefault="005E6513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494D8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BEF558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6E065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B8212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3" w:rsidRPr="00E24240" w14:paraId="3FFD06E8" w14:textId="77777777" w:rsidTr="00B21937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B5D6E1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Нетекущи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B013FD7" w14:textId="77777777" w:rsidR="005E6513" w:rsidRPr="00AB5C38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9FB0D98" w14:textId="77777777" w:rsidR="005E6513" w:rsidRPr="00AB5C38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F456F0A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5C19EFD" w14:textId="77777777" w:rsidR="005E6513" w:rsidRPr="0039363A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20.50</w:t>
            </w:r>
          </w:p>
        </w:tc>
      </w:tr>
      <w:tr w:rsidR="005E6513" w:rsidRPr="00E24240" w14:paraId="3D87142C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ED88E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6BD78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F5E10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871DD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51443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3" w:rsidRPr="00E24240" w14:paraId="6660C7CD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DC0EB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Материали</w:t>
            </w: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E9E2F" w14:textId="77777777" w:rsidR="005E6513" w:rsidRPr="007B2EDE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74E5C" w14:textId="77777777" w:rsidR="005E6513" w:rsidRPr="007B2EDE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615BC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C9FF2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5E6513" w:rsidRPr="00E24240" w14:paraId="582CD7A8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DE8DA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Краткосрочни финансови активи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AC3D2" w14:textId="77777777" w:rsidR="005E6513" w:rsidRPr="007B2EDE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713DA" w14:textId="77777777" w:rsidR="005E6513" w:rsidRPr="007B2EDE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14D64" w14:textId="77777777" w:rsidR="005E6513" w:rsidRPr="00C42F0C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2BBD5" w14:textId="77777777" w:rsidR="005E6513" w:rsidRPr="00B57C0D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32.50</w:t>
            </w:r>
          </w:p>
        </w:tc>
      </w:tr>
      <w:tr w:rsidR="005E6513" w:rsidRPr="00E24240" w14:paraId="450D2AC6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A3CD8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Търговски и други вземания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D0B20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0B09A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E5F4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8B98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46.21</w:t>
            </w:r>
          </w:p>
        </w:tc>
      </w:tr>
      <w:tr w:rsidR="005E6513" w:rsidRPr="00E24240" w14:paraId="7089AFDF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BEA1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Предплатени разходи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3F205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860E3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9D1B5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F0682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5E6513" w:rsidRPr="00E24240" w14:paraId="4AA93583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E795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D3CC8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1B605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0D746" w14:textId="77777777" w:rsidR="005E6513" w:rsidRPr="00BB08D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F8335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5E6513" w:rsidRPr="00E24240" w14:paraId="1B4E80B1" w14:textId="77777777" w:rsidTr="00B21937">
        <w:trPr>
          <w:trHeight w:val="33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6B157" w14:textId="77777777" w:rsidR="005E6513" w:rsidRPr="00086D70" w:rsidRDefault="005E6513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E2CC6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87D6C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07BBD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E3E4" w14:textId="77777777" w:rsidR="005E6513" w:rsidRDefault="005E6513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3" w:rsidRPr="00E24240" w14:paraId="55431609" w14:textId="77777777" w:rsidTr="00B21937"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ABB821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 активи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FC39BD0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84935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E3D3B86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217008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102.09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3D38932" w14:textId="77777777" w:rsidR="005E6513" w:rsidRPr="0039363A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79.50</w:t>
            </w:r>
          </w:p>
        </w:tc>
      </w:tr>
      <w:tr w:rsidR="005E6513" w:rsidRPr="00E24240" w14:paraId="1C3348DF" w14:textId="77777777" w:rsidTr="00B21937">
        <w:trPr>
          <w:trHeight w:val="315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12D11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1A97D3" w14:textId="77777777" w:rsidR="005E6513" w:rsidRPr="00086D7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F71C4" w14:textId="77777777" w:rsidR="005E6513" w:rsidRPr="00086D7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C2647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51C81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6513" w:rsidRPr="00E24240" w14:paraId="4C0ECF44" w14:textId="77777777" w:rsidTr="00B21937">
        <w:trPr>
          <w:trHeight w:val="315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7F5BD7" w14:textId="77777777" w:rsidR="005E6513" w:rsidRPr="00086D70" w:rsidRDefault="005E6513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ктиви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F3363A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106831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37410EF" w14:textId="77777777" w:rsidR="005E6513" w:rsidRPr="00267324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105232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6BA6DB4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90F53CE" w14:textId="77777777" w:rsidR="005E6513" w:rsidRPr="00E24240" w:rsidRDefault="005E6513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6F323DD7" w14:textId="77777777" w:rsidR="0024267C" w:rsidRDefault="0024267C" w:rsidP="0075559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757B4EA6" w14:textId="77777777" w:rsidR="00576F4D" w:rsidRDefault="00576F4D" w:rsidP="0075559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168525BA" w14:textId="77777777" w:rsidR="00576F4D" w:rsidRDefault="00576F4D" w:rsidP="0075559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0D0507F2" w14:textId="77777777" w:rsidR="00576F4D" w:rsidRPr="000C5F86" w:rsidRDefault="00576F4D" w:rsidP="0075559E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150E8B4F" w14:textId="77777777" w:rsidR="00803B4B" w:rsidRDefault="00803B4B" w:rsidP="00F226FA">
      <w:pPr>
        <w:pStyle w:val="2"/>
        <w:numPr>
          <w:ilvl w:val="1"/>
          <w:numId w:val="14"/>
        </w:numPr>
        <w:rPr>
          <w:rFonts w:ascii="Arial" w:hAnsi="Arial" w:cs="Arial"/>
          <w:sz w:val="22"/>
          <w:szCs w:val="22"/>
          <w:lang w:val="en-US"/>
        </w:rPr>
      </w:pPr>
      <w:r w:rsidRPr="00086D70">
        <w:rPr>
          <w:rFonts w:ascii="Arial" w:hAnsi="Arial" w:cs="Arial"/>
          <w:sz w:val="22"/>
          <w:szCs w:val="22"/>
        </w:rPr>
        <w:lastRenderedPageBreak/>
        <w:t xml:space="preserve">Анализ на собствения капитал и пасивите на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</w:p>
    <w:p w14:paraId="6A03189C" w14:textId="77777777" w:rsidR="000B3B86" w:rsidRPr="000B3B86" w:rsidRDefault="000B3B86" w:rsidP="000B3B86">
      <w:pPr>
        <w:rPr>
          <w:lang w:eastAsia="x-none"/>
        </w:rPr>
      </w:pPr>
    </w:p>
    <w:p w14:paraId="13D3FA62" w14:textId="77777777" w:rsidR="00D70591" w:rsidRPr="00086D70" w:rsidRDefault="00D70591" w:rsidP="00D70591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>Към 3</w:t>
      </w:r>
      <w:r w:rsidR="00F148A1">
        <w:rPr>
          <w:rFonts w:ascii="Arial" w:hAnsi="Arial" w:cs="Arial"/>
          <w:lang w:val="en-US"/>
        </w:rPr>
        <w:t>1</w:t>
      </w:r>
      <w:r w:rsidRPr="00086D70">
        <w:rPr>
          <w:rFonts w:ascii="Arial" w:hAnsi="Arial" w:cs="Arial"/>
        </w:rPr>
        <w:t>.</w:t>
      </w:r>
      <w:r w:rsidR="000B3B86">
        <w:rPr>
          <w:rFonts w:ascii="Arial" w:hAnsi="Arial" w:cs="Arial"/>
          <w:lang w:val="en-US"/>
        </w:rPr>
        <w:t>03</w:t>
      </w:r>
      <w:r w:rsidRPr="00086D70">
        <w:rPr>
          <w:rFonts w:ascii="Arial" w:hAnsi="Arial" w:cs="Arial"/>
        </w:rPr>
        <w:t>.20</w:t>
      </w:r>
      <w:r w:rsidR="0065414C">
        <w:rPr>
          <w:rFonts w:ascii="Arial" w:hAnsi="Arial" w:cs="Arial"/>
          <w:lang w:val="en-US"/>
        </w:rPr>
        <w:t>2</w:t>
      </w:r>
      <w:r w:rsidR="000B3B86">
        <w:rPr>
          <w:rFonts w:ascii="Arial" w:hAnsi="Arial" w:cs="Arial"/>
          <w:lang w:val="en-US"/>
        </w:rPr>
        <w:t>3</w:t>
      </w:r>
      <w:r w:rsidR="00437C65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>г.</w:t>
      </w:r>
      <w:r w:rsidR="00C42283" w:rsidRPr="00086D70">
        <w:rPr>
          <w:rFonts w:ascii="Arial" w:hAnsi="Arial" w:cs="Arial"/>
        </w:rPr>
        <w:t>,</w:t>
      </w:r>
      <w:r w:rsidRPr="00086D70">
        <w:rPr>
          <w:rFonts w:ascii="Arial" w:hAnsi="Arial" w:cs="Arial"/>
        </w:rPr>
        <w:t xml:space="preserve"> баланс</w:t>
      </w:r>
      <w:r w:rsidR="001451BC">
        <w:rPr>
          <w:rFonts w:ascii="Arial" w:hAnsi="Arial" w:cs="Arial"/>
        </w:rPr>
        <w:t>овото число</w:t>
      </w:r>
      <w:r w:rsidRPr="00086D70">
        <w:rPr>
          <w:rFonts w:ascii="Arial" w:hAnsi="Arial" w:cs="Arial"/>
        </w:rPr>
        <w:t xml:space="preserve"> на </w:t>
      </w:r>
      <w:r w:rsidR="00783226" w:rsidRPr="00086D70">
        <w:rPr>
          <w:rFonts w:ascii="Arial" w:hAnsi="Arial" w:cs="Arial"/>
        </w:rPr>
        <w:t>Северкооп-</w:t>
      </w:r>
      <w:r w:rsidR="007B1208">
        <w:rPr>
          <w:rFonts w:ascii="Arial" w:hAnsi="Arial" w:cs="Arial"/>
        </w:rPr>
        <w:t>Гъмза</w:t>
      </w:r>
      <w:r w:rsidR="00783226" w:rsidRPr="00086D70">
        <w:rPr>
          <w:rFonts w:ascii="Arial" w:hAnsi="Arial" w:cs="Arial"/>
        </w:rPr>
        <w:t xml:space="preserve"> Холдинг АД</w:t>
      </w:r>
      <w:r w:rsidR="00597299">
        <w:rPr>
          <w:rFonts w:ascii="Arial" w:hAnsi="Arial" w:cs="Arial"/>
          <w:lang w:val="en-US"/>
        </w:rPr>
        <w:t>, на консолидирана основа,</w:t>
      </w:r>
      <w:r w:rsidRPr="00086D70">
        <w:rPr>
          <w:rFonts w:ascii="Arial" w:hAnsi="Arial" w:cs="Arial"/>
        </w:rPr>
        <w:t xml:space="preserve"> </w:t>
      </w:r>
      <w:r w:rsidR="00597299">
        <w:rPr>
          <w:rFonts w:ascii="Arial" w:hAnsi="Arial" w:cs="Arial"/>
          <w:lang w:val="en-US"/>
        </w:rPr>
        <w:t>нараства</w:t>
      </w:r>
      <w:r w:rsidR="00597299" w:rsidRPr="00597299">
        <w:rPr>
          <w:rFonts w:ascii="Arial" w:hAnsi="Arial" w:cs="Arial"/>
          <w:lang w:val="en-US"/>
        </w:rPr>
        <w:t xml:space="preserve"> </w:t>
      </w:r>
      <w:r w:rsidR="00597299">
        <w:rPr>
          <w:rFonts w:ascii="Arial" w:hAnsi="Arial" w:cs="Arial"/>
          <w:lang w:val="en-US"/>
        </w:rPr>
        <w:t xml:space="preserve">с </w:t>
      </w:r>
      <w:r w:rsidR="00597299" w:rsidRPr="00597299">
        <w:rPr>
          <w:rFonts w:ascii="Arial" w:hAnsi="Arial" w:cs="Arial"/>
          <w:lang w:val="en-US"/>
        </w:rPr>
        <w:t>1.52%</w:t>
      </w:r>
      <w:r w:rsidR="00597299">
        <w:rPr>
          <w:rFonts w:ascii="Arial" w:hAnsi="Arial" w:cs="Arial"/>
          <w:lang w:val="en-US"/>
        </w:rPr>
        <w:t xml:space="preserve"> до ниво от 106,831</w:t>
      </w:r>
      <w:r w:rsidR="00597299" w:rsidRPr="00597299">
        <w:rPr>
          <w:rFonts w:ascii="Arial" w:hAnsi="Arial" w:cs="Arial"/>
          <w:lang w:val="en-US"/>
        </w:rPr>
        <w:t xml:space="preserve"> млн. лева спрямо 105,232 млн. лева към 31.12.2022 г.</w:t>
      </w:r>
    </w:p>
    <w:p w14:paraId="46392FAF" w14:textId="77777777" w:rsidR="00D70591" w:rsidRPr="00086D70" w:rsidRDefault="00D70591" w:rsidP="00803B4B">
      <w:pPr>
        <w:rPr>
          <w:rFonts w:ascii="Arial" w:hAnsi="Arial" w:cs="Arial"/>
          <w:sz w:val="22"/>
          <w:szCs w:val="22"/>
          <w:lang w:val="bg-BG"/>
        </w:rPr>
      </w:pPr>
    </w:p>
    <w:p w14:paraId="1AE71B40" w14:textId="77777777" w:rsidR="00D70591" w:rsidRPr="00E60858" w:rsidRDefault="0021566D" w:rsidP="00A2158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Акционерният капитал и резервите</w:t>
      </w:r>
      <w:r w:rsidR="00EA0B0C">
        <w:rPr>
          <w:rFonts w:ascii="Arial" w:hAnsi="Arial" w:cs="Arial"/>
          <w:lang w:val="en-US"/>
        </w:rPr>
        <w:t xml:space="preserve"> на емитента </w:t>
      </w:r>
      <w:r>
        <w:rPr>
          <w:rFonts w:ascii="Arial" w:hAnsi="Arial" w:cs="Arial"/>
          <w:lang w:val="en-US"/>
        </w:rPr>
        <w:t xml:space="preserve">са без промяна през </w:t>
      </w:r>
      <w:r w:rsidR="00235C5A">
        <w:rPr>
          <w:rFonts w:ascii="Arial" w:hAnsi="Arial" w:cs="Arial"/>
          <w:lang w:val="en-US"/>
        </w:rPr>
        <w:t>първо</w:t>
      </w:r>
      <w:r w:rsidR="00F148A1">
        <w:rPr>
          <w:rFonts w:ascii="Arial" w:hAnsi="Arial" w:cs="Arial"/>
          <w:lang w:val="en-US"/>
        </w:rPr>
        <w:t>то</w:t>
      </w:r>
      <w:r>
        <w:rPr>
          <w:rFonts w:ascii="Arial" w:hAnsi="Arial" w:cs="Arial"/>
          <w:lang w:val="en-US"/>
        </w:rPr>
        <w:t xml:space="preserve"> </w:t>
      </w:r>
      <w:r w:rsidR="008A2C10">
        <w:rPr>
          <w:rFonts w:ascii="Arial" w:hAnsi="Arial" w:cs="Arial"/>
        </w:rPr>
        <w:t>тримесечие</w:t>
      </w:r>
      <w:r>
        <w:rPr>
          <w:rFonts w:ascii="Arial" w:hAnsi="Arial" w:cs="Arial"/>
          <w:lang w:val="en-US"/>
        </w:rPr>
        <w:t xml:space="preserve"> на 202</w:t>
      </w:r>
      <w:r w:rsidR="00235C5A">
        <w:rPr>
          <w:rFonts w:ascii="Arial" w:hAnsi="Arial" w:cs="Arial"/>
          <w:lang w:val="en-US"/>
        </w:rPr>
        <w:t>3</w:t>
      </w:r>
      <w:r w:rsidR="007D3B3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</w:t>
      </w:r>
      <w:r w:rsidR="0025389D">
        <w:rPr>
          <w:rFonts w:ascii="Arial" w:hAnsi="Arial" w:cs="Arial"/>
          <w:lang w:val="en-US"/>
        </w:rPr>
        <w:t xml:space="preserve"> С</w:t>
      </w:r>
      <w:r w:rsidR="00E60858">
        <w:rPr>
          <w:rFonts w:ascii="Arial" w:hAnsi="Arial" w:cs="Arial"/>
          <w:lang w:val="en-US"/>
        </w:rPr>
        <w:t xml:space="preserve">обственият капитал регистрира </w:t>
      </w:r>
      <w:r w:rsidR="00F148A1">
        <w:rPr>
          <w:rFonts w:ascii="Arial" w:hAnsi="Arial" w:cs="Arial"/>
          <w:lang w:val="en-US"/>
        </w:rPr>
        <w:t>нарастване</w:t>
      </w:r>
      <w:r w:rsidR="0025389D">
        <w:rPr>
          <w:rFonts w:ascii="Arial" w:hAnsi="Arial" w:cs="Arial"/>
          <w:lang w:val="en-US"/>
        </w:rPr>
        <w:t xml:space="preserve"> </w:t>
      </w:r>
      <w:r w:rsidR="00E60858">
        <w:rPr>
          <w:rFonts w:ascii="Arial" w:hAnsi="Arial" w:cs="Arial"/>
          <w:lang w:val="en-US"/>
        </w:rPr>
        <w:t xml:space="preserve">до </w:t>
      </w:r>
      <w:r w:rsidR="00235C5A">
        <w:rPr>
          <w:rFonts w:ascii="Arial" w:hAnsi="Arial" w:cs="Arial"/>
          <w:lang w:val="en-US"/>
        </w:rPr>
        <w:t>31</w:t>
      </w:r>
      <w:r w:rsidR="0025389D">
        <w:rPr>
          <w:rFonts w:ascii="Arial" w:hAnsi="Arial" w:cs="Arial"/>
          <w:lang w:val="en-US"/>
        </w:rPr>
        <w:t>,</w:t>
      </w:r>
      <w:r w:rsidR="00235C5A">
        <w:rPr>
          <w:rFonts w:ascii="Arial" w:hAnsi="Arial" w:cs="Arial"/>
          <w:lang w:val="en-US"/>
        </w:rPr>
        <w:t>116</w:t>
      </w:r>
      <w:r w:rsidR="00890CA6">
        <w:rPr>
          <w:rFonts w:ascii="Arial" w:hAnsi="Arial" w:cs="Arial"/>
          <w:lang w:val="en-US"/>
        </w:rPr>
        <w:t xml:space="preserve"> </w:t>
      </w:r>
      <w:r w:rsidR="00F148A1">
        <w:rPr>
          <w:rFonts w:ascii="Arial" w:hAnsi="Arial" w:cs="Arial"/>
          <w:lang w:val="en-US"/>
        </w:rPr>
        <w:t>млн. лева /+</w:t>
      </w:r>
      <w:r w:rsidR="00235C5A">
        <w:rPr>
          <w:rFonts w:ascii="Arial" w:hAnsi="Arial" w:cs="Arial"/>
          <w:lang w:val="en-US"/>
        </w:rPr>
        <w:t>4</w:t>
      </w:r>
      <w:r w:rsidR="0025389D">
        <w:rPr>
          <w:rFonts w:ascii="Arial" w:hAnsi="Arial" w:cs="Arial"/>
          <w:lang w:val="en-US"/>
        </w:rPr>
        <w:t>.</w:t>
      </w:r>
      <w:r w:rsidR="00235C5A">
        <w:rPr>
          <w:rFonts w:ascii="Arial" w:hAnsi="Arial" w:cs="Arial"/>
          <w:lang w:val="en-US"/>
        </w:rPr>
        <w:t>92</w:t>
      </w:r>
      <w:r w:rsidR="0025389D">
        <w:rPr>
          <w:rFonts w:ascii="Arial" w:hAnsi="Arial" w:cs="Arial"/>
          <w:lang w:val="en-US"/>
        </w:rPr>
        <w:t xml:space="preserve">%/ спрямо </w:t>
      </w:r>
      <w:r w:rsidR="00E60858">
        <w:rPr>
          <w:rFonts w:ascii="Arial" w:hAnsi="Arial" w:cs="Arial"/>
          <w:lang w:val="en-US"/>
        </w:rPr>
        <w:t>2</w:t>
      </w:r>
      <w:r w:rsidR="00235C5A">
        <w:rPr>
          <w:rFonts w:ascii="Arial" w:hAnsi="Arial" w:cs="Arial"/>
          <w:lang w:val="en-US"/>
        </w:rPr>
        <w:t>9</w:t>
      </w:r>
      <w:r w:rsidR="00E60858">
        <w:rPr>
          <w:rFonts w:ascii="Arial" w:hAnsi="Arial" w:cs="Arial"/>
          <w:lang w:val="en-US"/>
        </w:rPr>
        <w:t>,</w:t>
      </w:r>
      <w:r w:rsidR="00235C5A">
        <w:rPr>
          <w:rFonts w:ascii="Arial" w:hAnsi="Arial" w:cs="Arial"/>
          <w:lang w:val="en-US"/>
        </w:rPr>
        <w:t>65</w:t>
      </w:r>
      <w:r w:rsidR="00F148A1">
        <w:rPr>
          <w:rFonts w:ascii="Arial" w:hAnsi="Arial" w:cs="Arial"/>
          <w:lang w:val="en-US"/>
        </w:rPr>
        <w:t>7</w:t>
      </w:r>
      <w:r w:rsidR="00E60858">
        <w:rPr>
          <w:rFonts w:ascii="Arial" w:hAnsi="Arial" w:cs="Arial"/>
          <w:lang w:val="en-US"/>
        </w:rPr>
        <w:t xml:space="preserve"> млн. лева</w:t>
      </w:r>
      <w:r w:rsidR="0025389D">
        <w:rPr>
          <w:rFonts w:ascii="Arial" w:hAnsi="Arial" w:cs="Arial"/>
          <w:lang w:val="en-US"/>
        </w:rPr>
        <w:t xml:space="preserve"> в края на </w:t>
      </w:r>
      <w:r w:rsidR="00235C5A">
        <w:rPr>
          <w:rFonts w:ascii="Arial" w:hAnsi="Arial" w:cs="Arial"/>
          <w:lang w:val="en-US"/>
        </w:rPr>
        <w:t>2022 година</w:t>
      </w:r>
      <w:r w:rsidR="0025389D">
        <w:rPr>
          <w:rFonts w:ascii="Arial" w:hAnsi="Arial" w:cs="Arial"/>
          <w:lang w:val="en-US"/>
        </w:rPr>
        <w:t xml:space="preserve">, вследствие </w:t>
      </w:r>
      <w:r w:rsidR="00235C5A">
        <w:rPr>
          <w:rFonts w:ascii="Arial" w:hAnsi="Arial" w:cs="Arial"/>
          <w:lang w:val="en-US"/>
        </w:rPr>
        <w:t xml:space="preserve">на реализирания през тримесечието положителен финансов резултат, както и на </w:t>
      </w:r>
      <w:r w:rsidR="00F148A1">
        <w:rPr>
          <w:rFonts w:ascii="Arial" w:hAnsi="Arial" w:cs="Arial"/>
          <w:lang w:val="en-US"/>
        </w:rPr>
        <w:t xml:space="preserve">нарастване на </w:t>
      </w:r>
      <w:r w:rsidR="00235C5A">
        <w:rPr>
          <w:rFonts w:ascii="Arial" w:hAnsi="Arial" w:cs="Arial"/>
          <w:lang w:val="en-US"/>
        </w:rPr>
        <w:t>натрупаната печалба</w:t>
      </w:r>
      <w:r w:rsidR="0025389D">
        <w:rPr>
          <w:rFonts w:ascii="Arial" w:hAnsi="Arial" w:cs="Arial"/>
          <w:lang w:val="en-US"/>
        </w:rPr>
        <w:t xml:space="preserve"> </w:t>
      </w:r>
      <w:r w:rsidR="00235C5A">
        <w:rPr>
          <w:rFonts w:ascii="Arial" w:hAnsi="Arial" w:cs="Arial"/>
          <w:lang w:val="en-US"/>
        </w:rPr>
        <w:t>от предходни</w:t>
      </w:r>
      <w:r w:rsidR="00F148A1">
        <w:rPr>
          <w:rFonts w:ascii="Arial" w:hAnsi="Arial" w:cs="Arial"/>
          <w:lang w:val="en-US"/>
        </w:rPr>
        <w:t xml:space="preserve"> годин</w:t>
      </w:r>
      <w:r w:rsidR="00235C5A">
        <w:rPr>
          <w:rFonts w:ascii="Arial" w:hAnsi="Arial" w:cs="Arial"/>
          <w:lang w:val="en-US"/>
        </w:rPr>
        <w:t>и</w:t>
      </w:r>
      <w:r w:rsidR="00E60858">
        <w:rPr>
          <w:rFonts w:ascii="Arial" w:hAnsi="Arial" w:cs="Arial"/>
          <w:lang w:val="en-US"/>
        </w:rPr>
        <w:t xml:space="preserve">. </w:t>
      </w:r>
      <w:r w:rsidR="00F22CEA">
        <w:rPr>
          <w:rFonts w:ascii="Arial" w:hAnsi="Arial" w:cs="Arial"/>
          <w:lang w:val="en-US"/>
        </w:rPr>
        <w:t>В</w:t>
      </w:r>
      <w:r w:rsidR="00A2158B">
        <w:rPr>
          <w:rFonts w:ascii="Arial" w:hAnsi="Arial" w:cs="Arial"/>
        </w:rPr>
        <w:t>исокото ниво</w:t>
      </w:r>
      <w:r w:rsidR="00F22CEA">
        <w:rPr>
          <w:rFonts w:ascii="Arial" w:hAnsi="Arial" w:cs="Arial"/>
          <w:lang w:val="en-US"/>
        </w:rPr>
        <w:t xml:space="preserve"> на собствен капитал</w:t>
      </w:r>
      <w:r w:rsidR="00A2158B">
        <w:rPr>
          <w:rFonts w:ascii="Arial" w:hAnsi="Arial" w:cs="Arial"/>
        </w:rPr>
        <w:t xml:space="preserve"> поддържа показателите за </w:t>
      </w:r>
      <w:r w:rsidR="00E60858">
        <w:rPr>
          <w:rFonts w:ascii="Arial" w:hAnsi="Arial" w:cs="Arial"/>
          <w:lang w:val="en-US"/>
        </w:rPr>
        <w:t>платежоспособност</w:t>
      </w:r>
      <w:r w:rsidR="00A2158B">
        <w:rPr>
          <w:rFonts w:ascii="Arial" w:hAnsi="Arial" w:cs="Arial"/>
        </w:rPr>
        <w:t>, разгледани по-долу в доклада, на относително добри нива</w:t>
      </w:r>
      <w:r w:rsidR="0023317C">
        <w:rPr>
          <w:rFonts w:ascii="Arial" w:hAnsi="Arial" w:cs="Arial"/>
          <w:lang w:val="en-US"/>
        </w:rPr>
        <w:t>.</w:t>
      </w:r>
      <w:r w:rsidR="00D70591" w:rsidRPr="00086D70">
        <w:rPr>
          <w:rFonts w:ascii="Arial" w:hAnsi="Arial" w:cs="Arial"/>
        </w:rPr>
        <w:t xml:space="preserve"> </w:t>
      </w:r>
    </w:p>
    <w:p w14:paraId="2F0D3573" w14:textId="77777777" w:rsidR="00086D70" w:rsidRDefault="00086D70" w:rsidP="00803B4B">
      <w:pPr>
        <w:rPr>
          <w:rFonts w:ascii="Arial" w:hAnsi="Arial" w:cs="Arial"/>
          <w:sz w:val="22"/>
          <w:szCs w:val="22"/>
        </w:rPr>
      </w:pPr>
    </w:p>
    <w:p w14:paraId="28C85665" w14:textId="77777777" w:rsidR="00032520" w:rsidRDefault="00576F4D" w:rsidP="008265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Прехвърлянето на 2 млн. лева от дългосрочната част на облигационните заеми към краткосрочната част на облигационните заеми е единствената по-</w:t>
      </w:r>
      <w:r w:rsidR="00F770F8">
        <w:rPr>
          <w:rFonts w:ascii="Arial" w:hAnsi="Arial" w:cs="Arial"/>
          <w:sz w:val="22"/>
          <w:szCs w:val="22"/>
        </w:rPr>
        <w:t xml:space="preserve">съществена промяна в структурата на пасивите през </w:t>
      </w:r>
      <w:r>
        <w:rPr>
          <w:rFonts w:ascii="Arial" w:hAnsi="Arial" w:cs="Arial"/>
          <w:sz w:val="22"/>
          <w:szCs w:val="22"/>
        </w:rPr>
        <w:t>първото</w:t>
      </w:r>
      <w:r w:rsidR="00F770F8">
        <w:rPr>
          <w:rFonts w:ascii="Arial" w:hAnsi="Arial" w:cs="Arial"/>
          <w:sz w:val="22"/>
          <w:szCs w:val="22"/>
        </w:rPr>
        <w:t xml:space="preserve"> тримесечие на 202</w:t>
      </w:r>
      <w:r>
        <w:rPr>
          <w:rFonts w:ascii="Arial" w:hAnsi="Arial" w:cs="Arial"/>
          <w:sz w:val="22"/>
          <w:szCs w:val="22"/>
        </w:rPr>
        <w:t>3</w:t>
      </w:r>
      <w:r w:rsidR="0095254A">
        <w:rPr>
          <w:rFonts w:ascii="Arial" w:hAnsi="Arial" w:cs="Arial"/>
          <w:sz w:val="22"/>
          <w:szCs w:val="22"/>
        </w:rPr>
        <w:t xml:space="preserve"> </w:t>
      </w:r>
      <w:r w:rsidR="00F770F8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одина</w:t>
      </w:r>
      <w:r w:rsidR="00F770F8">
        <w:rPr>
          <w:rFonts w:ascii="Arial" w:hAnsi="Arial" w:cs="Arial"/>
          <w:sz w:val="22"/>
          <w:szCs w:val="22"/>
        </w:rPr>
        <w:t xml:space="preserve">. </w:t>
      </w:r>
    </w:p>
    <w:p w14:paraId="28A71D76" w14:textId="77777777" w:rsidR="000B3B86" w:rsidRPr="00032520" w:rsidRDefault="000B3B86" w:rsidP="008265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75"/>
        <w:gridCol w:w="974"/>
        <w:gridCol w:w="1256"/>
        <w:gridCol w:w="1254"/>
      </w:tblGrid>
      <w:tr w:rsidR="00F40220" w:rsidRPr="00086D70" w14:paraId="781B61A5" w14:textId="77777777" w:rsidTr="00B21937">
        <w:trPr>
          <w:trHeight w:val="420"/>
        </w:trPr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F742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  <w:p w14:paraId="68176C13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A1195" w14:textId="77777777" w:rsidR="00F4022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</w:p>
          <w:p w14:paraId="62A1648F" w14:textId="77777777" w:rsidR="00F40220" w:rsidRPr="00086D7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B9D36" w14:textId="77777777" w:rsidR="00F4022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</w:p>
          <w:p w14:paraId="40EB0399" w14:textId="77777777" w:rsidR="00F40220" w:rsidRPr="00086D7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12F5DC67" w14:textId="77777777" w:rsidR="00F4022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7D150A65" w14:textId="77777777" w:rsidR="00F40220" w:rsidRPr="00086D7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B3CC0A0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31.12.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67E62" w14:textId="77777777" w:rsidR="00F40220" w:rsidRPr="00086D70" w:rsidRDefault="00F40220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от СК и Пасивите към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F40220" w:rsidRPr="00086D70" w14:paraId="4414B70E" w14:textId="77777777" w:rsidTr="00B21937">
        <w:trPr>
          <w:trHeight w:val="315"/>
        </w:trPr>
        <w:tc>
          <w:tcPr>
            <w:tcW w:w="2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F44C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DD1A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11F3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97983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4F2A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20" w:rsidRPr="00086D70" w14:paraId="59F4D876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61C9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43B8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D2AC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C875" w14:textId="77777777" w:rsidR="00F40220" w:rsidRPr="00086D70" w:rsidRDefault="00F40220" w:rsidP="00B2193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FE48" w14:textId="77777777" w:rsidR="00F40220" w:rsidRPr="00086D70" w:rsidRDefault="00F40220" w:rsidP="00B2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%</w:t>
            </w:r>
          </w:p>
        </w:tc>
      </w:tr>
      <w:tr w:rsidR="00F40220" w:rsidRPr="00086D70" w14:paraId="37606E01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0B93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Акционерен</w:t>
            </w:r>
            <w:r w:rsidRPr="00086D70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5BEAD" w14:textId="77777777" w:rsidR="00F40220" w:rsidRPr="00782F9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10696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0B622" w14:textId="77777777" w:rsidR="00F40220" w:rsidRPr="00782F9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10696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148A" w14:textId="77777777" w:rsidR="00F40220" w:rsidRPr="00D53083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8B1F9" w14:textId="77777777" w:rsidR="00F40220" w:rsidRPr="00D95E99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</w:tr>
      <w:tr w:rsidR="00F40220" w:rsidRPr="00086D70" w14:paraId="619B5B83" w14:textId="77777777" w:rsidTr="00B21937">
        <w:trPr>
          <w:trHeight w:val="322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0052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 xml:space="preserve">Резерви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E091B" w14:textId="77777777" w:rsidR="00F40220" w:rsidRPr="00782F9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7133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016F2" w14:textId="77777777" w:rsidR="00F40220" w:rsidRPr="00782F9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F9D">
              <w:rPr>
                <w:rFonts w:ascii="Arial" w:hAnsi="Arial" w:cs="Arial"/>
                <w:sz w:val="20"/>
                <w:szCs w:val="20"/>
              </w:rPr>
              <w:t>7133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CF5FE" w14:textId="77777777" w:rsidR="00F40220" w:rsidRPr="00D53083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5CDF7" w14:textId="77777777" w:rsidR="00F40220" w:rsidRPr="00CD568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</w:t>
            </w:r>
          </w:p>
        </w:tc>
      </w:tr>
      <w:tr w:rsidR="00F40220" w:rsidRPr="00086D70" w14:paraId="7788A6B2" w14:textId="77777777" w:rsidTr="00B21937">
        <w:trPr>
          <w:trHeight w:val="302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2A82D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Натрупана печалба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A9C4B" w14:textId="77777777" w:rsidR="00F40220" w:rsidRPr="00FA3988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AA9D6" w14:textId="77777777" w:rsidR="00F40220" w:rsidRPr="00FA3988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403F" w14:textId="77777777" w:rsidR="00F40220" w:rsidRPr="002C2270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791FE" w14:textId="77777777" w:rsidR="00F40220" w:rsidRPr="00CD568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9.91</w:t>
            </w:r>
          </w:p>
        </w:tc>
      </w:tr>
      <w:tr w:rsidR="00F40220" w:rsidRPr="00086D70" w14:paraId="5BAFDC98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6FEA4E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Собствен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отнасящ се до собствениците на предприятието-майка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07CA50C" w14:textId="77777777" w:rsidR="00F40220" w:rsidRPr="002D5A33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8D4C115" w14:textId="77777777" w:rsidR="00F40220" w:rsidRPr="002D5A33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500290F" w14:textId="77777777" w:rsidR="00F40220" w:rsidRPr="00D53083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102.52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33E39D" w14:textId="77777777" w:rsidR="00F40220" w:rsidRPr="00D3145A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26.60</w:t>
            </w:r>
          </w:p>
        </w:tc>
      </w:tr>
      <w:tr w:rsidR="00F40220" w:rsidRPr="00086D70" w14:paraId="70E066D9" w14:textId="77777777" w:rsidTr="00B21937">
        <w:trPr>
          <w:trHeight w:val="31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4AE95E7" w14:textId="77777777" w:rsidR="00F40220" w:rsidRPr="00086D70" w:rsidRDefault="00F40220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Cs/>
                <w:sz w:val="20"/>
                <w:szCs w:val="20"/>
                <w:lang w:val="bg-BG"/>
              </w:rPr>
              <w:t>Неконтролиращо участие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8B97ADD" w14:textId="77777777" w:rsidR="00F40220" w:rsidRPr="002D5A33" w:rsidRDefault="00F40220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2697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EAB2FC0" w14:textId="77777777" w:rsidR="00F40220" w:rsidRPr="002D5A33" w:rsidRDefault="00F40220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853ACD2" w14:textId="77777777" w:rsidR="00F40220" w:rsidRPr="00485D5B" w:rsidRDefault="00F40220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139.31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D19C67C" w14:textId="77777777" w:rsidR="00F40220" w:rsidRPr="00CD568D" w:rsidRDefault="00F40220" w:rsidP="008D1B1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="001A47F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40220" w:rsidRPr="00086D70" w14:paraId="1ED88688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D690EF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Общо Собствен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18315A4" w14:textId="77777777" w:rsidR="00F40220" w:rsidRPr="002D5A33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CE1EEF3" w14:textId="77777777" w:rsidR="00F40220" w:rsidRPr="002D5A33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29657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98A6DC" w14:textId="77777777" w:rsidR="00F40220" w:rsidRPr="00D53083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104.92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54623CE" w14:textId="77777777" w:rsidR="00F40220" w:rsidRPr="00672721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29.1</w:t>
            </w:r>
            <w:r w:rsidR="001A47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40220" w:rsidRPr="00086D70" w14:paraId="032B798D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CA13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E1D5B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91FFA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C6D4C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9CE48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20" w:rsidRPr="00086D70" w14:paraId="75B3CF78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BE16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Нетекущи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31DBF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90B5E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ECF7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09512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20" w:rsidRPr="00086D70" w14:paraId="5FF1AA2D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1938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Дългосрочн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а част на облигационен заем</w:t>
            </w:r>
            <w:r w:rsidRPr="00086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33F1B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8A668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4B514" w14:textId="77777777" w:rsidR="00F40220" w:rsidRPr="00341946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39D2C" w14:textId="77777777" w:rsidR="00F40220" w:rsidRPr="005E4A89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23.78</w:t>
            </w:r>
          </w:p>
        </w:tc>
      </w:tr>
      <w:tr w:rsidR="00F40220" w:rsidRPr="00086D70" w14:paraId="43B98544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70AA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 xml:space="preserve">Дългосрочни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банкови заеми</w:t>
            </w:r>
            <w:r w:rsidRPr="00086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10E4F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EE3C3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47B72" w14:textId="77777777" w:rsidR="00F40220" w:rsidRPr="00341946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08274" w14:textId="77777777" w:rsidR="00F40220" w:rsidRPr="005E4A89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9.99</w:t>
            </w:r>
          </w:p>
        </w:tc>
      </w:tr>
      <w:tr w:rsidR="00F40220" w:rsidRPr="00086D70" w14:paraId="5CBB9D44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5579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Отсрочени данъци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DDFA5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98ADE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13CE5" w14:textId="77777777" w:rsidR="00F40220" w:rsidRPr="00496841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D34A" w14:textId="77777777" w:rsidR="00F40220" w:rsidRPr="005E4A89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F40220" w:rsidRPr="00086D70" w14:paraId="7887B4BD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48D1C50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Общо Нетекущи пасиви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483DE09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36607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1E9E937" w14:textId="77777777" w:rsidR="00F40220" w:rsidRPr="006C113E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38975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5A4DD09" w14:textId="77777777" w:rsidR="00F40220" w:rsidRPr="002C22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0C09E5B" w14:textId="77777777" w:rsidR="00F40220" w:rsidRPr="00672721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34.27</w:t>
            </w:r>
          </w:p>
        </w:tc>
      </w:tr>
      <w:tr w:rsidR="00F40220" w:rsidRPr="00086D70" w14:paraId="55C44063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B2E5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4C05A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40946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8E54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52CCC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20" w:rsidRPr="00086D70" w14:paraId="6AE94D6C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6EB3B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Текущи заеми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B2B66" w14:textId="77777777" w:rsidR="00F40220" w:rsidRPr="00BB684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CB049" w14:textId="77777777" w:rsidR="00F40220" w:rsidRPr="00BB684D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BE41" w14:textId="77777777" w:rsidR="00F40220" w:rsidRPr="005E1C74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101.74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6A65F" w14:textId="77777777" w:rsidR="00F40220" w:rsidRPr="005E4A89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</w:tr>
      <w:tr w:rsidR="00F40220" w:rsidRPr="00086D70" w14:paraId="7A1B45C4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C09F2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Краткосрочн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а част на облигационен заем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636FE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8A350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E0344" w14:textId="77777777" w:rsidR="00F40220" w:rsidRPr="002C2270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127.43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FFAF4" w14:textId="77777777" w:rsidR="00F40220" w:rsidRPr="005E4A89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10.56</w:t>
            </w:r>
          </w:p>
        </w:tc>
      </w:tr>
      <w:tr w:rsidR="00F40220" w:rsidRPr="00086D70" w14:paraId="13469E96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07C53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Задължения към свързани лица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E230A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31AE4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B68A8" w14:textId="77777777" w:rsidR="00F40220" w:rsidRPr="00D53083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AC7FA" w14:textId="77777777" w:rsidR="00F40220" w:rsidRPr="001D2C54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40220" w:rsidRPr="00086D70" w14:paraId="3727D1C6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E8F07" w14:textId="77777777" w:rsidR="00F40220" w:rsidRPr="009A0754" w:rsidRDefault="00F40220" w:rsidP="00B2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Задължения за данък върху дохода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1AB4D" w14:textId="77777777" w:rsidR="00F40220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585D0" w14:textId="77777777" w:rsidR="00F40220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B320F" w14:textId="77777777" w:rsidR="00F40220" w:rsidRPr="00D53083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C5DD0" w14:textId="77777777" w:rsidR="00F40220" w:rsidRPr="001D2C54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F40220" w:rsidRPr="00086D70" w14:paraId="46D91125" w14:textId="77777777" w:rsidTr="00B21937">
        <w:trPr>
          <w:trHeight w:val="304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77146" w14:textId="77777777" w:rsidR="00F40220" w:rsidRPr="00086D70" w:rsidRDefault="00F40220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Търговски и д</w:t>
            </w: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руги задължения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143D3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3D4BD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51D77" w14:textId="77777777" w:rsidR="00F40220" w:rsidRPr="005E1C74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85105" w14:textId="77777777" w:rsidR="00F40220" w:rsidRPr="00BC0248" w:rsidRDefault="00F40220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F40220" w:rsidRPr="00086D70" w14:paraId="11112426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739A9A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Текущи пасиви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FEB779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FD17944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2261D83" w14:textId="77777777" w:rsidR="00F40220" w:rsidRPr="001A6ACC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106.85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B471584" w14:textId="77777777" w:rsidR="00F40220" w:rsidRPr="009400EB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36.61</w:t>
            </w:r>
          </w:p>
        </w:tc>
      </w:tr>
      <w:tr w:rsidR="00F40220" w:rsidRPr="00086D70" w14:paraId="301D3EA4" w14:textId="77777777" w:rsidTr="00B21937">
        <w:trPr>
          <w:trHeight w:val="31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48C50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7AFFB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6FEA1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36D83" w14:textId="77777777" w:rsidR="00F40220" w:rsidRPr="001A6ACC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CFA5B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40220" w:rsidRPr="00086D70" w14:paraId="1FB1BB44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CF8DB4A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2018B30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75715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0457A18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469B365" w14:textId="77777777" w:rsidR="00F40220" w:rsidRPr="0006051F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614313D" w14:textId="77777777" w:rsidR="00F40220" w:rsidRPr="00672721" w:rsidRDefault="00F40220" w:rsidP="001A47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70.8</w:t>
            </w:r>
            <w:r w:rsidR="001A47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40220" w:rsidRPr="00086D70" w14:paraId="6DEC85C3" w14:textId="77777777" w:rsidTr="00B21937">
        <w:trPr>
          <w:trHeight w:val="31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9EBD6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912D5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46805" w14:textId="77777777" w:rsidR="00F40220" w:rsidRPr="00086D70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76C98" w14:textId="77777777" w:rsidR="00F40220" w:rsidRPr="001A6ACC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DE8E5" w14:textId="77777777" w:rsidR="00F40220" w:rsidRPr="00FB61D7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220" w:rsidRPr="00086D70" w14:paraId="5ACC6AA4" w14:textId="77777777" w:rsidTr="00B21937">
        <w:trPr>
          <w:trHeight w:val="315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5D46B40" w14:textId="77777777" w:rsidR="00F40220" w:rsidRPr="00086D70" w:rsidRDefault="00F40220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Общо собствен капитал и пасиви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1232ED2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106831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DC80D73" w14:textId="77777777" w:rsidR="00F40220" w:rsidRPr="00575272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105232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EB8C27B" w14:textId="77777777" w:rsidR="00F40220" w:rsidRPr="0006051F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109AA06" w14:textId="77777777" w:rsidR="00F40220" w:rsidRPr="00FB61D7" w:rsidRDefault="00F40220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6F23F3D6" w14:textId="77777777" w:rsidR="00E81375" w:rsidRDefault="00E81375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14E45E9" w14:textId="77777777" w:rsidR="00010395" w:rsidRPr="00E83932" w:rsidRDefault="00010395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2DCEE82" w14:textId="77777777" w:rsidR="00803B4B" w:rsidRPr="00086D70" w:rsidRDefault="00803B4B" w:rsidP="00F226FA">
      <w:pPr>
        <w:pStyle w:val="2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>Анализ на Приходите и Разходите</w:t>
      </w:r>
    </w:p>
    <w:p w14:paraId="30B6DC86" w14:textId="77777777" w:rsidR="00086D70" w:rsidRPr="00DA0031" w:rsidRDefault="00086D70" w:rsidP="00803B4B">
      <w:pPr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276"/>
        <w:gridCol w:w="1275"/>
        <w:gridCol w:w="1276"/>
      </w:tblGrid>
      <w:tr w:rsidR="00C07552" w:rsidRPr="00086D70" w14:paraId="0AFB3161" w14:textId="77777777" w:rsidTr="00B21937">
        <w:trPr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DEB6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EABF" w14:textId="77777777" w:rsidR="00C07552" w:rsidRPr="00086D70" w:rsidRDefault="00C07552" w:rsidP="00BE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A54" w14:textId="77777777" w:rsidR="00C07552" w:rsidRPr="00086D70" w:rsidRDefault="00C07552" w:rsidP="00BE5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C4DB34A" w14:textId="77777777" w:rsidR="00C07552" w:rsidRPr="00086D70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5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4BE428B9" w14:textId="77777777" w:rsidR="00C07552" w:rsidRPr="00086D70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/%/</w:t>
            </w:r>
          </w:p>
        </w:tc>
      </w:tr>
      <w:tr w:rsidR="00C07552" w:rsidRPr="00086D70" w14:paraId="24E2B14F" w14:textId="77777777" w:rsidTr="00B21937">
        <w:trPr>
          <w:trHeight w:val="2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067E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E8B7" w14:textId="77777777" w:rsidR="00C07552" w:rsidRPr="00086D70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7F42" w14:textId="77777777" w:rsidR="00C07552" w:rsidRPr="00086D70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1EB74" w14:textId="77777777" w:rsidR="00C07552" w:rsidRPr="00086D70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7552" w:rsidRPr="00086D70" w14:paraId="459F6550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FA51" w14:textId="77777777" w:rsidR="00C07552" w:rsidRPr="00086D70" w:rsidRDefault="00C07552" w:rsidP="00B21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7CE5D" w14:textId="77777777" w:rsidR="00C07552" w:rsidRPr="00086D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4B6ED" w14:textId="77777777" w:rsidR="00C07552" w:rsidRPr="00086D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86BB" w14:textId="77777777" w:rsidR="00C07552" w:rsidRPr="00086D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C07552" w:rsidRPr="00086D70" w14:paraId="690E7BD4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FE7C71" w14:textId="77777777" w:rsidR="00C07552" w:rsidRPr="00086D70" w:rsidRDefault="00C07552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Печалба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от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основна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дейност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3F8AE60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64682FA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A1B6C16" w14:textId="77777777" w:rsidR="00C07552" w:rsidRPr="007F5A7B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141.14</w:t>
            </w:r>
          </w:p>
        </w:tc>
      </w:tr>
      <w:tr w:rsidR="00C07552" w:rsidRPr="00086D70" w14:paraId="65E7A3BB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16D2C" w14:textId="77777777" w:rsidR="00C07552" w:rsidRPr="00086D70" w:rsidRDefault="00C07552" w:rsidP="00B21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6262D" w14:textId="77777777" w:rsidR="00C07552" w:rsidRPr="00086D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431F" w14:textId="77777777" w:rsidR="00C07552" w:rsidRPr="00086D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2CDA2" w14:textId="77777777" w:rsidR="00C07552" w:rsidRPr="00086D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C07552" w:rsidRPr="00086D70" w14:paraId="19EAB7A1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2811BA6" w14:textId="77777777" w:rsidR="00C07552" w:rsidRPr="00086D70" w:rsidRDefault="00C07552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Печалба / (Загуба)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от финансова дейност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E0E5332" w14:textId="77777777" w:rsidR="00C07552" w:rsidRPr="002F2AEE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69A7F3A" w14:textId="77777777" w:rsidR="00C07552" w:rsidRPr="0003356F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00FD1A7" w14:textId="77777777" w:rsidR="00C07552" w:rsidRPr="00375EC7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52.07</w:t>
            </w:r>
          </w:p>
        </w:tc>
      </w:tr>
      <w:tr w:rsidR="00C07552" w:rsidRPr="00086D70" w14:paraId="665F5DC0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6BA9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619DF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B53EE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FBC15" w14:textId="77777777" w:rsidR="00C07552" w:rsidRPr="00A120FD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52" w:rsidRPr="0004227B" w14:paraId="524F2229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39C6CB5" w14:textId="77777777" w:rsidR="00C07552" w:rsidRPr="0004227B" w:rsidRDefault="00C07552" w:rsidP="00B219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 от продажба на дъщерно дружество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03536A" w14:textId="77777777" w:rsidR="00C07552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(167)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1A3E67E" w14:textId="77777777" w:rsidR="00C07552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7CE5992" w14:textId="77777777" w:rsidR="00C07552" w:rsidRPr="0004227B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</w:tr>
      <w:tr w:rsidR="00C07552" w:rsidRPr="0004227B" w14:paraId="0D9CA98E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5CDB" w14:textId="77777777" w:rsidR="00C07552" w:rsidRPr="0004227B" w:rsidRDefault="00C07552" w:rsidP="00B21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0EDB" w14:textId="77777777" w:rsidR="00C07552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C477" w14:textId="77777777" w:rsidR="00C07552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126C" w14:textId="77777777" w:rsidR="00C07552" w:rsidRPr="0004227B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552" w:rsidRPr="0004227B" w14:paraId="1BB630C5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E216ADA" w14:textId="77777777" w:rsidR="00C07552" w:rsidRPr="0004227B" w:rsidRDefault="00C07552" w:rsidP="00B2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7B">
              <w:rPr>
                <w:rFonts w:ascii="Arial" w:hAnsi="Arial" w:cs="Arial"/>
                <w:b/>
                <w:sz w:val="20"/>
                <w:szCs w:val="20"/>
              </w:rPr>
              <w:t>Резултат от операции с инвестиционни имоти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30D04DC" w14:textId="77777777" w:rsidR="00C07552" w:rsidRPr="0004227B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8059B1" w14:textId="77777777" w:rsidR="00C07552" w:rsidRPr="0004227B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7FDB930" w14:textId="77777777" w:rsidR="00C07552" w:rsidRPr="0004227B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</w:tr>
      <w:tr w:rsidR="00C07552" w:rsidRPr="00086D70" w14:paraId="08DB811B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779B03C" w14:textId="77777777" w:rsidR="00C07552" w:rsidRPr="007761B6" w:rsidRDefault="00C07552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26AD040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6C41B03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C4D3449" w14:textId="77777777" w:rsidR="00C07552" w:rsidRPr="00C335D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52" w:rsidRPr="00086D70" w14:paraId="720A14AF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7F49F34" w14:textId="77777777" w:rsidR="00C07552" w:rsidRPr="00FF084E" w:rsidRDefault="00C07552" w:rsidP="00B21937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bg-BG"/>
              </w:rPr>
              <w:t>Разходи за материали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E8C8926" w14:textId="77777777" w:rsidR="00C07552" w:rsidRPr="003832A1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07648ED" w14:textId="77777777" w:rsidR="00C07552" w:rsidRPr="003832A1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4D888EF" w14:textId="77777777" w:rsidR="00C07552" w:rsidRPr="00E6233C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C07552" w:rsidRPr="00086D70" w14:paraId="56057310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7C871F1" w14:textId="77777777" w:rsidR="00C07552" w:rsidRPr="007761B6" w:rsidRDefault="00C07552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2A4">
              <w:rPr>
                <w:rFonts w:ascii="Arial" w:hAnsi="Arial" w:cs="Arial"/>
                <w:bCs/>
                <w:sz w:val="20"/>
                <w:szCs w:val="20"/>
              </w:rPr>
              <w:t>Разходи за външни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FC7E179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(126)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221BE45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(141)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38D1258" w14:textId="77777777" w:rsidR="00C07552" w:rsidRPr="00E6233C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89.36</w:t>
            </w:r>
          </w:p>
        </w:tc>
      </w:tr>
      <w:tr w:rsidR="00C07552" w:rsidRPr="00086D70" w14:paraId="08339988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A1C1663" w14:textId="77777777" w:rsidR="00C07552" w:rsidRPr="007761B6" w:rsidRDefault="00C07552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2A4">
              <w:rPr>
                <w:rFonts w:ascii="Arial" w:hAnsi="Arial" w:cs="Arial"/>
                <w:bCs/>
                <w:sz w:val="20"/>
                <w:szCs w:val="20"/>
              </w:rPr>
              <w:t>Разходи за амортизации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293AB2F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61AEE09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22A9F72" w14:textId="77777777" w:rsidR="00C07552" w:rsidRPr="00C335D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C07552" w:rsidRPr="00086D70" w14:paraId="417B780E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E95A3F7" w14:textId="77777777" w:rsidR="00C07552" w:rsidRPr="007761B6" w:rsidRDefault="00C07552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27B">
              <w:rPr>
                <w:rFonts w:ascii="Arial" w:hAnsi="Arial" w:cs="Arial"/>
                <w:bCs/>
                <w:sz w:val="20"/>
                <w:szCs w:val="20"/>
              </w:rPr>
              <w:t>Разходи за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DBFFEFE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(59)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9A61BF6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(53)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48B5D00" w14:textId="77777777" w:rsidR="00C07552" w:rsidRPr="00C335D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111.32</w:t>
            </w:r>
          </w:p>
        </w:tc>
      </w:tr>
      <w:tr w:rsidR="00C07552" w:rsidRPr="00086D70" w14:paraId="11725E79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8B98DA0" w14:textId="77777777" w:rsidR="00C07552" w:rsidRPr="0004227B" w:rsidRDefault="00C07552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 разходи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17AF31D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4CD7E06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A686187" w14:textId="77777777" w:rsidR="00C07552" w:rsidRPr="006509F6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C07552" w:rsidRPr="00086D70" w14:paraId="68394EA9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9F071F" w14:textId="77777777" w:rsidR="00C07552" w:rsidRPr="0004227B" w:rsidRDefault="00C07552" w:rsidP="00B219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EE10ED2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B02711F" w14:textId="77777777" w:rsidR="00C07552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7BA7C25" w14:textId="77777777" w:rsidR="00C07552" w:rsidRPr="00C335D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52" w:rsidRPr="00086D70" w14:paraId="16673FA6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98BA493" w14:textId="77777777" w:rsidR="00C07552" w:rsidRPr="00086D70" w:rsidRDefault="00C07552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Печалба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преди данъци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D358CEA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A6BF468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A8BF5F2" w14:textId="77777777" w:rsidR="00C07552" w:rsidRPr="0022441F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96.79</w:t>
            </w:r>
          </w:p>
        </w:tc>
      </w:tr>
      <w:tr w:rsidR="00C07552" w:rsidRPr="00086D70" w14:paraId="64F3E59B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2018B04" w14:textId="77777777" w:rsidR="00C07552" w:rsidRPr="00086D70" w:rsidRDefault="00C07552" w:rsidP="00B21937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bCs/>
                <w:sz w:val="20"/>
                <w:szCs w:val="20"/>
                <w:lang w:val="bg-BG"/>
              </w:rPr>
              <w:t>Разходи за данъци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03EC569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3282662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6556442" w14:textId="77777777" w:rsidR="00C07552" w:rsidRPr="00AF1D6A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C07552" w:rsidRPr="00086D70" w14:paraId="500C2695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BC5CE6" w14:textId="77777777" w:rsidR="00C07552" w:rsidRPr="00086D70" w:rsidRDefault="00C07552" w:rsidP="00B21937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Нетна п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ечалба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/ (загуба) 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444CB7C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E3F0520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2B4757E" w14:textId="77777777" w:rsidR="00C07552" w:rsidRPr="0022441F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96.79</w:t>
            </w:r>
          </w:p>
        </w:tc>
      </w:tr>
      <w:tr w:rsidR="00C07552" w:rsidRPr="00086D70" w14:paraId="4DBEF1E6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10ABA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86D70">
              <w:rPr>
                <w:rFonts w:ascii="Arial" w:hAnsi="Arial" w:cs="Arial"/>
                <w:sz w:val="20"/>
                <w:szCs w:val="20"/>
                <w:lang w:val="bg-BG"/>
              </w:rPr>
              <w:t>Друг всеобхватен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57149" w14:textId="77777777" w:rsidR="00C07552" w:rsidRPr="00A02106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7F720" w14:textId="77777777" w:rsidR="00C07552" w:rsidRPr="00A02106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07F42" w14:textId="77777777" w:rsidR="00C07552" w:rsidRPr="00BA3F70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C07552" w:rsidRPr="00086D70" w14:paraId="5E4D292A" w14:textId="77777777" w:rsidTr="00B219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52E61D" w14:textId="77777777" w:rsidR="00C07552" w:rsidRPr="00086D70" w:rsidRDefault="00C07552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Общ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всеобхватен доход</w:t>
            </w: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452AD0B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2C555EB" w14:textId="77777777" w:rsidR="00C07552" w:rsidRPr="00EE1FB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77DC075" w14:textId="77777777" w:rsidR="00C07552" w:rsidRPr="0022441F" w:rsidRDefault="00C07552" w:rsidP="00B219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96.79</w:t>
            </w:r>
          </w:p>
        </w:tc>
      </w:tr>
      <w:tr w:rsidR="00C07552" w:rsidRPr="00086D70" w14:paraId="2F096F3E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3106E0" w14:textId="77777777" w:rsidR="00C07552" w:rsidRPr="00002AE8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Печалба /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загуба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периода </w:t>
            </w:r>
            <w:r w:rsidRPr="00002AE8">
              <w:rPr>
                <w:rFonts w:ascii="Arial" w:hAnsi="Arial" w:cs="Arial"/>
                <w:sz w:val="20"/>
                <w:szCs w:val="20"/>
              </w:rPr>
              <w:t>контролно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0E19850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99D2634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CCF7D5F" w14:textId="77777777" w:rsidR="00C07552" w:rsidRPr="00E6233C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105.42</w:t>
            </w:r>
          </w:p>
        </w:tc>
      </w:tr>
      <w:tr w:rsidR="00C07552" w:rsidRPr="00086D70" w14:paraId="7DF9A24F" w14:textId="77777777" w:rsidTr="00B219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FD6D2D" w14:textId="77777777" w:rsidR="00C07552" w:rsidRPr="00002AE8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02AE8">
              <w:rPr>
                <w:rFonts w:ascii="Arial" w:hAnsi="Arial" w:cs="Arial"/>
                <w:sz w:val="20"/>
                <w:szCs w:val="20"/>
              </w:rPr>
              <w:t xml:space="preserve">Печалба /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 w:rsidRPr="00002AE8">
              <w:rPr>
                <w:rFonts w:ascii="Arial" w:hAnsi="Arial" w:cs="Arial"/>
                <w:sz w:val="20"/>
                <w:szCs w:val="20"/>
              </w:rPr>
              <w:t>загуба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 w:rsidRPr="00002AE8">
              <w:rPr>
                <w:rFonts w:ascii="Arial" w:hAnsi="Arial" w:cs="Arial"/>
                <w:sz w:val="20"/>
                <w:szCs w:val="20"/>
              </w:rPr>
              <w:t xml:space="preserve"> за периода неконтролиращо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0520E0B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6F1ACC4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07D9CEA" w14:textId="77777777" w:rsidR="00C07552" w:rsidRPr="00002AE8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49.50</w:t>
            </w:r>
          </w:p>
        </w:tc>
      </w:tr>
    </w:tbl>
    <w:p w14:paraId="6CD4A0B7" w14:textId="77777777" w:rsidR="0095667C" w:rsidRDefault="0095667C" w:rsidP="00803B4B">
      <w:pPr>
        <w:rPr>
          <w:rFonts w:ascii="Arial" w:hAnsi="Arial" w:cs="Arial"/>
          <w:sz w:val="22"/>
          <w:szCs w:val="22"/>
        </w:rPr>
      </w:pPr>
    </w:p>
    <w:p w14:paraId="34267B9A" w14:textId="77777777" w:rsidR="00E276C5" w:rsidRPr="00086D70" w:rsidRDefault="00E276C5" w:rsidP="00803B4B">
      <w:pPr>
        <w:rPr>
          <w:rFonts w:ascii="Arial" w:hAnsi="Arial" w:cs="Arial"/>
          <w:sz w:val="22"/>
          <w:szCs w:val="22"/>
        </w:rPr>
      </w:pPr>
    </w:p>
    <w:p w14:paraId="436084CF" w14:textId="77777777" w:rsidR="008C5AD7" w:rsidRDefault="00E276C5" w:rsidP="000E1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Емитентът реализира </w:t>
      </w:r>
      <w:r w:rsidR="00C51701">
        <w:rPr>
          <w:rFonts w:ascii="Arial" w:hAnsi="Arial" w:cs="Arial"/>
          <w:sz w:val="22"/>
          <w:szCs w:val="22"/>
        </w:rPr>
        <w:t>положителен финансов резултат</w:t>
      </w:r>
      <w:r w:rsidR="009E5550" w:rsidRPr="009E5550">
        <w:rPr>
          <w:rFonts w:ascii="Arial" w:hAnsi="Arial" w:cs="Arial"/>
          <w:sz w:val="22"/>
          <w:szCs w:val="22"/>
        </w:rPr>
        <w:t xml:space="preserve"> </w:t>
      </w:r>
      <w:r w:rsidR="009E5550">
        <w:rPr>
          <w:rFonts w:ascii="Arial" w:hAnsi="Arial" w:cs="Arial"/>
          <w:sz w:val="22"/>
          <w:szCs w:val="22"/>
        </w:rPr>
        <w:t xml:space="preserve">за </w:t>
      </w:r>
      <w:r w:rsidR="00A3394A">
        <w:rPr>
          <w:rFonts w:ascii="Arial" w:hAnsi="Arial" w:cs="Arial"/>
          <w:sz w:val="22"/>
          <w:szCs w:val="22"/>
        </w:rPr>
        <w:t xml:space="preserve">първото тримесечие на </w:t>
      </w:r>
      <w:r w:rsidR="009E5550">
        <w:rPr>
          <w:rFonts w:ascii="Arial" w:hAnsi="Arial" w:cs="Arial"/>
          <w:sz w:val="22"/>
          <w:szCs w:val="22"/>
        </w:rPr>
        <w:t>202</w:t>
      </w:r>
      <w:r w:rsidR="00A3394A">
        <w:rPr>
          <w:rFonts w:ascii="Arial" w:hAnsi="Arial" w:cs="Arial"/>
          <w:sz w:val="22"/>
          <w:szCs w:val="22"/>
        </w:rPr>
        <w:t>3</w:t>
      </w:r>
      <w:r w:rsidR="00437C65">
        <w:rPr>
          <w:rFonts w:ascii="Arial" w:hAnsi="Arial" w:cs="Arial"/>
          <w:sz w:val="22"/>
          <w:szCs w:val="22"/>
        </w:rPr>
        <w:t xml:space="preserve"> </w:t>
      </w:r>
      <w:r w:rsidR="009E5550">
        <w:rPr>
          <w:rFonts w:ascii="Arial" w:hAnsi="Arial" w:cs="Arial"/>
          <w:sz w:val="22"/>
          <w:szCs w:val="22"/>
        </w:rPr>
        <w:t>г.</w:t>
      </w:r>
      <w:r w:rsidR="00F875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в размер на </w:t>
      </w:r>
      <w:r w:rsidR="000D5189">
        <w:rPr>
          <w:rFonts w:ascii="Arial" w:hAnsi="Arial" w:cs="Arial"/>
          <w:sz w:val="22"/>
          <w:szCs w:val="22"/>
        </w:rPr>
        <w:t>634</w:t>
      </w:r>
      <w:r w:rsidR="00932500">
        <w:rPr>
          <w:rFonts w:ascii="Arial" w:hAnsi="Arial" w:cs="Arial"/>
          <w:sz w:val="22"/>
          <w:szCs w:val="22"/>
        </w:rPr>
        <w:t xml:space="preserve"> </w:t>
      </w:r>
      <w:r w:rsidR="000D5189">
        <w:rPr>
          <w:rFonts w:ascii="Arial" w:hAnsi="Arial" w:cs="Arial"/>
          <w:sz w:val="22"/>
          <w:szCs w:val="22"/>
        </w:rPr>
        <w:t>хиляди</w:t>
      </w:r>
      <w:r w:rsidR="0010621F">
        <w:rPr>
          <w:rFonts w:ascii="Arial" w:hAnsi="Arial" w:cs="Arial"/>
          <w:sz w:val="22"/>
          <w:szCs w:val="22"/>
          <w:lang w:val="bg-BG"/>
        </w:rPr>
        <w:t xml:space="preserve"> </w:t>
      </w:r>
      <w:r w:rsidR="00637DAD">
        <w:rPr>
          <w:rFonts w:ascii="Arial" w:hAnsi="Arial" w:cs="Arial"/>
          <w:sz w:val="22"/>
          <w:szCs w:val="22"/>
        </w:rPr>
        <w:t xml:space="preserve">лева </w:t>
      </w:r>
      <w:r>
        <w:rPr>
          <w:rFonts w:ascii="Arial" w:hAnsi="Arial" w:cs="Arial"/>
          <w:sz w:val="22"/>
          <w:szCs w:val="22"/>
        </w:rPr>
        <w:t xml:space="preserve">спрямо </w:t>
      </w:r>
      <w:r w:rsidR="00C51701">
        <w:rPr>
          <w:rFonts w:ascii="Arial" w:hAnsi="Arial" w:cs="Arial"/>
          <w:sz w:val="22"/>
          <w:szCs w:val="22"/>
        </w:rPr>
        <w:t>печалба</w:t>
      </w:r>
      <w:r w:rsidR="00932500">
        <w:rPr>
          <w:rFonts w:ascii="Arial" w:hAnsi="Arial" w:cs="Arial"/>
          <w:sz w:val="22"/>
          <w:szCs w:val="22"/>
        </w:rPr>
        <w:t xml:space="preserve"> от </w:t>
      </w:r>
      <w:r w:rsidR="000D5189">
        <w:rPr>
          <w:rFonts w:ascii="Arial" w:hAnsi="Arial" w:cs="Arial"/>
          <w:sz w:val="22"/>
          <w:szCs w:val="22"/>
        </w:rPr>
        <w:t>655</w:t>
      </w:r>
      <w:r w:rsidR="00932500">
        <w:rPr>
          <w:rFonts w:ascii="Arial" w:hAnsi="Arial" w:cs="Arial"/>
          <w:sz w:val="22"/>
          <w:szCs w:val="22"/>
        </w:rPr>
        <w:t xml:space="preserve"> </w:t>
      </w:r>
      <w:r w:rsidR="000D5189">
        <w:rPr>
          <w:rFonts w:ascii="Arial" w:hAnsi="Arial" w:cs="Arial"/>
          <w:sz w:val="22"/>
          <w:szCs w:val="22"/>
        </w:rPr>
        <w:t>хиляди</w:t>
      </w:r>
      <w:r>
        <w:rPr>
          <w:rFonts w:ascii="Arial" w:hAnsi="Arial" w:cs="Arial"/>
          <w:sz w:val="22"/>
          <w:szCs w:val="22"/>
        </w:rPr>
        <w:t xml:space="preserve"> лева за</w:t>
      </w:r>
      <w:r w:rsidR="00932500">
        <w:rPr>
          <w:rFonts w:ascii="Arial" w:hAnsi="Arial" w:cs="Arial"/>
          <w:sz w:val="22"/>
          <w:szCs w:val="22"/>
        </w:rPr>
        <w:t xml:space="preserve"> </w:t>
      </w:r>
      <w:r w:rsidR="00A3394A">
        <w:rPr>
          <w:rFonts w:ascii="Arial" w:hAnsi="Arial" w:cs="Arial"/>
          <w:sz w:val="22"/>
          <w:szCs w:val="22"/>
        </w:rPr>
        <w:t xml:space="preserve">съответния период на </w:t>
      </w:r>
      <w:r>
        <w:rPr>
          <w:rFonts w:ascii="Arial" w:hAnsi="Arial" w:cs="Arial"/>
          <w:sz w:val="22"/>
          <w:szCs w:val="22"/>
        </w:rPr>
        <w:t>20</w:t>
      </w:r>
      <w:r w:rsidR="00932500">
        <w:rPr>
          <w:rFonts w:ascii="Arial" w:hAnsi="Arial" w:cs="Arial"/>
          <w:sz w:val="22"/>
          <w:szCs w:val="22"/>
        </w:rPr>
        <w:t>2</w:t>
      </w:r>
      <w:r w:rsidR="00A3394A">
        <w:rPr>
          <w:rFonts w:ascii="Arial" w:hAnsi="Arial" w:cs="Arial"/>
          <w:sz w:val="22"/>
          <w:szCs w:val="22"/>
        </w:rPr>
        <w:t>2</w:t>
      </w:r>
      <w:r w:rsidR="007D3B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  <w:r w:rsidR="00DC25D5">
        <w:rPr>
          <w:rFonts w:ascii="Arial" w:hAnsi="Arial" w:cs="Arial"/>
          <w:sz w:val="22"/>
          <w:szCs w:val="22"/>
          <w:lang w:val="bg-BG"/>
        </w:rPr>
        <w:t xml:space="preserve"> /-</w:t>
      </w:r>
      <w:r w:rsidR="000D5189">
        <w:rPr>
          <w:rFonts w:ascii="Arial" w:hAnsi="Arial" w:cs="Arial"/>
          <w:sz w:val="22"/>
          <w:szCs w:val="22"/>
        </w:rPr>
        <w:t>3</w:t>
      </w:r>
      <w:r w:rsidR="00DC25D5">
        <w:rPr>
          <w:rFonts w:ascii="Arial" w:hAnsi="Arial" w:cs="Arial"/>
          <w:sz w:val="22"/>
          <w:szCs w:val="22"/>
          <w:lang w:val="bg-BG"/>
        </w:rPr>
        <w:t>.2</w:t>
      </w:r>
      <w:r w:rsidR="000D5189">
        <w:rPr>
          <w:rFonts w:ascii="Arial" w:hAnsi="Arial" w:cs="Arial"/>
          <w:sz w:val="22"/>
          <w:szCs w:val="22"/>
        </w:rPr>
        <w:t>1</w:t>
      </w:r>
      <w:r w:rsidR="00DC25D5">
        <w:rPr>
          <w:rFonts w:ascii="Arial" w:hAnsi="Arial" w:cs="Arial"/>
          <w:sz w:val="22"/>
          <w:szCs w:val="22"/>
          <w:lang w:val="bg-BG"/>
        </w:rPr>
        <w:t>%/.</w:t>
      </w:r>
      <w:r w:rsidR="002C1960">
        <w:rPr>
          <w:rFonts w:ascii="Arial" w:hAnsi="Arial" w:cs="Arial"/>
          <w:sz w:val="22"/>
          <w:szCs w:val="22"/>
        </w:rPr>
        <w:t xml:space="preserve"> </w:t>
      </w:r>
    </w:p>
    <w:p w14:paraId="68D3C613" w14:textId="77777777" w:rsidR="009851A5" w:rsidRDefault="009851A5" w:rsidP="000E1398">
      <w:pPr>
        <w:jc w:val="both"/>
        <w:rPr>
          <w:rFonts w:ascii="Arial" w:hAnsi="Arial" w:cs="Arial"/>
          <w:sz w:val="22"/>
          <w:szCs w:val="22"/>
        </w:rPr>
      </w:pPr>
    </w:p>
    <w:p w14:paraId="1F62AEAE" w14:textId="77777777" w:rsidR="00736543" w:rsidRDefault="000D5189" w:rsidP="00154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Добрият финансов резултат се дължи</w:t>
      </w:r>
      <w:r w:rsidR="009851A5">
        <w:rPr>
          <w:rFonts w:ascii="Arial" w:hAnsi="Arial" w:cs="Arial"/>
          <w:sz w:val="22"/>
          <w:szCs w:val="22"/>
        </w:rPr>
        <w:t xml:space="preserve"> основно на печалбата от основна дейност, която нараства </w:t>
      </w:r>
      <w:r>
        <w:rPr>
          <w:rFonts w:ascii="Arial" w:hAnsi="Arial" w:cs="Arial"/>
          <w:sz w:val="22"/>
          <w:szCs w:val="22"/>
        </w:rPr>
        <w:t>до 868</w:t>
      </w:r>
      <w:r w:rsidR="009851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хиляди</w:t>
      </w:r>
      <w:r w:rsidR="009851A5">
        <w:rPr>
          <w:rFonts w:ascii="Arial" w:hAnsi="Arial" w:cs="Arial"/>
          <w:sz w:val="22"/>
          <w:szCs w:val="22"/>
        </w:rPr>
        <w:t xml:space="preserve"> лева </w:t>
      </w:r>
      <w:r w:rsidR="00DC648F">
        <w:rPr>
          <w:rFonts w:ascii="Arial" w:hAnsi="Arial" w:cs="Arial"/>
          <w:sz w:val="22"/>
          <w:szCs w:val="22"/>
        </w:rPr>
        <w:t xml:space="preserve">/+41.14%/ </w:t>
      </w:r>
      <w:r w:rsidR="009851A5">
        <w:rPr>
          <w:rFonts w:ascii="Arial" w:hAnsi="Arial" w:cs="Arial"/>
          <w:sz w:val="22"/>
          <w:szCs w:val="22"/>
        </w:rPr>
        <w:t xml:space="preserve">спрямо </w:t>
      </w:r>
      <w:r>
        <w:rPr>
          <w:rFonts w:ascii="Arial" w:hAnsi="Arial" w:cs="Arial"/>
          <w:sz w:val="22"/>
          <w:szCs w:val="22"/>
        </w:rPr>
        <w:t>615</w:t>
      </w:r>
      <w:r w:rsidR="009851A5">
        <w:rPr>
          <w:rFonts w:ascii="Arial" w:hAnsi="Arial" w:cs="Arial"/>
          <w:sz w:val="22"/>
          <w:szCs w:val="22"/>
        </w:rPr>
        <w:t xml:space="preserve"> хиляди лева за</w:t>
      </w:r>
      <w:r>
        <w:rPr>
          <w:rFonts w:ascii="Arial" w:hAnsi="Arial" w:cs="Arial"/>
          <w:sz w:val="22"/>
          <w:szCs w:val="22"/>
        </w:rPr>
        <w:t xml:space="preserve"> първото тримесечие на</w:t>
      </w:r>
      <w:r w:rsidR="009851A5">
        <w:rPr>
          <w:rFonts w:ascii="Arial" w:hAnsi="Arial" w:cs="Arial"/>
          <w:sz w:val="22"/>
          <w:szCs w:val="22"/>
        </w:rPr>
        <w:t xml:space="preserve"> 202</w:t>
      </w:r>
      <w:r w:rsidR="006249DA">
        <w:rPr>
          <w:rFonts w:ascii="Arial" w:hAnsi="Arial" w:cs="Arial"/>
          <w:sz w:val="22"/>
          <w:szCs w:val="22"/>
        </w:rPr>
        <w:t>2</w:t>
      </w:r>
      <w:r w:rsidR="00437C65">
        <w:rPr>
          <w:rFonts w:ascii="Arial" w:hAnsi="Arial" w:cs="Arial"/>
          <w:sz w:val="22"/>
          <w:szCs w:val="22"/>
        </w:rPr>
        <w:t xml:space="preserve"> </w:t>
      </w:r>
      <w:r w:rsidR="009851A5">
        <w:rPr>
          <w:rFonts w:ascii="Arial" w:hAnsi="Arial" w:cs="Arial"/>
          <w:sz w:val="22"/>
          <w:szCs w:val="22"/>
        </w:rPr>
        <w:t>г</w:t>
      </w:r>
      <w:r w:rsidR="00DA0031">
        <w:rPr>
          <w:rFonts w:ascii="Arial" w:hAnsi="Arial" w:cs="Arial"/>
          <w:sz w:val="22"/>
          <w:szCs w:val="22"/>
        </w:rPr>
        <w:t>.</w:t>
      </w:r>
    </w:p>
    <w:p w14:paraId="27D412A4" w14:textId="77777777" w:rsidR="009F793F" w:rsidRDefault="009F793F" w:rsidP="00503FE4">
      <w:pPr>
        <w:rPr>
          <w:rFonts w:ascii="Arial" w:hAnsi="Arial" w:cs="Arial"/>
          <w:sz w:val="22"/>
          <w:szCs w:val="22"/>
        </w:rPr>
      </w:pPr>
    </w:p>
    <w:p w14:paraId="0DDBF7B8" w14:textId="77777777" w:rsidR="009F793F" w:rsidRDefault="00503FE4" w:rsidP="009F793F">
      <w:pPr>
        <w:jc w:val="both"/>
        <w:rPr>
          <w:rFonts w:ascii="Arial" w:hAnsi="Arial" w:cs="Arial"/>
          <w:sz w:val="22"/>
          <w:szCs w:val="22"/>
        </w:rPr>
      </w:pPr>
      <w:r w:rsidRPr="00503FE4">
        <w:rPr>
          <w:rFonts w:ascii="Arial" w:hAnsi="Arial" w:cs="Arial"/>
          <w:sz w:val="22"/>
          <w:szCs w:val="22"/>
        </w:rPr>
        <w:t xml:space="preserve">На 26.01.2023 г. </w:t>
      </w:r>
      <w:r w:rsidR="009F793F">
        <w:rPr>
          <w:rFonts w:ascii="Arial" w:hAnsi="Arial" w:cs="Arial"/>
          <w:sz w:val="22"/>
          <w:szCs w:val="22"/>
        </w:rPr>
        <w:t xml:space="preserve">емитентът продава 11.44% от участието си в капитала на </w:t>
      </w:r>
      <w:r w:rsidRPr="00503FE4">
        <w:rPr>
          <w:rFonts w:ascii="Arial" w:hAnsi="Arial" w:cs="Arial"/>
          <w:sz w:val="22"/>
          <w:szCs w:val="22"/>
        </w:rPr>
        <w:t>дъщерното дружество Устрем Холдинг ЕАД</w:t>
      </w:r>
      <w:r w:rsidR="009F793F">
        <w:rPr>
          <w:rFonts w:ascii="Arial" w:hAnsi="Arial" w:cs="Arial"/>
          <w:sz w:val="22"/>
          <w:szCs w:val="22"/>
        </w:rPr>
        <w:t>.</w:t>
      </w:r>
      <w:r w:rsidRPr="00503FE4">
        <w:rPr>
          <w:rFonts w:ascii="Arial" w:hAnsi="Arial" w:cs="Arial"/>
          <w:sz w:val="22"/>
          <w:szCs w:val="22"/>
        </w:rPr>
        <w:t xml:space="preserve"> Общата стойност на продаж</w:t>
      </w:r>
      <w:r w:rsidR="009F793F">
        <w:rPr>
          <w:rFonts w:ascii="Arial" w:hAnsi="Arial" w:cs="Arial"/>
          <w:sz w:val="22"/>
          <w:szCs w:val="22"/>
        </w:rPr>
        <w:t xml:space="preserve">ната цена е в размер на 659 хиляди </w:t>
      </w:r>
      <w:r w:rsidRPr="00503FE4">
        <w:rPr>
          <w:rFonts w:ascii="Arial" w:hAnsi="Arial" w:cs="Arial"/>
          <w:sz w:val="22"/>
          <w:szCs w:val="22"/>
        </w:rPr>
        <w:t>л</w:t>
      </w:r>
      <w:r w:rsidR="009F793F">
        <w:rPr>
          <w:rFonts w:ascii="Arial" w:hAnsi="Arial" w:cs="Arial"/>
          <w:sz w:val="22"/>
          <w:szCs w:val="22"/>
        </w:rPr>
        <w:t>е</w:t>
      </w:r>
      <w:r w:rsidRPr="00503FE4">
        <w:rPr>
          <w:rFonts w:ascii="Arial" w:hAnsi="Arial" w:cs="Arial"/>
          <w:sz w:val="22"/>
          <w:szCs w:val="22"/>
        </w:rPr>
        <w:t>в</w:t>
      </w:r>
      <w:r w:rsidR="009F793F">
        <w:rPr>
          <w:rFonts w:ascii="Arial" w:hAnsi="Arial" w:cs="Arial"/>
          <w:sz w:val="22"/>
          <w:szCs w:val="22"/>
        </w:rPr>
        <w:t>а, а н</w:t>
      </w:r>
      <w:r w:rsidR="009F793F" w:rsidRPr="009F793F">
        <w:rPr>
          <w:rFonts w:ascii="Arial" w:hAnsi="Arial" w:cs="Arial"/>
          <w:sz w:val="22"/>
          <w:szCs w:val="22"/>
        </w:rPr>
        <w:t>етни</w:t>
      </w:r>
      <w:r w:rsidR="009F793F">
        <w:rPr>
          <w:rFonts w:ascii="Arial" w:hAnsi="Arial" w:cs="Arial"/>
          <w:sz w:val="22"/>
          <w:szCs w:val="22"/>
        </w:rPr>
        <w:t>те</w:t>
      </w:r>
      <w:r w:rsidR="009F793F" w:rsidRPr="009F793F">
        <w:rPr>
          <w:rFonts w:ascii="Arial" w:hAnsi="Arial" w:cs="Arial"/>
          <w:sz w:val="22"/>
          <w:szCs w:val="22"/>
        </w:rPr>
        <w:t xml:space="preserve"> активи </w:t>
      </w:r>
      <w:r w:rsidR="009F793F">
        <w:rPr>
          <w:rFonts w:ascii="Arial" w:hAnsi="Arial" w:cs="Arial"/>
          <w:sz w:val="22"/>
          <w:szCs w:val="22"/>
        </w:rPr>
        <w:t>съответстващи на продадените акции /11.44%/ са за 826 хиляди лева, поради което през първото тримесечие на годината емитентът отчита отрицателен резултат от продажба на дъщерно дружество в размер на 167 хиляди лева.</w:t>
      </w:r>
    </w:p>
    <w:p w14:paraId="4ABB1506" w14:textId="77777777" w:rsidR="009F793F" w:rsidRDefault="009F793F" w:rsidP="009F793F">
      <w:pPr>
        <w:jc w:val="both"/>
        <w:rPr>
          <w:rFonts w:ascii="Arial" w:hAnsi="Arial" w:cs="Arial"/>
          <w:sz w:val="22"/>
          <w:szCs w:val="22"/>
        </w:rPr>
      </w:pPr>
    </w:p>
    <w:p w14:paraId="06227674" w14:textId="77777777" w:rsidR="009F793F" w:rsidRDefault="009F793F" w:rsidP="009F793F">
      <w:pPr>
        <w:jc w:val="both"/>
        <w:rPr>
          <w:rFonts w:ascii="Arial" w:hAnsi="Arial" w:cs="Arial"/>
          <w:sz w:val="22"/>
          <w:szCs w:val="22"/>
        </w:rPr>
      </w:pPr>
    </w:p>
    <w:p w14:paraId="7326E980" w14:textId="77777777" w:rsidR="00B75DE2" w:rsidRPr="00086D70" w:rsidRDefault="00B75DE2" w:rsidP="00736543">
      <w:pPr>
        <w:rPr>
          <w:rFonts w:ascii="Arial" w:hAnsi="Arial" w:cs="Arial"/>
          <w:sz w:val="22"/>
          <w:szCs w:val="22"/>
        </w:rPr>
      </w:pPr>
    </w:p>
    <w:p w14:paraId="36D8B788" w14:textId="77777777" w:rsidR="00803B4B" w:rsidRPr="00086D70" w:rsidRDefault="00803B4B" w:rsidP="00F226FA">
      <w:pPr>
        <w:pStyle w:val="2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lastRenderedPageBreak/>
        <w:t>Анализ на Ликвидността</w:t>
      </w:r>
    </w:p>
    <w:p w14:paraId="3305A2C4" w14:textId="77777777" w:rsidR="007C5187" w:rsidRPr="00086D70" w:rsidRDefault="007C5187" w:rsidP="00CA5F8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7A42022E" w14:textId="77777777" w:rsidR="00010395" w:rsidRPr="00E81375" w:rsidRDefault="00803B4B" w:rsidP="00CA5F8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активи.</w:t>
      </w:r>
    </w:p>
    <w:p w14:paraId="515A9BC4" w14:textId="77777777" w:rsidR="00890115" w:rsidRDefault="00B44A0B" w:rsidP="00CA5F8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</w:p>
    <w:p w14:paraId="1C168E30" w14:textId="77777777" w:rsidR="003B7D37" w:rsidRPr="003B7D37" w:rsidRDefault="003B7D37" w:rsidP="00CA5F8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8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908"/>
        <w:gridCol w:w="908"/>
        <w:gridCol w:w="908"/>
        <w:gridCol w:w="908"/>
        <w:gridCol w:w="908"/>
      </w:tblGrid>
      <w:tr w:rsidR="005146D1" w:rsidRPr="00086D70" w14:paraId="6F4A1F00" w14:textId="77777777" w:rsidTr="005146D1">
        <w:trPr>
          <w:trHeight w:val="330"/>
          <w:jc w:val="center"/>
        </w:trPr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8599511" w14:textId="77777777" w:rsidR="005146D1" w:rsidRPr="00086D70" w:rsidRDefault="005146D1" w:rsidP="002C31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0FB8678C" w14:textId="77777777" w:rsidR="005146D1" w:rsidRPr="004467E1" w:rsidRDefault="005146D1" w:rsidP="00514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6D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146D1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0692C71" w14:textId="77777777" w:rsidR="005146D1" w:rsidRPr="00086E95" w:rsidRDefault="005146D1" w:rsidP="004467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467E1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DDAC8EF" w14:textId="77777777" w:rsidR="005146D1" w:rsidRPr="00DF3024" w:rsidRDefault="005146D1" w:rsidP="00086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E9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86E95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D5B6984" w14:textId="77777777" w:rsidR="005146D1" w:rsidRPr="00957172" w:rsidRDefault="005146D1" w:rsidP="00DF30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024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F3024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6EBCDFD" w14:textId="77777777" w:rsidR="005146D1" w:rsidRPr="00932405" w:rsidRDefault="005146D1" w:rsidP="002E3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17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57172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146D1" w:rsidRPr="00086D70" w14:paraId="5326CB5A" w14:textId="77777777" w:rsidTr="005146D1">
        <w:trPr>
          <w:trHeight w:val="330"/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9436C5" w14:textId="77777777" w:rsidR="005146D1" w:rsidRPr="00086D70" w:rsidRDefault="005146D1" w:rsidP="002C3181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Текуща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5C91C" w14:textId="77777777" w:rsidR="005146D1" w:rsidRDefault="007722A3" w:rsidP="00514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2.1718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0EAB8" w14:textId="77777777" w:rsidR="005146D1" w:rsidRDefault="005146D1" w:rsidP="00446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2.2732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993D8" w14:textId="77777777" w:rsidR="005146D1" w:rsidRDefault="005146D1" w:rsidP="00086E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1.7986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9C12D" w14:textId="77777777" w:rsidR="005146D1" w:rsidRDefault="005146D1" w:rsidP="002F3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2.0549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4B0FE" w14:textId="77777777" w:rsidR="005146D1" w:rsidRDefault="005146D1" w:rsidP="002C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2.1931</w:t>
            </w:r>
          </w:p>
        </w:tc>
      </w:tr>
      <w:tr w:rsidR="005146D1" w:rsidRPr="00086D70" w14:paraId="19DEF2F0" w14:textId="77777777" w:rsidTr="005146D1">
        <w:trPr>
          <w:trHeight w:val="330"/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5415B0" w14:textId="77777777" w:rsidR="005146D1" w:rsidRPr="00086D70" w:rsidRDefault="005146D1" w:rsidP="002C3181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Бърза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0BA2F" w14:textId="77777777" w:rsidR="005146D1" w:rsidRDefault="00431610" w:rsidP="00514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36E38" w14:textId="77777777" w:rsidR="005146D1" w:rsidRPr="00600285" w:rsidRDefault="005146D1" w:rsidP="0060028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09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84FAF" w14:textId="77777777" w:rsidR="005146D1" w:rsidRDefault="005146D1" w:rsidP="002913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1.7906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5B149" w14:textId="77777777" w:rsidR="005146D1" w:rsidRDefault="005146D1" w:rsidP="002F3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2.0468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F06A7" w14:textId="77777777" w:rsidR="005146D1" w:rsidRDefault="005146D1" w:rsidP="00705F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2.1845</w:t>
            </w:r>
          </w:p>
        </w:tc>
      </w:tr>
      <w:tr w:rsidR="005146D1" w:rsidRPr="00086D70" w14:paraId="7B2DE871" w14:textId="77777777" w:rsidTr="005146D1">
        <w:trPr>
          <w:trHeight w:val="330"/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A927E" w14:textId="77777777" w:rsidR="005146D1" w:rsidRPr="00086D70" w:rsidRDefault="005146D1" w:rsidP="002C3181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Незабавна ликвидност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2B32F" w14:textId="77777777" w:rsidR="005146D1" w:rsidRDefault="00165E09" w:rsidP="00514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0.8976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0C985" w14:textId="77777777" w:rsidR="005146D1" w:rsidRDefault="005146D1" w:rsidP="00446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0.9281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FDD0B" w14:textId="77777777" w:rsidR="005146D1" w:rsidRDefault="005146D1" w:rsidP="00086E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0.6963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FADC9" w14:textId="77777777" w:rsidR="005146D1" w:rsidRDefault="005146D1" w:rsidP="002F3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ADA1A" w14:textId="77777777" w:rsidR="005146D1" w:rsidRDefault="005146D1" w:rsidP="002C3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0.6473</w:t>
            </w:r>
          </w:p>
        </w:tc>
      </w:tr>
    </w:tbl>
    <w:p w14:paraId="2B3B1E74" w14:textId="77777777" w:rsidR="00803B4B" w:rsidRPr="00086D70" w:rsidRDefault="00803B4B" w:rsidP="00803B4B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60C1518" w14:textId="77777777" w:rsidR="00D31B43" w:rsidRDefault="00071A5D" w:rsidP="00713ECE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През </w:t>
      </w:r>
      <w:r w:rsidR="00CE3998">
        <w:rPr>
          <w:rFonts w:ascii="Arial" w:hAnsi="Arial" w:cs="Arial"/>
          <w:lang w:val="en-US"/>
        </w:rPr>
        <w:t>първ</w:t>
      </w:r>
      <w:r w:rsidR="00E071A2">
        <w:rPr>
          <w:rFonts w:ascii="Arial" w:hAnsi="Arial" w:cs="Arial"/>
          <w:lang w:val="en-US"/>
        </w:rPr>
        <w:t>ото</w:t>
      </w:r>
      <w:r>
        <w:rPr>
          <w:rFonts w:ascii="Arial" w:hAnsi="Arial" w:cs="Arial"/>
          <w:lang w:val="en-US"/>
        </w:rPr>
        <w:t xml:space="preserve"> тримесечие на 202</w:t>
      </w:r>
      <w:r w:rsidR="00CE3998">
        <w:rPr>
          <w:rFonts w:ascii="Arial" w:hAnsi="Arial" w:cs="Arial"/>
          <w:lang w:val="en-US"/>
        </w:rPr>
        <w:t>3</w:t>
      </w:r>
      <w:r w:rsidR="00F317CA">
        <w:rPr>
          <w:rFonts w:ascii="Arial" w:hAnsi="Arial" w:cs="Arial"/>
          <w:lang w:val="en-US"/>
        </w:rPr>
        <w:t xml:space="preserve"> </w:t>
      </w:r>
      <w:r w:rsidR="008D06C5">
        <w:rPr>
          <w:rFonts w:ascii="Arial" w:hAnsi="Arial" w:cs="Arial"/>
          <w:lang w:val="en-US"/>
        </w:rPr>
        <w:t xml:space="preserve">г. няма съществени изменения при </w:t>
      </w:r>
      <w:r w:rsidR="00803B4B" w:rsidRPr="00086D70">
        <w:rPr>
          <w:rFonts w:ascii="Arial" w:hAnsi="Arial" w:cs="Arial"/>
        </w:rPr>
        <w:t>показател</w:t>
      </w:r>
      <w:r>
        <w:rPr>
          <w:rFonts w:ascii="Arial" w:hAnsi="Arial" w:cs="Arial"/>
          <w:lang w:val="en-US"/>
        </w:rPr>
        <w:t xml:space="preserve">ите за </w:t>
      </w:r>
      <w:r w:rsidR="00803B4B" w:rsidRPr="00086D70">
        <w:rPr>
          <w:rFonts w:ascii="Arial" w:hAnsi="Arial" w:cs="Arial"/>
        </w:rPr>
        <w:t xml:space="preserve">ликвидност </w:t>
      </w:r>
      <w:r w:rsidR="008D06C5">
        <w:rPr>
          <w:rFonts w:ascii="Arial" w:hAnsi="Arial" w:cs="Arial"/>
          <w:lang w:val="en-US"/>
        </w:rPr>
        <w:t>на емитента</w:t>
      </w:r>
      <w:r w:rsidR="002B31D5" w:rsidRPr="00600285">
        <w:rPr>
          <w:rFonts w:ascii="Arial" w:hAnsi="Arial" w:cs="Arial"/>
        </w:rPr>
        <w:t>.</w:t>
      </w:r>
      <w:r w:rsidR="00B05C4F" w:rsidRPr="00600285">
        <w:rPr>
          <w:rFonts w:ascii="Arial" w:hAnsi="Arial" w:cs="Arial"/>
        </w:rPr>
        <w:t xml:space="preserve"> </w:t>
      </w:r>
      <w:r w:rsidR="00095061" w:rsidRPr="00600285">
        <w:rPr>
          <w:rFonts w:ascii="Arial" w:hAnsi="Arial" w:cs="Arial"/>
          <w:lang w:val="en-US"/>
        </w:rPr>
        <w:t>Доброто ниво на показател</w:t>
      </w:r>
      <w:r w:rsidR="00E7579B" w:rsidRPr="00600285">
        <w:rPr>
          <w:rFonts w:ascii="Arial" w:hAnsi="Arial" w:cs="Arial"/>
          <w:lang w:val="en-US"/>
        </w:rPr>
        <w:t>я</w:t>
      </w:r>
      <w:r w:rsidR="00095061" w:rsidRPr="00600285">
        <w:rPr>
          <w:rFonts w:ascii="Arial" w:hAnsi="Arial" w:cs="Arial"/>
          <w:lang w:val="en-US"/>
        </w:rPr>
        <w:t xml:space="preserve"> </w:t>
      </w:r>
      <w:r w:rsidR="00E7579B" w:rsidRPr="00600285">
        <w:rPr>
          <w:rFonts w:ascii="Arial" w:hAnsi="Arial" w:cs="Arial"/>
          <w:lang w:val="en-US"/>
        </w:rPr>
        <w:t xml:space="preserve">“Незабавна </w:t>
      </w:r>
      <w:r w:rsidR="00095061" w:rsidRPr="00600285">
        <w:rPr>
          <w:rFonts w:ascii="Arial" w:hAnsi="Arial" w:cs="Arial"/>
          <w:lang w:val="en-US"/>
        </w:rPr>
        <w:t>ликвидност</w:t>
      </w:r>
      <w:r w:rsidR="00E7579B" w:rsidRPr="00600285">
        <w:rPr>
          <w:rFonts w:ascii="Arial" w:hAnsi="Arial" w:cs="Arial"/>
          <w:lang w:val="en-US"/>
        </w:rPr>
        <w:t>”</w:t>
      </w:r>
      <w:r w:rsidR="00095061" w:rsidRPr="00600285">
        <w:rPr>
          <w:rFonts w:ascii="Arial" w:hAnsi="Arial" w:cs="Arial"/>
          <w:lang w:val="en-US"/>
        </w:rPr>
        <w:t xml:space="preserve"> се поддържа основно от салдото</w:t>
      </w:r>
      <w:r w:rsidR="00095061">
        <w:rPr>
          <w:rFonts w:ascii="Arial" w:hAnsi="Arial" w:cs="Arial"/>
          <w:lang w:val="en-US"/>
        </w:rPr>
        <w:t xml:space="preserve"> по позицията “Краткосрочни финансови </w:t>
      </w:r>
      <w:r w:rsidR="002A4248">
        <w:rPr>
          <w:rFonts w:ascii="Arial" w:hAnsi="Arial" w:cs="Arial"/>
        </w:rPr>
        <w:t>активи</w:t>
      </w:r>
      <w:r w:rsidR="00095061">
        <w:rPr>
          <w:rFonts w:ascii="Arial" w:hAnsi="Arial" w:cs="Arial"/>
          <w:lang w:val="en-US"/>
        </w:rPr>
        <w:t xml:space="preserve">”, </w:t>
      </w:r>
      <w:r w:rsidR="00777616">
        <w:rPr>
          <w:rFonts w:ascii="Arial" w:hAnsi="Arial" w:cs="Arial"/>
          <w:lang w:val="en-US"/>
        </w:rPr>
        <w:t>като</w:t>
      </w:r>
      <w:r w:rsidR="00010395">
        <w:rPr>
          <w:rFonts w:ascii="Arial" w:hAnsi="Arial" w:cs="Arial"/>
          <w:lang w:val="en-US"/>
        </w:rPr>
        <w:t xml:space="preserve"> </w:t>
      </w:r>
      <w:r w:rsidR="00E7579B">
        <w:rPr>
          <w:rFonts w:ascii="Arial" w:hAnsi="Arial" w:cs="Arial"/>
          <w:lang w:val="en-US"/>
        </w:rPr>
        <w:t xml:space="preserve">качеството и ликвидността на тези активи се явяват основен фактор за </w:t>
      </w:r>
      <w:r w:rsidR="007D2A89" w:rsidRPr="007D2A89">
        <w:rPr>
          <w:rFonts w:ascii="Arial" w:hAnsi="Arial" w:cs="Arial"/>
          <w:lang w:val="en-US"/>
        </w:rPr>
        <w:t>сп</w:t>
      </w:r>
      <w:r w:rsidR="00E7579B">
        <w:rPr>
          <w:rFonts w:ascii="Arial" w:hAnsi="Arial" w:cs="Arial"/>
          <w:lang w:val="en-US"/>
        </w:rPr>
        <w:t>особността на емитента да погасява</w:t>
      </w:r>
      <w:r w:rsidR="007D2A89" w:rsidRPr="007D2A89">
        <w:rPr>
          <w:rFonts w:ascii="Arial" w:hAnsi="Arial" w:cs="Arial"/>
          <w:lang w:val="en-US"/>
        </w:rPr>
        <w:t xml:space="preserve"> в срок пр</w:t>
      </w:r>
      <w:r w:rsidR="00E7579B">
        <w:rPr>
          <w:rFonts w:ascii="Arial" w:hAnsi="Arial" w:cs="Arial"/>
          <w:lang w:val="en-US"/>
        </w:rPr>
        <w:t>едстоящите</w:t>
      </w:r>
      <w:r w:rsidR="007D2A89" w:rsidRPr="007D2A89">
        <w:rPr>
          <w:rFonts w:ascii="Arial" w:hAnsi="Arial" w:cs="Arial"/>
          <w:lang w:val="en-US"/>
        </w:rPr>
        <w:t xml:space="preserve"> плащания на лихва и главница по облигационната емисия</w:t>
      </w:r>
      <w:r w:rsidR="00777616">
        <w:rPr>
          <w:rFonts w:ascii="Arial" w:hAnsi="Arial" w:cs="Arial"/>
          <w:lang w:val="en-US"/>
        </w:rPr>
        <w:t>.</w:t>
      </w:r>
      <w:r w:rsidR="007D2A89">
        <w:rPr>
          <w:rFonts w:ascii="Arial" w:hAnsi="Arial" w:cs="Arial"/>
          <w:lang w:val="en-US"/>
        </w:rPr>
        <w:t xml:space="preserve"> </w:t>
      </w:r>
    </w:p>
    <w:p w14:paraId="68920219" w14:textId="77777777" w:rsidR="007D2A89" w:rsidRDefault="007D2A89" w:rsidP="00713ECE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46764C1" w14:textId="77777777" w:rsidR="00986CFB" w:rsidRPr="00986CFB" w:rsidRDefault="00986CFB" w:rsidP="00803B4B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14:paraId="4D911AA0" w14:textId="77777777" w:rsidR="00803B4B" w:rsidRPr="00086D70" w:rsidRDefault="00803B4B" w:rsidP="00F226FA">
      <w:pPr>
        <w:pStyle w:val="2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52B75626" w14:textId="77777777" w:rsidR="00CA5F8A" w:rsidRPr="00086D70" w:rsidRDefault="00CA5F8A" w:rsidP="00CA5F8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E70CA77" w14:textId="77777777" w:rsidR="00803B4B" w:rsidRPr="00086D70" w:rsidRDefault="00803B4B" w:rsidP="00CA5F8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Показателите за платежоспособност измерват степента на задлъжнялост на Дружеството и възможностите </w:t>
      </w:r>
      <w:r w:rsidR="007F00E0" w:rsidRPr="00086D70">
        <w:rPr>
          <w:rFonts w:ascii="Arial" w:hAnsi="Arial" w:cs="Arial"/>
        </w:rPr>
        <w:t>му</w:t>
      </w:r>
      <w:r w:rsidRPr="00086D70">
        <w:rPr>
          <w:rFonts w:ascii="Arial" w:hAnsi="Arial" w:cs="Arial"/>
        </w:rPr>
        <w:t xml:space="preserve"> да посрещне своите задължения.</w:t>
      </w:r>
    </w:p>
    <w:p w14:paraId="28142F31" w14:textId="77777777" w:rsidR="00B44A0B" w:rsidRDefault="00B44A0B" w:rsidP="00C91C3B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9633D39" w14:textId="77777777" w:rsidR="00C91C3B" w:rsidRPr="000A1C57" w:rsidRDefault="00D72E5B" w:rsidP="00C91C3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Към 3</w:t>
      </w:r>
      <w:r w:rsidR="00E071A2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CE3998">
        <w:rPr>
          <w:rFonts w:ascii="Arial" w:hAnsi="Arial" w:cs="Arial"/>
          <w:lang w:val="en-US"/>
        </w:rPr>
        <w:t>03</w:t>
      </w:r>
      <w:r>
        <w:rPr>
          <w:rFonts w:ascii="Arial" w:hAnsi="Arial" w:cs="Arial"/>
          <w:lang w:val="en-US"/>
        </w:rPr>
        <w:t>.202</w:t>
      </w:r>
      <w:r w:rsidR="00CE3998">
        <w:rPr>
          <w:rFonts w:ascii="Arial" w:hAnsi="Arial" w:cs="Arial"/>
          <w:lang w:val="en-US"/>
        </w:rPr>
        <w:t>3</w:t>
      </w:r>
      <w:r w:rsidR="00FE67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</w:t>
      </w:r>
      <w:r w:rsidR="00BB6A25">
        <w:rPr>
          <w:rFonts w:ascii="Arial" w:hAnsi="Arial" w:cs="Arial"/>
          <w:lang w:val="en-US"/>
        </w:rPr>
        <w:t>, п</w:t>
      </w:r>
      <w:r w:rsidR="00FC56F7">
        <w:rPr>
          <w:rFonts w:ascii="Arial" w:hAnsi="Arial" w:cs="Arial"/>
        </w:rPr>
        <w:t>оказателите за платежоспособност</w:t>
      </w:r>
      <w:r w:rsidR="00FC56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леко се </w:t>
      </w:r>
      <w:r w:rsidR="00E071A2">
        <w:rPr>
          <w:rFonts w:ascii="Arial" w:hAnsi="Arial" w:cs="Arial"/>
          <w:lang w:val="en-US"/>
        </w:rPr>
        <w:t>подобряват</w:t>
      </w:r>
      <w:r>
        <w:rPr>
          <w:rFonts w:ascii="Arial" w:hAnsi="Arial" w:cs="Arial"/>
          <w:lang w:val="en-US"/>
        </w:rPr>
        <w:t xml:space="preserve"> поради </w:t>
      </w:r>
      <w:r w:rsidR="006B25CB">
        <w:rPr>
          <w:rFonts w:ascii="Arial" w:hAnsi="Arial" w:cs="Arial"/>
          <w:lang w:val="en-US"/>
        </w:rPr>
        <w:t>относително по-малкото нарастване на</w:t>
      </w:r>
      <w:r w:rsidR="00E071A2">
        <w:rPr>
          <w:rFonts w:ascii="Arial" w:hAnsi="Arial" w:cs="Arial"/>
          <w:lang w:val="en-US"/>
        </w:rPr>
        <w:t xml:space="preserve"> пасивите</w:t>
      </w:r>
      <w:r>
        <w:rPr>
          <w:rFonts w:ascii="Arial" w:hAnsi="Arial" w:cs="Arial"/>
          <w:lang w:val="en-US"/>
        </w:rPr>
        <w:t xml:space="preserve"> </w:t>
      </w:r>
      <w:r w:rsidR="006B25CB">
        <w:rPr>
          <w:rFonts w:ascii="Arial" w:hAnsi="Arial" w:cs="Arial"/>
          <w:lang w:val="en-US"/>
        </w:rPr>
        <w:t xml:space="preserve">спрямо това на активите </w:t>
      </w:r>
      <w:r>
        <w:rPr>
          <w:rFonts w:ascii="Arial" w:hAnsi="Arial" w:cs="Arial"/>
          <w:lang w:val="en-US"/>
        </w:rPr>
        <w:t xml:space="preserve">на емитента през </w:t>
      </w:r>
      <w:r w:rsidR="00B46005">
        <w:rPr>
          <w:rFonts w:ascii="Arial" w:hAnsi="Arial" w:cs="Arial"/>
          <w:lang w:val="en-US"/>
        </w:rPr>
        <w:t>първото</w:t>
      </w:r>
      <w:r>
        <w:rPr>
          <w:rFonts w:ascii="Arial" w:hAnsi="Arial" w:cs="Arial"/>
          <w:lang w:val="en-US"/>
        </w:rPr>
        <w:t xml:space="preserve"> тримесечие на </w:t>
      </w:r>
      <w:r w:rsidR="006B25CB">
        <w:rPr>
          <w:rFonts w:ascii="Arial" w:hAnsi="Arial" w:cs="Arial"/>
          <w:lang w:val="en-US"/>
        </w:rPr>
        <w:t>годината</w:t>
      </w:r>
      <w:r>
        <w:rPr>
          <w:rFonts w:ascii="Arial" w:hAnsi="Arial" w:cs="Arial"/>
          <w:lang w:val="en-US"/>
        </w:rPr>
        <w:t>.</w:t>
      </w:r>
      <w:r w:rsidR="000C5274">
        <w:rPr>
          <w:rFonts w:ascii="Arial" w:hAnsi="Arial" w:cs="Arial"/>
        </w:rPr>
        <w:t xml:space="preserve"> </w:t>
      </w:r>
      <w:r w:rsidR="00E071A2">
        <w:rPr>
          <w:rFonts w:ascii="Arial" w:hAnsi="Arial" w:cs="Arial"/>
          <w:lang w:val="en-US"/>
        </w:rPr>
        <w:t>В</w:t>
      </w:r>
      <w:r w:rsidR="00E9508D">
        <w:rPr>
          <w:rFonts w:ascii="Arial" w:hAnsi="Arial" w:cs="Arial"/>
        </w:rPr>
        <w:t>исокия</w:t>
      </w:r>
      <w:r w:rsidR="00BE19BE">
        <w:rPr>
          <w:rFonts w:ascii="Arial" w:hAnsi="Arial" w:cs="Arial"/>
        </w:rPr>
        <w:t>т</w:t>
      </w:r>
      <w:r w:rsidR="00E95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собствен капитал на емитента</w:t>
      </w:r>
      <w:r w:rsidR="000A1C57">
        <w:rPr>
          <w:rFonts w:ascii="Arial" w:hAnsi="Arial" w:cs="Arial"/>
          <w:lang w:val="en-US"/>
        </w:rPr>
        <w:t xml:space="preserve">, </w:t>
      </w:r>
      <w:r w:rsidR="00E071A2">
        <w:rPr>
          <w:rFonts w:ascii="Arial" w:hAnsi="Arial" w:cs="Arial"/>
          <w:lang w:val="en-US"/>
        </w:rPr>
        <w:t xml:space="preserve">който нараства допълнително през тримесечиеото, </w:t>
      </w:r>
      <w:r w:rsidR="00183DCF">
        <w:rPr>
          <w:rFonts w:ascii="Arial" w:hAnsi="Arial" w:cs="Arial"/>
        </w:rPr>
        <w:t>поддържа</w:t>
      </w:r>
      <w:r w:rsidR="00A01B2E" w:rsidRPr="00086D70">
        <w:rPr>
          <w:rFonts w:ascii="Arial" w:hAnsi="Arial" w:cs="Arial"/>
        </w:rPr>
        <w:t xml:space="preserve"> нивото на ливъридж в разумни граници</w:t>
      </w:r>
      <w:r w:rsidR="00C91C3B" w:rsidRPr="00086D70">
        <w:rPr>
          <w:rFonts w:ascii="Arial" w:hAnsi="Arial" w:cs="Arial"/>
        </w:rPr>
        <w:t>.</w:t>
      </w:r>
      <w:r w:rsidR="000A1C57">
        <w:rPr>
          <w:rFonts w:ascii="Arial" w:hAnsi="Arial" w:cs="Arial"/>
          <w:lang w:val="en-US"/>
        </w:rPr>
        <w:t xml:space="preserve"> </w:t>
      </w:r>
    </w:p>
    <w:p w14:paraId="5F30860D" w14:textId="77777777" w:rsidR="00C91C3B" w:rsidRPr="00086D70" w:rsidRDefault="00C91C3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8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908"/>
        <w:gridCol w:w="908"/>
        <w:gridCol w:w="908"/>
        <w:gridCol w:w="908"/>
        <w:gridCol w:w="908"/>
      </w:tblGrid>
      <w:tr w:rsidR="00C07552" w:rsidRPr="00086D70" w14:paraId="047A7195" w14:textId="77777777" w:rsidTr="00B2193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3939276" w14:textId="77777777" w:rsidR="00C07552" w:rsidRPr="00086D70" w:rsidRDefault="00C07552" w:rsidP="00B219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D70">
              <w:rPr>
                <w:rFonts w:ascii="Arial" w:hAnsi="Arial" w:cs="Arial"/>
                <w:b/>
                <w:bCs/>
                <w:sz w:val="20"/>
                <w:szCs w:val="20"/>
              </w:rPr>
              <w:t>Платежоспособност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F66AEBB" w14:textId="77777777" w:rsidR="00C07552" w:rsidRPr="00086E9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14A0B10" w14:textId="77777777" w:rsidR="00C07552" w:rsidRPr="00086E9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823F8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0971118" w14:textId="77777777" w:rsidR="00C07552" w:rsidRPr="00D05578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E9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86E95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1E77ACF9" w14:textId="77777777" w:rsidR="00C07552" w:rsidRPr="00957172" w:rsidRDefault="00C07552" w:rsidP="00B21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578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05578">
              <w:rPr>
                <w:rFonts w:ascii="Arial" w:hAnsi="Arial" w:cs="Arial"/>
                <w:b/>
                <w:bCs/>
                <w:sz w:val="20"/>
                <w:szCs w:val="20"/>
              </w:rPr>
              <w:t>’2022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0338B78" w14:textId="77777777" w:rsidR="00C07552" w:rsidRPr="00932405" w:rsidRDefault="00C07552" w:rsidP="00B219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17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57172">
              <w:rPr>
                <w:rFonts w:ascii="Arial" w:hAnsi="Arial" w:cs="Arial"/>
                <w:b/>
                <w:bCs/>
                <w:sz w:val="20"/>
                <w:szCs w:val="20"/>
              </w:rPr>
              <w:t>’202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07552" w:rsidRPr="00086D70" w14:paraId="05591EC1" w14:textId="77777777" w:rsidTr="00B2193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6425B0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6B27E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0.3427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A78A5" w14:textId="77777777" w:rsidR="00C07552" w:rsidRDefault="00C07552" w:rsidP="002A1F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  <w:r w:rsidR="002A1F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328DC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34E5F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0.3397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2732B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0.3662</w:t>
            </w:r>
          </w:p>
        </w:tc>
      </w:tr>
      <w:tr w:rsidR="00C07552" w:rsidRPr="00086D70" w14:paraId="7DFBE279" w14:textId="77777777" w:rsidTr="00B2193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FD7554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AFF98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0.7087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C2928" w14:textId="77777777" w:rsidR="00C07552" w:rsidRDefault="00C07552" w:rsidP="006050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="0060500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3D38D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0.7408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790E8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0.7181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ECF1B" w14:textId="77777777" w:rsidR="00C07552" w:rsidRPr="00A03176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0.7200</w:t>
            </w:r>
          </w:p>
        </w:tc>
      </w:tr>
      <w:tr w:rsidR="00C07552" w:rsidRPr="00086D70" w14:paraId="2F5A5087" w14:textId="77777777" w:rsidTr="00B21937">
        <w:trPr>
          <w:trHeight w:val="33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32C277B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36657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2.4333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9C41E" w14:textId="77777777" w:rsidR="00C07552" w:rsidRDefault="00C07552" w:rsidP="006050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60500B">
              <w:rPr>
                <w:rFonts w:ascii="Arial" w:hAnsi="Arial" w:cs="Arial"/>
                <w:sz w:val="20"/>
                <w:szCs w:val="20"/>
              </w:rPr>
              <w:t>5483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56255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2.8576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A0989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2.5473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C7827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2.5718</w:t>
            </w:r>
          </w:p>
        </w:tc>
      </w:tr>
      <w:tr w:rsidR="00C07552" w:rsidRPr="00086D70" w14:paraId="6E82A1E1" w14:textId="77777777" w:rsidTr="00B21937">
        <w:trPr>
          <w:trHeight w:val="310"/>
          <w:jc w:val="center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D01526" w14:textId="77777777" w:rsidR="00C07552" w:rsidRPr="00086D70" w:rsidRDefault="00C07552" w:rsidP="00B21937">
            <w:pPr>
              <w:rPr>
                <w:rFonts w:ascii="Arial" w:hAnsi="Arial" w:cs="Arial"/>
                <w:sz w:val="20"/>
                <w:szCs w:val="20"/>
              </w:rPr>
            </w:pPr>
            <w:r w:rsidRPr="00086D70">
              <w:rPr>
                <w:rFonts w:ascii="Arial" w:hAnsi="Arial" w:cs="Arial"/>
                <w:sz w:val="20"/>
                <w:szCs w:val="20"/>
              </w:rPr>
              <w:t>Ливъридж (Общо активи/Собствен капитал)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81EEE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3.4333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77F49" w14:textId="77777777" w:rsidR="00C07552" w:rsidRDefault="00C07552" w:rsidP="006050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60500B">
              <w:rPr>
                <w:rFonts w:ascii="Arial" w:hAnsi="Arial" w:cs="Arial"/>
                <w:sz w:val="20"/>
                <w:szCs w:val="20"/>
              </w:rPr>
              <w:t>5483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AB96F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3.8576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8ADB7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3.5473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D2FE2" w14:textId="77777777" w:rsidR="00C07552" w:rsidRDefault="00C07552" w:rsidP="00B2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3.5718</w:t>
            </w:r>
          </w:p>
        </w:tc>
      </w:tr>
    </w:tbl>
    <w:p w14:paraId="24891818" w14:textId="77777777" w:rsidR="00803B4B" w:rsidRPr="00086D70" w:rsidRDefault="00803B4B" w:rsidP="00803B4B">
      <w:pPr>
        <w:jc w:val="both"/>
        <w:rPr>
          <w:rFonts w:ascii="Arial" w:hAnsi="Arial" w:cs="Arial"/>
          <w:sz w:val="22"/>
          <w:szCs w:val="22"/>
        </w:rPr>
      </w:pPr>
    </w:p>
    <w:p w14:paraId="3A6E252A" w14:textId="77777777" w:rsidR="00D31B43" w:rsidRPr="00086D70" w:rsidRDefault="00D31B43" w:rsidP="00803B4B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2E948AEF" w14:textId="77777777" w:rsidR="00803B4B" w:rsidRPr="00086D70" w:rsidRDefault="00803B4B" w:rsidP="00F226FA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13A2C207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65FA39CB" w14:textId="77777777" w:rsidR="00450FBA" w:rsidRPr="00086D70" w:rsidRDefault="00450FBA" w:rsidP="00450FB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783226" w:rsidRPr="00086D70">
        <w:rPr>
          <w:rFonts w:ascii="Arial" w:hAnsi="Arial" w:cs="Arial"/>
        </w:rPr>
        <w:t>Северкооп-</w:t>
      </w:r>
      <w:r w:rsidR="007B1208">
        <w:rPr>
          <w:rFonts w:ascii="Arial" w:hAnsi="Arial" w:cs="Arial"/>
        </w:rPr>
        <w:t>Гъмза</w:t>
      </w:r>
      <w:r w:rsidR="00783226" w:rsidRPr="00086D70">
        <w:rPr>
          <w:rFonts w:ascii="Arial" w:hAnsi="Arial" w:cs="Arial"/>
        </w:rPr>
        <w:t xml:space="preserve"> Холдинг АД</w:t>
      </w:r>
      <w:r w:rsidRPr="00086D70">
        <w:rPr>
          <w:rFonts w:ascii="Arial" w:hAnsi="Arial" w:cs="Arial"/>
        </w:rPr>
        <w:t xml:space="preserve"> е сключило застраховка при ЗАД </w:t>
      </w:r>
      <w:r w:rsidR="00D65D55" w:rsidRPr="00086D70">
        <w:rPr>
          <w:rFonts w:ascii="Arial" w:hAnsi="Arial" w:cs="Arial"/>
        </w:rPr>
        <w:t>АРМЕЕЦ</w:t>
      </w:r>
      <w:r w:rsidR="00D65D55">
        <w:rPr>
          <w:rFonts w:ascii="Arial" w:hAnsi="Arial" w:cs="Arial"/>
          <w:lang w:val="en-US"/>
        </w:rPr>
        <w:t xml:space="preserve"> </w:t>
      </w:r>
      <w:r w:rsidR="00D65D55">
        <w:rPr>
          <w:rFonts w:ascii="Arial" w:hAnsi="Arial" w:cs="Arial"/>
        </w:rPr>
        <w:t>АД</w:t>
      </w:r>
      <w:r w:rsidRPr="00086D70">
        <w:rPr>
          <w:rFonts w:ascii="Arial" w:hAnsi="Arial" w:cs="Arial"/>
        </w:rPr>
        <w:t xml:space="preserve"> на всички плащания по облигационната емисия срещу риск от неплащане, с действие на полицата до датата на пълно погасяване на облигационния заем, включително в случаите на удължаване на срока/падежа на емисията. </w:t>
      </w:r>
    </w:p>
    <w:p w14:paraId="4B8803E0" w14:textId="77777777" w:rsidR="00450FBA" w:rsidRPr="00086D70" w:rsidRDefault="00450FBA" w:rsidP="00450FBA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C098E21" w14:textId="77777777" w:rsidR="00454F6A" w:rsidRDefault="00890115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Към </w:t>
      </w:r>
      <w:r w:rsidR="00F63696">
        <w:rPr>
          <w:rFonts w:ascii="Arial" w:hAnsi="Arial" w:cs="Arial"/>
          <w:lang w:val="en-US"/>
        </w:rPr>
        <w:t>3</w:t>
      </w:r>
      <w:r w:rsidR="0067301A">
        <w:rPr>
          <w:rFonts w:ascii="Arial" w:hAnsi="Arial" w:cs="Arial"/>
          <w:lang w:val="en-US"/>
        </w:rPr>
        <w:t>1</w:t>
      </w:r>
      <w:r w:rsidR="00F63696">
        <w:rPr>
          <w:rFonts w:ascii="Arial" w:hAnsi="Arial" w:cs="Arial"/>
          <w:lang w:val="en-US"/>
        </w:rPr>
        <w:t>.</w:t>
      </w:r>
      <w:r w:rsidR="009E1CCE">
        <w:rPr>
          <w:rFonts w:ascii="Arial" w:hAnsi="Arial" w:cs="Arial"/>
          <w:lang w:val="en-US"/>
        </w:rPr>
        <w:t>03</w:t>
      </w:r>
      <w:r w:rsidR="00F63696">
        <w:rPr>
          <w:rFonts w:ascii="Arial" w:hAnsi="Arial" w:cs="Arial"/>
          <w:lang w:val="en-US"/>
        </w:rPr>
        <w:t>.202</w:t>
      </w:r>
      <w:r w:rsidR="009E1CCE">
        <w:rPr>
          <w:rFonts w:ascii="Arial" w:hAnsi="Arial" w:cs="Arial"/>
          <w:lang w:val="en-US"/>
        </w:rPr>
        <w:t>3</w:t>
      </w:r>
      <w:r w:rsidR="00FE67AF">
        <w:rPr>
          <w:rFonts w:ascii="Arial" w:hAnsi="Arial" w:cs="Arial"/>
          <w:lang w:val="en-US"/>
        </w:rPr>
        <w:t xml:space="preserve"> </w:t>
      </w:r>
      <w:r w:rsidR="00F63696">
        <w:rPr>
          <w:rFonts w:ascii="Arial" w:hAnsi="Arial" w:cs="Arial"/>
          <w:lang w:val="en-US"/>
        </w:rPr>
        <w:t>г.</w:t>
      </w:r>
      <w:r w:rsidR="00CB4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застраховката е валидна.</w:t>
      </w:r>
      <w:r w:rsidR="00D355E9">
        <w:rPr>
          <w:rFonts w:ascii="Arial" w:hAnsi="Arial" w:cs="Arial"/>
          <w:lang w:val="en-US"/>
        </w:rPr>
        <w:t xml:space="preserve"> </w:t>
      </w:r>
    </w:p>
    <w:p w14:paraId="559E5517" w14:textId="77777777" w:rsidR="00777616" w:rsidRDefault="00777616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63329AC" w14:textId="77777777" w:rsidR="00777616" w:rsidRPr="00A86C26" w:rsidRDefault="00777616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3D28EEA" w14:textId="77777777" w:rsidR="00803B4B" w:rsidRPr="00086D70" w:rsidRDefault="00803B4B" w:rsidP="007B0D32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Изразходване на средствата от облигационния заем.</w:t>
      </w:r>
    </w:p>
    <w:p w14:paraId="1FC18246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5DAF740C" w14:textId="77777777" w:rsidR="00803B4B" w:rsidRPr="00086D70" w:rsidRDefault="00803B4B" w:rsidP="00450FB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lastRenderedPageBreak/>
        <w:t xml:space="preserve">Набраните от емисията средства </w:t>
      </w:r>
      <w:r w:rsidR="00376D2D" w:rsidRPr="00086D70">
        <w:rPr>
          <w:rFonts w:ascii="Arial" w:hAnsi="Arial" w:cs="Arial"/>
        </w:rPr>
        <w:t>са</w:t>
      </w:r>
      <w:r w:rsidRPr="00086D70">
        <w:rPr>
          <w:rFonts w:ascii="Arial" w:hAnsi="Arial" w:cs="Arial"/>
        </w:rPr>
        <w:t xml:space="preserve"> използвани от Дружеството </w:t>
      </w:r>
      <w:r w:rsidR="00C3085E" w:rsidRPr="00086D70">
        <w:rPr>
          <w:rFonts w:ascii="Arial" w:hAnsi="Arial" w:cs="Arial"/>
        </w:rPr>
        <w:t xml:space="preserve">съгласно заложеното в Предложението за записване на корпоративни облигации - </w:t>
      </w:r>
      <w:r w:rsidRPr="00086D70">
        <w:rPr>
          <w:rFonts w:ascii="Arial" w:hAnsi="Arial" w:cs="Arial"/>
        </w:rPr>
        <w:t xml:space="preserve">за </w:t>
      </w:r>
      <w:r w:rsidR="00C3085E" w:rsidRPr="00086D70">
        <w:rPr>
          <w:rFonts w:ascii="Arial" w:hAnsi="Arial" w:cs="Arial"/>
        </w:rPr>
        <w:t xml:space="preserve">придобиване на </w:t>
      </w:r>
      <w:r w:rsidRPr="00086D70">
        <w:rPr>
          <w:rFonts w:ascii="Arial" w:hAnsi="Arial" w:cs="Arial"/>
        </w:rPr>
        <w:t xml:space="preserve">дялови </w:t>
      </w:r>
      <w:r w:rsidR="00A02EAA" w:rsidRPr="00086D70">
        <w:rPr>
          <w:rFonts w:ascii="Arial" w:hAnsi="Arial" w:cs="Arial"/>
        </w:rPr>
        <w:t>участия</w:t>
      </w:r>
      <w:r w:rsidR="00C3085E" w:rsidRPr="00086D70">
        <w:rPr>
          <w:rFonts w:ascii="Arial" w:hAnsi="Arial" w:cs="Arial"/>
        </w:rPr>
        <w:t xml:space="preserve"> в дъщерни и асоциирани предприятия, структуриране на диверсифициран инвестиционен портфейл от финансови инструменти</w:t>
      </w:r>
      <w:r w:rsidRPr="00086D70">
        <w:rPr>
          <w:rFonts w:ascii="Arial" w:hAnsi="Arial" w:cs="Arial"/>
        </w:rPr>
        <w:t xml:space="preserve">, </w:t>
      </w:r>
      <w:r w:rsidR="00A02EAA" w:rsidRPr="00086D70">
        <w:rPr>
          <w:rFonts w:ascii="Arial" w:hAnsi="Arial" w:cs="Arial"/>
        </w:rPr>
        <w:t>придобиване на вземания</w:t>
      </w:r>
      <w:r w:rsidR="00C3085E" w:rsidRPr="00086D70">
        <w:rPr>
          <w:rFonts w:ascii="Arial" w:hAnsi="Arial" w:cs="Arial"/>
        </w:rPr>
        <w:t xml:space="preserve">, инвестиции на паричните, капиталовите и стоковите пазари, вкл. </w:t>
      </w:r>
      <w:r w:rsidR="00853F89">
        <w:rPr>
          <w:rFonts w:ascii="Arial" w:hAnsi="Arial" w:cs="Arial"/>
        </w:rPr>
        <w:t>и</w:t>
      </w:r>
      <w:r w:rsidR="00C3085E" w:rsidRPr="00086D70">
        <w:rPr>
          <w:rFonts w:ascii="Arial" w:hAnsi="Arial" w:cs="Arial"/>
        </w:rPr>
        <w:t>нвестиции в борсово търгувани стоки и производни деривативни инструменти</w:t>
      </w:r>
      <w:r w:rsidRPr="00086D70">
        <w:rPr>
          <w:rFonts w:ascii="Arial" w:hAnsi="Arial" w:cs="Arial"/>
        </w:rPr>
        <w:t>.</w:t>
      </w:r>
    </w:p>
    <w:p w14:paraId="2F03C82D" w14:textId="77777777" w:rsidR="00BD2C3E" w:rsidRPr="00086D70" w:rsidRDefault="00BD2C3E" w:rsidP="00450FB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F233BB1" w14:textId="77777777" w:rsidR="00BD2C3E" w:rsidRPr="00086D70" w:rsidRDefault="00BD2C3E" w:rsidP="00BD2C3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086D70">
        <w:rPr>
          <w:rFonts w:ascii="Arial" w:hAnsi="Arial" w:cs="Arial"/>
          <w:sz w:val="22"/>
          <w:szCs w:val="22"/>
          <w:lang w:val="bg-BG"/>
        </w:rPr>
        <w:t xml:space="preserve">Де Ново ЕАД е поискало от </w:t>
      </w:r>
      <w:r w:rsidR="00783226" w:rsidRPr="00086D70">
        <w:rPr>
          <w:rFonts w:ascii="Arial" w:hAnsi="Arial" w:cs="Arial"/>
          <w:sz w:val="22"/>
          <w:szCs w:val="22"/>
        </w:rPr>
        <w:t>Северкооп-</w:t>
      </w:r>
      <w:r w:rsidR="007B1208">
        <w:rPr>
          <w:rFonts w:ascii="Arial" w:hAnsi="Arial" w:cs="Arial"/>
          <w:sz w:val="22"/>
          <w:szCs w:val="22"/>
        </w:rPr>
        <w:t>Гъмза</w:t>
      </w:r>
      <w:r w:rsidR="00783226" w:rsidRPr="00086D70">
        <w:rPr>
          <w:rFonts w:ascii="Arial" w:hAnsi="Arial" w:cs="Arial"/>
          <w:sz w:val="22"/>
          <w:szCs w:val="22"/>
        </w:rPr>
        <w:t xml:space="preserve"> Холдинг АД</w:t>
      </w:r>
      <w:r w:rsidRPr="00086D70">
        <w:rPr>
          <w:rFonts w:ascii="Arial" w:hAnsi="Arial" w:cs="Arial"/>
          <w:sz w:val="22"/>
          <w:szCs w:val="22"/>
          <w:lang w:val="bg-BG"/>
        </w:rPr>
        <w:t xml:space="preserve"> конкретна, детайлна информация относно изразходване на набраните средства от емисията, включваща </w:t>
      </w:r>
      <w:r w:rsidRPr="00086D70">
        <w:rPr>
          <w:rFonts w:ascii="Arial" w:hAnsi="Arial" w:cs="Arial"/>
          <w:sz w:val="22"/>
          <w:szCs w:val="22"/>
        </w:rPr>
        <w:t xml:space="preserve">ISIN </w:t>
      </w:r>
      <w:r w:rsidRPr="00086D70">
        <w:rPr>
          <w:rFonts w:ascii="Arial" w:hAnsi="Arial" w:cs="Arial"/>
          <w:sz w:val="22"/>
          <w:szCs w:val="22"/>
          <w:lang w:val="bg-BG"/>
        </w:rPr>
        <w:t>код, брой/номинал и балансова стойност на придобитите финансови инструменти. Към момента на изготвяне и предоставяне на настоящия доклад пред КФН и БФБ АД такава информация не е предоставена от емитента.</w:t>
      </w:r>
    </w:p>
    <w:p w14:paraId="45B5CADE" w14:textId="77777777" w:rsidR="00BD2C3E" w:rsidRPr="00086D70" w:rsidRDefault="00BD2C3E" w:rsidP="00450FB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A34911F" w14:textId="77777777" w:rsidR="00803B4B" w:rsidRPr="00086D70" w:rsidRDefault="00803B4B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Лихвата по настоящата облигационна емисия е фиксирана на </w:t>
      </w:r>
      <w:r w:rsidR="00DE1201" w:rsidRPr="00086D70">
        <w:rPr>
          <w:rFonts w:ascii="Arial" w:hAnsi="Arial" w:cs="Arial"/>
        </w:rPr>
        <w:t>5</w:t>
      </w:r>
      <w:r w:rsidR="00F810B9">
        <w:rPr>
          <w:rFonts w:ascii="Arial" w:hAnsi="Arial" w:cs="Arial"/>
          <w:lang w:val="en-US"/>
        </w:rPr>
        <w:t>.</w:t>
      </w:r>
      <w:r w:rsidR="00DE1201" w:rsidRPr="00086D70">
        <w:rPr>
          <w:rFonts w:ascii="Arial" w:hAnsi="Arial" w:cs="Arial"/>
        </w:rPr>
        <w:t>0</w:t>
      </w:r>
      <w:r w:rsidRPr="00086D70">
        <w:rPr>
          <w:rFonts w:ascii="Arial" w:hAnsi="Arial" w:cs="Arial"/>
        </w:rPr>
        <w:t>0% проста</w:t>
      </w:r>
      <w:r w:rsidR="00DD7201">
        <w:rPr>
          <w:rFonts w:ascii="Arial" w:hAnsi="Arial" w:cs="Arial"/>
          <w:lang w:val="en-US"/>
        </w:rPr>
        <w:t>,</w:t>
      </w:r>
      <w:r w:rsidRPr="00086D70">
        <w:rPr>
          <w:rFonts w:ascii="Arial" w:hAnsi="Arial" w:cs="Arial"/>
        </w:rPr>
        <w:t xml:space="preserve"> годишна лихва. </w:t>
      </w:r>
    </w:p>
    <w:p w14:paraId="7DB0305E" w14:textId="77777777" w:rsidR="0018755E" w:rsidRPr="00086D70" w:rsidRDefault="0018755E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6B3C8BBE" w14:textId="77777777" w:rsidR="00803B4B" w:rsidRPr="00086D70" w:rsidRDefault="00803B4B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>Облигационния</w:t>
      </w:r>
      <w:r w:rsidR="008C3850" w:rsidRPr="00086D70">
        <w:rPr>
          <w:rFonts w:ascii="Arial" w:hAnsi="Arial" w:cs="Arial"/>
        </w:rPr>
        <w:t>т</w:t>
      </w:r>
      <w:r w:rsidRPr="00086D70">
        <w:rPr>
          <w:rFonts w:ascii="Arial" w:hAnsi="Arial" w:cs="Arial"/>
        </w:rPr>
        <w:t xml:space="preserve"> заем е за период от </w:t>
      </w:r>
      <w:r w:rsidR="00DE1201" w:rsidRPr="00086D70">
        <w:rPr>
          <w:rFonts w:ascii="Arial" w:hAnsi="Arial" w:cs="Arial"/>
        </w:rPr>
        <w:t>8</w:t>
      </w:r>
      <w:r w:rsidRPr="00086D70">
        <w:rPr>
          <w:rFonts w:ascii="Arial" w:hAnsi="Arial" w:cs="Arial"/>
        </w:rPr>
        <w:t xml:space="preserve"> години с шестмесечни купонни плащания, изчислени на база фиксирана годишна лихва, начислявана при лихвена конвенция Реален брой дни в периода към Реален брой дни в годината (Actual/365L (ISMA – Year, Actual/</w:t>
      </w:r>
      <w:r w:rsidR="00B359C0">
        <w:rPr>
          <w:rFonts w:ascii="Arial" w:hAnsi="Arial" w:cs="Arial"/>
        </w:rPr>
        <w:t>365</w:t>
      </w:r>
      <w:r w:rsidR="00B359C0">
        <w:rPr>
          <w:rFonts w:ascii="Arial" w:hAnsi="Arial" w:cs="Arial"/>
          <w:lang w:val="en-US"/>
        </w:rPr>
        <w:t>L</w:t>
      </w:r>
      <w:r w:rsidRPr="00086D70">
        <w:rPr>
          <w:rFonts w:ascii="Arial" w:hAnsi="Arial" w:cs="Arial"/>
        </w:rPr>
        <w:t>).</w:t>
      </w:r>
    </w:p>
    <w:p w14:paraId="0CC9F322" w14:textId="77777777" w:rsidR="0018755E" w:rsidRPr="00086D70" w:rsidRDefault="0018755E" w:rsidP="0018755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A81239D" w14:textId="77777777" w:rsidR="00F22C40" w:rsidRPr="00F22C40" w:rsidRDefault="00F22C40" w:rsidP="00F22C40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F22C40">
        <w:rPr>
          <w:rFonts w:ascii="Arial" w:hAnsi="Arial" w:cs="Arial"/>
          <w:lang w:val="en-US"/>
        </w:rPr>
        <w:t xml:space="preserve">Съгласно условията на емисията, на 16.01.2023 г. бяха дължими лихвено плащане и </w:t>
      </w:r>
      <w:r>
        <w:rPr>
          <w:rFonts w:ascii="Arial" w:hAnsi="Arial" w:cs="Arial"/>
          <w:lang w:val="en-US"/>
        </w:rPr>
        <w:t xml:space="preserve">частично плащане </w:t>
      </w:r>
      <w:r w:rsidRPr="00F22C40">
        <w:rPr>
          <w:rFonts w:ascii="Arial" w:hAnsi="Arial" w:cs="Arial"/>
          <w:lang w:val="en-US"/>
        </w:rPr>
        <w:t xml:space="preserve">на главница, както следва: </w:t>
      </w:r>
    </w:p>
    <w:p w14:paraId="074003B9" w14:textId="77777777" w:rsidR="00F22C40" w:rsidRPr="00F22C40" w:rsidRDefault="00F22C40" w:rsidP="00F22C40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F22C40">
        <w:rPr>
          <w:rFonts w:ascii="Arial" w:hAnsi="Arial" w:cs="Arial"/>
          <w:lang w:val="en-US"/>
        </w:rPr>
        <w:t>- лихвено плащане - BGN 403 287.67;</w:t>
      </w:r>
    </w:p>
    <w:p w14:paraId="3DDB80D6" w14:textId="77777777" w:rsidR="00F22C40" w:rsidRPr="00F22C40" w:rsidRDefault="00F22C40" w:rsidP="00F22C40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F22C40">
        <w:rPr>
          <w:rFonts w:ascii="Arial" w:hAnsi="Arial" w:cs="Arial"/>
          <w:lang w:val="en-US"/>
        </w:rPr>
        <w:t>- частично плащане на главница – BGN 2 000 000.00,</w:t>
      </w:r>
    </w:p>
    <w:p w14:paraId="28EA672A" w14:textId="77777777" w:rsidR="00F22C40" w:rsidRPr="00F22C40" w:rsidRDefault="00F22C40" w:rsidP="00F22C40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F22C40">
        <w:rPr>
          <w:rFonts w:ascii="Arial" w:hAnsi="Arial" w:cs="Arial"/>
          <w:lang w:val="en-US"/>
        </w:rPr>
        <w:t xml:space="preserve">които не са извършени на датата на падежа. </w:t>
      </w:r>
    </w:p>
    <w:p w14:paraId="43846C6E" w14:textId="77777777" w:rsidR="00F22C40" w:rsidRPr="00F22C40" w:rsidRDefault="00F22C40" w:rsidP="00F22C40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4A409E50" w14:textId="77777777" w:rsidR="00F22C40" w:rsidRPr="00F22C40" w:rsidRDefault="00F22C40" w:rsidP="00F22C40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F22C40">
        <w:rPr>
          <w:rFonts w:ascii="Arial" w:hAnsi="Arial" w:cs="Arial"/>
          <w:lang w:val="en-US"/>
        </w:rPr>
        <w:t>С писмо от 21</w:t>
      </w:r>
      <w:r w:rsidRPr="00F22C40">
        <w:rPr>
          <w:rFonts w:ascii="Arial" w:hAnsi="Arial" w:cs="Arial"/>
          <w:lang w:val="en-US"/>
        </w:rPr>
        <w:tab/>
        <w:t>.02.2023 г., Де Ново ЕАД е уведомило емитента, че Довереникът е предявил претенция пред застрахователно акционерно дружество АРМЕЕЦ АД за изплащане на застрахователно обезщетение, в размер на BGN 2 403 287.67,  във връзка с неизвършените лихвено и главнично плащане с падеж 16.01.2023 г. Също така, Де Ново ЕАД е поискало от емитента предприемането на конкретни действия във връзка с осъществяването на хипотезата на т.19.14.1 от Проспекта за допускане до търговия на регулиран пазар на ценни книжа на емисия корпоративни облигации.</w:t>
      </w:r>
    </w:p>
    <w:p w14:paraId="2C06418C" w14:textId="77777777" w:rsidR="00F22C40" w:rsidRPr="00F22C40" w:rsidRDefault="00F22C40" w:rsidP="00F22C40">
      <w:pPr>
        <w:pStyle w:val="a6"/>
        <w:jc w:val="both"/>
        <w:rPr>
          <w:rFonts w:ascii="Arial" w:hAnsi="Arial" w:cs="Arial"/>
          <w:lang w:val="en-US"/>
        </w:rPr>
      </w:pPr>
    </w:p>
    <w:p w14:paraId="070D7393" w14:textId="77777777" w:rsidR="00A454D2" w:rsidRDefault="00F22C40" w:rsidP="00F22C4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F22C40">
        <w:rPr>
          <w:rFonts w:ascii="Arial" w:hAnsi="Arial" w:cs="Arial"/>
          <w:lang w:val="en-US"/>
        </w:rPr>
        <w:t>Доколкото Де Ново ЕАД не е уведомено от емитента за предприемане на действия съгласно отправеното искане по-горе, с писма от 15.03.2023 г., Де Ново ЕАД е информирало облигационерите по емисия облигации ISIN BG2100008189 към дата 13.01.2023 г., датата към която облигационерите по емисията имат право на лихвено плащане и плащане на главница, дължими на 16.01.2023 г., като е поискало от тях да вземат отношение по повод възникналия казус.</w:t>
      </w:r>
    </w:p>
    <w:p w14:paraId="2A178E78" w14:textId="77777777" w:rsidR="00F22C40" w:rsidRDefault="00F22C40" w:rsidP="00F22C4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4C150AE" w14:textId="77777777" w:rsidR="009278C8" w:rsidRPr="00E06FB8" w:rsidRDefault="009278C8" w:rsidP="00803B4B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741212A" w14:textId="77777777" w:rsidR="00803B4B" w:rsidRPr="00086D70" w:rsidRDefault="00803B4B" w:rsidP="007B0D32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14:paraId="48A22F0F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0F43462" w14:textId="77777777" w:rsidR="00803B4B" w:rsidRDefault="00803B4B" w:rsidP="00A02EA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038A5697" w14:textId="77777777" w:rsidR="006807CF" w:rsidRPr="006807CF" w:rsidRDefault="006807CF" w:rsidP="00A02EAA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D28A12A" w14:textId="77777777" w:rsidR="00D17066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 xml:space="preserve">-- Коефициент на максимална стойност на отношението </w:t>
      </w:r>
      <w:r w:rsidR="003664BD" w:rsidRPr="00086D70">
        <w:rPr>
          <w:rFonts w:ascii="Arial" w:hAnsi="Arial" w:cs="Arial"/>
        </w:rPr>
        <w:t>“</w:t>
      </w:r>
      <w:r w:rsidRPr="00086D70">
        <w:rPr>
          <w:rFonts w:ascii="Arial" w:hAnsi="Arial" w:cs="Arial"/>
        </w:rPr>
        <w:t>Пасиви</w:t>
      </w:r>
      <w:r w:rsidR="00456A86" w:rsidRPr="00086D70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 xml:space="preserve">/ Активи” от максимум 97%. </w:t>
      </w:r>
    </w:p>
    <w:p w14:paraId="4ABBBEF2" w14:textId="77777777" w:rsidR="000A54B1" w:rsidRPr="00086D70" w:rsidRDefault="000A54B1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F9918F7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>Към 3</w:t>
      </w:r>
      <w:r w:rsidR="00C41609">
        <w:rPr>
          <w:rFonts w:ascii="Arial" w:hAnsi="Arial" w:cs="Arial"/>
          <w:lang w:val="en-US"/>
        </w:rPr>
        <w:t>1</w:t>
      </w:r>
      <w:r w:rsidRPr="00086D70">
        <w:rPr>
          <w:rFonts w:ascii="Arial" w:hAnsi="Arial" w:cs="Arial"/>
        </w:rPr>
        <w:t>.</w:t>
      </w:r>
      <w:r w:rsidR="005146D1">
        <w:rPr>
          <w:rFonts w:ascii="Arial" w:hAnsi="Arial" w:cs="Arial"/>
          <w:lang w:val="en-US"/>
        </w:rPr>
        <w:t>03</w:t>
      </w:r>
      <w:r w:rsidRPr="00086D70">
        <w:rPr>
          <w:rFonts w:ascii="Arial" w:hAnsi="Arial" w:cs="Arial"/>
        </w:rPr>
        <w:t>.</w:t>
      </w:r>
      <w:r w:rsidR="00E950F5" w:rsidRPr="00086D70">
        <w:rPr>
          <w:rFonts w:ascii="Arial" w:hAnsi="Arial" w:cs="Arial"/>
        </w:rPr>
        <w:t>20</w:t>
      </w:r>
      <w:r w:rsidR="005E4A89">
        <w:rPr>
          <w:rFonts w:ascii="Arial" w:hAnsi="Arial" w:cs="Arial"/>
          <w:lang w:val="en-US"/>
        </w:rPr>
        <w:t>2</w:t>
      </w:r>
      <w:r w:rsidR="005146D1">
        <w:rPr>
          <w:rFonts w:ascii="Arial" w:hAnsi="Arial" w:cs="Arial"/>
          <w:lang w:val="en-US"/>
        </w:rPr>
        <w:t>3</w:t>
      </w:r>
      <w:r w:rsidR="001D760B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>г. стойността на показ</w:t>
      </w:r>
      <w:r w:rsidR="00A02EAA" w:rsidRPr="00086D70">
        <w:rPr>
          <w:rFonts w:ascii="Arial" w:hAnsi="Arial" w:cs="Arial"/>
        </w:rPr>
        <w:t xml:space="preserve">ателя е </w:t>
      </w:r>
      <w:r w:rsidR="00A3519A">
        <w:rPr>
          <w:rFonts w:ascii="Arial" w:hAnsi="Arial" w:cs="Arial"/>
          <w:lang w:val="en-US"/>
        </w:rPr>
        <w:t>7</w:t>
      </w:r>
      <w:r w:rsidR="006E6B6E">
        <w:rPr>
          <w:rFonts w:ascii="Arial" w:hAnsi="Arial" w:cs="Arial"/>
          <w:lang w:val="en-US"/>
        </w:rPr>
        <w:t>2</w:t>
      </w:r>
      <w:r w:rsidR="00593603">
        <w:rPr>
          <w:rFonts w:ascii="Arial" w:hAnsi="Arial" w:cs="Arial"/>
          <w:lang w:val="en-US"/>
        </w:rPr>
        <w:t>.</w:t>
      </w:r>
      <w:r w:rsidR="005146D1">
        <w:rPr>
          <w:rFonts w:ascii="Arial" w:hAnsi="Arial" w:cs="Arial"/>
          <w:lang w:val="en-US"/>
        </w:rPr>
        <w:t>29</w:t>
      </w:r>
      <w:r w:rsidR="00A01B2E" w:rsidRPr="00086D70">
        <w:rPr>
          <w:rFonts w:ascii="Arial" w:hAnsi="Arial" w:cs="Arial"/>
        </w:rPr>
        <w:t>%</w:t>
      </w:r>
      <w:r w:rsidRPr="00086D70">
        <w:rPr>
          <w:rFonts w:ascii="Arial" w:hAnsi="Arial" w:cs="Arial"/>
        </w:rPr>
        <w:t>.</w:t>
      </w:r>
    </w:p>
    <w:p w14:paraId="4F5F8768" w14:textId="77777777" w:rsidR="00870881" w:rsidRPr="00086D70" w:rsidRDefault="00870881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EDA8C28" w14:textId="77777777" w:rsidR="00D17066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2E17A0">
        <w:rPr>
          <w:rFonts w:ascii="Arial" w:hAnsi="Arial" w:cs="Arial"/>
        </w:rPr>
        <w:t>срока на облигационния заем е 1</w:t>
      </w:r>
      <w:r w:rsidR="00660069">
        <w:rPr>
          <w:rFonts w:ascii="Arial" w:hAnsi="Arial" w:cs="Arial"/>
          <w:lang w:val="en-US"/>
        </w:rPr>
        <w:t>.</w:t>
      </w:r>
      <w:r w:rsidRPr="00086D70">
        <w:rPr>
          <w:rFonts w:ascii="Arial" w:hAnsi="Arial" w:cs="Arial"/>
        </w:rPr>
        <w:t>05.</w:t>
      </w:r>
    </w:p>
    <w:p w14:paraId="413F992C" w14:textId="77777777" w:rsidR="000A54B1" w:rsidRPr="00086D70" w:rsidRDefault="000A54B1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3FE40121" w14:textId="77777777" w:rsidR="00803B4B" w:rsidRPr="00086D70" w:rsidRDefault="00803B4B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86D70">
        <w:rPr>
          <w:rFonts w:ascii="Arial" w:hAnsi="Arial" w:cs="Arial"/>
        </w:rPr>
        <w:t xml:space="preserve">Към </w:t>
      </w:r>
      <w:r w:rsidR="00BE1B7A" w:rsidRPr="00086D70">
        <w:rPr>
          <w:rFonts w:ascii="Arial" w:hAnsi="Arial" w:cs="Arial"/>
        </w:rPr>
        <w:t>3</w:t>
      </w:r>
      <w:r w:rsidR="00C41609">
        <w:rPr>
          <w:rFonts w:ascii="Arial" w:hAnsi="Arial" w:cs="Arial"/>
          <w:lang w:val="en-US"/>
        </w:rPr>
        <w:t>1</w:t>
      </w:r>
      <w:r w:rsidR="00BE1B7A" w:rsidRPr="00086D70">
        <w:rPr>
          <w:rFonts w:ascii="Arial" w:hAnsi="Arial" w:cs="Arial"/>
        </w:rPr>
        <w:t>.</w:t>
      </w:r>
      <w:r w:rsidR="005146D1">
        <w:rPr>
          <w:rFonts w:ascii="Arial" w:hAnsi="Arial" w:cs="Arial"/>
          <w:lang w:val="en-US"/>
        </w:rPr>
        <w:t>03</w:t>
      </w:r>
      <w:r w:rsidR="00AC3B99">
        <w:rPr>
          <w:rFonts w:ascii="Arial" w:hAnsi="Arial" w:cs="Arial"/>
        </w:rPr>
        <w:t>.20</w:t>
      </w:r>
      <w:r w:rsidR="005E4A89">
        <w:rPr>
          <w:rFonts w:ascii="Arial" w:hAnsi="Arial" w:cs="Arial"/>
          <w:lang w:val="en-US"/>
        </w:rPr>
        <w:t>2</w:t>
      </w:r>
      <w:r w:rsidR="005146D1">
        <w:rPr>
          <w:rFonts w:ascii="Arial" w:hAnsi="Arial" w:cs="Arial"/>
          <w:lang w:val="en-US"/>
        </w:rPr>
        <w:t>3</w:t>
      </w:r>
      <w:r w:rsidR="001D760B">
        <w:rPr>
          <w:rFonts w:ascii="Arial" w:hAnsi="Arial" w:cs="Arial"/>
          <w:lang w:val="en-US"/>
        </w:rPr>
        <w:t xml:space="preserve"> </w:t>
      </w:r>
      <w:r w:rsidR="00BE1B7A" w:rsidRPr="00086D70">
        <w:rPr>
          <w:rFonts w:ascii="Arial" w:hAnsi="Arial" w:cs="Arial"/>
        </w:rPr>
        <w:t>г.</w:t>
      </w:r>
      <w:r w:rsidR="00A02EAA" w:rsidRPr="00086D70">
        <w:rPr>
          <w:rFonts w:ascii="Arial" w:hAnsi="Arial" w:cs="Arial"/>
        </w:rPr>
        <w:t xml:space="preserve"> стойността на показателя е </w:t>
      </w:r>
      <w:r w:rsidR="00717F56">
        <w:rPr>
          <w:rFonts w:ascii="Arial" w:hAnsi="Arial" w:cs="Arial"/>
        </w:rPr>
        <w:t>1</w:t>
      </w:r>
      <w:r w:rsidR="00B5408A">
        <w:rPr>
          <w:rFonts w:ascii="Arial" w:hAnsi="Arial" w:cs="Arial"/>
          <w:lang w:val="en-US"/>
        </w:rPr>
        <w:t>.</w:t>
      </w:r>
      <w:r w:rsidR="005146D1">
        <w:rPr>
          <w:rFonts w:ascii="Arial" w:hAnsi="Arial" w:cs="Arial"/>
          <w:lang w:val="en-US"/>
        </w:rPr>
        <w:t>2</w:t>
      </w:r>
      <w:r w:rsidR="002E0D49">
        <w:rPr>
          <w:rFonts w:ascii="Arial" w:hAnsi="Arial" w:cs="Arial"/>
          <w:lang w:val="en-US"/>
        </w:rPr>
        <w:t>7</w:t>
      </w:r>
      <w:r w:rsidRPr="00086D70">
        <w:rPr>
          <w:rFonts w:ascii="Arial" w:hAnsi="Arial" w:cs="Arial"/>
        </w:rPr>
        <w:t xml:space="preserve">. </w:t>
      </w:r>
    </w:p>
    <w:p w14:paraId="290C2828" w14:textId="77777777" w:rsidR="00870881" w:rsidRPr="00086D70" w:rsidRDefault="00870881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526D3FDA" w14:textId="77777777" w:rsidR="00803B4B" w:rsidRPr="00086D70" w:rsidRDefault="00803B4B" w:rsidP="00AA5FC0">
      <w:pPr>
        <w:contextualSpacing/>
        <w:jc w:val="both"/>
        <w:rPr>
          <w:rFonts w:ascii="Arial" w:hAnsi="Arial" w:cs="Arial"/>
          <w:sz w:val="22"/>
          <w:szCs w:val="22"/>
        </w:rPr>
      </w:pPr>
      <w:r w:rsidRPr="00086D70">
        <w:rPr>
          <w:rFonts w:ascii="Arial" w:hAnsi="Arial" w:cs="Arial"/>
          <w:sz w:val="22"/>
          <w:szCs w:val="22"/>
        </w:rPr>
        <w:t xml:space="preserve">Ако наруши </w:t>
      </w:r>
      <w:r w:rsidR="006728FB">
        <w:rPr>
          <w:rFonts w:ascii="Arial" w:hAnsi="Arial" w:cs="Arial"/>
          <w:sz w:val="22"/>
          <w:szCs w:val="22"/>
          <w:lang w:val="bg-BG"/>
        </w:rPr>
        <w:t>и двете</w:t>
      </w:r>
      <w:r w:rsidRPr="00086D70">
        <w:rPr>
          <w:rFonts w:ascii="Arial" w:hAnsi="Arial" w:cs="Arial"/>
          <w:sz w:val="22"/>
          <w:szCs w:val="22"/>
        </w:rPr>
        <w:t xml:space="preserve"> определени финансови съотношения, Емитентът се задължава да предприеме действия, които в срок до 6 месеца от настъпването на съответното обстоятелство да приведат показателите/съотношенията в съответствие с изискванията по-горе. Ако в този срок не се постигнат заложените параметри, Емитентът е длъжен да предложи на </w:t>
      </w:r>
      <w:r w:rsidR="002E17A0" w:rsidRPr="00086D70">
        <w:rPr>
          <w:rFonts w:ascii="Arial" w:hAnsi="Arial" w:cs="Arial"/>
          <w:sz w:val="22"/>
          <w:szCs w:val="22"/>
        </w:rPr>
        <w:t xml:space="preserve">Общото </w:t>
      </w:r>
      <w:r w:rsidRPr="00086D70">
        <w:rPr>
          <w:rFonts w:ascii="Arial" w:hAnsi="Arial" w:cs="Arial"/>
          <w:sz w:val="22"/>
          <w:szCs w:val="22"/>
        </w:rPr>
        <w:t xml:space="preserve">събрание на Облигационерите програма за привеждане в съответствие с изискванията. Програмата подлежи на одобрение от </w:t>
      </w:r>
      <w:r w:rsidR="002E17A0" w:rsidRPr="00086D70">
        <w:rPr>
          <w:rFonts w:ascii="Arial" w:hAnsi="Arial" w:cs="Arial"/>
          <w:sz w:val="22"/>
          <w:szCs w:val="22"/>
        </w:rPr>
        <w:t xml:space="preserve">Общото </w:t>
      </w:r>
      <w:r w:rsidRPr="00086D70">
        <w:rPr>
          <w:rFonts w:ascii="Arial" w:hAnsi="Arial" w:cs="Arial"/>
          <w:sz w:val="22"/>
          <w:szCs w:val="22"/>
        </w:rPr>
        <w:t>събрание на Облигационерите, като решението се взима с обикновено мнозинство от представените облигации, имащи право на глас.</w:t>
      </w:r>
    </w:p>
    <w:p w14:paraId="44376650" w14:textId="77777777" w:rsidR="00AA5FC0" w:rsidRPr="00086D70" w:rsidRDefault="00AA5FC0" w:rsidP="00AA5FC0">
      <w:pPr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14:paraId="1C5CD5EB" w14:textId="77777777" w:rsidR="00E3343C" w:rsidRDefault="00BC53BB" w:rsidP="00493222">
      <w:pPr>
        <w:pStyle w:val="a6"/>
        <w:spacing w:after="0" w:line="240" w:lineRule="auto"/>
        <w:ind w:left="0" w:hanging="11"/>
        <w:jc w:val="both"/>
        <w:rPr>
          <w:rFonts w:ascii="Arial" w:hAnsi="Arial" w:cs="Arial"/>
        </w:rPr>
      </w:pPr>
      <w:r w:rsidRPr="00BC53BB">
        <w:rPr>
          <w:rFonts w:ascii="Arial" w:eastAsia="Times New Roman" w:hAnsi="Arial" w:cs="Arial"/>
          <w:lang w:eastAsia="en-US"/>
        </w:rPr>
        <w:t>Към 3</w:t>
      </w:r>
      <w:r w:rsidR="00C41609">
        <w:rPr>
          <w:rFonts w:ascii="Arial" w:eastAsia="Times New Roman" w:hAnsi="Arial" w:cs="Arial"/>
          <w:lang w:val="en-US" w:eastAsia="en-US"/>
        </w:rPr>
        <w:t>1</w:t>
      </w:r>
      <w:r w:rsidRPr="00BC53BB">
        <w:rPr>
          <w:rFonts w:ascii="Arial" w:eastAsia="Times New Roman" w:hAnsi="Arial" w:cs="Arial"/>
          <w:lang w:eastAsia="en-US"/>
        </w:rPr>
        <w:t>.</w:t>
      </w:r>
      <w:r w:rsidR="00CA1353">
        <w:rPr>
          <w:rFonts w:ascii="Arial" w:eastAsia="Times New Roman" w:hAnsi="Arial" w:cs="Arial"/>
          <w:lang w:val="en-US" w:eastAsia="en-US"/>
        </w:rPr>
        <w:t>03</w:t>
      </w:r>
      <w:r w:rsidRPr="00BC53BB">
        <w:rPr>
          <w:rFonts w:ascii="Arial" w:eastAsia="Times New Roman" w:hAnsi="Arial" w:cs="Arial"/>
          <w:lang w:eastAsia="en-US"/>
        </w:rPr>
        <w:t>.20</w:t>
      </w:r>
      <w:r>
        <w:rPr>
          <w:rFonts w:ascii="Arial" w:eastAsia="Times New Roman" w:hAnsi="Arial" w:cs="Arial"/>
          <w:lang w:val="en-US" w:eastAsia="en-US"/>
        </w:rPr>
        <w:t>2</w:t>
      </w:r>
      <w:r w:rsidR="00CA1353">
        <w:rPr>
          <w:rFonts w:ascii="Arial" w:eastAsia="Times New Roman" w:hAnsi="Arial" w:cs="Arial"/>
          <w:lang w:val="en-US" w:eastAsia="en-US"/>
        </w:rPr>
        <w:t>3</w:t>
      </w:r>
      <w:r w:rsidR="00BB772F">
        <w:rPr>
          <w:rFonts w:ascii="Arial" w:eastAsia="Times New Roman" w:hAnsi="Arial" w:cs="Arial"/>
          <w:lang w:val="en-US" w:eastAsia="en-US"/>
        </w:rPr>
        <w:t xml:space="preserve"> </w:t>
      </w:r>
      <w:r w:rsidRPr="00BC53BB">
        <w:rPr>
          <w:rFonts w:ascii="Arial" w:eastAsia="Times New Roman" w:hAnsi="Arial" w:cs="Arial"/>
          <w:lang w:eastAsia="en-US"/>
        </w:rPr>
        <w:t>г., стойностите и на двата показателя са по-добри от съответната минимална/максимална стойност, която Емитентът се е задължил да поддържа в рамките на срока на облигационния заем.</w:t>
      </w:r>
    </w:p>
    <w:p w14:paraId="30875D75" w14:textId="77777777" w:rsidR="002E17A0" w:rsidRDefault="002E17A0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5419171D" w14:textId="77777777" w:rsidR="00493222" w:rsidRPr="00493222" w:rsidRDefault="00493222" w:rsidP="00803B4B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6198838F" w14:textId="77777777" w:rsidR="00803B4B" w:rsidRPr="00086D70" w:rsidRDefault="00803B4B" w:rsidP="007B0D32">
      <w:pPr>
        <w:pStyle w:val="1"/>
        <w:numPr>
          <w:ilvl w:val="0"/>
          <w:numId w:val="9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86D70">
        <w:rPr>
          <w:rFonts w:ascii="Arial" w:hAnsi="Arial" w:cs="Arial"/>
          <w:color w:val="auto"/>
          <w:sz w:val="22"/>
          <w:szCs w:val="22"/>
        </w:rPr>
        <w:t>Обстоятелства по чл. 100г, ал. 3 от ЗППЦК.</w:t>
      </w:r>
    </w:p>
    <w:p w14:paraId="32FBDE7D" w14:textId="77777777" w:rsidR="00AA5FC0" w:rsidRPr="00086D70" w:rsidRDefault="00AA5FC0" w:rsidP="00AA5FC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3933D93" w14:textId="77777777" w:rsidR="00BE5E73" w:rsidRDefault="00AA5FC0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>По отно</w:t>
      </w:r>
      <w:r w:rsidR="00085819" w:rsidRPr="00086D70">
        <w:rPr>
          <w:rFonts w:ascii="Arial" w:hAnsi="Arial" w:cs="Arial"/>
        </w:rPr>
        <w:t>ш</w:t>
      </w:r>
      <w:r w:rsidRPr="00086D70">
        <w:rPr>
          <w:rFonts w:ascii="Arial" w:hAnsi="Arial" w:cs="Arial"/>
        </w:rPr>
        <w:t>ение на Де Ново ЕАД не са налице обстоятелства по чл.100г, ал.3 от ЗППЦК.</w:t>
      </w:r>
    </w:p>
    <w:p w14:paraId="42ADF3EA" w14:textId="77777777" w:rsidR="00F22C40" w:rsidRDefault="00F22C40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67324BC" w14:textId="77777777" w:rsidR="00BE5E73" w:rsidRDefault="00BE5E73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A551A23" w14:textId="77777777" w:rsidR="009278C8" w:rsidRPr="00AA24AD" w:rsidRDefault="00AA24AD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u w:val="single"/>
          <w:lang w:val="en-US"/>
        </w:rPr>
      </w:pPr>
      <w:r w:rsidRPr="00AA24AD">
        <w:rPr>
          <w:rFonts w:ascii="Arial" w:hAnsi="Arial" w:cs="Arial"/>
          <w:b/>
          <w:i/>
          <w:u w:val="single"/>
          <w:lang w:val="en-US"/>
        </w:rPr>
        <w:t>Обстоятелства, настъпили след крайната дата на разглеждания в доклада период</w:t>
      </w:r>
    </w:p>
    <w:p w14:paraId="1DD88264" w14:textId="77777777" w:rsidR="009278C8" w:rsidRDefault="009278C8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60EE95B" w14:textId="77777777" w:rsidR="00CF722F" w:rsidRPr="00CF722F" w:rsidRDefault="00CF722F" w:rsidP="00CF722F">
      <w:pPr>
        <w:pStyle w:val="a6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1.</w:t>
      </w:r>
      <w:r>
        <w:rPr>
          <w:rFonts w:ascii="Arial" w:hAnsi="Arial" w:cs="Arial"/>
          <w:lang w:val="en-US"/>
        </w:rPr>
        <w:tab/>
      </w:r>
      <w:r w:rsidRPr="00CF722F">
        <w:rPr>
          <w:rFonts w:ascii="Arial" w:hAnsi="Arial" w:cs="Arial"/>
          <w:lang w:val="en-US"/>
        </w:rPr>
        <w:t xml:space="preserve">Съгласно </w:t>
      </w:r>
      <w:r>
        <w:rPr>
          <w:rFonts w:ascii="Arial" w:hAnsi="Arial" w:cs="Arial"/>
          <w:lang w:val="en-US"/>
        </w:rPr>
        <w:t>уведомление от емитента</w:t>
      </w:r>
      <w:r w:rsidRPr="00CF722F">
        <w:rPr>
          <w:rFonts w:ascii="Arial" w:hAnsi="Arial" w:cs="Arial"/>
          <w:lang w:val="en-US"/>
        </w:rPr>
        <w:t>, дължими</w:t>
      </w:r>
      <w:r>
        <w:rPr>
          <w:rFonts w:ascii="Arial" w:hAnsi="Arial" w:cs="Arial"/>
          <w:lang w:val="en-US"/>
        </w:rPr>
        <w:t>те</w:t>
      </w:r>
      <w:r w:rsidRPr="00CF722F">
        <w:rPr>
          <w:rFonts w:ascii="Arial" w:hAnsi="Arial" w:cs="Arial"/>
          <w:lang w:val="en-US"/>
        </w:rPr>
        <w:t xml:space="preserve"> на 16.01.2023 г</w:t>
      </w:r>
      <w:r>
        <w:rPr>
          <w:rFonts w:ascii="Arial" w:hAnsi="Arial" w:cs="Arial"/>
          <w:lang w:val="en-US"/>
        </w:rPr>
        <w:t>.</w:t>
      </w:r>
      <w:r w:rsidRPr="00CF722F">
        <w:rPr>
          <w:rFonts w:ascii="Arial" w:hAnsi="Arial" w:cs="Arial"/>
          <w:lang w:val="en-US"/>
        </w:rPr>
        <w:t xml:space="preserve"> лихвено плащане и частично плащане на главница, както следва: </w:t>
      </w:r>
    </w:p>
    <w:p w14:paraId="551B1648" w14:textId="77777777" w:rsidR="00CF722F" w:rsidRPr="00CF722F" w:rsidRDefault="00CF722F" w:rsidP="00CF722F">
      <w:pPr>
        <w:pStyle w:val="a6"/>
        <w:jc w:val="both"/>
        <w:rPr>
          <w:rFonts w:ascii="Arial" w:hAnsi="Arial" w:cs="Arial"/>
          <w:lang w:val="en-US"/>
        </w:rPr>
      </w:pPr>
      <w:r w:rsidRPr="00CF722F">
        <w:rPr>
          <w:rFonts w:ascii="Arial" w:hAnsi="Arial" w:cs="Arial"/>
          <w:lang w:val="en-US"/>
        </w:rPr>
        <w:t>- лихвено плащане - BGN 403 287.67;</w:t>
      </w:r>
    </w:p>
    <w:p w14:paraId="0B32BA47" w14:textId="77777777" w:rsidR="00CF722F" w:rsidRPr="00CF722F" w:rsidRDefault="00CF722F" w:rsidP="00CF722F">
      <w:pPr>
        <w:pStyle w:val="a6"/>
        <w:jc w:val="both"/>
        <w:rPr>
          <w:rFonts w:ascii="Arial" w:hAnsi="Arial" w:cs="Arial"/>
          <w:lang w:val="en-US"/>
        </w:rPr>
      </w:pPr>
      <w:r w:rsidRPr="00CF722F">
        <w:rPr>
          <w:rFonts w:ascii="Arial" w:hAnsi="Arial" w:cs="Arial"/>
          <w:lang w:val="en-US"/>
        </w:rPr>
        <w:t>- частично плащане на главница – BGN 2 000 000.00,</w:t>
      </w:r>
    </w:p>
    <w:p w14:paraId="3420DB68" w14:textId="77777777" w:rsidR="009278C8" w:rsidRPr="00CF722F" w:rsidRDefault="00CF722F" w:rsidP="00CF722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CF722F">
        <w:rPr>
          <w:rFonts w:ascii="Arial" w:hAnsi="Arial" w:cs="Arial"/>
          <w:lang w:val="en-US"/>
        </w:rPr>
        <w:t xml:space="preserve">са извършени на </w:t>
      </w:r>
      <w:r>
        <w:rPr>
          <w:rFonts w:ascii="Arial" w:hAnsi="Arial" w:cs="Arial"/>
          <w:lang w:val="en-US"/>
        </w:rPr>
        <w:t>19.05.2023</w:t>
      </w:r>
      <w:r w:rsidR="00DC61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</w:t>
      </w:r>
      <w:r w:rsidRPr="00CF722F">
        <w:rPr>
          <w:rFonts w:ascii="Arial" w:hAnsi="Arial" w:cs="Arial"/>
          <w:lang w:val="en-US"/>
        </w:rPr>
        <w:t>.</w:t>
      </w:r>
    </w:p>
    <w:p w14:paraId="6B8E05A9" w14:textId="77777777" w:rsidR="00145289" w:rsidRDefault="00145289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</w:p>
    <w:p w14:paraId="427C1F47" w14:textId="77777777" w:rsidR="0097560D" w:rsidRDefault="0097560D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</w:p>
    <w:p w14:paraId="2EC8BC70" w14:textId="77777777" w:rsidR="0097560D" w:rsidRDefault="0097560D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</w:p>
    <w:p w14:paraId="65F1DFC3" w14:textId="77777777" w:rsidR="00CF722F" w:rsidRDefault="00CF722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</w:p>
    <w:p w14:paraId="0B223C32" w14:textId="77777777" w:rsidR="000B61AB" w:rsidRPr="00C200EA" w:rsidRDefault="002E3DD3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i/>
          <w:lang w:val="en-US"/>
        </w:rPr>
      </w:pPr>
      <w:r w:rsidRPr="002E3DD3">
        <w:rPr>
          <w:rFonts w:ascii="Arial" w:hAnsi="Arial" w:cs="Arial"/>
          <w:b/>
          <w:i/>
        </w:rPr>
        <w:t xml:space="preserve">Предвид фактите и обстоятелствата, изложени в доклада, </w:t>
      </w:r>
      <w:r w:rsidR="00CF722F">
        <w:rPr>
          <w:rFonts w:ascii="Arial" w:hAnsi="Arial" w:cs="Arial"/>
          <w:b/>
          <w:i/>
          <w:lang w:val="en-US"/>
        </w:rPr>
        <w:t>включително о</w:t>
      </w:r>
      <w:r w:rsidR="00CF722F" w:rsidRPr="00CF722F">
        <w:rPr>
          <w:rFonts w:ascii="Arial" w:hAnsi="Arial" w:cs="Arial"/>
          <w:b/>
          <w:i/>
        </w:rPr>
        <w:t>бстоятелства</w:t>
      </w:r>
      <w:r w:rsidR="00CF722F">
        <w:rPr>
          <w:rFonts w:ascii="Arial" w:hAnsi="Arial" w:cs="Arial"/>
          <w:b/>
          <w:i/>
          <w:lang w:val="en-US"/>
        </w:rPr>
        <w:t>та</w:t>
      </w:r>
      <w:r w:rsidR="00CF722F" w:rsidRPr="00CF722F">
        <w:rPr>
          <w:rFonts w:ascii="Arial" w:hAnsi="Arial" w:cs="Arial"/>
          <w:b/>
          <w:i/>
        </w:rPr>
        <w:t>, настъпили след крайната дата на разглеждания в доклада период</w:t>
      </w:r>
      <w:r w:rsidR="00CF722F">
        <w:rPr>
          <w:rFonts w:ascii="Arial" w:hAnsi="Arial" w:cs="Arial"/>
          <w:b/>
          <w:i/>
          <w:lang w:val="en-US"/>
        </w:rPr>
        <w:t>,</w:t>
      </w:r>
      <w:r w:rsidR="00CF722F" w:rsidRPr="00CF722F">
        <w:rPr>
          <w:rFonts w:ascii="Arial" w:hAnsi="Arial" w:cs="Arial"/>
          <w:b/>
          <w:i/>
        </w:rPr>
        <w:t xml:space="preserve"> </w:t>
      </w:r>
      <w:r w:rsidRPr="002E3DD3">
        <w:rPr>
          <w:rFonts w:ascii="Arial" w:hAnsi="Arial" w:cs="Arial"/>
          <w:b/>
          <w:i/>
        </w:rPr>
        <w:t>може да бъде направен обоснован извод, че Емитентът изпълн</w:t>
      </w:r>
      <w:r w:rsidR="009278C8">
        <w:rPr>
          <w:rFonts w:ascii="Arial" w:hAnsi="Arial" w:cs="Arial"/>
          <w:b/>
          <w:i/>
          <w:lang w:val="en-US"/>
        </w:rPr>
        <w:t>ява добросъвестно</w:t>
      </w:r>
      <w:r w:rsidRPr="002E3DD3">
        <w:rPr>
          <w:rFonts w:ascii="Arial" w:hAnsi="Arial" w:cs="Arial"/>
          <w:b/>
          <w:i/>
        </w:rPr>
        <w:t xml:space="preserve"> задълженията си към облигационерите, съгласно условията на сключения облигационен заем.</w:t>
      </w:r>
      <w:r w:rsidR="00C200EA">
        <w:rPr>
          <w:rFonts w:ascii="Arial" w:hAnsi="Arial" w:cs="Arial"/>
          <w:b/>
          <w:i/>
          <w:lang w:val="en-US"/>
        </w:rPr>
        <w:t xml:space="preserve"> </w:t>
      </w:r>
    </w:p>
    <w:p w14:paraId="3B6C0369" w14:textId="77777777" w:rsidR="00DD7201" w:rsidRDefault="00DD7201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9CBA44B" w14:textId="77777777" w:rsidR="009D4A09" w:rsidRDefault="009D4A09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46AA038" w14:textId="77777777" w:rsidR="00566947" w:rsidRPr="00086D70" w:rsidRDefault="00022765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253AD3">
        <w:rPr>
          <w:rFonts w:ascii="Arial" w:hAnsi="Arial" w:cs="Arial"/>
          <w:lang w:val="en-US"/>
        </w:rPr>
        <w:t>8</w:t>
      </w:r>
      <w:r w:rsidR="00566947" w:rsidRPr="00086D70">
        <w:rPr>
          <w:rFonts w:ascii="Arial" w:hAnsi="Arial" w:cs="Arial"/>
        </w:rPr>
        <w:t>.</w:t>
      </w:r>
      <w:r w:rsidR="00B40DD3">
        <w:rPr>
          <w:rFonts w:ascii="Arial" w:hAnsi="Arial" w:cs="Arial"/>
          <w:lang w:val="en-US"/>
        </w:rPr>
        <w:t>0</w:t>
      </w:r>
      <w:r w:rsidR="00D94146">
        <w:rPr>
          <w:rFonts w:ascii="Arial" w:hAnsi="Arial" w:cs="Arial"/>
          <w:lang w:val="en-US"/>
        </w:rPr>
        <w:t>6</w:t>
      </w:r>
      <w:r w:rsidR="00566947" w:rsidRPr="00086D70">
        <w:rPr>
          <w:rFonts w:ascii="Arial" w:hAnsi="Arial" w:cs="Arial"/>
        </w:rPr>
        <w:t>.20</w:t>
      </w:r>
      <w:r w:rsidR="000B61AB">
        <w:rPr>
          <w:rFonts w:ascii="Arial" w:hAnsi="Arial" w:cs="Arial"/>
        </w:rPr>
        <w:t>2</w:t>
      </w:r>
      <w:r w:rsidR="00B40DD3">
        <w:rPr>
          <w:rFonts w:ascii="Arial" w:hAnsi="Arial" w:cs="Arial"/>
          <w:lang w:val="en-US"/>
        </w:rPr>
        <w:t>3</w:t>
      </w:r>
      <w:r w:rsidR="000F31DC">
        <w:rPr>
          <w:rFonts w:ascii="Arial" w:hAnsi="Arial" w:cs="Arial"/>
          <w:lang w:val="en-US"/>
        </w:rPr>
        <w:t xml:space="preserve"> </w:t>
      </w:r>
      <w:r w:rsidR="00566947" w:rsidRPr="00086D70">
        <w:rPr>
          <w:rFonts w:ascii="Arial" w:hAnsi="Arial" w:cs="Arial"/>
        </w:rPr>
        <w:t>г</w:t>
      </w:r>
      <w:r w:rsidR="00B21587">
        <w:rPr>
          <w:rFonts w:ascii="Arial" w:hAnsi="Arial" w:cs="Arial"/>
          <w:lang w:val="en-US"/>
        </w:rPr>
        <w:t>.</w:t>
      </w:r>
      <w:r w:rsidR="00064D3B">
        <w:rPr>
          <w:rFonts w:ascii="Arial" w:hAnsi="Arial" w:cs="Arial"/>
          <w:lang w:val="en-US"/>
        </w:rPr>
        <w:t>,</w:t>
      </w:r>
      <w:r w:rsidR="00566947" w:rsidRPr="00086D70">
        <w:rPr>
          <w:rFonts w:ascii="Arial" w:hAnsi="Arial" w:cs="Arial"/>
        </w:rPr>
        <w:t xml:space="preserve"> София</w:t>
      </w:r>
    </w:p>
    <w:p w14:paraId="19916F6B" w14:textId="77777777" w:rsidR="00114377" w:rsidRPr="00265B28" w:rsidRDefault="00114377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B6C24FF" w14:textId="77777777" w:rsidR="006C5330" w:rsidRPr="00FF457A" w:rsidRDefault="005B21C5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 w:rsidR="00A36C47">
        <w:rPr>
          <w:rFonts w:ascii="Arial" w:hAnsi="Arial" w:cs="Arial"/>
          <w:lang w:val="en-US"/>
        </w:rPr>
        <w:t>:</w:t>
      </w:r>
    </w:p>
    <w:p w14:paraId="7ED455A0" w14:textId="77777777" w:rsidR="00C24722" w:rsidRDefault="00C2472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2E5D93B" w14:textId="77777777" w:rsidR="00CF722F" w:rsidRDefault="00CF722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6CB7AE2" w14:textId="77777777" w:rsidR="00A81754" w:rsidRDefault="00A8175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73610C3" w14:textId="77777777" w:rsidR="006C5330" w:rsidRPr="00086D70" w:rsidRDefault="00E53202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086D70">
        <w:rPr>
          <w:rFonts w:ascii="Arial" w:hAnsi="Arial" w:cs="Arial"/>
        </w:rPr>
        <w:t>:...............................</w:t>
      </w:r>
      <w:r w:rsidR="006C5330" w:rsidRPr="00086D70">
        <w:rPr>
          <w:rFonts w:ascii="Arial" w:hAnsi="Arial" w:cs="Arial"/>
        </w:rPr>
        <w:tab/>
      </w:r>
      <w:r w:rsidR="006C5330" w:rsidRPr="00086D70">
        <w:rPr>
          <w:rFonts w:ascii="Arial" w:hAnsi="Arial" w:cs="Arial"/>
        </w:rPr>
        <w:tab/>
      </w:r>
      <w:r w:rsidR="00E95AA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Йордан Попов</w:t>
      </w:r>
      <w:r w:rsidR="00566947" w:rsidRPr="00086D70">
        <w:rPr>
          <w:rFonts w:ascii="Arial" w:hAnsi="Arial" w:cs="Arial"/>
        </w:rPr>
        <w:t>:...............................</w:t>
      </w:r>
    </w:p>
    <w:p w14:paraId="302DC875" w14:textId="77777777" w:rsidR="002E17A0" w:rsidRPr="00986CFB" w:rsidRDefault="00566947" w:rsidP="00336745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086D70">
        <w:rPr>
          <w:rFonts w:ascii="Arial" w:hAnsi="Arial" w:cs="Arial"/>
        </w:rPr>
        <w:tab/>
      </w:r>
      <w:r w:rsidRPr="00086D70">
        <w:rPr>
          <w:rFonts w:ascii="Arial" w:hAnsi="Arial" w:cs="Arial"/>
        </w:rPr>
        <w:tab/>
      </w:r>
      <w:r w:rsidR="00CD3B0C">
        <w:rPr>
          <w:rFonts w:ascii="Arial" w:hAnsi="Arial" w:cs="Arial"/>
          <w:lang w:val="en-US"/>
        </w:rPr>
        <w:t xml:space="preserve">  </w:t>
      </w:r>
      <w:r w:rsidR="002D6AE0">
        <w:rPr>
          <w:rFonts w:ascii="Arial" w:hAnsi="Arial" w:cs="Arial"/>
          <w:lang w:val="en-US"/>
        </w:rPr>
        <w:t xml:space="preserve"> </w:t>
      </w:r>
      <w:r w:rsidRPr="00086D70">
        <w:rPr>
          <w:rFonts w:ascii="Arial" w:hAnsi="Arial" w:cs="Arial"/>
        </w:rPr>
        <w:t>/</w:t>
      </w:r>
      <w:r w:rsidR="00E53202">
        <w:rPr>
          <w:rFonts w:ascii="Arial" w:hAnsi="Arial" w:cs="Arial"/>
        </w:rPr>
        <w:t>Председател на СД</w:t>
      </w:r>
      <w:r w:rsidRPr="00086D70">
        <w:rPr>
          <w:rFonts w:ascii="Arial" w:hAnsi="Arial" w:cs="Arial"/>
        </w:rPr>
        <w:t>/</w:t>
      </w:r>
      <w:r w:rsidRPr="00086D70">
        <w:rPr>
          <w:rFonts w:ascii="Arial" w:hAnsi="Arial" w:cs="Arial"/>
        </w:rPr>
        <w:tab/>
      </w:r>
      <w:r w:rsidRPr="00086D70">
        <w:rPr>
          <w:rFonts w:ascii="Arial" w:hAnsi="Arial" w:cs="Arial"/>
        </w:rPr>
        <w:tab/>
      </w:r>
      <w:r w:rsidRPr="00086D70">
        <w:rPr>
          <w:rFonts w:ascii="Arial" w:hAnsi="Arial" w:cs="Arial"/>
        </w:rPr>
        <w:tab/>
      </w:r>
      <w:r w:rsidR="00CD3B0C">
        <w:rPr>
          <w:rFonts w:ascii="Arial" w:hAnsi="Arial" w:cs="Arial"/>
          <w:lang w:val="en-US"/>
        </w:rPr>
        <w:t xml:space="preserve">         </w:t>
      </w:r>
      <w:r w:rsidRPr="00086D70">
        <w:rPr>
          <w:rFonts w:ascii="Arial" w:hAnsi="Arial" w:cs="Arial"/>
        </w:rPr>
        <w:t>/</w:t>
      </w:r>
      <w:r w:rsidR="00E53202" w:rsidRPr="00086D70">
        <w:rPr>
          <w:rFonts w:ascii="Arial" w:hAnsi="Arial" w:cs="Arial"/>
        </w:rPr>
        <w:t>Изп. Директор</w:t>
      </w:r>
      <w:r w:rsidRPr="00086D70">
        <w:rPr>
          <w:rFonts w:ascii="Arial" w:hAnsi="Arial" w:cs="Arial"/>
        </w:rPr>
        <w:t>/</w:t>
      </w:r>
    </w:p>
    <w:sectPr w:rsidR="002E17A0" w:rsidRPr="00986CFB" w:rsidSect="00A138C6">
      <w:headerReference w:type="default" r:id="rId8"/>
      <w:footerReference w:type="default" r:id="rId9"/>
      <w:pgSz w:w="11909" w:h="16834" w:code="9"/>
      <w:pgMar w:top="1152" w:right="1419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1ED5" w14:textId="77777777" w:rsidR="00C40BA1" w:rsidRDefault="00C40BA1">
      <w:r>
        <w:separator/>
      </w:r>
    </w:p>
  </w:endnote>
  <w:endnote w:type="continuationSeparator" w:id="0">
    <w:p w14:paraId="0C390CAC" w14:textId="77777777" w:rsidR="00C40BA1" w:rsidRDefault="00C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AD4" w14:textId="77777777" w:rsidR="004E145C" w:rsidRDefault="004E145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587">
      <w:rPr>
        <w:noProof/>
      </w:rPr>
      <w:t>7</w:t>
    </w:r>
    <w:r>
      <w:rPr>
        <w:noProof/>
      </w:rPr>
      <w:fldChar w:fldCharType="end"/>
    </w:r>
  </w:p>
  <w:p w14:paraId="1B95DA1F" w14:textId="77777777" w:rsidR="004E145C" w:rsidRDefault="004E145C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EC25" w14:textId="77777777" w:rsidR="00C40BA1" w:rsidRDefault="00C40BA1">
      <w:r>
        <w:separator/>
      </w:r>
    </w:p>
  </w:footnote>
  <w:footnote w:type="continuationSeparator" w:id="0">
    <w:p w14:paraId="1B3EF208" w14:textId="77777777" w:rsidR="00C40BA1" w:rsidRDefault="00C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2F22" w14:textId="65A73E2D" w:rsidR="004E145C" w:rsidRDefault="00555DEC">
    <w:pPr>
      <w:pStyle w:val="a3"/>
    </w:pPr>
    <w:r>
      <w:rPr>
        <w:noProof/>
      </w:rPr>
      <w:drawing>
        <wp:inline distT="0" distB="0" distL="0" distR="0" wp14:anchorId="55C812C8" wp14:editId="5A5ABA3B">
          <wp:extent cx="1447800" cy="5810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5C0"/>
    <w:multiLevelType w:val="hybridMultilevel"/>
    <w:tmpl w:val="A8F0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0EA5"/>
    <w:multiLevelType w:val="hybridMultilevel"/>
    <w:tmpl w:val="DDD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0998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6A6"/>
    <w:multiLevelType w:val="hybridMultilevel"/>
    <w:tmpl w:val="0532B478"/>
    <w:lvl w:ilvl="0" w:tplc="3E521D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5ED"/>
    <w:multiLevelType w:val="multilevel"/>
    <w:tmpl w:val="4186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D9075A"/>
    <w:multiLevelType w:val="hybridMultilevel"/>
    <w:tmpl w:val="28EA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2D87"/>
    <w:multiLevelType w:val="hybridMultilevel"/>
    <w:tmpl w:val="62908946"/>
    <w:lvl w:ilvl="0" w:tplc="F5A44E2C">
      <w:start w:val="2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09C"/>
    <w:multiLevelType w:val="hybridMultilevel"/>
    <w:tmpl w:val="0E0E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614"/>
    <w:multiLevelType w:val="hybridMultilevel"/>
    <w:tmpl w:val="10E6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35C"/>
    <w:multiLevelType w:val="hybridMultilevel"/>
    <w:tmpl w:val="F348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0A69"/>
    <w:multiLevelType w:val="hybridMultilevel"/>
    <w:tmpl w:val="74F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A1199"/>
    <w:multiLevelType w:val="multilevel"/>
    <w:tmpl w:val="4A74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2570DD"/>
    <w:multiLevelType w:val="hybridMultilevel"/>
    <w:tmpl w:val="12A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078D"/>
    <w:multiLevelType w:val="hybridMultilevel"/>
    <w:tmpl w:val="C73A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93A4D"/>
    <w:multiLevelType w:val="hybridMultilevel"/>
    <w:tmpl w:val="9574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5118F"/>
    <w:multiLevelType w:val="multilevel"/>
    <w:tmpl w:val="4A74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7D5CC3"/>
    <w:multiLevelType w:val="hybridMultilevel"/>
    <w:tmpl w:val="E76E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86F"/>
    <w:multiLevelType w:val="hybridMultilevel"/>
    <w:tmpl w:val="8D0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4EF"/>
    <w:multiLevelType w:val="hybridMultilevel"/>
    <w:tmpl w:val="6EB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2D5E"/>
    <w:multiLevelType w:val="hybridMultilevel"/>
    <w:tmpl w:val="1732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6BED1F03"/>
    <w:multiLevelType w:val="hybridMultilevel"/>
    <w:tmpl w:val="28C8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330D0"/>
    <w:multiLevelType w:val="hybridMultilevel"/>
    <w:tmpl w:val="4784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A74C3"/>
    <w:multiLevelType w:val="hybridMultilevel"/>
    <w:tmpl w:val="7EE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C1F79"/>
    <w:multiLevelType w:val="hybridMultilevel"/>
    <w:tmpl w:val="FC22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5238">
    <w:abstractNumId w:val="21"/>
  </w:num>
  <w:num w:numId="2" w16cid:durableId="2010717945">
    <w:abstractNumId w:val="11"/>
  </w:num>
  <w:num w:numId="3" w16cid:durableId="1669400490">
    <w:abstractNumId w:val="2"/>
  </w:num>
  <w:num w:numId="4" w16cid:durableId="841892692">
    <w:abstractNumId w:val="10"/>
  </w:num>
  <w:num w:numId="5" w16cid:durableId="694964394">
    <w:abstractNumId w:val="4"/>
  </w:num>
  <w:num w:numId="6" w16cid:durableId="1431270978">
    <w:abstractNumId w:val="15"/>
  </w:num>
  <w:num w:numId="7" w16cid:durableId="254636090">
    <w:abstractNumId w:val="22"/>
  </w:num>
  <w:num w:numId="8" w16cid:durableId="1011689108">
    <w:abstractNumId w:val="20"/>
  </w:num>
  <w:num w:numId="9" w16cid:durableId="1171679243">
    <w:abstractNumId w:val="16"/>
  </w:num>
  <w:num w:numId="10" w16cid:durableId="1137188526">
    <w:abstractNumId w:val="13"/>
  </w:num>
  <w:num w:numId="11" w16cid:durableId="715738299">
    <w:abstractNumId w:val="0"/>
  </w:num>
  <w:num w:numId="12" w16cid:durableId="1414469518">
    <w:abstractNumId w:val="19"/>
  </w:num>
  <w:num w:numId="13" w16cid:durableId="1709062288">
    <w:abstractNumId w:val="23"/>
  </w:num>
  <w:num w:numId="14" w16cid:durableId="1036393325">
    <w:abstractNumId w:val="5"/>
  </w:num>
  <w:num w:numId="15" w16cid:durableId="1482505124">
    <w:abstractNumId w:val="12"/>
  </w:num>
  <w:num w:numId="16" w16cid:durableId="1018195696">
    <w:abstractNumId w:val="24"/>
  </w:num>
  <w:num w:numId="17" w16cid:durableId="975910441">
    <w:abstractNumId w:val="14"/>
  </w:num>
  <w:num w:numId="18" w16cid:durableId="1903952655">
    <w:abstractNumId w:val="1"/>
  </w:num>
  <w:num w:numId="19" w16cid:durableId="2008240062">
    <w:abstractNumId w:val="3"/>
  </w:num>
  <w:num w:numId="20" w16cid:durableId="2137526992">
    <w:abstractNumId w:val="17"/>
  </w:num>
  <w:num w:numId="21" w16cid:durableId="1481658406">
    <w:abstractNumId w:val="25"/>
  </w:num>
  <w:num w:numId="22" w16cid:durableId="243801214">
    <w:abstractNumId w:val="6"/>
  </w:num>
  <w:num w:numId="23" w16cid:durableId="1282684924">
    <w:abstractNumId w:val="18"/>
  </w:num>
  <w:num w:numId="24" w16cid:durableId="272175840">
    <w:abstractNumId w:val="8"/>
  </w:num>
  <w:num w:numId="25" w16cid:durableId="1385640468">
    <w:abstractNumId w:val="7"/>
  </w:num>
  <w:num w:numId="26" w16cid:durableId="1596129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438"/>
    <w:rsid w:val="000025B8"/>
    <w:rsid w:val="00002A94"/>
    <w:rsid w:val="00002AE8"/>
    <w:rsid w:val="0000534D"/>
    <w:rsid w:val="00005439"/>
    <w:rsid w:val="000063D0"/>
    <w:rsid w:val="00006974"/>
    <w:rsid w:val="00007174"/>
    <w:rsid w:val="0000727F"/>
    <w:rsid w:val="00007DED"/>
    <w:rsid w:val="000100F1"/>
    <w:rsid w:val="000102CA"/>
    <w:rsid w:val="00010395"/>
    <w:rsid w:val="000103E8"/>
    <w:rsid w:val="00010DB1"/>
    <w:rsid w:val="00011FFC"/>
    <w:rsid w:val="0001378C"/>
    <w:rsid w:val="000140EC"/>
    <w:rsid w:val="00015F55"/>
    <w:rsid w:val="00017861"/>
    <w:rsid w:val="000179E8"/>
    <w:rsid w:val="000200FE"/>
    <w:rsid w:val="00020416"/>
    <w:rsid w:val="0002095C"/>
    <w:rsid w:val="00021FCA"/>
    <w:rsid w:val="00022002"/>
    <w:rsid w:val="00022765"/>
    <w:rsid w:val="0002294E"/>
    <w:rsid w:val="00025A26"/>
    <w:rsid w:val="00026899"/>
    <w:rsid w:val="0002726F"/>
    <w:rsid w:val="00031566"/>
    <w:rsid w:val="00032257"/>
    <w:rsid w:val="00032520"/>
    <w:rsid w:val="0003356F"/>
    <w:rsid w:val="000336AA"/>
    <w:rsid w:val="000338E2"/>
    <w:rsid w:val="00034A00"/>
    <w:rsid w:val="00035173"/>
    <w:rsid w:val="00035554"/>
    <w:rsid w:val="00036F6D"/>
    <w:rsid w:val="000374D6"/>
    <w:rsid w:val="00037DFD"/>
    <w:rsid w:val="00041AA1"/>
    <w:rsid w:val="0004227B"/>
    <w:rsid w:val="00043115"/>
    <w:rsid w:val="00043EE6"/>
    <w:rsid w:val="00045161"/>
    <w:rsid w:val="00045904"/>
    <w:rsid w:val="000466A4"/>
    <w:rsid w:val="00047C46"/>
    <w:rsid w:val="00047D7B"/>
    <w:rsid w:val="000502D6"/>
    <w:rsid w:val="00050854"/>
    <w:rsid w:val="000509CC"/>
    <w:rsid w:val="00051095"/>
    <w:rsid w:val="00051472"/>
    <w:rsid w:val="00051524"/>
    <w:rsid w:val="00052044"/>
    <w:rsid w:val="00052BB8"/>
    <w:rsid w:val="00053678"/>
    <w:rsid w:val="000564C7"/>
    <w:rsid w:val="0005661C"/>
    <w:rsid w:val="00057F71"/>
    <w:rsid w:val="0006051F"/>
    <w:rsid w:val="0006344D"/>
    <w:rsid w:val="00063648"/>
    <w:rsid w:val="000640B9"/>
    <w:rsid w:val="00064D3B"/>
    <w:rsid w:val="0006713D"/>
    <w:rsid w:val="00067B29"/>
    <w:rsid w:val="00070506"/>
    <w:rsid w:val="000711A1"/>
    <w:rsid w:val="00071542"/>
    <w:rsid w:val="00071A5D"/>
    <w:rsid w:val="00073CBE"/>
    <w:rsid w:val="000750E9"/>
    <w:rsid w:val="00075347"/>
    <w:rsid w:val="0007575C"/>
    <w:rsid w:val="00076E55"/>
    <w:rsid w:val="00077A3D"/>
    <w:rsid w:val="00080251"/>
    <w:rsid w:val="0008096C"/>
    <w:rsid w:val="00081ACF"/>
    <w:rsid w:val="00081E11"/>
    <w:rsid w:val="00081F65"/>
    <w:rsid w:val="00082A9F"/>
    <w:rsid w:val="00083D87"/>
    <w:rsid w:val="000846F9"/>
    <w:rsid w:val="00085819"/>
    <w:rsid w:val="00086D70"/>
    <w:rsid w:val="00086E95"/>
    <w:rsid w:val="00091FB5"/>
    <w:rsid w:val="00092EA7"/>
    <w:rsid w:val="00093317"/>
    <w:rsid w:val="000942B9"/>
    <w:rsid w:val="00095061"/>
    <w:rsid w:val="00095C89"/>
    <w:rsid w:val="00097466"/>
    <w:rsid w:val="000A1A63"/>
    <w:rsid w:val="000A1C57"/>
    <w:rsid w:val="000A2813"/>
    <w:rsid w:val="000A2923"/>
    <w:rsid w:val="000A36AE"/>
    <w:rsid w:val="000A37E4"/>
    <w:rsid w:val="000A3A48"/>
    <w:rsid w:val="000A3F1D"/>
    <w:rsid w:val="000A4F4D"/>
    <w:rsid w:val="000A54B1"/>
    <w:rsid w:val="000A5AF7"/>
    <w:rsid w:val="000A5B0E"/>
    <w:rsid w:val="000B22DF"/>
    <w:rsid w:val="000B3B86"/>
    <w:rsid w:val="000B4B3D"/>
    <w:rsid w:val="000B61AB"/>
    <w:rsid w:val="000B62C2"/>
    <w:rsid w:val="000B7639"/>
    <w:rsid w:val="000B7CC8"/>
    <w:rsid w:val="000C07E8"/>
    <w:rsid w:val="000C0985"/>
    <w:rsid w:val="000C0FD0"/>
    <w:rsid w:val="000C208E"/>
    <w:rsid w:val="000C30E3"/>
    <w:rsid w:val="000C5274"/>
    <w:rsid w:val="000C5764"/>
    <w:rsid w:val="000C5F86"/>
    <w:rsid w:val="000C6AA1"/>
    <w:rsid w:val="000C7080"/>
    <w:rsid w:val="000D047A"/>
    <w:rsid w:val="000D21A9"/>
    <w:rsid w:val="000D277F"/>
    <w:rsid w:val="000D2A82"/>
    <w:rsid w:val="000D2C4A"/>
    <w:rsid w:val="000D2F6D"/>
    <w:rsid w:val="000D3F5C"/>
    <w:rsid w:val="000D427C"/>
    <w:rsid w:val="000D4397"/>
    <w:rsid w:val="000D5189"/>
    <w:rsid w:val="000D5279"/>
    <w:rsid w:val="000D6EA4"/>
    <w:rsid w:val="000D7CAC"/>
    <w:rsid w:val="000E0717"/>
    <w:rsid w:val="000E0CF3"/>
    <w:rsid w:val="000E1398"/>
    <w:rsid w:val="000E1704"/>
    <w:rsid w:val="000E219F"/>
    <w:rsid w:val="000E30DD"/>
    <w:rsid w:val="000E64C6"/>
    <w:rsid w:val="000F31CD"/>
    <w:rsid w:val="000F31DC"/>
    <w:rsid w:val="000F3C47"/>
    <w:rsid w:val="000F4945"/>
    <w:rsid w:val="000F55C3"/>
    <w:rsid w:val="000F563F"/>
    <w:rsid w:val="000F58AD"/>
    <w:rsid w:val="000F7E95"/>
    <w:rsid w:val="000F7F82"/>
    <w:rsid w:val="001006FB"/>
    <w:rsid w:val="0010095E"/>
    <w:rsid w:val="001018B2"/>
    <w:rsid w:val="00101D78"/>
    <w:rsid w:val="001051A6"/>
    <w:rsid w:val="00105AEB"/>
    <w:rsid w:val="0010621F"/>
    <w:rsid w:val="00110FB1"/>
    <w:rsid w:val="00112CE6"/>
    <w:rsid w:val="00113D7B"/>
    <w:rsid w:val="00113E42"/>
    <w:rsid w:val="00114377"/>
    <w:rsid w:val="00115BD2"/>
    <w:rsid w:val="0011693E"/>
    <w:rsid w:val="001202E7"/>
    <w:rsid w:val="001209F1"/>
    <w:rsid w:val="001220F3"/>
    <w:rsid w:val="001224A9"/>
    <w:rsid w:val="00123529"/>
    <w:rsid w:val="001247D6"/>
    <w:rsid w:val="00125805"/>
    <w:rsid w:val="0012611F"/>
    <w:rsid w:val="0012698C"/>
    <w:rsid w:val="0013010E"/>
    <w:rsid w:val="00131278"/>
    <w:rsid w:val="001323D1"/>
    <w:rsid w:val="0013314A"/>
    <w:rsid w:val="00133975"/>
    <w:rsid w:val="00133E08"/>
    <w:rsid w:val="001348F1"/>
    <w:rsid w:val="00136BF4"/>
    <w:rsid w:val="00137708"/>
    <w:rsid w:val="00137923"/>
    <w:rsid w:val="00137940"/>
    <w:rsid w:val="00141417"/>
    <w:rsid w:val="00141EED"/>
    <w:rsid w:val="00141F30"/>
    <w:rsid w:val="00142DA4"/>
    <w:rsid w:val="00143543"/>
    <w:rsid w:val="001442E1"/>
    <w:rsid w:val="00144668"/>
    <w:rsid w:val="001451BC"/>
    <w:rsid w:val="00145289"/>
    <w:rsid w:val="00145865"/>
    <w:rsid w:val="00147638"/>
    <w:rsid w:val="00151C12"/>
    <w:rsid w:val="00154D21"/>
    <w:rsid w:val="00155381"/>
    <w:rsid w:val="00155A46"/>
    <w:rsid w:val="00155BD8"/>
    <w:rsid w:val="0015661E"/>
    <w:rsid w:val="00156EB7"/>
    <w:rsid w:val="001620F8"/>
    <w:rsid w:val="0016296D"/>
    <w:rsid w:val="00163313"/>
    <w:rsid w:val="00165E09"/>
    <w:rsid w:val="00167C23"/>
    <w:rsid w:val="001704DE"/>
    <w:rsid w:val="0017055F"/>
    <w:rsid w:val="00171393"/>
    <w:rsid w:val="00172E66"/>
    <w:rsid w:val="001744E1"/>
    <w:rsid w:val="001749A2"/>
    <w:rsid w:val="00175CAC"/>
    <w:rsid w:val="00180FE3"/>
    <w:rsid w:val="00181CAB"/>
    <w:rsid w:val="001830C2"/>
    <w:rsid w:val="00183411"/>
    <w:rsid w:val="00183DCF"/>
    <w:rsid w:val="00185917"/>
    <w:rsid w:val="00187303"/>
    <w:rsid w:val="00187448"/>
    <w:rsid w:val="0018755E"/>
    <w:rsid w:val="00191BFA"/>
    <w:rsid w:val="00191E89"/>
    <w:rsid w:val="001924E6"/>
    <w:rsid w:val="00192885"/>
    <w:rsid w:val="00193F6C"/>
    <w:rsid w:val="0019511C"/>
    <w:rsid w:val="001954D4"/>
    <w:rsid w:val="00195FBA"/>
    <w:rsid w:val="00196419"/>
    <w:rsid w:val="001A0484"/>
    <w:rsid w:val="001A148B"/>
    <w:rsid w:val="001A1E1D"/>
    <w:rsid w:val="001A3244"/>
    <w:rsid w:val="001A3476"/>
    <w:rsid w:val="001A474F"/>
    <w:rsid w:val="001A47F5"/>
    <w:rsid w:val="001A6ACC"/>
    <w:rsid w:val="001A702F"/>
    <w:rsid w:val="001B02B9"/>
    <w:rsid w:val="001B11CC"/>
    <w:rsid w:val="001B349C"/>
    <w:rsid w:val="001B52E7"/>
    <w:rsid w:val="001B6B04"/>
    <w:rsid w:val="001B7EE0"/>
    <w:rsid w:val="001C06FC"/>
    <w:rsid w:val="001C16C8"/>
    <w:rsid w:val="001C2122"/>
    <w:rsid w:val="001C235F"/>
    <w:rsid w:val="001C3012"/>
    <w:rsid w:val="001C44C9"/>
    <w:rsid w:val="001C4974"/>
    <w:rsid w:val="001C4CDF"/>
    <w:rsid w:val="001C5B64"/>
    <w:rsid w:val="001D2C54"/>
    <w:rsid w:val="001D3B8B"/>
    <w:rsid w:val="001D61E3"/>
    <w:rsid w:val="001D760B"/>
    <w:rsid w:val="001E10DA"/>
    <w:rsid w:val="001E1A23"/>
    <w:rsid w:val="001E3C3F"/>
    <w:rsid w:val="001E45CA"/>
    <w:rsid w:val="001E59F7"/>
    <w:rsid w:val="001E6083"/>
    <w:rsid w:val="001E630A"/>
    <w:rsid w:val="001E798E"/>
    <w:rsid w:val="001F0012"/>
    <w:rsid w:val="001F0A43"/>
    <w:rsid w:val="001F0B7B"/>
    <w:rsid w:val="001F14A6"/>
    <w:rsid w:val="001F30D2"/>
    <w:rsid w:val="001F3271"/>
    <w:rsid w:val="001F3FA9"/>
    <w:rsid w:val="001F4914"/>
    <w:rsid w:val="001F606B"/>
    <w:rsid w:val="001F646A"/>
    <w:rsid w:val="001F6D51"/>
    <w:rsid w:val="002002F8"/>
    <w:rsid w:val="00200D0C"/>
    <w:rsid w:val="00201CC7"/>
    <w:rsid w:val="00201EBD"/>
    <w:rsid w:val="0020275F"/>
    <w:rsid w:val="00204817"/>
    <w:rsid w:val="002051B8"/>
    <w:rsid w:val="00205897"/>
    <w:rsid w:val="00206DBE"/>
    <w:rsid w:val="00207F34"/>
    <w:rsid w:val="00207F9C"/>
    <w:rsid w:val="002105EF"/>
    <w:rsid w:val="00210DDC"/>
    <w:rsid w:val="00214E31"/>
    <w:rsid w:val="0021566D"/>
    <w:rsid w:val="00216940"/>
    <w:rsid w:val="0021702C"/>
    <w:rsid w:val="002175FE"/>
    <w:rsid w:val="00224A5F"/>
    <w:rsid w:val="0022592D"/>
    <w:rsid w:val="00225B90"/>
    <w:rsid w:val="00225DA9"/>
    <w:rsid w:val="00225E45"/>
    <w:rsid w:val="0022796F"/>
    <w:rsid w:val="00230B79"/>
    <w:rsid w:val="002311AC"/>
    <w:rsid w:val="00231269"/>
    <w:rsid w:val="0023317C"/>
    <w:rsid w:val="00233346"/>
    <w:rsid w:val="00233719"/>
    <w:rsid w:val="00235C5A"/>
    <w:rsid w:val="00235F1D"/>
    <w:rsid w:val="00236139"/>
    <w:rsid w:val="002361C5"/>
    <w:rsid w:val="00236D22"/>
    <w:rsid w:val="00237006"/>
    <w:rsid w:val="00237295"/>
    <w:rsid w:val="002408B7"/>
    <w:rsid w:val="00241010"/>
    <w:rsid w:val="0024224A"/>
    <w:rsid w:val="0024267C"/>
    <w:rsid w:val="0024324E"/>
    <w:rsid w:val="0024479B"/>
    <w:rsid w:val="00245A7E"/>
    <w:rsid w:val="002503E8"/>
    <w:rsid w:val="0025096F"/>
    <w:rsid w:val="00250AED"/>
    <w:rsid w:val="0025389D"/>
    <w:rsid w:val="00253AD3"/>
    <w:rsid w:val="00254047"/>
    <w:rsid w:val="002549FE"/>
    <w:rsid w:val="00254D53"/>
    <w:rsid w:val="00255A7E"/>
    <w:rsid w:val="00255B65"/>
    <w:rsid w:val="00257DEB"/>
    <w:rsid w:val="00260FCF"/>
    <w:rsid w:val="00261038"/>
    <w:rsid w:val="00261E04"/>
    <w:rsid w:val="00265B28"/>
    <w:rsid w:val="00267324"/>
    <w:rsid w:val="00267CC6"/>
    <w:rsid w:val="002706E1"/>
    <w:rsid w:val="00270C97"/>
    <w:rsid w:val="00272944"/>
    <w:rsid w:val="00273B14"/>
    <w:rsid w:val="002747ED"/>
    <w:rsid w:val="0027539B"/>
    <w:rsid w:val="00276AE8"/>
    <w:rsid w:val="0028045C"/>
    <w:rsid w:val="00280A92"/>
    <w:rsid w:val="00280E96"/>
    <w:rsid w:val="00281173"/>
    <w:rsid w:val="00281B8A"/>
    <w:rsid w:val="00282959"/>
    <w:rsid w:val="00287F41"/>
    <w:rsid w:val="00291388"/>
    <w:rsid w:val="002918CD"/>
    <w:rsid w:val="00291E81"/>
    <w:rsid w:val="002951CC"/>
    <w:rsid w:val="0029601E"/>
    <w:rsid w:val="002A0608"/>
    <w:rsid w:val="002A19E3"/>
    <w:rsid w:val="002A1E41"/>
    <w:rsid w:val="002A1F63"/>
    <w:rsid w:val="002A2044"/>
    <w:rsid w:val="002A30FB"/>
    <w:rsid w:val="002A4248"/>
    <w:rsid w:val="002A7A2C"/>
    <w:rsid w:val="002B19A2"/>
    <w:rsid w:val="002B1B3B"/>
    <w:rsid w:val="002B2F30"/>
    <w:rsid w:val="002B31D5"/>
    <w:rsid w:val="002B4845"/>
    <w:rsid w:val="002B5F4A"/>
    <w:rsid w:val="002B6E12"/>
    <w:rsid w:val="002C12CD"/>
    <w:rsid w:val="002C1960"/>
    <w:rsid w:val="002C1978"/>
    <w:rsid w:val="002C2270"/>
    <w:rsid w:val="002C3181"/>
    <w:rsid w:val="002C53F4"/>
    <w:rsid w:val="002C6B46"/>
    <w:rsid w:val="002C7A97"/>
    <w:rsid w:val="002C7FB1"/>
    <w:rsid w:val="002D1341"/>
    <w:rsid w:val="002D141F"/>
    <w:rsid w:val="002D157F"/>
    <w:rsid w:val="002D38D7"/>
    <w:rsid w:val="002D47FE"/>
    <w:rsid w:val="002D49D0"/>
    <w:rsid w:val="002D54F3"/>
    <w:rsid w:val="002D5A33"/>
    <w:rsid w:val="002D5EA4"/>
    <w:rsid w:val="002D6718"/>
    <w:rsid w:val="002D6AE0"/>
    <w:rsid w:val="002D7844"/>
    <w:rsid w:val="002D7F27"/>
    <w:rsid w:val="002E0D49"/>
    <w:rsid w:val="002E17A0"/>
    <w:rsid w:val="002E1C7F"/>
    <w:rsid w:val="002E22BA"/>
    <w:rsid w:val="002E28DD"/>
    <w:rsid w:val="002E2B49"/>
    <w:rsid w:val="002E2EB1"/>
    <w:rsid w:val="002E3B02"/>
    <w:rsid w:val="002E3DD3"/>
    <w:rsid w:val="002E50DC"/>
    <w:rsid w:val="002E6D83"/>
    <w:rsid w:val="002E7503"/>
    <w:rsid w:val="002E7730"/>
    <w:rsid w:val="002F04AF"/>
    <w:rsid w:val="002F17B7"/>
    <w:rsid w:val="002F21DF"/>
    <w:rsid w:val="002F2AEE"/>
    <w:rsid w:val="002F3137"/>
    <w:rsid w:val="002F395A"/>
    <w:rsid w:val="002F564F"/>
    <w:rsid w:val="002F6029"/>
    <w:rsid w:val="002F75A4"/>
    <w:rsid w:val="002F7B99"/>
    <w:rsid w:val="002F7D61"/>
    <w:rsid w:val="0030138D"/>
    <w:rsid w:val="0030141D"/>
    <w:rsid w:val="0030174D"/>
    <w:rsid w:val="003044C2"/>
    <w:rsid w:val="003047AE"/>
    <w:rsid w:val="00304E15"/>
    <w:rsid w:val="00307116"/>
    <w:rsid w:val="003100DB"/>
    <w:rsid w:val="003104E8"/>
    <w:rsid w:val="0031114E"/>
    <w:rsid w:val="00312F8F"/>
    <w:rsid w:val="0031369D"/>
    <w:rsid w:val="00313AF3"/>
    <w:rsid w:val="00315D57"/>
    <w:rsid w:val="00316E61"/>
    <w:rsid w:val="003170E9"/>
    <w:rsid w:val="0032172B"/>
    <w:rsid w:val="003217FF"/>
    <w:rsid w:val="00321A4F"/>
    <w:rsid w:val="0032491C"/>
    <w:rsid w:val="00324C72"/>
    <w:rsid w:val="00325B50"/>
    <w:rsid w:val="00327319"/>
    <w:rsid w:val="00327EFB"/>
    <w:rsid w:val="00330880"/>
    <w:rsid w:val="00331638"/>
    <w:rsid w:val="00332400"/>
    <w:rsid w:val="003339E4"/>
    <w:rsid w:val="00336737"/>
    <w:rsid w:val="00336745"/>
    <w:rsid w:val="00336D1D"/>
    <w:rsid w:val="00337BAF"/>
    <w:rsid w:val="00340440"/>
    <w:rsid w:val="00341178"/>
    <w:rsid w:val="00341946"/>
    <w:rsid w:val="00341A69"/>
    <w:rsid w:val="00342B26"/>
    <w:rsid w:val="003445E7"/>
    <w:rsid w:val="00344A99"/>
    <w:rsid w:val="00344C32"/>
    <w:rsid w:val="00344D35"/>
    <w:rsid w:val="00346659"/>
    <w:rsid w:val="00347D34"/>
    <w:rsid w:val="00351AE9"/>
    <w:rsid w:val="00352156"/>
    <w:rsid w:val="00352FA4"/>
    <w:rsid w:val="00353562"/>
    <w:rsid w:val="00353E07"/>
    <w:rsid w:val="00354503"/>
    <w:rsid w:val="003550E7"/>
    <w:rsid w:val="0035568E"/>
    <w:rsid w:val="00355A62"/>
    <w:rsid w:val="00356DBC"/>
    <w:rsid w:val="0035762E"/>
    <w:rsid w:val="003576AE"/>
    <w:rsid w:val="00362CB3"/>
    <w:rsid w:val="00363E43"/>
    <w:rsid w:val="0036467F"/>
    <w:rsid w:val="003648EF"/>
    <w:rsid w:val="003652C3"/>
    <w:rsid w:val="00365B69"/>
    <w:rsid w:val="003664BD"/>
    <w:rsid w:val="0036660B"/>
    <w:rsid w:val="00370C5B"/>
    <w:rsid w:val="003714E9"/>
    <w:rsid w:val="00371BBB"/>
    <w:rsid w:val="003722FE"/>
    <w:rsid w:val="00372409"/>
    <w:rsid w:val="0037255F"/>
    <w:rsid w:val="00372F64"/>
    <w:rsid w:val="00373BF8"/>
    <w:rsid w:val="00375C90"/>
    <w:rsid w:val="00375EC7"/>
    <w:rsid w:val="00376800"/>
    <w:rsid w:val="00376D2D"/>
    <w:rsid w:val="00380056"/>
    <w:rsid w:val="003800EE"/>
    <w:rsid w:val="0038036C"/>
    <w:rsid w:val="00380390"/>
    <w:rsid w:val="00380A75"/>
    <w:rsid w:val="00381F13"/>
    <w:rsid w:val="00382AA7"/>
    <w:rsid w:val="00382E47"/>
    <w:rsid w:val="00382E6C"/>
    <w:rsid w:val="003832A1"/>
    <w:rsid w:val="0038725F"/>
    <w:rsid w:val="003902DF"/>
    <w:rsid w:val="00390BC8"/>
    <w:rsid w:val="00391946"/>
    <w:rsid w:val="0039363A"/>
    <w:rsid w:val="00394D92"/>
    <w:rsid w:val="00397980"/>
    <w:rsid w:val="0039799F"/>
    <w:rsid w:val="003A031B"/>
    <w:rsid w:val="003A0A74"/>
    <w:rsid w:val="003A1448"/>
    <w:rsid w:val="003A1C21"/>
    <w:rsid w:val="003A2E2A"/>
    <w:rsid w:val="003A35FD"/>
    <w:rsid w:val="003A3633"/>
    <w:rsid w:val="003A4823"/>
    <w:rsid w:val="003A6357"/>
    <w:rsid w:val="003B374C"/>
    <w:rsid w:val="003B3AFB"/>
    <w:rsid w:val="003B3C7E"/>
    <w:rsid w:val="003B4CE9"/>
    <w:rsid w:val="003B51EB"/>
    <w:rsid w:val="003B744B"/>
    <w:rsid w:val="003B7625"/>
    <w:rsid w:val="003B7C40"/>
    <w:rsid w:val="003B7D37"/>
    <w:rsid w:val="003B7E92"/>
    <w:rsid w:val="003C39B4"/>
    <w:rsid w:val="003C6FDD"/>
    <w:rsid w:val="003C77E0"/>
    <w:rsid w:val="003D09C2"/>
    <w:rsid w:val="003D0DDB"/>
    <w:rsid w:val="003D1698"/>
    <w:rsid w:val="003D215C"/>
    <w:rsid w:val="003D2442"/>
    <w:rsid w:val="003D271F"/>
    <w:rsid w:val="003D27BA"/>
    <w:rsid w:val="003D2D1D"/>
    <w:rsid w:val="003D3433"/>
    <w:rsid w:val="003D4384"/>
    <w:rsid w:val="003D5A1B"/>
    <w:rsid w:val="003D617E"/>
    <w:rsid w:val="003D756A"/>
    <w:rsid w:val="003D7787"/>
    <w:rsid w:val="003E1486"/>
    <w:rsid w:val="003E34EB"/>
    <w:rsid w:val="003E56DA"/>
    <w:rsid w:val="003E5B26"/>
    <w:rsid w:val="003E6CFF"/>
    <w:rsid w:val="003F3046"/>
    <w:rsid w:val="003F4712"/>
    <w:rsid w:val="003F6178"/>
    <w:rsid w:val="003F6C50"/>
    <w:rsid w:val="00400C0C"/>
    <w:rsid w:val="00400D13"/>
    <w:rsid w:val="0040133C"/>
    <w:rsid w:val="00402F78"/>
    <w:rsid w:val="00404023"/>
    <w:rsid w:val="00406B3F"/>
    <w:rsid w:val="00406B56"/>
    <w:rsid w:val="00412FF0"/>
    <w:rsid w:val="00413C8E"/>
    <w:rsid w:val="00413F33"/>
    <w:rsid w:val="00414459"/>
    <w:rsid w:val="00415ED1"/>
    <w:rsid w:val="0041748C"/>
    <w:rsid w:val="00417FE8"/>
    <w:rsid w:val="004211F6"/>
    <w:rsid w:val="00422E40"/>
    <w:rsid w:val="00423575"/>
    <w:rsid w:val="00425C01"/>
    <w:rsid w:val="00425C1F"/>
    <w:rsid w:val="00430C6C"/>
    <w:rsid w:val="00431045"/>
    <w:rsid w:val="00431402"/>
    <w:rsid w:val="00431610"/>
    <w:rsid w:val="00431689"/>
    <w:rsid w:val="004317AA"/>
    <w:rsid w:val="00431BCA"/>
    <w:rsid w:val="00432CC2"/>
    <w:rsid w:val="00434BFD"/>
    <w:rsid w:val="00434CDA"/>
    <w:rsid w:val="00437883"/>
    <w:rsid w:val="00437C65"/>
    <w:rsid w:val="00440E59"/>
    <w:rsid w:val="00441631"/>
    <w:rsid w:val="00442787"/>
    <w:rsid w:val="00443171"/>
    <w:rsid w:val="004444E0"/>
    <w:rsid w:val="004452F5"/>
    <w:rsid w:val="00446092"/>
    <w:rsid w:val="004467E1"/>
    <w:rsid w:val="00446F7C"/>
    <w:rsid w:val="00447780"/>
    <w:rsid w:val="00450FBA"/>
    <w:rsid w:val="00451375"/>
    <w:rsid w:val="0045345C"/>
    <w:rsid w:val="00453FC1"/>
    <w:rsid w:val="00454F6A"/>
    <w:rsid w:val="00456635"/>
    <w:rsid w:val="00456917"/>
    <w:rsid w:val="00456A86"/>
    <w:rsid w:val="00460BBC"/>
    <w:rsid w:val="00463A7E"/>
    <w:rsid w:val="00463C34"/>
    <w:rsid w:val="004642DF"/>
    <w:rsid w:val="00465178"/>
    <w:rsid w:val="0046612E"/>
    <w:rsid w:val="00470A86"/>
    <w:rsid w:val="00471105"/>
    <w:rsid w:val="00471D10"/>
    <w:rsid w:val="00471F68"/>
    <w:rsid w:val="00471F89"/>
    <w:rsid w:val="004736BA"/>
    <w:rsid w:val="004736F2"/>
    <w:rsid w:val="00473D7D"/>
    <w:rsid w:val="00474543"/>
    <w:rsid w:val="004747A2"/>
    <w:rsid w:val="00476C49"/>
    <w:rsid w:val="0048104D"/>
    <w:rsid w:val="004821CF"/>
    <w:rsid w:val="00482970"/>
    <w:rsid w:val="00483CC6"/>
    <w:rsid w:val="004847D2"/>
    <w:rsid w:val="00485D5B"/>
    <w:rsid w:val="00486C0C"/>
    <w:rsid w:val="00487799"/>
    <w:rsid w:val="00487F70"/>
    <w:rsid w:val="00490058"/>
    <w:rsid w:val="0049047A"/>
    <w:rsid w:val="004922EA"/>
    <w:rsid w:val="004928EC"/>
    <w:rsid w:val="00493222"/>
    <w:rsid w:val="00493573"/>
    <w:rsid w:val="00493E1E"/>
    <w:rsid w:val="00493F14"/>
    <w:rsid w:val="00494126"/>
    <w:rsid w:val="00496841"/>
    <w:rsid w:val="004A03FF"/>
    <w:rsid w:val="004A0C34"/>
    <w:rsid w:val="004A0EB4"/>
    <w:rsid w:val="004A1308"/>
    <w:rsid w:val="004A1FCF"/>
    <w:rsid w:val="004A2ED8"/>
    <w:rsid w:val="004A3D2D"/>
    <w:rsid w:val="004A4723"/>
    <w:rsid w:val="004A5D45"/>
    <w:rsid w:val="004B19BE"/>
    <w:rsid w:val="004B5E7F"/>
    <w:rsid w:val="004B73D8"/>
    <w:rsid w:val="004B7D8F"/>
    <w:rsid w:val="004C04D3"/>
    <w:rsid w:val="004C20E9"/>
    <w:rsid w:val="004C31C2"/>
    <w:rsid w:val="004C3F3E"/>
    <w:rsid w:val="004C45F6"/>
    <w:rsid w:val="004C5C86"/>
    <w:rsid w:val="004C76F5"/>
    <w:rsid w:val="004D12F9"/>
    <w:rsid w:val="004D15DF"/>
    <w:rsid w:val="004D1C0D"/>
    <w:rsid w:val="004D3B22"/>
    <w:rsid w:val="004D401D"/>
    <w:rsid w:val="004D5310"/>
    <w:rsid w:val="004D6E00"/>
    <w:rsid w:val="004D715E"/>
    <w:rsid w:val="004D785A"/>
    <w:rsid w:val="004E018D"/>
    <w:rsid w:val="004E0FD4"/>
    <w:rsid w:val="004E145C"/>
    <w:rsid w:val="004E1905"/>
    <w:rsid w:val="004E282D"/>
    <w:rsid w:val="004E32C8"/>
    <w:rsid w:val="004E32E9"/>
    <w:rsid w:val="004E39F9"/>
    <w:rsid w:val="004E3C8F"/>
    <w:rsid w:val="004E44D1"/>
    <w:rsid w:val="004E4F87"/>
    <w:rsid w:val="004E7A3C"/>
    <w:rsid w:val="004F58ED"/>
    <w:rsid w:val="004F66F5"/>
    <w:rsid w:val="0050060B"/>
    <w:rsid w:val="00500788"/>
    <w:rsid w:val="00501A9A"/>
    <w:rsid w:val="00503ADA"/>
    <w:rsid w:val="00503FE4"/>
    <w:rsid w:val="00504482"/>
    <w:rsid w:val="0050448E"/>
    <w:rsid w:val="0050494D"/>
    <w:rsid w:val="005067CE"/>
    <w:rsid w:val="00506CEA"/>
    <w:rsid w:val="005071C7"/>
    <w:rsid w:val="005078C1"/>
    <w:rsid w:val="00511C4B"/>
    <w:rsid w:val="00511E0A"/>
    <w:rsid w:val="0051212C"/>
    <w:rsid w:val="00512A45"/>
    <w:rsid w:val="00512B9C"/>
    <w:rsid w:val="005131D4"/>
    <w:rsid w:val="005141C6"/>
    <w:rsid w:val="0051427E"/>
    <w:rsid w:val="005142BC"/>
    <w:rsid w:val="005146D1"/>
    <w:rsid w:val="00514B81"/>
    <w:rsid w:val="005156F7"/>
    <w:rsid w:val="00520E49"/>
    <w:rsid w:val="00520EAE"/>
    <w:rsid w:val="0052180E"/>
    <w:rsid w:val="00521B00"/>
    <w:rsid w:val="00522A45"/>
    <w:rsid w:val="0052341F"/>
    <w:rsid w:val="00524351"/>
    <w:rsid w:val="005258A5"/>
    <w:rsid w:val="00525BA8"/>
    <w:rsid w:val="00533DFD"/>
    <w:rsid w:val="00537B24"/>
    <w:rsid w:val="005414E5"/>
    <w:rsid w:val="0054161D"/>
    <w:rsid w:val="005419CC"/>
    <w:rsid w:val="0054239C"/>
    <w:rsid w:val="00544061"/>
    <w:rsid w:val="0054426A"/>
    <w:rsid w:val="005452B4"/>
    <w:rsid w:val="00545746"/>
    <w:rsid w:val="005468F2"/>
    <w:rsid w:val="00547E71"/>
    <w:rsid w:val="005503DF"/>
    <w:rsid w:val="0055116A"/>
    <w:rsid w:val="00551D0C"/>
    <w:rsid w:val="00555133"/>
    <w:rsid w:val="00555197"/>
    <w:rsid w:val="00555A1E"/>
    <w:rsid w:val="00555DEC"/>
    <w:rsid w:val="00556D60"/>
    <w:rsid w:val="00556E84"/>
    <w:rsid w:val="00557687"/>
    <w:rsid w:val="00562650"/>
    <w:rsid w:val="00562EF9"/>
    <w:rsid w:val="0056308F"/>
    <w:rsid w:val="005630CC"/>
    <w:rsid w:val="00564513"/>
    <w:rsid w:val="00564E1E"/>
    <w:rsid w:val="005653B9"/>
    <w:rsid w:val="0056654E"/>
    <w:rsid w:val="00566947"/>
    <w:rsid w:val="00567510"/>
    <w:rsid w:val="00571FD6"/>
    <w:rsid w:val="0057297E"/>
    <w:rsid w:val="00572A56"/>
    <w:rsid w:val="00573A8C"/>
    <w:rsid w:val="00573AFD"/>
    <w:rsid w:val="00574D6A"/>
    <w:rsid w:val="00574EAD"/>
    <w:rsid w:val="00575272"/>
    <w:rsid w:val="005756AC"/>
    <w:rsid w:val="00576117"/>
    <w:rsid w:val="00576CD6"/>
    <w:rsid w:val="00576F4D"/>
    <w:rsid w:val="00580356"/>
    <w:rsid w:val="00580860"/>
    <w:rsid w:val="005809AF"/>
    <w:rsid w:val="00581923"/>
    <w:rsid w:val="00582D64"/>
    <w:rsid w:val="005850BB"/>
    <w:rsid w:val="0058577E"/>
    <w:rsid w:val="00585C17"/>
    <w:rsid w:val="00586091"/>
    <w:rsid w:val="005866FE"/>
    <w:rsid w:val="0058684A"/>
    <w:rsid w:val="00586B22"/>
    <w:rsid w:val="00586D69"/>
    <w:rsid w:val="005874AC"/>
    <w:rsid w:val="00590180"/>
    <w:rsid w:val="0059119F"/>
    <w:rsid w:val="005923B8"/>
    <w:rsid w:val="00592D2C"/>
    <w:rsid w:val="00593603"/>
    <w:rsid w:val="00593F54"/>
    <w:rsid w:val="00595696"/>
    <w:rsid w:val="00596933"/>
    <w:rsid w:val="005969E0"/>
    <w:rsid w:val="005971D7"/>
    <w:rsid w:val="00597299"/>
    <w:rsid w:val="00597D6B"/>
    <w:rsid w:val="005A0551"/>
    <w:rsid w:val="005A06B8"/>
    <w:rsid w:val="005A12DE"/>
    <w:rsid w:val="005A134C"/>
    <w:rsid w:val="005A14A3"/>
    <w:rsid w:val="005A305D"/>
    <w:rsid w:val="005A41DD"/>
    <w:rsid w:val="005A4491"/>
    <w:rsid w:val="005A46A2"/>
    <w:rsid w:val="005A49DA"/>
    <w:rsid w:val="005A4FED"/>
    <w:rsid w:val="005A6553"/>
    <w:rsid w:val="005A7183"/>
    <w:rsid w:val="005A7474"/>
    <w:rsid w:val="005B0A55"/>
    <w:rsid w:val="005B21C5"/>
    <w:rsid w:val="005B2A8E"/>
    <w:rsid w:val="005B317C"/>
    <w:rsid w:val="005B3D16"/>
    <w:rsid w:val="005B3E3B"/>
    <w:rsid w:val="005B3E71"/>
    <w:rsid w:val="005B42E7"/>
    <w:rsid w:val="005B4369"/>
    <w:rsid w:val="005B6143"/>
    <w:rsid w:val="005B6158"/>
    <w:rsid w:val="005B6E4E"/>
    <w:rsid w:val="005B74EE"/>
    <w:rsid w:val="005B7F93"/>
    <w:rsid w:val="005C02C8"/>
    <w:rsid w:val="005C0DF2"/>
    <w:rsid w:val="005C228F"/>
    <w:rsid w:val="005C254A"/>
    <w:rsid w:val="005C2B12"/>
    <w:rsid w:val="005C440C"/>
    <w:rsid w:val="005C44FC"/>
    <w:rsid w:val="005C4FBD"/>
    <w:rsid w:val="005C6395"/>
    <w:rsid w:val="005D0169"/>
    <w:rsid w:val="005D11D5"/>
    <w:rsid w:val="005D22DA"/>
    <w:rsid w:val="005D6999"/>
    <w:rsid w:val="005D6A29"/>
    <w:rsid w:val="005D6E18"/>
    <w:rsid w:val="005D6E55"/>
    <w:rsid w:val="005D7709"/>
    <w:rsid w:val="005E111C"/>
    <w:rsid w:val="005E1C60"/>
    <w:rsid w:val="005E1C74"/>
    <w:rsid w:val="005E2C83"/>
    <w:rsid w:val="005E301C"/>
    <w:rsid w:val="005E4A89"/>
    <w:rsid w:val="005E6513"/>
    <w:rsid w:val="005E7015"/>
    <w:rsid w:val="005E7747"/>
    <w:rsid w:val="005F01D7"/>
    <w:rsid w:val="005F0E54"/>
    <w:rsid w:val="005F14E9"/>
    <w:rsid w:val="005F1970"/>
    <w:rsid w:val="005F2ABD"/>
    <w:rsid w:val="005F2AF4"/>
    <w:rsid w:val="005F3DCD"/>
    <w:rsid w:val="005F3EDF"/>
    <w:rsid w:val="005F4084"/>
    <w:rsid w:val="005F4999"/>
    <w:rsid w:val="00600285"/>
    <w:rsid w:val="00601B21"/>
    <w:rsid w:val="00601B67"/>
    <w:rsid w:val="006021D7"/>
    <w:rsid w:val="00604A88"/>
    <w:rsid w:val="0060500B"/>
    <w:rsid w:val="00606EEC"/>
    <w:rsid w:val="006070BD"/>
    <w:rsid w:val="006104B6"/>
    <w:rsid w:val="00610CAA"/>
    <w:rsid w:val="00611DB3"/>
    <w:rsid w:val="0061216F"/>
    <w:rsid w:val="00612A35"/>
    <w:rsid w:val="00614A9C"/>
    <w:rsid w:val="00614F23"/>
    <w:rsid w:val="00615256"/>
    <w:rsid w:val="00615BA0"/>
    <w:rsid w:val="00615BA9"/>
    <w:rsid w:val="0061642B"/>
    <w:rsid w:val="00616F4E"/>
    <w:rsid w:val="0062211C"/>
    <w:rsid w:val="00623EF2"/>
    <w:rsid w:val="0062419F"/>
    <w:rsid w:val="006249DA"/>
    <w:rsid w:val="006249E5"/>
    <w:rsid w:val="00626F41"/>
    <w:rsid w:val="0062719F"/>
    <w:rsid w:val="00627212"/>
    <w:rsid w:val="00630A0F"/>
    <w:rsid w:val="0063130D"/>
    <w:rsid w:val="0063218B"/>
    <w:rsid w:val="00633BEB"/>
    <w:rsid w:val="00633E8C"/>
    <w:rsid w:val="00636E72"/>
    <w:rsid w:val="0063717C"/>
    <w:rsid w:val="00637446"/>
    <w:rsid w:val="0063748E"/>
    <w:rsid w:val="00637DAD"/>
    <w:rsid w:val="006407B4"/>
    <w:rsid w:val="00641089"/>
    <w:rsid w:val="00641139"/>
    <w:rsid w:val="00641B03"/>
    <w:rsid w:val="00642615"/>
    <w:rsid w:val="00643EDC"/>
    <w:rsid w:val="00644408"/>
    <w:rsid w:val="006446C6"/>
    <w:rsid w:val="00646D82"/>
    <w:rsid w:val="00646FE2"/>
    <w:rsid w:val="006509F6"/>
    <w:rsid w:val="00650D30"/>
    <w:rsid w:val="00650EF8"/>
    <w:rsid w:val="00652436"/>
    <w:rsid w:val="006528D3"/>
    <w:rsid w:val="006538A2"/>
    <w:rsid w:val="0065414C"/>
    <w:rsid w:val="00660069"/>
    <w:rsid w:val="0066049D"/>
    <w:rsid w:val="006637FC"/>
    <w:rsid w:val="00664872"/>
    <w:rsid w:val="00665A59"/>
    <w:rsid w:val="00666298"/>
    <w:rsid w:val="00667466"/>
    <w:rsid w:val="0067107B"/>
    <w:rsid w:val="006722A4"/>
    <w:rsid w:val="00672721"/>
    <w:rsid w:val="006728FB"/>
    <w:rsid w:val="0067301A"/>
    <w:rsid w:val="006730EA"/>
    <w:rsid w:val="00673713"/>
    <w:rsid w:val="00674665"/>
    <w:rsid w:val="0067475A"/>
    <w:rsid w:val="00674F66"/>
    <w:rsid w:val="006751B5"/>
    <w:rsid w:val="00676111"/>
    <w:rsid w:val="00677046"/>
    <w:rsid w:val="00677F26"/>
    <w:rsid w:val="00680414"/>
    <w:rsid w:val="006807CF"/>
    <w:rsid w:val="006824E8"/>
    <w:rsid w:val="006835D8"/>
    <w:rsid w:val="00683941"/>
    <w:rsid w:val="00684157"/>
    <w:rsid w:val="0068521E"/>
    <w:rsid w:val="0068701F"/>
    <w:rsid w:val="00687435"/>
    <w:rsid w:val="00690469"/>
    <w:rsid w:val="00691C3E"/>
    <w:rsid w:val="006945ED"/>
    <w:rsid w:val="00696568"/>
    <w:rsid w:val="00696DD3"/>
    <w:rsid w:val="006A0260"/>
    <w:rsid w:val="006A0367"/>
    <w:rsid w:val="006A2548"/>
    <w:rsid w:val="006A3563"/>
    <w:rsid w:val="006A5603"/>
    <w:rsid w:val="006A620C"/>
    <w:rsid w:val="006A638E"/>
    <w:rsid w:val="006A6C19"/>
    <w:rsid w:val="006A7B7E"/>
    <w:rsid w:val="006B0E9F"/>
    <w:rsid w:val="006B1C31"/>
    <w:rsid w:val="006B2339"/>
    <w:rsid w:val="006B25CB"/>
    <w:rsid w:val="006B6BF6"/>
    <w:rsid w:val="006B702C"/>
    <w:rsid w:val="006B710B"/>
    <w:rsid w:val="006B7250"/>
    <w:rsid w:val="006B7967"/>
    <w:rsid w:val="006C0166"/>
    <w:rsid w:val="006C113E"/>
    <w:rsid w:val="006C186B"/>
    <w:rsid w:val="006C1EDA"/>
    <w:rsid w:val="006C4DDD"/>
    <w:rsid w:val="006C5193"/>
    <w:rsid w:val="006C5330"/>
    <w:rsid w:val="006C68E5"/>
    <w:rsid w:val="006C74B3"/>
    <w:rsid w:val="006C7EF6"/>
    <w:rsid w:val="006D04D4"/>
    <w:rsid w:val="006D1148"/>
    <w:rsid w:val="006D3930"/>
    <w:rsid w:val="006D5653"/>
    <w:rsid w:val="006E2A92"/>
    <w:rsid w:val="006E309C"/>
    <w:rsid w:val="006E5DE0"/>
    <w:rsid w:val="006E6254"/>
    <w:rsid w:val="006E6B6E"/>
    <w:rsid w:val="006F198A"/>
    <w:rsid w:val="006F32B3"/>
    <w:rsid w:val="006F3A59"/>
    <w:rsid w:val="006F47B6"/>
    <w:rsid w:val="006F49EC"/>
    <w:rsid w:val="006F523B"/>
    <w:rsid w:val="006F6746"/>
    <w:rsid w:val="006F7528"/>
    <w:rsid w:val="007005C1"/>
    <w:rsid w:val="00703F2D"/>
    <w:rsid w:val="00705FB4"/>
    <w:rsid w:val="00706521"/>
    <w:rsid w:val="007113E8"/>
    <w:rsid w:val="00711CA9"/>
    <w:rsid w:val="00711DEA"/>
    <w:rsid w:val="00713E5B"/>
    <w:rsid w:val="00713ECE"/>
    <w:rsid w:val="00714241"/>
    <w:rsid w:val="00716AA0"/>
    <w:rsid w:val="00716FB5"/>
    <w:rsid w:val="00717F56"/>
    <w:rsid w:val="00720CC7"/>
    <w:rsid w:val="007219CD"/>
    <w:rsid w:val="00722293"/>
    <w:rsid w:val="00724308"/>
    <w:rsid w:val="007243EE"/>
    <w:rsid w:val="0072600C"/>
    <w:rsid w:val="00726A0D"/>
    <w:rsid w:val="00726B32"/>
    <w:rsid w:val="00726F1B"/>
    <w:rsid w:val="007275C8"/>
    <w:rsid w:val="00727C71"/>
    <w:rsid w:val="00727FBA"/>
    <w:rsid w:val="00731198"/>
    <w:rsid w:val="00735E03"/>
    <w:rsid w:val="00736543"/>
    <w:rsid w:val="00736DD4"/>
    <w:rsid w:val="007403D3"/>
    <w:rsid w:val="00741012"/>
    <w:rsid w:val="00741F21"/>
    <w:rsid w:val="00742FD5"/>
    <w:rsid w:val="00743022"/>
    <w:rsid w:val="00745942"/>
    <w:rsid w:val="00745EAB"/>
    <w:rsid w:val="0074698B"/>
    <w:rsid w:val="007477D4"/>
    <w:rsid w:val="00747A10"/>
    <w:rsid w:val="007512FC"/>
    <w:rsid w:val="0075139E"/>
    <w:rsid w:val="00751AE3"/>
    <w:rsid w:val="00751BF3"/>
    <w:rsid w:val="00752455"/>
    <w:rsid w:val="0075246D"/>
    <w:rsid w:val="00752EA3"/>
    <w:rsid w:val="0075559E"/>
    <w:rsid w:val="00760AC0"/>
    <w:rsid w:val="00760CEF"/>
    <w:rsid w:val="00761C20"/>
    <w:rsid w:val="007626D9"/>
    <w:rsid w:val="00766A39"/>
    <w:rsid w:val="00766BFC"/>
    <w:rsid w:val="00766FE1"/>
    <w:rsid w:val="0076718F"/>
    <w:rsid w:val="00767397"/>
    <w:rsid w:val="00767417"/>
    <w:rsid w:val="00771292"/>
    <w:rsid w:val="007722A3"/>
    <w:rsid w:val="0077260F"/>
    <w:rsid w:val="0077318C"/>
    <w:rsid w:val="007761B6"/>
    <w:rsid w:val="007768DD"/>
    <w:rsid w:val="00777616"/>
    <w:rsid w:val="00780738"/>
    <w:rsid w:val="00782F9D"/>
    <w:rsid w:val="00783226"/>
    <w:rsid w:val="00783C69"/>
    <w:rsid w:val="00785EC9"/>
    <w:rsid w:val="007861E3"/>
    <w:rsid w:val="00786499"/>
    <w:rsid w:val="00786586"/>
    <w:rsid w:val="007865C0"/>
    <w:rsid w:val="00791CE3"/>
    <w:rsid w:val="007929EB"/>
    <w:rsid w:val="007962AE"/>
    <w:rsid w:val="007965CB"/>
    <w:rsid w:val="00796D9C"/>
    <w:rsid w:val="00797945"/>
    <w:rsid w:val="007A0CB0"/>
    <w:rsid w:val="007A1302"/>
    <w:rsid w:val="007A2961"/>
    <w:rsid w:val="007A2D02"/>
    <w:rsid w:val="007A3661"/>
    <w:rsid w:val="007A4EA9"/>
    <w:rsid w:val="007A63DC"/>
    <w:rsid w:val="007A6E7B"/>
    <w:rsid w:val="007A7611"/>
    <w:rsid w:val="007A7718"/>
    <w:rsid w:val="007A7E3A"/>
    <w:rsid w:val="007B024B"/>
    <w:rsid w:val="007B089C"/>
    <w:rsid w:val="007B0CD0"/>
    <w:rsid w:val="007B0D32"/>
    <w:rsid w:val="007B1208"/>
    <w:rsid w:val="007B2EDE"/>
    <w:rsid w:val="007B2F61"/>
    <w:rsid w:val="007B31BE"/>
    <w:rsid w:val="007B3801"/>
    <w:rsid w:val="007B677C"/>
    <w:rsid w:val="007B750B"/>
    <w:rsid w:val="007B77E8"/>
    <w:rsid w:val="007C17D3"/>
    <w:rsid w:val="007C30FD"/>
    <w:rsid w:val="007C3CBD"/>
    <w:rsid w:val="007C4ADC"/>
    <w:rsid w:val="007C5187"/>
    <w:rsid w:val="007C533B"/>
    <w:rsid w:val="007C7AB1"/>
    <w:rsid w:val="007D00DB"/>
    <w:rsid w:val="007D043F"/>
    <w:rsid w:val="007D2A89"/>
    <w:rsid w:val="007D388B"/>
    <w:rsid w:val="007D3B3E"/>
    <w:rsid w:val="007D4BD9"/>
    <w:rsid w:val="007D7056"/>
    <w:rsid w:val="007D797B"/>
    <w:rsid w:val="007D7BC1"/>
    <w:rsid w:val="007D7CB4"/>
    <w:rsid w:val="007E034F"/>
    <w:rsid w:val="007E0D80"/>
    <w:rsid w:val="007E0E70"/>
    <w:rsid w:val="007E1269"/>
    <w:rsid w:val="007E44AE"/>
    <w:rsid w:val="007E4F52"/>
    <w:rsid w:val="007E6E8F"/>
    <w:rsid w:val="007E7A99"/>
    <w:rsid w:val="007F005F"/>
    <w:rsid w:val="007F00E0"/>
    <w:rsid w:val="007F1C60"/>
    <w:rsid w:val="007F4345"/>
    <w:rsid w:val="007F4830"/>
    <w:rsid w:val="007F5DFE"/>
    <w:rsid w:val="007F610A"/>
    <w:rsid w:val="007F6C5B"/>
    <w:rsid w:val="008000EC"/>
    <w:rsid w:val="008003EF"/>
    <w:rsid w:val="00801593"/>
    <w:rsid w:val="008032F4"/>
    <w:rsid w:val="00803B4B"/>
    <w:rsid w:val="00804269"/>
    <w:rsid w:val="00805776"/>
    <w:rsid w:val="008064FB"/>
    <w:rsid w:val="00806E80"/>
    <w:rsid w:val="00807DD8"/>
    <w:rsid w:val="008111B1"/>
    <w:rsid w:val="008150E2"/>
    <w:rsid w:val="00815B5B"/>
    <w:rsid w:val="00815BA0"/>
    <w:rsid w:val="00815E46"/>
    <w:rsid w:val="008163BF"/>
    <w:rsid w:val="00816448"/>
    <w:rsid w:val="00816F92"/>
    <w:rsid w:val="008173AB"/>
    <w:rsid w:val="00817F7C"/>
    <w:rsid w:val="0082485C"/>
    <w:rsid w:val="00824FE1"/>
    <w:rsid w:val="00825F95"/>
    <w:rsid w:val="00826571"/>
    <w:rsid w:val="00827681"/>
    <w:rsid w:val="00830D5C"/>
    <w:rsid w:val="00832C63"/>
    <w:rsid w:val="0083369F"/>
    <w:rsid w:val="00834DAA"/>
    <w:rsid w:val="0083601A"/>
    <w:rsid w:val="008360BF"/>
    <w:rsid w:val="00836658"/>
    <w:rsid w:val="00836761"/>
    <w:rsid w:val="00836C8C"/>
    <w:rsid w:val="00836CAC"/>
    <w:rsid w:val="008376C7"/>
    <w:rsid w:val="0084265F"/>
    <w:rsid w:val="00843526"/>
    <w:rsid w:val="00843E33"/>
    <w:rsid w:val="00844E6C"/>
    <w:rsid w:val="008456F7"/>
    <w:rsid w:val="00845DA3"/>
    <w:rsid w:val="0085140E"/>
    <w:rsid w:val="00851EC0"/>
    <w:rsid w:val="008523A8"/>
    <w:rsid w:val="008524BF"/>
    <w:rsid w:val="008525A7"/>
    <w:rsid w:val="00852EF7"/>
    <w:rsid w:val="00853F89"/>
    <w:rsid w:val="008540CA"/>
    <w:rsid w:val="00854E84"/>
    <w:rsid w:val="00856D37"/>
    <w:rsid w:val="008601DE"/>
    <w:rsid w:val="00860A67"/>
    <w:rsid w:val="00862A8B"/>
    <w:rsid w:val="008633B9"/>
    <w:rsid w:val="00865D36"/>
    <w:rsid w:val="00866B2C"/>
    <w:rsid w:val="00867A2E"/>
    <w:rsid w:val="00867D8C"/>
    <w:rsid w:val="00870881"/>
    <w:rsid w:val="0087129E"/>
    <w:rsid w:val="00871610"/>
    <w:rsid w:val="008718BA"/>
    <w:rsid w:val="00877523"/>
    <w:rsid w:val="0087760A"/>
    <w:rsid w:val="00877B31"/>
    <w:rsid w:val="008808D4"/>
    <w:rsid w:val="00881113"/>
    <w:rsid w:val="00884266"/>
    <w:rsid w:val="00884910"/>
    <w:rsid w:val="00884A91"/>
    <w:rsid w:val="00885E20"/>
    <w:rsid w:val="008864A0"/>
    <w:rsid w:val="008865C4"/>
    <w:rsid w:val="008877EF"/>
    <w:rsid w:val="00890115"/>
    <w:rsid w:val="00890CA6"/>
    <w:rsid w:val="00891C31"/>
    <w:rsid w:val="00893403"/>
    <w:rsid w:val="00894B25"/>
    <w:rsid w:val="008956B8"/>
    <w:rsid w:val="00895A58"/>
    <w:rsid w:val="0089621C"/>
    <w:rsid w:val="008963F6"/>
    <w:rsid w:val="008A040F"/>
    <w:rsid w:val="008A0E0A"/>
    <w:rsid w:val="008A16DD"/>
    <w:rsid w:val="008A22FD"/>
    <w:rsid w:val="008A2A13"/>
    <w:rsid w:val="008A2C10"/>
    <w:rsid w:val="008A4268"/>
    <w:rsid w:val="008A54F2"/>
    <w:rsid w:val="008A6D1E"/>
    <w:rsid w:val="008A72BB"/>
    <w:rsid w:val="008B349F"/>
    <w:rsid w:val="008B478F"/>
    <w:rsid w:val="008B4E74"/>
    <w:rsid w:val="008B666A"/>
    <w:rsid w:val="008B6A52"/>
    <w:rsid w:val="008B7069"/>
    <w:rsid w:val="008B7B5F"/>
    <w:rsid w:val="008C02C0"/>
    <w:rsid w:val="008C1436"/>
    <w:rsid w:val="008C2CE5"/>
    <w:rsid w:val="008C3850"/>
    <w:rsid w:val="008C3F18"/>
    <w:rsid w:val="008C455B"/>
    <w:rsid w:val="008C4AE9"/>
    <w:rsid w:val="008C59DC"/>
    <w:rsid w:val="008C5AD7"/>
    <w:rsid w:val="008C5B15"/>
    <w:rsid w:val="008C6F5B"/>
    <w:rsid w:val="008C7488"/>
    <w:rsid w:val="008C7BE8"/>
    <w:rsid w:val="008D06C5"/>
    <w:rsid w:val="008D0861"/>
    <w:rsid w:val="008D093F"/>
    <w:rsid w:val="008D1B12"/>
    <w:rsid w:val="008D1E6E"/>
    <w:rsid w:val="008D27C3"/>
    <w:rsid w:val="008D2CFB"/>
    <w:rsid w:val="008D38C9"/>
    <w:rsid w:val="008D7A75"/>
    <w:rsid w:val="008E0D3B"/>
    <w:rsid w:val="008E17C0"/>
    <w:rsid w:val="008E38D1"/>
    <w:rsid w:val="008E3A78"/>
    <w:rsid w:val="008E3B28"/>
    <w:rsid w:val="008E4006"/>
    <w:rsid w:val="008E770D"/>
    <w:rsid w:val="008F04F4"/>
    <w:rsid w:val="008F270D"/>
    <w:rsid w:val="008F2F3A"/>
    <w:rsid w:val="008F3235"/>
    <w:rsid w:val="008F3A73"/>
    <w:rsid w:val="008F44F4"/>
    <w:rsid w:val="008F51A9"/>
    <w:rsid w:val="008F646E"/>
    <w:rsid w:val="008F686E"/>
    <w:rsid w:val="008F699C"/>
    <w:rsid w:val="008F7591"/>
    <w:rsid w:val="008F775E"/>
    <w:rsid w:val="009018E1"/>
    <w:rsid w:val="00902239"/>
    <w:rsid w:val="00902C86"/>
    <w:rsid w:val="009030E5"/>
    <w:rsid w:val="00903CDC"/>
    <w:rsid w:val="00903E31"/>
    <w:rsid w:val="00903F4C"/>
    <w:rsid w:val="0090580D"/>
    <w:rsid w:val="009074F1"/>
    <w:rsid w:val="0090783B"/>
    <w:rsid w:val="00907B63"/>
    <w:rsid w:val="00907F6E"/>
    <w:rsid w:val="00910E7A"/>
    <w:rsid w:val="00911239"/>
    <w:rsid w:val="009139FB"/>
    <w:rsid w:val="00914146"/>
    <w:rsid w:val="00914340"/>
    <w:rsid w:val="00915683"/>
    <w:rsid w:val="00917FD7"/>
    <w:rsid w:val="009203D7"/>
    <w:rsid w:val="00920977"/>
    <w:rsid w:val="00920A66"/>
    <w:rsid w:val="00921B1B"/>
    <w:rsid w:val="0092267D"/>
    <w:rsid w:val="0092375D"/>
    <w:rsid w:val="00923792"/>
    <w:rsid w:val="00923808"/>
    <w:rsid w:val="00925075"/>
    <w:rsid w:val="00925DE3"/>
    <w:rsid w:val="00925FF8"/>
    <w:rsid w:val="00926DEF"/>
    <w:rsid w:val="009278C8"/>
    <w:rsid w:val="00927C16"/>
    <w:rsid w:val="00927C83"/>
    <w:rsid w:val="00932405"/>
    <w:rsid w:val="00932500"/>
    <w:rsid w:val="0093504E"/>
    <w:rsid w:val="0093564C"/>
    <w:rsid w:val="00935DC6"/>
    <w:rsid w:val="009377B6"/>
    <w:rsid w:val="009400EB"/>
    <w:rsid w:val="0094038B"/>
    <w:rsid w:val="009418E9"/>
    <w:rsid w:val="009424D9"/>
    <w:rsid w:val="0094251B"/>
    <w:rsid w:val="00942831"/>
    <w:rsid w:val="0094293C"/>
    <w:rsid w:val="00943E67"/>
    <w:rsid w:val="009445F0"/>
    <w:rsid w:val="00946F5F"/>
    <w:rsid w:val="0094757E"/>
    <w:rsid w:val="00947F54"/>
    <w:rsid w:val="00950133"/>
    <w:rsid w:val="0095101B"/>
    <w:rsid w:val="009510AE"/>
    <w:rsid w:val="00951421"/>
    <w:rsid w:val="0095209D"/>
    <w:rsid w:val="0095254A"/>
    <w:rsid w:val="00953CF5"/>
    <w:rsid w:val="009542AE"/>
    <w:rsid w:val="00954704"/>
    <w:rsid w:val="009551FF"/>
    <w:rsid w:val="00955500"/>
    <w:rsid w:val="0095609C"/>
    <w:rsid w:val="009561B9"/>
    <w:rsid w:val="0095667C"/>
    <w:rsid w:val="00956B15"/>
    <w:rsid w:val="00957172"/>
    <w:rsid w:val="00957655"/>
    <w:rsid w:val="00957D56"/>
    <w:rsid w:val="00961182"/>
    <w:rsid w:val="00965558"/>
    <w:rsid w:val="00966629"/>
    <w:rsid w:val="00966BC8"/>
    <w:rsid w:val="00970287"/>
    <w:rsid w:val="00971205"/>
    <w:rsid w:val="00972E14"/>
    <w:rsid w:val="00974221"/>
    <w:rsid w:val="009745DC"/>
    <w:rsid w:val="00974DC8"/>
    <w:rsid w:val="0097560D"/>
    <w:rsid w:val="00975EC7"/>
    <w:rsid w:val="00976A51"/>
    <w:rsid w:val="00976E9E"/>
    <w:rsid w:val="00976F2A"/>
    <w:rsid w:val="0098206E"/>
    <w:rsid w:val="00984454"/>
    <w:rsid w:val="009851A5"/>
    <w:rsid w:val="00986CFB"/>
    <w:rsid w:val="00986FCB"/>
    <w:rsid w:val="009870D6"/>
    <w:rsid w:val="00991CCA"/>
    <w:rsid w:val="009929E1"/>
    <w:rsid w:val="00993206"/>
    <w:rsid w:val="009A0754"/>
    <w:rsid w:val="009A1534"/>
    <w:rsid w:val="009A2D3D"/>
    <w:rsid w:val="009A3064"/>
    <w:rsid w:val="009A39BA"/>
    <w:rsid w:val="009A4649"/>
    <w:rsid w:val="009A4C34"/>
    <w:rsid w:val="009A607B"/>
    <w:rsid w:val="009A78BD"/>
    <w:rsid w:val="009B094B"/>
    <w:rsid w:val="009B4F20"/>
    <w:rsid w:val="009B785A"/>
    <w:rsid w:val="009C083B"/>
    <w:rsid w:val="009C12F6"/>
    <w:rsid w:val="009C215D"/>
    <w:rsid w:val="009C446E"/>
    <w:rsid w:val="009C6418"/>
    <w:rsid w:val="009C7435"/>
    <w:rsid w:val="009D0D5E"/>
    <w:rsid w:val="009D1F59"/>
    <w:rsid w:val="009D31B7"/>
    <w:rsid w:val="009D44AD"/>
    <w:rsid w:val="009D4A09"/>
    <w:rsid w:val="009D57E5"/>
    <w:rsid w:val="009E0A7F"/>
    <w:rsid w:val="009E1B88"/>
    <w:rsid w:val="009E1CCE"/>
    <w:rsid w:val="009E1FD2"/>
    <w:rsid w:val="009E2803"/>
    <w:rsid w:val="009E3085"/>
    <w:rsid w:val="009E5050"/>
    <w:rsid w:val="009E5550"/>
    <w:rsid w:val="009E5FD0"/>
    <w:rsid w:val="009F02AD"/>
    <w:rsid w:val="009F0433"/>
    <w:rsid w:val="009F12BD"/>
    <w:rsid w:val="009F5322"/>
    <w:rsid w:val="009F5526"/>
    <w:rsid w:val="009F793F"/>
    <w:rsid w:val="00A01B2E"/>
    <w:rsid w:val="00A02106"/>
    <w:rsid w:val="00A02EAA"/>
    <w:rsid w:val="00A03176"/>
    <w:rsid w:val="00A03F1B"/>
    <w:rsid w:val="00A0417B"/>
    <w:rsid w:val="00A107CF"/>
    <w:rsid w:val="00A11013"/>
    <w:rsid w:val="00A11C67"/>
    <w:rsid w:val="00A120FD"/>
    <w:rsid w:val="00A138C6"/>
    <w:rsid w:val="00A157D7"/>
    <w:rsid w:val="00A15825"/>
    <w:rsid w:val="00A15FB2"/>
    <w:rsid w:val="00A2158B"/>
    <w:rsid w:val="00A21675"/>
    <w:rsid w:val="00A23AE2"/>
    <w:rsid w:val="00A2446D"/>
    <w:rsid w:val="00A24643"/>
    <w:rsid w:val="00A24AE3"/>
    <w:rsid w:val="00A27A66"/>
    <w:rsid w:val="00A27CAA"/>
    <w:rsid w:val="00A3038C"/>
    <w:rsid w:val="00A303B3"/>
    <w:rsid w:val="00A30DCB"/>
    <w:rsid w:val="00A3394A"/>
    <w:rsid w:val="00A34885"/>
    <w:rsid w:val="00A348F0"/>
    <w:rsid w:val="00A3519A"/>
    <w:rsid w:val="00A36C47"/>
    <w:rsid w:val="00A3756B"/>
    <w:rsid w:val="00A414E2"/>
    <w:rsid w:val="00A419A0"/>
    <w:rsid w:val="00A42BBD"/>
    <w:rsid w:val="00A42F58"/>
    <w:rsid w:val="00A454D2"/>
    <w:rsid w:val="00A464A1"/>
    <w:rsid w:val="00A50FC5"/>
    <w:rsid w:val="00A514CF"/>
    <w:rsid w:val="00A51F94"/>
    <w:rsid w:val="00A5218B"/>
    <w:rsid w:val="00A521E3"/>
    <w:rsid w:val="00A54E51"/>
    <w:rsid w:val="00A55733"/>
    <w:rsid w:val="00A57A07"/>
    <w:rsid w:val="00A6081A"/>
    <w:rsid w:val="00A61795"/>
    <w:rsid w:val="00A61AB3"/>
    <w:rsid w:val="00A61D4C"/>
    <w:rsid w:val="00A62520"/>
    <w:rsid w:val="00A6288B"/>
    <w:rsid w:val="00A62B1B"/>
    <w:rsid w:val="00A6502B"/>
    <w:rsid w:val="00A65AD0"/>
    <w:rsid w:val="00A674A0"/>
    <w:rsid w:val="00A716B5"/>
    <w:rsid w:val="00A71755"/>
    <w:rsid w:val="00A72FBA"/>
    <w:rsid w:val="00A73C06"/>
    <w:rsid w:val="00A745E9"/>
    <w:rsid w:val="00A768BA"/>
    <w:rsid w:val="00A76B79"/>
    <w:rsid w:val="00A77851"/>
    <w:rsid w:val="00A77882"/>
    <w:rsid w:val="00A77B30"/>
    <w:rsid w:val="00A77B57"/>
    <w:rsid w:val="00A803DD"/>
    <w:rsid w:val="00A807EA"/>
    <w:rsid w:val="00A813F8"/>
    <w:rsid w:val="00A81754"/>
    <w:rsid w:val="00A819B8"/>
    <w:rsid w:val="00A8295C"/>
    <w:rsid w:val="00A82F43"/>
    <w:rsid w:val="00A83243"/>
    <w:rsid w:val="00A83D8F"/>
    <w:rsid w:val="00A84DDC"/>
    <w:rsid w:val="00A85B0B"/>
    <w:rsid w:val="00A86C26"/>
    <w:rsid w:val="00A86E24"/>
    <w:rsid w:val="00A87983"/>
    <w:rsid w:val="00A87E92"/>
    <w:rsid w:val="00A929DE"/>
    <w:rsid w:val="00A93DE8"/>
    <w:rsid w:val="00A9604D"/>
    <w:rsid w:val="00A96CB8"/>
    <w:rsid w:val="00AA00BF"/>
    <w:rsid w:val="00AA095F"/>
    <w:rsid w:val="00AA2498"/>
    <w:rsid w:val="00AA24AD"/>
    <w:rsid w:val="00AA2599"/>
    <w:rsid w:val="00AA3033"/>
    <w:rsid w:val="00AA33CC"/>
    <w:rsid w:val="00AA59A1"/>
    <w:rsid w:val="00AA5C83"/>
    <w:rsid w:val="00AA5FC0"/>
    <w:rsid w:val="00AA6A81"/>
    <w:rsid w:val="00AA6AAB"/>
    <w:rsid w:val="00AA7DE5"/>
    <w:rsid w:val="00AB0A38"/>
    <w:rsid w:val="00AB1B37"/>
    <w:rsid w:val="00AB1C0E"/>
    <w:rsid w:val="00AB345D"/>
    <w:rsid w:val="00AB5C38"/>
    <w:rsid w:val="00AC05FB"/>
    <w:rsid w:val="00AC1675"/>
    <w:rsid w:val="00AC228A"/>
    <w:rsid w:val="00AC27A2"/>
    <w:rsid w:val="00AC3353"/>
    <w:rsid w:val="00AC3B99"/>
    <w:rsid w:val="00AC3F39"/>
    <w:rsid w:val="00AC7CC2"/>
    <w:rsid w:val="00AD2931"/>
    <w:rsid w:val="00AD315C"/>
    <w:rsid w:val="00AD4372"/>
    <w:rsid w:val="00AD46C8"/>
    <w:rsid w:val="00AD67DE"/>
    <w:rsid w:val="00AD7114"/>
    <w:rsid w:val="00AE036F"/>
    <w:rsid w:val="00AE062F"/>
    <w:rsid w:val="00AE1347"/>
    <w:rsid w:val="00AE193F"/>
    <w:rsid w:val="00AE1CCD"/>
    <w:rsid w:val="00AE1F5C"/>
    <w:rsid w:val="00AE34D7"/>
    <w:rsid w:val="00AE3AFE"/>
    <w:rsid w:val="00AE6109"/>
    <w:rsid w:val="00AE6163"/>
    <w:rsid w:val="00AE700E"/>
    <w:rsid w:val="00AF1D6A"/>
    <w:rsid w:val="00AF2079"/>
    <w:rsid w:val="00AF4592"/>
    <w:rsid w:val="00AF5835"/>
    <w:rsid w:val="00AF65B5"/>
    <w:rsid w:val="00AF7A13"/>
    <w:rsid w:val="00AF7CDB"/>
    <w:rsid w:val="00B00088"/>
    <w:rsid w:val="00B00862"/>
    <w:rsid w:val="00B02318"/>
    <w:rsid w:val="00B02D3A"/>
    <w:rsid w:val="00B02FD6"/>
    <w:rsid w:val="00B05C4F"/>
    <w:rsid w:val="00B06F16"/>
    <w:rsid w:val="00B10604"/>
    <w:rsid w:val="00B1080C"/>
    <w:rsid w:val="00B116CD"/>
    <w:rsid w:val="00B12112"/>
    <w:rsid w:val="00B12301"/>
    <w:rsid w:val="00B1436D"/>
    <w:rsid w:val="00B159C9"/>
    <w:rsid w:val="00B21587"/>
    <w:rsid w:val="00B21937"/>
    <w:rsid w:val="00B21967"/>
    <w:rsid w:val="00B24BB9"/>
    <w:rsid w:val="00B25AE8"/>
    <w:rsid w:val="00B25C2F"/>
    <w:rsid w:val="00B26864"/>
    <w:rsid w:val="00B27286"/>
    <w:rsid w:val="00B276E4"/>
    <w:rsid w:val="00B27BA7"/>
    <w:rsid w:val="00B300A3"/>
    <w:rsid w:val="00B301AE"/>
    <w:rsid w:val="00B30F36"/>
    <w:rsid w:val="00B30FDB"/>
    <w:rsid w:val="00B319DE"/>
    <w:rsid w:val="00B322F3"/>
    <w:rsid w:val="00B326F1"/>
    <w:rsid w:val="00B32AB8"/>
    <w:rsid w:val="00B334C4"/>
    <w:rsid w:val="00B3418B"/>
    <w:rsid w:val="00B34A0A"/>
    <w:rsid w:val="00B359C0"/>
    <w:rsid w:val="00B376E1"/>
    <w:rsid w:val="00B37CB1"/>
    <w:rsid w:val="00B37F53"/>
    <w:rsid w:val="00B40DD3"/>
    <w:rsid w:val="00B4321E"/>
    <w:rsid w:val="00B44A0B"/>
    <w:rsid w:val="00B45209"/>
    <w:rsid w:val="00B4577E"/>
    <w:rsid w:val="00B457C5"/>
    <w:rsid w:val="00B46005"/>
    <w:rsid w:val="00B47A00"/>
    <w:rsid w:val="00B50204"/>
    <w:rsid w:val="00B50E31"/>
    <w:rsid w:val="00B513A5"/>
    <w:rsid w:val="00B51431"/>
    <w:rsid w:val="00B5151F"/>
    <w:rsid w:val="00B5408A"/>
    <w:rsid w:val="00B54BD1"/>
    <w:rsid w:val="00B54E84"/>
    <w:rsid w:val="00B564B0"/>
    <w:rsid w:val="00B57C0D"/>
    <w:rsid w:val="00B57E66"/>
    <w:rsid w:val="00B61A57"/>
    <w:rsid w:val="00B61B81"/>
    <w:rsid w:val="00B62A5C"/>
    <w:rsid w:val="00B62FE2"/>
    <w:rsid w:val="00B63953"/>
    <w:rsid w:val="00B64DCD"/>
    <w:rsid w:val="00B66DA8"/>
    <w:rsid w:val="00B6785A"/>
    <w:rsid w:val="00B67DEF"/>
    <w:rsid w:val="00B71445"/>
    <w:rsid w:val="00B717C4"/>
    <w:rsid w:val="00B730C2"/>
    <w:rsid w:val="00B73828"/>
    <w:rsid w:val="00B75DE2"/>
    <w:rsid w:val="00B772FB"/>
    <w:rsid w:val="00B80D30"/>
    <w:rsid w:val="00B81DDB"/>
    <w:rsid w:val="00B82207"/>
    <w:rsid w:val="00B823CE"/>
    <w:rsid w:val="00B823F8"/>
    <w:rsid w:val="00B8382E"/>
    <w:rsid w:val="00B83EDD"/>
    <w:rsid w:val="00B84341"/>
    <w:rsid w:val="00B8508C"/>
    <w:rsid w:val="00B866A7"/>
    <w:rsid w:val="00B90A8B"/>
    <w:rsid w:val="00B92A13"/>
    <w:rsid w:val="00B92AC9"/>
    <w:rsid w:val="00B93968"/>
    <w:rsid w:val="00B93C39"/>
    <w:rsid w:val="00B94AC3"/>
    <w:rsid w:val="00B97829"/>
    <w:rsid w:val="00B97D0E"/>
    <w:rsid w:val="00BA022B"/>
    <w:rsid w:val="00BA034C"/>
    <w:rsid w:val="00BA04C8"/>
    <w:rsid w:val="00BA0669"/>
    <w:rsid w:val="00BA25CB"/>
    <w:rsid w:val="00BA2979"/>
    <w:rsid w:val="00BA35D7"/>
    <w:rsid w:val="00BA3F70"/>
    <w:rsid w:val="00BA4889"/>
    <w:rsid w:val="00BB0865"/>
    <w:rsid w:val="00BB08D3"/>
    <w:rsid w:val="00BB0E18"/>
    <w:rsid w:val="00BB5A6B"/>
    <w:rsid w:val="00BB6698"/>
    <w:rsid w:val="00BB684D"/>
    <w:rsid w:val="00BB6A25"/>
    <w:rsid w:val="00BB772F"/>
    <w:rsid w:val="00BB7B79"/>
    <w:rsid w:val="00BC0248"/>
    <w:rsid w:val="00BC10C5"/>
    <w:rsid w:val="00BC22DD"/>
    <w:rsid w:val="00BC23CB"/>
    <w:rsid w:val="00BC254B"/>
    <w:rsid w:val="00BC3C83"/>
    <w:rsid w:val="00BC3F8D"/>
    <w:rsid w:val="00BC53BB"/>
    <w:rsid w:val="00BC555D"/>
    <w:rsid w:val="00BC6AED"/>
    <w:rsid w:val="00BD2C3E"/>
    <w:rsid w:val="00BD342E"/>
    <w:rsid w:val="00BD37C9"/>
    <w:rsid w:val="00BD3957"/>
    <w:rsid w:val="00BD39E9"/>
    <w:rsid w:val="00BD3ADD"/>
    <w:rsid w:val="00BD3ED2"/>
    <w:rsid w:val="00BD4E51"/>
    <w:rsid w:val="00BD52ED"/>
    <w:rsid w:val="00BD7E27"/>
    <w:rsid w:val="00BE090F"/>
    <w:rsid w:val="00BE0C0E"/>
    <w:rsid w:val="00BE19BE"/>
    <w:rsid w:val="00BE1B7A"/>
    <w:rsid w:val="00BE251B"/>
    <w:rsid w:val="00BE4C7F"/>
    <w:rsid w:val="00BE512E"/>
    <w:rsid w:val="00BE5631"/>
    <w:rsid w:val="00BE5E73"/>
    <w:rsid w:val="00BE5FA6"/>
    <w:rsid w:val="00BE6C05"/>
    <w:rsid w:val="00BF0EA7"/>
    <w:rsid w:val="00BF1F0F"/>
    <w:rsid w:val="00BF2849"/>
    <w:rsid w:val="00BF2C35"/>
    <w:rsid w:val="00BF3D48"/>
    <w:rsid w:val="00BF3E34"/>
    <w:rsid w:val="00BF473A"/>
    <w:rsid w:val="00BF6832"/>
    <w:rsid w:val="00C03FF6"/>
    <w:rsid w:val="00C047FD"/>
    <w:rsid w:val="00C07552"/>
    <w:rsid w:val="00C1023C"/>
    <w:rsid w:val="00C10925"/>
    <w:rsid w:val="00C11C5A"/>
    <w:rsid w:val="00C122DD"/>
    <w:rsid w:val="00C129BA"/>
    <w:rsid w:val="00C1788E"/>
    <w:rsid w:val="00C200EA"/>
    <w:rsid w:val="00C21859"/>
    <w:rsid w:val="00C2220F"/>
    <w:rsid w:val="00C24722"/>
    <w:rsid w:val="00C25ECD"/>
    <w:rsid w:val="00C27246"/>
    <w:rsid w:val="00C30284"/>
    <w:rsid w:val="00C3085E"/>
    <w:rsid w:val="00C30B42"/>
    <w:rsid w:val="00C310D4"/>
    <w:rsid w:val="00C3171B"/>
    <w:rsid w:val="00C31AD0"/>
    <w:rsid w:val="00C331EB"/>
    <w:rsid w:val="00C332F2"/>
    <w:rsid w:val="00C3345E"/>
    <w:rsid w:val="00C33565"/>
    <w:rsid w:val="00C335D8"/>
    <w:rsid w:val="00C35B94"/>
    <w:rsid w:val="00C35E4E"/>
    <w:rsid w:val="00C3779A"/>
    <w:rsid w:val="00C37D8C"/>
    <w:rsid w:val="00C40BA1"/>
    <w:rsid w:val="00C41609"/>
    <w:rsid w:val="00C42283"/>
    <w:rsid w:val="00C427E8"/>
    <w:rsid w:val="00C42999"/>
    <w:rsid w:val="00C42B39"/>
    <w:rsid w:val="00C42C2B"/>
    <w:rsid w:val="00C42F0C"/>
    <w:rsid w:val="00C42F57"/>
    <w:rsid w:val="00C43A34"/>
    <w:rsid w:val="00C44C6B"/>
    <w:rsid w:val="00C459F5"/>
    <w:rsid w:val="00C46A61"/>
    <w:rsid w:val="00C51701"/>
    <w:rsid w:val="00C51ABF"/>
    <w:rsid w:val="00C558D5"/>
    <w:rsid w:val="00C55F22"/>
    <w:rsid w:val="00C6302F"/>
    <w:rsid w:val="00C631A2"/>
    <w:rsid w:val="00C635C6"/>
    <w:rsid w:val="00C6469E"/>
    <w:rsid w:val="00C65DF0"/>
    <w:rsid w:val="00C72DF9"/>
    <w:rsid w:val="00C73F52"/>
    <w:rsid w:val="00C7422B"/>
    <w:rsid w:val="00C75E82"/>
    <w:rsid w:val="00C77747"/>
    <w:rsid w:val="00C81E78"/>
    <w:rsid w:val="00C82E65"/>
    <w:rsid w:val="00C83813"/>
    <w:rsid w:val="00C83ABD"/>
    <w:rsid w:val="00C841CF"/>
    <w:rsid w:val="00C842C2"/>
    <w:rsid w:val="00C84875"/>
    <w:rsid w:val="00C853B9"/>
    <w:rsid w:val="00C87DDB"/>
    <w:rsid w:val="00C9065D"/>
    <w:rsid w:val="00C911BA"/>
    <w:rsid w:val="00C91C3B"/>
    <w:rsid w:val="00C92045"/>
    <w:rsid w:val="00C921B5"/>
    <w:rsid w:val="00C94028"/>
    <w:rsid w:val="00C94958"/>
    <w:rsid w:val="00C94B40"/>
    <w:rsid w:val="00C9592A"/>
    <w:rsid w:val="00C96882"/>
    <w:rsid w:val="00C96D45"/>
    <w:rsid w:val="00C96DAF"/>
    <w:rsid w:val="00C97097"/>
    <w:rsid w:val="00C97E61"/>
    <w:rsid w:val="00C97F6A"/>
    <w:rsid w:val="00CA0E85"/>
    <w:rsid w:val="00CA1353"/>
    <w:rsid w:val="00CA188E"/>
    <w:rsid w:val="00CA19C0"/>
    <w:rsid w:val="00CA249D"/>
    <w:rsid w:val="00CA2554"/>
    <w:rsid w:val="00CA2EA2"/>
    <w:rsid w:val="00CA41AA"/>
    <w:rsid w:val="00CA427D"/>
    <w:rsid w:val="00CA452E"/>
    <w:rsid w:val="00CA4CE6"/>
    <w:rsid w:val="00CA5F8A"/>
    <w:rsid w:val="00CA6DA2"/>
    <w:rsid w:val="00CA6E55"/>
    <w:rsid w:val="00CA741E"/>
    <w:rsid w:val="00CA78A6"/>
    <w:rsid w:val="00CB4EB0"/>
    <w:rsid w:val="00CB5322"/>
    <w:rsid w:val="00CB735A"/>
    <w:rsid w:val="00CB7C30"/>
    <w:rsid w:val="00CC06E3"/>
    <w:rsid w:val="00CC1276"/>
    <w:rsid w:val="00CC1FFA"/>
    <w:rsid w:val="00CC2D96"/>
    <w:rsid w:val="00CC3994"/>
    <w:rsid w:val="00CC5519"/>
    <w:rsid w:val="00CC5B52"/>
    <w:rsid w:val="00CC6217"/>
    <w:rsid w:val="00CC6459"/>
    <w:rsid w:val="00CC7900"/>
    <w:rsid w:val="00CD097E"/>
    <w:rsid w:val="00CD0E80"/>
    <w:rsid w:val="00CD0F97"/>
    <w:rsid w:val="00CD1031"/>
    <w:rsid w:val="00CD149A"/>
    <w:rsid w:val="00CD1AC5"/>
    <w:rsid w:val="00CD23E5"/>
    <w:rsid w:val="00CD290C"/>
    <w:rsid w:val="00CD3006"/>
    <w:rsid w:val="00CD3245"/>
    <w:rsid w:val="00CD3B0C"/>
    <w:rsid w:val="00CD3D6D"/>
    <w:rsid w:val="00CD4811"/>
    <w:rsid w:val="00CD4848"/>
    <w:rsid w:val="00CD547D"/>
    <w:rsid w:val="00CD568D"/>
    <w:rsid w:val="00CD7D50"/>
    <w:rsid w:val="00CE21DD"/>
    <w:rsid w:val="00CE2FE6"/>
    <w:rsid w:val="00CE3998"/>
    <w:rsid w:val="00CE5FA6"/>
    <w:rsid w:val="00CF148E"/>
    <w:rsid w:val="00CF18CE"/>
    <w:rsid w:val="00CF33E0"/>
    <w:rsid w:val="00CF3C5F"/>
    <w:rsid w:val="00CF4762"/>
    <w:rsid w:val="00CF4FAC"/>
    <w:rsid w:val="00CF6061"/>
    <w:rsid w:val="00CF722F"/>
    <w:rsid w:val="00D00265"/>
    <w:rsid w:val="00D01E48"/>
    <w:rsid w:val="00D03ACA"/>
    <w:rsid w:val="00D04894"/>
    <w:rsid w:val="00D05578"/>
    <w:rsid w:val="00D05E9C"/>
    <w:rsid w:val="00D10204"/>
    <w:rsid w:val="00D147D7"/>
    <w:rsid w:val="00D1578C"/>
    <w:rsid w:val="00D15E3D"/>
    <w:rsid w:val="00D16950"/>
    <w:rsid w:val="00D169CF"/>
    <w:rsid w:val="00D17066"/>
    <w:rsid w:val="00D171E8"/>
    <w:rsid w:val="00D20CE1"/>
    <w:rsid w:val="00D210A0"/>
    <w:rsid w:val="00D21EEC"/>
    <w:rsid w:val="00D24354"/>
    <w:rsid w:val="00D246C1"/>
    <w:rsid w:val="00D24C9A"/>
    <w:rsid w:val="00D25795"/>
    <w:rsid w:val="00D25B59"/>
    <w:rsid w:val="00D26F27"/>
    <w:rsid w:val="00D26F64"/>
    <w:rsid w:val="00D27499"/>
    <w:rsid w:val="00D3145A"/>
    <w:rsid w:val="00D3189E"/>
    <w:rsid w:val="00D31B43"/>
    <w:rsid w:val="00D32F49"/>
    <w:rsid w:val="00D34868"/>
    <w:rsid w:val="00D349DE"/>
    <w:rsid w:val="00D35028"/>
    <w:rsid w:val="00D35252"/>
    <w:rsid w:val="00D355E9"/>
    <w:rsid w:val="00D35C19"/>
    <w:rsid w:val="00D37457"/>
    <w:rsid w:val="00D3778B"/>
    <w:rsid w:val="00D377D6"/>
    <w:rsid w:val="00D42B80"/>
    <w:rsid w:val="00D43DD8"/>
    <w:rsid w:val="00D440A2"/>
    <w:rsid w:val="00D444A4"/>
    <w:rsid w:val="00D44B32"/>
    <w:rsid w:val="00D462F7"/>
    <w:rsid w:val="00D46987"/>
    <w:rsid w:val="00D47324"/>
    <w:rsid w:val="00D50DF9"/>
    <w:rsid w:val="00D51B90"/>
    <w:rsid w:val="00D51DD8"/>
    <w:rsid w:val="00D5256B"/>
    <w:rsid w:val="00D52C5D"/>
    <w:rsid w:val="00D53083"/>
    <w:rsid w:val="00D547B1"/>
    <w:rsid w:val="00D5509E"/>
    <w:rsid w:val="00D558C2"/>
    <w:rsid w:val="00D55F5B"/>
    <w:rsid w:val="00D56295"/>
    <w:rsid w:val="00D56C19"/>
    <w:rsid w:val="00D57625"/>
    <w:rsid w:val="00D57D21"/>
    <w:rsid w:val="00D57E62"/>
    <w:rsid w:val="00D61109"/>
    <w:rsid w:val="00D6121E"/>
    <w:rsid w:val="00D63061"/>
    <w:rsid w:val="00D63934"/>
    <w:rsid w:val="00D63CEA"/>
    <w:rsid w:val="00D641BD"/>
    <w:rsid w:val="00D64425"/>
    <w:rsid w:val="00D65D55"/>
    <w:rsid w:val="00D6699A"/>
    <w:rsid w:val="00D66CA8"/>
    <w:rsid w:val="00D70591"/>
    <w:rsid w:val="00D7259F"/>
    <w:rsid w:val="00D72E5B"/>
    <w:rsid w:val="00D73ADE"/>
    <w:rsid w:val="00D743BB"/>
    <w:rsid w:val="00D7449D"/>
    <w:rsid w:val="00D747E6"/>
    <w:rsid w:val="00D753B9"/>
    <w:rsid w:val="00D7612D"/>
    <w:rsid w:val="00D7634F"/>
    <w:rsid w:val="00D7681F"/>
    <w:rsid w:val="00D8318F"/>
    <w:rsid w:val="00D835EE"/>
    <w:rsid w:val="00D83C2A"/>
    <w:rsid w:val="00D86B55"/>
    <w:rsid w:val="00D8721E"/>
    <w:rsid w:val="00D900F3"/>
    <w:rsid w:val="00D90200"/>
    <w:rsid w:val="00D90225"/>
    <w:rsid w:val="00D9175A"/>
    <w:rsid w:val="00D91F34"/>
    <w:rsid w:val="00D93BAD"/>
    <w:rsid w:val="00D94146"/>
    <w:rsid w:val="00D95E99"/>
    <w:rsid w:val="00D9764F"/>
    <w:rsid w:val="00DA0031"/>
    <w:rsid w:val="00DA0218"/>
    <w:rsid w:val="00DA038B"/>
    <w:rsid w:val="00DA06E3"/>
    <w:rsid w:val="00DA141C"/>
    <w:rsid w:val="00DA2D09"/>
    <w:rsid w:val="00DA4018"/>
    <w:rsid w:val="00DA434E"/>
    <w:rsid w:val="00DA4445"/>
    <w:rsid w:val="00DA6246"/>
    <w:rsid w:val="00DA796F"/>
    <w:rsid w:val="00DB0577"/>
    <w:rsid w:val="00DB1828"/>
    <w:rsid w:val="00DB1C42"/>
    <w:rsid w:val="00DB3383"/>
    <w:rsid w:val="00DB4745"/>
    <w:rsid w:val="00DB4BDE"/>
    <w:rsid w:val="00DB5BEB"/>
    <w:rsid w:val="00DB6669"/>
    <w:rsid w:val="00DB6997"/>
    <w:rsid w:val="00DB6F8D"/>
    <w:rsid w:val="00DB7814"/>
    <w:rsid w:val="00DC0037"/>
    <w:rsid w:val="00DC05A5"/>
    <w:rsid w:val="00DC214B"/>
    <w:rsid w:val="00DC25D5"/>
    <w:rsid w:val="00DC260E"/>
    <w:rsid w:val="00DC3736"/>
    <w:rsid w:val="00DC38EB"/>
    <w:rsid w:val="00DC3C61"/>
    <w:rsid w:val="00DC544F"/>
    <w:rsid w:val="00DC58CF"/>
    <w:rsid w:val="00DC5930"/>
    <w:rsid w:val="00DC6175"/>
    <w:rsid w:val="00DC648F"/>
    <w:rsid w:val="00DC6EA4"/>
    <w:rsid w:val="00DC70E5"/>
    <w:rsid w:val="00DD0189"/>
    <w:rsid w:val="00DD0B96"/>
    <w:rsid w:val="00DD2099"/>
    <w:rsid w:val="00DD21AF"/>
    <w:rsid w:val="00DD4A22"/>
    <w:rsid w:val="00DD5707"/>
    <w:rsid w:val="00DD57CE"/>
    <w:rsid w:val="00DD7201"/>
    <w:rsid w:val="00DD76F6"/>
    <w:rsid w:val="00DD7FCD"/>
    <w:rsid w:val="00DE032A"/>
    <w:rsid w:val="00DE0D13"/>
    <w:rsid w:val="00DE1201"/>
    <w:rsid w:val="00DE2219"/>
    <w:rsid w:val="00DE3861"/>
    <w:rsid w:val="00DE508F"/>
    <w:rsid w:val="00DE55F6"/>
    <w:rsid w:val="00DF3024"/>
    <w:rsid w:val="00DF4A17"/>
    <w:rsid w:val="00DF711E"/>
    <w:rsid w:val="00E023AE"/>
    <w:rsid w:val="00E02B09"/>
    <w:rsid w:val="00E02D7E"/>
    <w:rsid w:val="00E059A9"/>
    <w:rsid w:val="00E061DF"/>
    <w:rsid w:val="00E068C2"/>
    <w:rsid w:val="00E06F6A"/>
    <w:rsid w:val="00E06FB8"/>
    <w:rsid w:val="00E0709E"/>
    <w:rsid w:val="00E07178"/>
    <w:rsid w:val="00E071A2"/>
    <w:rsid w:val="00E07EB4"/>
    <w:rsid w:val="00E110A9"/>
    <w:rsid w:val="00E116DA"/>
    <w:rsid w:val="00E11D61"/>
    <w:rsid w:val="00E1260F"/>
    <w:rsid w:val="00E14B94"/>
    <w:rsid w:val="00E16660"/>
    <w:rsid w:val="00E171B8"/>
    <w:rsid w:val="00E21786"/>
    <w:rsid w:val="00E23806"/>
    <w:rsid w:val="00E24240"/>
    <w:rsid w:val="00E276C5"/>
    <w:rsid w:val="00E33162"/>
    <w:rsid w:val="00E3343C"/>
    <w:rsid w:val="00E34011"/>
    <w:rsid w:val="00E3438E"/>
    <w:rsid w:val="00E34A7E"/>
    <w:rsid w:val="00E3615C"/>
    <w:rsid w:val="00E36286"/>
    <w:rsid w:val="00E36B54"/>
    <w:rsid w:val="00E36FC1"/>
    <w:rsid w:val="00E379A0"/>
    <w:rsid w:val="00E37E99"/>
    <w:rsid w:val="00E401D1"/>
    <w:rsid w:val="00E408CB"/>
    <w:rsid w:val="00E419B3"/>
    <w:rsid w:val="00E419E0"/>
    <w:rsid w:val="00E41A90"/>
    <w:rsid w:val="00E42195"/>
    <w:rsid w:val="00E42F21"/>
    <w:rsid w:val="00E4349C"/>
    <w:rsid w:val="00E438DC"/>
    <w:rsid w:val="00E46E39"/>
    <w:rsid w:val="00E51F52"/>
    <w:rsid w:val="00E53202"/>
    <w:rsid w:val="00E54D3B"/>
    <w:rsid w:val="00E55AE1"/>
    <w:rsid w:val="00E55FF3"/>
    <w:rsid w:val="00E561DD"/>
    <w:rsid w:val="00E56956"/>
    <w:rsid w:val="00E569F9"/>
    <w:rsid w:val="00E56B85"/>
    <w:rsid w:val="00E600CC"/>
    <w:rsid w:val="00E60858"/>
    <w:rsid w:val="00E6233C"/>
    <w:rsid w:val="00E65B80"/>
    <w:rsid w:val="00E668F1"/>
    <w:rsid w:val="00E66C7C"/>
    <w:rsid w:val="00E67B45"/>
    <w:rsid w:val="00E67C90"/>
    <w:rsid w:val="00E67CD3"/>
    <w:rsid w:val="00E67CF7"/>
    <w:rsid w:val="00E71CE7"/>
    <w:rsid w:val="00E749D3"/>
    <w:rsid w:val="00E74EC5"/>
    <w:rsid w:val="00E74F21"/>
    <w:rsid w:val="00E7579B"/>
    <w:rsid w:val="00E77A57"/>
    <w:rsid w:val="00E81375"/>
    <w:rsid w:val="00E81C17"/>
    <w:rsid w:val="00E82206"/>
    <w:rsid w:val="00E83932"/>
    <w:rsid w:val="00E84BAD"/>
    <w:rsid w:val="00E84E9C"/>
    <w:rsid w:val="00E86EA7"/>
    <w:rsid w:val="00E902DE"/>
    <w:rsid w:val="00E90A32"/>
    <w:rsid w:val="00E937F6"/>
    <w:rsid w:val="00E94054"/>
    <w:rsid w:val="00E942A4"/>
    <w:rsid w:val="00E947CC"/>
    <w:rsid w:val="00E9508D"/>
    <w:rsid w:val="00E950F5"/>
    <w:rsid w:val="00E953DF"/>
    <w:rsid w:val="00E95AA2"/>
    <w:rsid w:val="00E96D8A"/>
    <w:rsid w:val="00EA0B0C"/>
    <w:rsid w:val="00EA265E"/>
    <w:rsid w:val="00EA27EE"/>
    <w:rsid w:val="00EA2A96"/>
    <w:rsid w:val="00EA5761"/>
    <w:rsid w:val="00EA63CA"/>
    <w:rsid w:val="00EA6527"/>
    <w:rsid w:val="00EB17C0"/>
    <w:rsid w:val="00EB3428"/>
    <w:rsid w:val="00EB3F4D"/>
    <w:rsid w:val="00EB4388"/>
    <w:rsid w:val="00EB5669"/>
    <w:rsid w:val="00EB5A08"/>
    <w:rsid w:val="00EB636C"/>
    <w:rsid w:val="00EB63B2"/>
    <w:rsid w:val="00EC01B1"/>
    <w:rsid w:val="00EC371B"/>
    <w:rsid w:val="00EC3B70"/>
    <w:rsid w:val="00EC4D23"/>
    <w:rsid w:val="00EC60E8"/>
    <w:rsid w:val="00EC6253"/>
    <w:rsid w:val="00EC677B"/>
    <w:rsid w:val="00ED01BD"/>
    <w:rsid w:val="00ED1D5D"/>
    <w:rsid w:val="00ED5AFA"/>
    <w:rsid w:val="00ED5D09"/>
    <w:rsid w:val="00ED640E"/>
    <w:rsid w:val="00ED7597"/>
    <w:rsid w:val="00ED7B9B"/>
    <w:rsid w:val="00EE06EA"/>
    <w:rsid w:val="00EE0AD6"/>
    <w:rsid w:val="00EE1C53"/>
    <w:rsid w:val="00EE1FB5"/>
    <w:rsid w:val="00EE20AF"/>
    <w:rsid w:val="00EE419A"/>
    <w:rsid w:val="00EE69B4"/>
    <w:rsid w:val="00EE737A"/>
    <w:rsid w:val="00EE7504"/>
    <w:rsid w:val="00EE766F"/>
    <w:rsid w:val="00EF11D5"/>
    <w:rsid w:val="00EF12B6"/>
    <w:rsid w:val="00EF2ACF"/>
    <w:rsid w:val="00EF3168"/>
    <w:rsid w:val="00EF6334"/>
    <w:rsid w:val="00EF6DF0"/>
    <w:rsid w:val="00F00484"/>
    <w:rsid w:val="00F01BCB"/>
    <w:rsid w:val="00F03D2E"/>
    <w:rsid w:val="00F04222"/>
    <w:rsid w:val="00F04532"/>
    <w:rsid w:val="00F04DA8"/>
    <w:rsid w:val="00F04EF5"/>
    <w:rsid w:val="00F055B8"/>
    <w:rsid w:val="00F063D5"/>
    <w:rsid w:val="00F1011B"/>
    <w:rsid w:val="00F122CD"/>
    <w:rsid w:val="00F132D7"/>
    <w:rsid w:val="00F148A1"/>
    <w:rsid w:val="00F15FC1"/>
    <w:rsid w:val="00F17CA6"/>
    <w:rsid w:val="00F20060"/>
    <w:rsid w:val="00F226FA"/>
    <w:rsid w:val="00F22BB4"/>
    <w:rsid w:val="00F22C40"/>
    <w:rsid w:val="00F22CEA"/>
    <w:rsid w:val="00F240FB"/>
    <w:rsid w:val="00F248BC"/>
    <w:rsid w:val="00F2636D"/>
    <w:rsid w:val="00F3026C"/>
    <w:rsid w:val="00F30F7E"/>
    <w:rsid w:val="00F317CA"/>
    <w:rsid w:val="00F318F9"/>
    <w:rsid w:val="00F337E6"/>
    <w:rsid w:val="00F33ABF"/>
    <w:rsid w:val="00F35F48"/>
    <w:rsid w:val="00F369B8"/>
    <w:rsid w:val="00F36D0C"/>
    <w:rsid w:val="00F40220"/>
    <w:rsid w:val="00F412B7"/>
    <w:rsid w:val="00F452FA"/>
    <w:rsid w:val="00F4578E"/>
    <w:rsid w:val="00F52C30"/>
    <w:rsid w:val="00F5362A"/>
    <w:rsid w:val="00F56003"/>
    <w:rsid w:val="00F5773B"/>
    <w:rsid w:val="00F60DAF"/>
    <w:rsid w:val="00F60FAE"/>
    <w:rsid w:val="00F624B6"/>
    <w:rsid w:val="00F62836"/>
    <w:rsid w:val="00F62956"/>
    <w:rsid w:val="00F62A9F"/>
    <w:rsid w:val="00F62B5F"/>
    <w:rsid w:val="00F63696"/>
    <w:rsid w:val="00F63B9D"/>
    <w:rsid w:val="00F63DCD"/>
    <w:rsid w:val="00F64773"/>
    <w:rsid w:val="00F64D66"/>
    <w:rsid w:val="00F65DA2"/>
    <w:rsid w:val="00F65EAE"/>
    <w:rsid w:val="00F67D0E"/>
    <w:rsid w:val="00F706EB"/>
    <w:rsid w:val="00F7149D"/>
    <w:rsid w:val="00F72B45"/>
    <w:rsid w:val="00F72C5C"/>
    <w:rsid w:val="00F73454"/>
    <w:rsid w:val="00F73A4A"/>
    <w:rsid w:val="00F74259"/>
    <w:rsid w:val="00F746F3"/>
    <w:rsid w:val="00F76681"/>
    <w:rsid w:val="00F770F8"/>
    <w:rsid w:val="00F80A88"/>
    <w:rsid w:val="00F810B9"/>
    <w:rsid w:val="00F8173F"/>
    <w:rsid w:val="00F81C3D"/>
    <w:rsid w:val="00F832C7"/>
    <w:rsid w:val="00F85566"/>
    <w:rsid w:val="00F8650B"/>
    <w:rsid w:val="00F869BD"/>
    <w:rsid w:val="00F8728D"/>
    <w:rsid w:val="00F87538"/>
    <w:rsid w:val="00F90617"/>
    <w:rsid w:val="00F90B72"/>
    <w:rsid w:val="00F91DEA"/>
    <w:rsid w:val="00F92D5A"/>
    <w:rsid w:val="00F93FE8"/>
    <w:rsid w:val="00FA146F"/>
    <w:rsid w:val="00FA1643"/>
    <w:rsid w:val="00FA3104"/>
    <w:rsid w:val="00FA3988"/>
    <w:rsid w:val="00FA4FEF"/>
    <w:rsid w:val="00FA5BD8"/>
    <w:rsid w:val="00FA5BF9"/>
    <w:rsid w:val="00FB25C3"/>
    <w:rsid w:val="00FB27F2"/>
    <w:rsid w:val="00FB42D6"/>
    <w:rsid w:val="00FB5137"/>
    <w:rsid w:val="00FB6110"/>
    <w:rsid w:val="00FB61D7"/>
    <w:rsid w:val="00FB7370"/>
    <w:rsid w:val="00FB7478"/>
    <w:rsid w:val="00FB79E2"/>
    <w:rsid w:val="00FC0266"/>
    <w:rsid w:val="00FC0459"/>
    <w:rsid w:val="00FC0866"/>
    <w:rsid w:val="00FC0AC8"/>
    <w:rsid w:val="00FC2863"/>
    <w:rsid w:val="00FC2AC0"/>
    <w:rsid w:val="00FC385A"/>
    <w:rsid w:val="00FC3866"/>
    <w:rsid w:val="00FC3E09"/>
    <w:rsid w:val="00FC3F76"/>
    <w:rsid w:val="00FC56F7"/>
    <w:rsid w:val="00FC6CC5"/>
    <w:rsid w:val="00FC6F78"/>
    <w:rsid w:val="00FC778D"/>
    <w:rsid w:val="00FD2D16"/>
    <w:rsid w:val="00FD34E7"/>
    <w:rsid w:val="00FD3F3C"/>
    <w:rsid w:val="00FD4571"/>
    <w:rsid w:val="00FD518D"/>
    <w:rsid w:val="00FD5AFE"/>
    <w:rsid w:val="00FD6989"/>
    <w:rsid w:val="00FD70D5"/>
    <w:rsid w:val="00FD7437"/>
    <w:rsid w:val="00FE028E"/>
    <w:rsid w:val="00FE0D72"/>
    <w:rsid w:val="00FE271E"/>
    <w:rsid w:val="00FE3AD8"/>
    <w:rsid w:val="00FE3DEE"/>
    <w:rsid w:val="00FE427C"/>
    <w:rsid w:val="00FE4B55"/>
    <w:rsid w:val="00FE5B6A"/>
    <w:rsid w:val="00FE5F4D"/>
    <w:rsid w:val="00FE67AF"/>
    <w:rsid w:val="00FE7590"/>
    <w:rsid w:val="00FF457A"/>
    <w:rsid w:val="00FF4EE8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D673B27"/>
  <w15:chartTrackingRefBased/>
  <w15:docId w15:val="{48E8060C-A70F-4C16-B42A-739F8B3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385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8C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14E2-694E-4E6F-905F-8576087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1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2021-06-22T13:44:00Z</cp:lastPrinted>
  <dcterms:created xsi:type="dcterms:W3CDTF">2023-06-28T13:04:00Z</dcterms:created>
  <dcterms:modified xsi:type="dcterms:W3CDTF">2023-06-28T13:04:00Z</dcterms:modified>
</cp:coreProperties>
</file>