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D4B2" w14:textId="77777777"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ДО</w:t>
      </w:r>
    </w:p>
    <w:p w14:paraId="1AE8984B" w14:textId="77777777"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ОБЛИГАЦИОНЕРИТЕ</w:t>
      </w:r>
    </w:p>
    <w:p w14:paraId="682730BD" w14:textId="77777777"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ПО ОБЛИГАЦИОННА ЕМИСИЯ</w:t>
      </w:r>
    </w:p>
    <w:p w14:paraId="4285A50B" w14:textId="77777777" w:rsidR="00B6316D" w:rsidRPr="0087291E" w:rsidRDefault="00B6316D" w:rsidP="00B6316D">
      <w:pPr>
        <w:ind w:left="4111"/>
        <w:rPr>
          <w:rStyle w:val="fontstyle01"/>
          <w:rFonts w:asciiTheme="minorHAnsi" w:hAnsiTheme="minorHAnsi"/>
          <w:sz w:val="24"/>
          <w:lang w:val="en-US"/>
        </w:rPr>
      </w:pPr>
      <w:r w:rsidRPr="008C660E">
        <w:rPr>
          <w:rStyle w:val="fontstyle01"/>
          <w:rFonts w:asciiTheme="minorHAnsi" w:hAnsiTheme="minorHAnsi"/>
          <w:sz w:val="24"/>
        </w:rPr>
        <w:t xml:space="preserve">С ISIN КОД: </w:t>
      </w:r>
      <w:r w:rsidR="0087291E">
        <w:rPr>
          <w:rStyle w:val="fontstyle01"/>
          <w:rFonts w:asciiTheme="minorHAnsi" w:hAnsiTheme="minorHAnsi"/>
          <w:sz w:val="24"/>
          <w:lang w:val="en-US"/>
        </w:rPr>
        <w:t>BG2100017198</w:t>
      </w:r>
    </w:p>
    <w:p w14:paraId="1C195D6E" w14:textId="77777777" w:rsidR="00B6316D"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ЕМИТИРАНА ОТ „</w:t>
      </w:r>
      <w:r w:rsidR="0087291E">
        <w:rPr>
          <w:rStyle w:val="fontstyle01"/>
          <w:rFonts w:asciiTheme="minorHAnsi" w:hAnsiTheme="minorHAnsi"/>
          <w:sz w:val="24"/>
        </w:rPr>
        <w:t>АЙ ТИ ЕФ ГРУП</w:t>
      </w:r>
      <w:r w:rsidRPr="008C660E">
        <w:rPr>
          <w:rStyle w:val="fontstyle01"/>
          <w:rFonts w:asciiTheme="minorHAnsi" w:hAnsiTheme="minorHAnsi"/>
          <w:sz w:val="24"/>
        </w:rPr>
        <w:t>“ АД</w:t>
      </w:r>
    </w:p>
    <w:p w14:paraId="142214EA" w14:textId="77777777" w:rsidR="0087291E" w:rsidRDefault="0087291E" w:rsidP="00B6316D">
      <w:pPr>
        <w:ind w:left="4111"/>
        <w:rPr>
          <w:rStyle w:val="fontstyle01"/>
          <w:rFonts w:asciiTheme="minorHAnsi" w:hAnsiTheme="minorHAnsi"/>
          <w:sz w:val="24"/>
        </w:rPr>
      </w:pPr>
    </w:p>
    <w:p w14:paraId="7A890136"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ДО</w:t>
      </w:r>
    </w:p>
    <w:p w14:paraId="75007B43"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ЗАМЕСТНИК-ПРЕДСЕДАТЕЛЯ,</w:t>
      </w:r>
    </w:p>
    <w:p w14:paraId="2E85A2EA"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РЪКОВОДЕЩ УПРАВЛЕНИЕ</w:t>
      </w:r>
    </w:p>
    <w:p w14:paraId="57C7C24C"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НАДЗОР НА ИНВЕСТИЦИОННА ДЕ</w:t>
      </w:r>
      <w:r w:rsidR="0019614A">
        <w:rPr>
          <w:rStyle w:val="fontstyle01"/>
          <w:rFonts w:asciiTheme="minorHAnsi" w:hAnsiTheme="minorHAnsi"/>
          <w:sz w:val="24"/>
        </w:rPr>
        <w:t>Й</w:t>
      </w:r>
      <w:r>
        <w:rPr>
          <w:rStyle w:val="fontstyle01"/>
          <w:rFonts w:asciiTheme="minorHAnsi" w:hAnsiTheme="minorHAnsi"/>
          <w:sz w:val="24"/>
        </w:rPr>
        <w:t xml:space="preserve">НОСТ НА </w:t>
      </w:r>
    </w:p>
    <w:p w14:paraId="2575CEE7"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КОМИСИЯТА ЗА ФИНАНСОВ НАДЗОР</w:t>
      </w:r>
    </w:p>
    <w:p w14:paraId="338F3FF9" w14:textId="77777777" w:rsidR="0087291E" w:rsidRDefault="0087291E" w:rsidP="00B6316D">
      <w:pPr>
        <w:ind w:left="4111"/>
        <w:rPr>
          <w:rStyle w:val="fontstyle01"/>
          <w:rFonts w:asciiTheme="minorHAnsi" w:hAnsiTheme="minorHAnsi"/>
          <w:sz w:val="24"/>
        </w:rPr>
      </w:pPr>
    </w:p>
    <w:p w14:paraId="1995F4F2"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 xml:space="preserve">ДО </w:t>
      </w:r>
    </w:p>
    <w:p w14:paraId="28E2B850" w14:textId="77777777" w:rsidR="0087291E" w:rsidRDefault="0087291E" w:rsidP="00B6316D">
      <w:pPr>
        <w:ind w:left="4111"/>
        <w:rPr>
          <w:rStyle w:val="fontstyle01"/>
          <w:rFonts w:asciiTheme="minorHAnsi" w:hAnsiTheme="minorHAnsi"/>
          <w:sz w:val="24"/>
        </w:rPr>
      </w:pPr>
      <w:r>
        <w:rPr>
          <w:rStyle w:val="fontstyle01"/>
          <w:rFonts w:asciiTheme="minorHAnsi" w:hAnsiTheme="minorHAnsi"/>
          <w:sz w:val="24"/>
        </w:rPr>
        <w:t>СЪВЕТА НА ДИРЕКТОРИТЕ НА</w:t>
      </w:r>
    </w:p>
    <w:p w14:paraId="1CC5AB15" w14:textId="77777777" w:rsidR="0087291E" w:rsidRPr="008C660E" w:rsidRDefault="0087291E" w:rsidP="00B6316D">
      <w:pPr>
        <w:ind w:left="4111"/>
        <w:rPr>
          <w:rStyle w:val="fontstyle01"/>
          <w:rFonts w:asciiTheme="minorHAnsi" w:hAnsiTheme="minorHAnsi"/>
          <w:sz w:val="24"/>
        </w:rPr>
      </w:pPr>
      <w:r>
        <w:rPr>
          <w:rStyle w:val="fontstyle01"/>
          <w:rFonts w:asciiTheme="minorHAnsi" w:hAnsiTheme="minorHAnsi"/>
          <w:sz w:val="24"/>
        </w:rPr>
        <w:t>БЪЛГАРСКА ФОНДОВА БОРСА АД</w:t>
      </w:r>
    </w:p>
    <w:p w14:paraId="66410C2F" w14:textId="77777777" w:rsidR="00B6316D" w:rsidRPr="008C660E" w:rsidRDefault="00B6316D" w:rsidP="00B6316D">
      <w:pPr>
        <w:rPr>
          <w:rStyle w:val="fontstyle01"/>
          <w:rFonts w:asciiTheme="minorHAnsi" w:hAnsiTheme="minorHAnsi"/>
          <w:b w:val="0"/>
          <w:sz w:val="32"/>
        </w:rPr>
      </w:pPr>
    </w:p>
    <w:p w14:paraId="687D52D2" w14:textId="77777777" w:rsidR="00386960" w:rsidRPr="008C660E" w:rsidRDefault="00386960" w:rsidP="00B6316D">
      <w:pPr>
        <w:rPr>
          <w:rStyle w:val="fontstyle01"/>
          <w:rFonts w:asciiTheme="minorHAnsi" w:hAnsiTheme="minorHAnsi"/>
          <w:b w:val="0"/>
          <w:sz w:val="32"/>
        </w:rPr>
      </w:pPr>
    </w:p>
    <w:p w14:paraId="2ADF23C6" w14:textId="77777777" w:rsidR="00B6316D" w:rsidRPr="009061E4" w:rsidRDefault="00B6316D" w:rsidP="00B6316D">
      <w:pPr>
        <w:spacing w:line="276" w:lineRule="auto"/>
        <w:ind w:left="1276" w:hanging="1276"/>
        <w:rPr>
          <w:rStyle w:val="fontstyle01"/>
          <w:rFonts w:asciiTheme="minorHAnsi" w:hAnsiTheme="minorHAnsi"/>
          <w:b w:val="0"/>
          <w:sz w:val="32"/>
        </w:rPr>
      </w:pPr>
      <w:r w:rsidRPr="000D58EF">
        <w:rPr>
          <w:rStyle w:val="fontstyle01"/>
          <w:rFonts w:asciiTheme="minorHAnsi" w:hAnsiTheme="minorHAnsi"/>
          <w:sz w:val="28"/>
        </w:rPr>
        <w:t xml:space="preserve">Относно: </w:t>
      </w:r>
      <w:r w:rsidR="009061E4">
        <w:rPr>
          <w:rStyle w:val="fontstyle01"/>
          <w:rFonts w:asciiTheme="minorHAnsi" w:hAnsiTheme="minorHAnsi"/>
          <w:sz w:val="28"/>
        </w:rPr>
        <w:tab/>
      </w:r>
      <w:r w:rsidR="00A87477" w:rsidRPr="009061E4">
        <w:rPr>
          <w:rStyle w:val="fontstyle01"/>
          <w:rFonts w:asciiTheme="minorHAnsi" w:hAnsiTheme="minorHAnsi"/>
          <w:b w:val="0"/>
          <w:sz w:val="24"/>
        </w:rPr>
        <w:t>Доклад по чл. 100ж, ал. 1, т. 3 от Закона за публичното предлагане на ценни книжа, съставен от „Елана трейдинг“ АД в качеството на Довереник на облигационерите</w:t>
      </w:r>
    </w:p>
    <w:p w14:paraId="4D6C2278" w14:textId="77777777" w:rsidR="00386960" w:rsidRDefault="00386960" w:rsidP="00B6316D">
      <w:pPr>
        <w:rPr>
          <w:rStyle w:val="fontstyle01"/>
          <w:rFonts w:asciiTheme="minorHAnsi" w:hAnsiTheme="minorHAnsi"/>
          <w:sz w:val="24"/>
        </w:rPr>
      </w:pPr>
    </w:p>
    <w:p w14:paraId="487330A2" w14:textId="77777777" w:rsidR="00A87477" w:rsidRPr="008C660E" w:rsidRDefault="00A87477" w:rsidP="00B6316D">
      <w:pPr>
        <w:rPr>
          <w:rStyle w:val="fontstyle01"/>
          <w:rFonts w:asciiTheme="minorHAnsi" w:hAnsiTheme="minorHAnsi"/>
          <w:sz w:val="24"/>
        </w:rPr>
      </w:pPr>
    </w:p>
    <w:p w14:paraId="061D84EE" w14:textId="77777777" w:rsidR="00B6316D" w:rsidRPr="008C660E" w:rsidRDefault="00386960" w:rsidP="00B6316D">
      <w:pPr>
        <w:rPr>
          <w:rStyle w:val="fontstyle01"/>
          <w:rFonts w:asciiTheme="minorHAnsi" w:hAnsiTheme="minorHAnsi"/>
          <w:sz w:val="24"/>
        </w:rPr>
      </w:pPr>
      <w:r w:rsidRPr="008C660E">
        <w:rPr>
          <w:rStyle w:val="fontstyle01"/>
          <w:rFonts w:asciiTheme="minorHAnsi" w:hAnsiTheme="minorHAnsi"/>
          <w:sz w:val="24"/>
        </w:rPr>
        <w:t>УВАЖАЕМИ ДАМИ И ГОСПОДА</w:t>
      </w:r>
      <w:r w:rsidR="00B6316D" w:rsidRPr="008C660E">
        <w:rPr>
          <w:rStyle w:val="fontstyle01"/>
          <w:rFonts w:asciiTheme="minorHAnsi" w:hAnsiTheme="minorHAnsi"/>
          <w:sz w:val="24"/>
        </w:rPr>
        <w:t>,</w:t>
      </w:r>
    </w:p>
    <w:p w14:paraId="35815C47" w14:textId="77777777" w:rsidR="00B6316D" w:rsidRPr="008C660E" w:rsidRDefault="00B6316D" w:rsidP="00B6316D">
      <w:pPr>
        <w:rPr>
          <w:rStyle w:val="fontstyle01"/>
          <w:rFonts w:asciiTheme="minorHAnsi" w:hAnsiTheme="minorHAnsi"/>
          <w:b w:val="0"/>
          <w:sz w:val="32"/>
        </w:rPr>
      </w:pPr>
    </w:p>
    <w:p w14:paraId="3EBDE403" w14:textId="77777777" w:rsidR="00B6316D" w:rsidRPr="008C660E" w:rsidRDefault="00B6316D" w:rsidP="00F1164E">
      <w:pPr>
        <w:jc w:val="both"/>
        <w:rPr>
          <w:rStyle w:val="fontstyle01"/>
          <w:rFonts w:asciiTheme="minorHAnsi" w:hAnsiTheme="minorHAnsi"/>
          <w:b w:val="0"/>
          <w:sz w:val="24"/>
        </w:rPr>
      </w:pPr>
      <w:r w:rsidRPr="008C660E">
        <w:rPr>
          <w:rStyle w:val="fontstyle01"/>
          <w:rFonts w:asciiTheme="minorHAnsi" w:hAnsiTheme="minorHAnsi"/>
          <w:b w:val="0"/>
          <w:sz w:val="24"/>
        </w:rPr>
        <w:t>В качеството си на Довереник на облигационерите по емисия корпоративни облигации, издадена от „</w:t>
      </w:r>
      <w:r w:rsidR="006635DD">
        <w:rPr>
          <w:rStyle w:val="fontstyle01"/>
          <w:rFonts w:asciiTheme="minorHAnsi" w:hAnsiTheme="minorHAnsi"/>
          <w:b w:val="0"/>
          <w:sz w:val="24"/>
        </w:rPr>
        <w:t>Ай Ти Еф Груп</w:t>
      </w:r>
      <w:r w:rsidRPr="008C660E">
        <w:rPr>
          <w:rStyle w:val="fontstyle01"/>
          <w:rFonts w:asciiTheme="minorHAnsi" w:hAnsiTheme="minorHAnsi"/>
          <w:b w:val="0"/>
          <w:sz w:val="24"/>
        </w:rPr>
        <w:t>“ АД</w:t>
      </w:r>
      <w:r w:rsidR="00A87477">
        <w:rPr>
          <w:rStyle w:val="fontstyle01"/>
          <w:rFonts w:asciiTheme="minorHAnsi" w:hAnsiTheme="minorHAnsi"/>
          <w:b w:val="0"/>
          <w:sz w:val="24"/>
        </w:rPr>
        <w:t xml:space="preserve"> (</w:t>
      </w:r>
      <w:r w:rsidR="00A87477">
        <w:rPr>
          <w:rStyle w:val="fontstyle01"/>
          <w:rFonts w:asciiTheme="minorHAnsi" w:hAnsiTheme="minorHAnsi"/>
          <w:b w:val="0"/>
          <w:sz w:val="24"/>
          <w:lang w:val="en-US"/>
        </w:rPr>
        <w:t>ISIN</w:t>
      </w:r>
      <w:r w:rsidR="00A87477" w:rsidRPr="000F6BE3">
        <w:rPr>
          <w:rStyle w:val="fontstyle01"/>
          <w:rFonts w:asciiTheme="minorHAnsi" w:hAnsiTheme="minorHAnsi"/>
          <w:b w:val="0"/>
          <w:sz w:val="24"/>
        </w:rPr>
        <w:t xml:space="preserve"> </w:t>
      </w:r>
      <w:r w:rsidR="00DD1B33">
        <w:rPr>
          <w:rStyle w:val="fontstyle01"/>
          <w:rFonts w:asciiTheme="minorHAnsi" w:hAnsiTheme="minorHAnsi"/>
          <w:b w:val="0"/>
          <w:sz w:val="24"/>
          <w:lang w:val="en-US"/>
        </w:rPr>
        <w:t>BG</w:t>
      </w:r>
      <w:r w:rsidR="00A87477">
        <w:rPr>
          <w:rStyle w:val="fontstyle01"/>
          <w:rFonts w:asciiTheme="minorHAnsi" w:hAnsiTheme="minorHAnsi"/>
          <w:b w:val="0"/>
          <w:sz w:val="24"/>
        </w:rPr>
        <w:t xml:space="preserve"> 21000171</w:t>
      </w:r>
      <w:r w:rsidR="00B80C16">
        <w:rPr>
          <w:rStyle w:val="fontstyle01"/>
          <w:rFonts w:asciiTheme="minorHAnsi" w:hAnsiTheme="minorHAnsi"/>
          <w:b w:val="0"/>
          <w:sz w:val="24"/>
        </w:rPr>
        <w:t>9</w:t>
      </w:r>
      <w:r w:rsidR="00A87477">
        <w:rPr>
          <w:rStyle w:val="fontstyle01"/>
          <w:rFonts w:asciiTheme="minorHAnsi" w:hAnsiTheme="minorHAnsi"/>
          <w:b w:val="0"/>
          <w:sz w:val="24"/>
        </w:rPr>
        <w:t xml:space="preserve">8, Борсов код </w:t>
      </w:r>
      <w:r w:rsidR="00A87477">
        <w:rPr>
          <w:rStyle w:val="fontstyle01"/>
          <w:rFonts w:asciiTheme="minorHAnsi" w:hAnsiTheme="minorHAnsi"/>
          <w:b w:val="0"/>
          <w:sz w:val="24"/>
          <w:lang w:val="en-US"/>
        </w:rPr>
        <w:t>ITFA</w:t>
      </w:r>
      <w:r w:rsidR="00A87477" w:rsidRPr="000F6BE3">
        <w:rPr>
          <w:rStyle w:val="fontstyle01"/>
          <w:rFonts w:asciiTheme="minorHAnsi" w:hAnsiTheme="minorHAnsi"/>
          <w:b w:val="0"/>
          <w:sz w:val="24"/>
        </w:rPr>
        <w:t>)</w:t>
      </w:r>
      <w:r w:rsidRPr="008C660E">
        <w:rPr>
          <w:rStyle w:val="fontstyle01"/>
          <w:rFonts w:asciiTheme="minorHAnsi" w:hAnsiTheme="minorHAnsi"/>
          <w:b w:val="0"/>
          <w:sz w:val="24"/>
        </w:rPr>
        <w:t xml:space="preserve">, </w:t>
      </w:r>
      <w:r w:rsidR="00386960" w:rsidRPr="008C660E">
        <w:rPr>
          <w:rStyle w:val="fontstyle01"/>
          <w:rFonts w:asciiTheme="minorHAnsi" w:hAnsiTheme="minorHAnsi"/>
          <w:b w:val="0"/>
          <w:sz w:val="24"/>
        </w:rPr>
        <w:t xml:space="preserve">ИП „Елана Трейдинг“ </w:t>
      </w:r>
      <w:r w:rsidRPr="008C660E">
        <w:rPr>
          <w:rStyle w:val="fontstyle01"/>
          <w:rFonts w:asciiTheme="minorHAnsi" w:hAnsiTheme="minorHAnsi"/>
          <w:b w:val="0"/>
          <w:sz w:val="24"/>
        </w:rPr>
        <w:t xml:space="preserve">представя на Вашето внимание </w:t>
      </w:r>
      <w:r w:rsidR="00386960" w:rsidRPr="008C660E">
        <w:rPr>
          <w:rStyle w:val="fontstyle01"/>
          <w:rFonts w:asciiTheme="minorHAnsi" w:hAnsiTheme="minorHAnsi"/>
          <w:b w:val="0"/>
          <w:sz w:val="24"/>
        </w:rPr>
        <w:t>Д</w:t>
      </w:r>
      <w:r w:rsidR="00A87477">
        <w:rPr>
          <w:rStyle w:val="fontstyle01"/>
          <w:rFonts w:asciiTheme="minorHAnsi" w:hAnsiTheme="minorHAnsi"/>
          <w:b w:val="0"/>
          <w:sz w:val="24"/>
        </w:rPr>
        <w:t>оклад по чл. 100ж, ал. 1, т. 3 от Закона за публичното предлагане</w:t>
      </w:r>
      <w:r w:rsidR="0019614A">
        <w:rPr>
          <w:rStyle w:val="fontstyle01"/>
          <w:rFonts w:asciiTheme="minorHAnsi" w:hAnsiTheme="minorHAnsi"/>
          <w:b w:val="0"/>
          <w:sz w:val="24"/>
        </w:rPr>
        <w:t xml:space="preserve"> на ценни книжа</w:t>
      </w:r>
      <w:r w:rsidR="00A87477">
        <w:rPr>
          <w:rStyle w:val="fontstyle01"/>
          <w:rFonts w:asciiTheme="minorHAnsi" w:hAnsiTheme="minorHAnsi"/>
          <w:b w:val="0"/>
          <w:sz w:val="24"/>
        </w:rPr>
        <w:t>.</w:t>
      </w:r>
    </w:p>
    <w:p w14:paraId="15E1273A" w14:textId="77777777" w:rsidR="00B6316D" w:rsidRPr="008C660E" w:rsidRDefault="007E16BD" w:rsidP="00B6316D">
      <w:pPr>
        <w:rPr>
          <w:rStyle w:val="fontstyle01"/>
          <w:rFonts w:asciiTheme="minorHAnsi" w:hAnsiTheme="minorHAnsi"/>
          <w:b w:val="0"/>
          <w:sz w:val="32"/>
        </w:rPr>
      </w:pPr>
      <w:r>
        <w:rPr>
          <w:rFonts w:asciiTheme="minorHAnsi" w:hAnsiTheme="minorHAnsi"/>
          <w:bCs/>
          <w:noProof/>
          <w:color w:val="000000"/>
          <w:szCs w:val="36"/>
          <w:lang w:val="en-US" w:eastAsia="en-US"/>
        </w:rPr>
        <w:drawing>
          <wp:anchor distT="0" distB="0" distL="114300" distR="114300" simplePos="0" relativeHeight="251658240" behindDoc="1" locked="0" layoutInCell="1" allowOverlap="1" wp14:anchorId="5CF25B45" wp14:editId="58A459D4">
            <wp:simplePos x="0" y="0"/>
            <wp:positionH relativeFrom="column">
              <wp:posOffset>3608070</wp:posOffset>
            </wp:positionH>
            <wp:positionV relativeFrom="paragraph">
              <wp:posOffset>153670</wp:posOffset>
            </wp:positionV>
            <wp:extent cx="1725930" cy="11817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930" cy="1181735"/>
                    </a:xfrm>
                    <a:prstGeom prst="rect">
                      <a:avLst/>
                    </a:prstGeom>
                  </pic:spPr>
                </pic:pic>
              </a:graphicData>
            </a:graphic>
            <wp14:sizeRelH relativeFrom="page">
              <wp14:pctWidth>0</wp14:pctWidth>
            </wp14:sizeRelH>
            <wp14:sizeRelV relativeFrom="page">
              <wp14:pctHeight>0</wp14:pctHeight>
            </wp14:sizeRelV>
          </wp:anchor>
        </w:drawing>
      </w:r>
    </w:p>
    <w:p w14:paraId="79AA9144" w14:textId="77777777" w:rsidR="00B6316D" w:rsidRPr="008C660E" w:rsidRDefault="00B6316D" w:rsidP="00B6316D">
      <w:pPr>
        <w:rPr>
          <w:rStyle w:val="fontstyle01"/>
          <w:rFonts w:asciiTheme="minorHAnsi" w:hAnsiTheme="minorHAnsi"/>
          <w:b w:val="0"/>
          <w:sz w:val="32"/>
        </w:rPr>
      </w:pPr>
    </w:p>
    <w:p w14:paraId="1F93DC8F" w14:textId="5CBE865C" w:rsidR="00B6316D" w:rsidRPr="009061E4" w:rsidRDefault="00B6316D" w:rsidP="00B6316D">
      <w:pPr>
        <w:spacing w:line="276" w:lineRule="auto"/>
        <w:rPr>
          <w:rStyle w:val="fontstyle01"/>
          <w:rFonts w:asciiTheme="minorHAnsi" w:hAnsiTheme="minorHAnsi"/>
          <w:b w:val="0"/>
          <w:sz w:val="24"/>
        </w:rPr>
      </w:pPr>
      <w:r w:rsidRPr="008C660E">
        <w:rPr>
          <w:rStyle w:val="fontstyle01"/>
          <w:rFonts w:asciiTheme="minorHAnsi" w:hAnsiTheme="minorHAnsi"/>
          <w:sz w:val="24"/>
        </w:rPr>
        <w:tab/>
      </w:r>
      <w:r w:rsidR="00CF0DF8">
        <w:rPr>
          <w:rStyle w:val="fontstyle01"/>
          <w:rFonts w:asciiTheme="minorHAnsi" w:hAnsiTheme="minorHAnsi"/>
          <w:b w:val="0"/>
          <w:sz w:val="24"/>
          <w:lang w:val="en-US"/>
        </w:rPr>
        <w:t>2</w:t>
      </w:r>
      <w:r w:rsidR="00183315">
        <w:rPr>
          <w:rStyle w:val="fontstyle01"/>
          <w:rFonts w:asciiTheme="minorHAnsi" w:hAnsiTheme="minorHAnsi"/>
          <w:b w:val="0"/>
          <w:sz w:val="24"/>
        </w:rPr>
        <w:t>7</w:t>
      </w:r>
      <w:r w:rsidRPr="007E16BD">
        <w:rPr>
          <w:rStyle w:val="fontstyle01"/>
          <w:rFonts w:asciiTheme="minorHAnsi" w:hAnsiTheme="minorHAnsi"/>
          <w:b w:val="0"/>
          <w:sz w:val="24"/>
        </w:rPr>
        <w:t>.</w:t>
      </w:r>
      <w:r w:rsidR="00CF0DF8">
        <w:rPr>
          <w:rStyle w:val="fontstyle01"/>
          <w:rFonts w:asciiTheme="minorHAnsi" w:hAnsiTheme="minorHAnsi"/>
          <w:b w:val="0"/>
          <w:sz w:val="24"/>
          <w:lang w:val="en-US"/>
        </w:rPr>
        <w:t>02</w:t>
      </w:r>
      <w:r w:rsidRPr="007E16BD">
        <w:rPr>
          <w:rStyle w:val="fontstyle01"/>
          <w:rFonts w:asciiTheme="minorHAnsi" w:hAnsiTheme="minorHAnsi"/>
          <w:b w:val="0"/>
          <w:sz w:val="24"/>
        </w:rPr>
        <w:t>.20</w:t>
      </w:r>
      <w:r w:rsidR="00E86D90" w:rsidRPr="007E16BD">
        <w:rPr>
          <w:rStyle w:val="fontstyle01"/>
          <w:rFonts w:asciiTheme="minorHAnsi" w:hAnsiTheme="minorHAnsi"/>
          <w:b w:val="0"/>
          <w:sz w:val="24"/>
        </w:rPr>
        <w:t>2</w:t>
      </w:r>
      <w:r w:rsidR="00CF0DF8">
        <w:rPr>
          <w:rStyle w:val="fontstyle01"/>
          <w:rFonts w:asciiTheme="minorHAnsi" w:hAnsiTheme="minorHAnsi"/>
          <w:b w:val="0"/>
          <w:sz w:val="24"/>
          <w:lang w:val="en-US"/>
        </w:rPr>
        <w:t>3</w:t>
      </w:r>
      <w:r w:rsidRPr="007E16BD">
        <w:rPr>
          <w:rStyle w:val="fontstyle01"/>
          <w:rFonts w:asciiTheme="minorHAnsi" w:hAnsiTheme="minorHAnsi"/>
          <w:b w:val="0"/>
          <w:sz w:val="24"/>
        </w:rPr>
        <w:t xml:space="preserve"> г.</w:t>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r>
      <w:r w:rsidRPr="007E16BD">
        <w:rPr>
          <w:rStyle w:val="fontstyle01"/>
          <w:rFonts w:asciiTheme="minorHAnsi" w:hAnsiTheme="minorHAnsi"/>
          <w:b w:val="0"/>
          <w:sz w:val="24"/>
        </w:rPr>
        <w:tab/>
        <w:t>С уважение:</w:t>
      </w:r>
    </w:p>
    <w:p w14:paraId="0681215C" w14:textId="77777777" w:rsidR="00301290" w:rsidRPr="008C660E" w:rsidRDefault="00B6316D" w:rsidP="00B6316D">
      <w:pPr>
        <w:spacing w:line="276" w:lineRule="auto"/>
        <w:rPr>
          <w:rStyle w:val="fontstyle01"/>
          <w:rFonts w:asciiTheme="minorHAnsi" w:hAnsiTheme="minorHAnsi"/>
          <w:sz w:val="24"/>
        </w:rPr>
      </w:pPr>
      <w:r w:rsidRPr="009061E4">
        <w:rPr>
          <w:rStyle w:val="fontstyle01"/>
          <w:rFonts w:asciiTheme="minorHAnsi" w:hAnsiTheme="minorHAnsi"/>
          <w:b w:val="0"/>
          <w:sz w:val="24"/>
        </w:rPr>
        <w:tab/>
        <w:t>гр. София</w:t>
      </w:r>
      <w:r w:rsidRPr="008C660E">
        <w:rPr>
          <w:rStyle w:val="fontstyle01"/>
          <w:rFonts w:asciiTheme="minorHAnsi" w:hAnsiTheme="minorHAnsi"/>
          <w:sz w:val="24"/>
        </w:rPr>
        <w:tab/>
      </w:r>
    </w:p>
    <w:p w14:paraId="22E97DDF" w14:textId="77777777" w:rsidR="00B6316D" w:rsidRDefault="00301290" w:rsidP="00263742">
      <w:pPr>
        <w:spacing w:line="276" w:lineRule="auto"/>
        <w:rPr>
          <w:rFonts w:asciiTheme="minorHAnsi" w:hAnsiTheme="minorHAnsi" w:cs="Arial"/>
        </w:rPr>
      </w:pPr>
      <w:r w:rsidRPr="008C660E">
        <w:rPr>
          <w:rStyle w:val="fontstyle01"/>
          <w:rFonts w:asciiTheme="minorHAnsi" w:hAnsiTheme="minorHAnsi"/>
          <w:sz w:val="28"/>
        </w:rPr>
        <w:tab/>
      </w:r>
      <w:r w:rsidRPr="008C660E">
        <w:rPr>
          <w:rStyle w:val="fontstyle01"/>
          <w:rFonts w:asciiTheme="minorHAnsi" w:hAnsiTheme="minorHAnsi"/>
          <w:sz w:val="28"/>
        </w:rPr>
        <w:tab/>
      </w:r>
      <w:r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9061E4">
        <w:rPr>
          <w:rFonts w:asciiTheme="minorHAnsi" w:hAnsiTheme="minorHAnsi" w:cs="Arial"/>
        </w:rPr>
        <w:t>Радослава Масларска,</w:t>
      </w:r>
    </w:p>
    <w:p w14:paraId="728E975F" w14:textId="77777777" w:rsidR="009061E4" w:rsidRPr="00416218" w:rsidRDefault="009061E4" w:rsidP="009061E4">
      <w:pPr>
        <w:spacing w:line="276" w:lineRule="auto"/>
        <w:ind w:left="4956" w:firstLine="708"/>
        <w:rPr>
          <w:rFonts w:asciiTheme="minorHAnsi" w:hAnsiTheme="minorHAnsi" w:cs="Arial"/>
        </w:rPr>
      </w:pPr>
      <w:r>
        <w:rPr>
          <w:rFonts w:asciiTheme="minorHAnsi" w:hAnsiTheme="minorHAnsi" w:cs="Arial"/>
        </w:rPr>
        <w:t>Председател на СД</w:t>
      </w:r>
    </w:p>
    <w:p w14:paraId="6351FCAA" w14:textId="77777777" w:rsidR="00B6316D" w:rsidRDefault="00B6316D" w:rsidP="00263742">
      <w:pPr>
        <w:spacing w:line="276" w:lineRule="auto"/>
        <w:ind w:left="4956" w:firstLine="708"/>
        <w:jc w:val="both"/>
        <w:rPr>
          <w:rFonts w:asciiTheme="minorHAnsi" w:hAnsiTheme="minorHAnsi" w:cs="Arial"/>
        </w:rPr>
      </w:pPr>
      <w:r w:rsidRPr="008C660E">
        <w:rPr>
          <w:rFonts w:asciiTheme="minorHAnsi" w:hAnsiTheme="minorHAnsi" w:cs="Arial"/>
        </w:rPr>
        <w:t>“</w:t>
      </w:r>
      <w:r w:rsidR="00110484" w:rsidRPr="008C660E">
        <w:rPr>
          <w:rFonts w:asciiTheme="minorHAnsi" w:hAnsiTheme="minorHAnsi" w:cs="Arial"/>
        </w:rPr>
        <w:t>ЕЛАНА</w:t>
      </w:r>
      <w:r w:rsidR="00263742">
        <w:rPr>
          <w:rFonts w:asciiTheme="minorHAnsi" w:hAnsiTheme="minorHAnsi" w:cs="Arial"/>
        </w:rPr>
        <w:t xml:space="preserve"> Трейдинг” АД</w:t>
      </w:r>
    </w:p>
    <w:p w14:paraId="5B56E7FD" w14:textId="77777777" w:rsidR="009061E4" w:rsidRDefault="009061E4" w:rsidP="00263742">
      <w:pPr>
        <w:spacing w:line="276" w:lineRule="auto"/>
        <w:ind w:left="4956" w:firstLine="708"/>
        <w:jc w:val="both"/>
        <w:rPr>
          <w:rFonts w:asciiTheme="minorHAnsi" w:hAnsiTheme="minorHAnsi" w:cs="Arial"/>
        </w:rPr>
      </w:pPr>
    </w:p>
    <w:p w14:paraId="300EB3C5" w14:textId="77777777" w:rsidR="009061E4" w:rsidRDefault="009061E4" w:rsidP="00263742">
      <w:pPr>
        <w:spacing w:line="276" w:lineRule="auto"/>
        <w:ind w:left="4956" w:firstLine="708"/>
        <w:jc w:val="both"/>
        <w:rPr>
          <w:rFonts w:asciiTheme="minorHAnsi" w:hAnsiTheme="minorHAnsi" w:cs="Arial"/>
        </w:rPr>
      </w:pPr>
    </w:p>
    <w:p w14:paraId="3F1364C2" w14:textId="77777777" w:rsidR="009061E4" w:rsidRDefault="007E16BD" w:rsidP="00263742">
      <w:pPr>
        <w:spacing w:line="276" w:lineRule="auto"/>
        <w:ind w:left="4956" w:firstLine="708"/>
        <w:jc w:val="both"/>
        <w:rPr>
          <w:rFonts w:asciiTheme="minorHAnsi" w:hAnsiTheme="minorHAnsi" w:cs="Arial"/>
        </w:rPr>
      </w:pPr>
      <w:r>
        <w:rPr>
          <w:rFonts w:asciiTheme="minorHAnsi" w:hAnsiTheme="minorHAnsi" w:cs="Arial"/>
          <w:noProof/>
          <w:lang w:val="en-US" w:eastAsia="en-US"/>
        </w:rPr>
        <w:drawing>
          <wp:anchor distT="0" distB="0" distL="114300" distR="114300" simplePos="0" relativeHeight="251659264" behindDoc="0" locked="0" layoutInCell="1" allowOverlap="1" wp14:anchorId="34170C35" wp14:editId="733C2032">
            <wp:simplePos x="0" y="0"/>
            <wp:positionH relativeFrom="column">
              <wp:posOffset>3547110</wp:posOffset>
            </wp:positionH>
            <wp:positionV relativeFrom="paragraph">
              <wp:posOffset>148590</wp:posOffset>
            </wp:positionV>
            <wp:extent cx="1575435" cy="9715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одпис-М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5435" cy="971550"/>
                    </a:xfrm>
                    <a:prstGeom prst="rect">
                      <a:avLst/>
                    </a:prstGeom>
                  </pic:spPr>
                </pic:pic>
              </a:graphicData>
            </a:graphic>
            <wp14:sizeRelH relativeFrom="page">
              <wp14:pctWidth>0</wp14:pctWidth>
            </wp14:sizeRelH>
            <wp14:sizeRelV relativeFrom="page">
              <wp14:pctHeight>0</wp14:pctHeight>
            </wp14:sizeRelV>
          </wp:anchor>
        </w:drawing>
      </w:r>
      <w:r w:rsidR="009061E4">
        <w:rPr>
          <w:rFonts w:asciiTheme="minorHAnsi" w:hAnsiTheme="minorHAnsi" w:cs="Arial"/>
        </w:rPr>
        <w:t>Момчил Тиков</w:t>
      </w:r>
    </w:p>
    <w:p w14:paraId="660D384C" w14:textId="77777777" w:rsidR="009061E4" w:rsidRDefault="009061E4" w:rsidP="00263742">
      <w:pPr>
        <w:spacing w:line="276" w:lineRule="auto"/>
        <w:ind w:left="4956" w:firstLine="708"/>
        <w:jc w:val="both"/>
        <w:rPr>
          <w:rFonts w:asciiTheme="minorHAnsi" w:hAnsiTheme="minorHAnsi" w:cs="Arial"/>
        </w:rPr>
      </w:pPr>
      <w:r>
        <w:rPr>
          <w:rFonts w:asciiTheme="minorHAnsi" w:hAnsiTheme="minorHAnsi" w:cs="Arial"/>
        </w:rPr>
        <w:t xml:space="preserve">Изпълнителен директор </w:t>
      </w:r>
    </w:p>
    <w:p w14:paraId="2435A2F0" w14:textId="77777777" w:rsidR="009061E4" w:rsidRDefault="009061E4" w:rsidP="00096132">
      <w:pPr>
        <w:spacing w:line="276" w:lineRule="auto"/>
        <w:ind w:left="4956" w:firstLine="708"/>
        <w:jc w:val="both"/>
        <w:rPr>
          <w:rFonts w:asciiTheme="minorHAnsi" w:hAnsiTheme="minorHAnsi" w:cs="Arial"/>
        </w:rPr>
      </w:pPr>
      <w:r>
        <w:rPr>
          <w:rFonts w:asciiTheme="minorHAnsi" w:hAnsiTheme="minorHAnsi" w:cs="Arial"/>
        </w:rPr>
        <w:t>„Елана трейдинг“ АД</w:t>
      </w:r>
      <w:r>
        <w:rPr>
          <w:rFonts w:asciiTheme="minorHAnsi" w:hAnsiTheme="minorHAnsi" w:cs="Arial"/>
        </w:rPr>
        <w:br w:type="page"/>
      </w:r>
    </w:p>
    <w:p w14:paraId="38B8972C" w14:textId="77777777" w:rsidR="00B6316D" w:rsidRPr="008C660E" w:rsidRDefault="00B6316D" w:rsidP="00B6316D">
      <w:pPr>
        <w:spacing w:line="276" w:lineRule="auto"/>
        <w:ind w:firstLine="720"/>
        <w:jc w:val="both"/>
        <w:rPr>
          <w:rFonts w:asciiTheme="minorHAnsi" w:hAnsiTheme="minorHAnsi" w:cs="Arial"/>
        </w:rPr>
      </w:pPr>
    </w:p>
    <w:p w14:paraId="1C8C3F7D" w14:textId="77777777" w:rsidR="00B6316D" w:rsidRPr="008C660E" w:rsidRDefault="00F3194B" w:rsidP="00F3194B">
      <w:pPr>
        <w:tabs>
          <w:tab w:val="left" w:pos="3468"/>
          <w:tab w:val="center" w:pos="4819"/>
        </w:tabs>
        <w:rPr>
          <w:rFonts w:asciiTheme="minorHAnsi" w:hAnsiTheme="minorHAnsi"/>
          <w:b/>
          <w:bCs/>
          <w:color w:val="000000"/>
          <w:sz w:val="36"/>
          <w:szCs w:val="36"/>
        </w:rPr>
      </w:pPr>
      <w:r>
        <w:rPr>
          <w:rStyle w:val="fontstyle01"/>
          <w:rFonts w:asciiTheme="minorHAnsi" w:hAnsiTheme="minorHAnsi"/>
        </w:rPr>
        <w:tab/>
      </w:r>
      <w:r>
        <w:rPr>
          <w:rStyle w:val="fontstyle01"/>
          <w:rFonts w:asciiTheme="minorHAnsi" w:hAnsiTheme="minorHAnsi"/>
        </w:rPr>
        <w:tab/>
      </w:r>
      <w:r w:rsidR="00B6316D" w:rsidRPr="008C660E">
        <w:rPr>
          <w:rStyle w:val="fontstyle01"/>
          <w:rFonts w:asciiTheme="minorHAnsi" w:hAnsiTheme="minorHAnsi"/>
        </w:rPr>
        <w:t>ДОКЛАД</w:t>
      </w:r>
    </w:p>
    <w:p w14:paraId="4B6C6358" w14:textId="77777777" w:rsidR="001A3C7A" w:rsidRPr="000F6BE3"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на </w:t>
      </w:r>
      <w:r w:rsidR="00110484" w:rsidRPr="009061E4">
        <w:rPr>
          <w:rStyle w:val="fontstyle11"/>
          <w:rFonts w:asciiTheme="minorHAnsi" w:hAnsiTheme="minorHAnsi"/>
          <w:sz w:val="24"/>
          <w:szCs w:val="24"/>
        </w:rPr>
        <w:t>ЕЛАНА</w:t>
      </w:r>
      <w:r w:rsidRPr="009061E4">
        <w:rPr>
          <w:rStyle w:val="fontstyle11"/>
          <w:rFonts w:asciiTheme="minorHAnsi" w:hAnsiTheme="minorHAnsi"/>
          <w:sz w:val="24"/>
          <w:szCs w:val="24"/>
        </w:rPr>
        <w:t xml:space="preserve"> Трейдинг АД</w:t>
      </w:r>
      <w:r w:rsidR="009061E4" w:rsidRPr="000F6BE3">
        <w:rPr>
          <w:rStyle w:val="fontstyle11"/>
          <w:rFonts w:asciiTheme="minorHAnsi" w:hAnsiTheme="minorHAnsi"/>
          <w:sz w:val="24"/>
          <w:szCs w:val="24"/>
        </w:rPr>
        <w:t xml:space="preserve"> </w:t>
      </w:r>
    </w:p>
    <w:p w14:paraId="182C0502" w14:textId="77777777" w:rsidR="009061E4" w:rsidRPr="001A3C7A"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в качеството на Довереник на облигационерите </w:t>
      </w:r>
      <w:r w:rsidR="001A3C7A">
        <w:rPr>
          <w:rStyle w:val="fontstyle11"/>
          <w:rFonts w:asciiTheme="minorHAnsi" w:hAnsiTheme="minorHAnsi"/>
          <w:sz w:val="24"/>
          <w:szCs w:val="24"/>
        </w:rPr>
        <w:t>на</w:t>
      </w:r>
    </w:p>
    <w:p w14:paraId="6BC8CFA0" w14:textId="77777777" w:rsidR="00B6316D" w:rsidRPr="000F6BE3" w:rsidRDefault="006944E2" w:rsidP="00B6316D">
      <w:pPr>
        <w:jc w:val="center"/>
        <w:rPr>
          <w:rStyle w:val="fontstyle01"/>
          <w:rFonts w:asciiTheme="minorHAnsi" w:hAnsiTheme="minorHAnsi"/>
          <w:sz w:val="24"/>
          <w:szCs w:val="24"/>
        </w:rPr>
      </w:pPr>
      <w:r w:rsidRPr="000F6BE3">
        <w:rPr>
          <w:rStyle w:val="fontstyle11"/>
          <w:rFonts w:asciiTheme="minorHAnsi" w:hAnsiTheme="minorHAnsi"/>
          <w:sz w:val="24"/>
          <w:szCs w:val="24"/>
        </w:rPr>
        <w:t xml:space="preserve"> </w:t>
      </w:r>
      <w:r w:rsidRPr="001A3C7A">
        <w:rPr>
          <w:rStyle w:val="fontstyle01"/>
          <w:rFonts w:asciiTheme="minorHAnsi" w:hAnsiTheme="minorHAnsi"/>
          <w:sz w:val="24"/>
          <w:szCs w:val="24"/>
        </w:rPr>
        <w:t>„АЙ ТИ ЕФ ГРУП“ АД</w:t>
      </w:r>
      <w:r w:rsidRPr="000F6BE3">
        <w:rPr>
          <w:rStyle w:val="fontstyle01"/>
          <w:rFonts w:asciiTheme="minorHAnsi" w:hAnsiTheme="minorHAnsi"/>
          <w:sz w:val="24"/>
          <w:szCs w:val="24"/>
        </w:rPr>
        <w:t xml:space="preserve"> </w:t>
      </w:r>
    </w:p>
    <w:p w14:paraId="11D22C48" w14:textId="4E03C84A" w:rsidR="00B6316D" w:rsidRPr="006944E2" w:rsidRDefault="00B6316D" w:rsidP="00B6316D">
      <w:pPr>
        <w:jc w:val="center"/>
        <w:rPr>
          <w:rStyle w:val="fontstyle01"/>
          <w:rFonts w:asciiTheme="minorHAnsi" w:hAnsiTheme="minorHAnsi"/>
          <w:b w:val="0"/>
          <w:sz w:val="22"/>
          <w:szCs w:val="24"/>
        </w:rPr>
      </w:pPr>
      <w:r w:rsidRPr="006944E2">
        <w:rPr>
          <w:rStyle w:val="fontstyle01"/>
          <w:rFonts w:asciiTheme="minorHAnsi" w:hAnsiTheme="minorHAnsi"/>
          <w:b w:val="0"/>
          <w:sz w:val="22"/>
          <w:szCs w:val="24"/>
        </w:rPr>
        <w:t xml:space="preserve">Период: </w:t>
      </w:r>
      <w:r w:rsidR="009061E4" w:rsidRPr="006944E2">
        <w:rPr>
          <w:rStyle w:val="fontstyle01"/>
          <w:rFonts w:asciiTheme="minorHAnsi" w:hAnsiTheme="minorHAnsi"/>
          <w:b w:val="0"/>
          <w:sz w:val="22"/>
          <w:szCs w:val="24"/>
        </w:rPr>
        <w:t>01</w:t>
      </w:r>
      <w:r w:rsidRPr="006944E2">
        <w:rPr>
          <w:rStyle w:val="fontstyle01"/>
          <w:rFonts w:asciiTheme="minorHAnsi" w:hAnsiTheme="minorHAnsi"/>
          <w:b w:val="0"/>
          <w:sz w:val="22"/>
          <w:szCs w:val="24"/>
        </w:rPr>
        <w:t>.</w:t>
      </w:r>
      <w:r w:rsidR="006A1196">
        <w:rPr>
          <w:rStyle w:val="fontstyle01"/>
          <w:rFonts w:asciiTheme="minorHAnsi" w:hAnsiTheme="minorHAnsi"/>
          <w:b w:val="0"/>
          <w:sz w:val="22"/>
          <w:szCs w:val="24"/>
        </w:rPr>
        <w:t>10</w:t>
      </w:r>
      <w:r w:rsidRPr="006944E2">
        <w:rPr>
          <w:rStyle w:val="fontstyle01"/>
          <w:rFonts w:asciiTheme="minorHAnsi" w:hAnsiTheme="minorHAnsi"/>
          <w:b w:val="0"/>
          <w:sz w:val="22"/>
          <w:szCs w:val="24"/>
        </w:rPr>
        <w:t>.</w:t>
      </w:r>
      <w:r w:rsidR="009061E4" w:rsidRPr="006944E2">
        <w:rPr>
          <w:rStyle w:val="fontstyle01"/>
          <w:rFonts w:asciiTheme="minorHAnsi" w:hAnsiTheme="minorHAnsi"/>
          <w:b w:val="0"/>
          <w:sz w:val="22"/>
          <w:szCs w:val="24"/>
        </w:rPr>
        <w:t>202</w:t>
      </w:r>
      <w:r w:rsidR="003A44D5">
        <w:rPr>
          <w:rStyle w:val="fontstyle01"/>
          <w:rFonts w:asciiTheme="minorHAnsi" w:hAnsiTheme="minorHAnsi"/>
          <w:b w:val="0"/>
          <w:sz w:val="22"/>
          <w:szCs w:val="24"/>
        </w:rPr>
        <w:t>2</w:t>
      </w:r>
      <w:r w:rsidRPr="006944E2">
        <w:rPr>
          <w:rStyle w:val="fontstyle01"/>
          <w:rFonts w:asciiTheme="minorHAnsi" w:hAnsiTheme="minorHAnsi"/>
          <w:b w:val="0"/>
          <w:sz w:val="22"/>
          <w:szCs w:val="24"/>
        </w:rPr>
        <w:t xml:space="preserve"> </w:t>
      </w:r>
      <w:r w:rsidR="000C572B" w:rsidRPr="006944E2">
        <w:rPr>
          <w:rStyle w:val="fontstyle01"/>
          <w:rFonts w:asciiTheme="minorHAnsi" w:hAnsiTheme="minorHAnsi"/>
          <w:b w:val="0"/>
          <w:sz w:val="22"/>
          <w:szCs w:val="24"/>
        </w:rPr>
        <w:t xml:space="preserve">г. </w:t>
      </w:r>
      <w:r w:rsidRPr="006944E2">
        <w:rPr>
          <w:rStyle w:val="fontstyle01"/>
          <w:rFonts w:asciiTheme="minorHAnsi" w:hAnsiTheme="minorHAnsi"/>
          <w:b w:val="0"/>
          <w:sz w:val="22"/>
          <w:szCs w:val="24"/>
        </w:rPr>
        <w:t xml:space="preserve">– </w:t>
      </w:r>
      <w:r w:rsidR="009061E4" w:rsidRPr="006944E2">
        <w:rPr>
          <w:rStyle w:val="fontstyle01"/>
          <w:rFonts w:asciiTheme="minorHAnsi" w:hAnsiTheme="minorHAnsi"/>
          <w:b w:val="0"/>
          <w:sz w:val="22"/>
          <w:szCs w:val="24"/>
        </w:rPr>
        <w:t>3</w:t>
      </w:r>
      <w:r w:rsidR="00CF0DF8">
        <w:rPr>
          <w:rStyle w:val="fontstyle01"/>
          <w:rFonts w:asciiTheme="minorHAnsi" w:hAnsiTheme="minorHAnsi"/>
          <w:b w:val="0"/>
          <w:sz w:val="22"/>
          <w:szCs w:val="24"/>
          <w:lang w:val="en-US"/>
        </w:rPr>
        <w:t>1</w:t>
      </w:r>
      <w:r w:rsidRPr="006944E2">
        <w:rPr>
          <w:rStyle w:val="fontstyle01"/>
          <w:rFonts w:asciiTheme="minorHAnsi" w:hAnsiTheme="minorHAnsi"/>
          <w:b w:val="0"/>
          <w:sz w:val="22"/>
          <w:szCs w:val="24"/>
        </w:rPr>
        <w:t>.</w:t>
      </w:r>
      <w:r w:rsidR="00CF0DF8">
        <w:rPr>
          <w:rStyle w:val="fontstyle01"/>
          <w:rFonts w:asciiTheme="minorHAnsi" w:hAnsiTheme="minorHAnsi"/>
          <w:b w:val="0"/>
          <w:sz w:val="22"/>
          <w:szCs w:val="24"/>
          <w:lang w:val="en-US"/>
        </w:rPr>
        <w:t>12</w:t>
      </w:r>
      <w:r w:rsidRPr="006944E2">
        <w:rPr>
          <w:rStyle w:val="fontstyle01"/>
          <w:rFonts w:asciiTheme="minorHAnsi" w:hAnsiTheme="minorHAnsi"/>
          <w:b w:val="0"/>
          <w:sz w:val="22"/>
          <w:szCs w:val="24"/>
        </w:rPr>
        <w:t>.</w:t>
      </w:r>
      <w:r w:rsidR="009061E4" w:rsidRPr="006944E2">
        <w:rPr>
          <w:rStyle w:val="fontstyle01"/>
          <w:rFonts w:asciiTheme="minorHAnsi" w:hAnsiTheme="minorHAnsi"/>
          <w:b w:val="0"/>
          <w:sz w:val="22"/>
          <w:szCs w:val="24"/>
        </w:rPr>
        <w:t>202</w:t>
      </w:r>
      <w:r w:rsidR="003A44D5">
        <w:rPr>
          <w:rStyle w:val="fontstyle01"/>
          <w:rFonts w:asciiTheme="minorHAnsi" w:hAnsiTheme="minorHAnsi"/>
          <w:b w:val="0"/>
          <w:sz w:val="22"/>
          <w:szCs w:val="24"/>
        </w:rPr>
        <w:t>2</w:t>
      </w:r>
      <w:r w:rsidR="000C572B" w:rsidRPr="006944E2">
        <w:rPr>
          <w:rStyle w:val="fontstyle01"/>
          <w:rFonts w:asciiTheme="minorHAnsi" w:hAnsiTheme="minorHAnsi"/>
          <w:b w:val="0"/>
          <w:sz w:val="22"/>
          <w:szCs w:val="24"/>
        </w:rPr>
        <w:t xml:space="preserve"> г. </w:t>
      </w:r>
    </w:p>
    <w:p w14:paraId="46F98313" w14:textId="77777777" w:rsidR="00B6316D" w:rsidRPr="008C660E" w:rsidRDefault="00B6316D" w:rsidP="00B6316D">
      <w:pPr>
        <w:jc w:val="center"/>
        <w:rPr>
          <w:rFonts w:asciiTheme="minorHAnsi" w:hAnsiTheme="minorHAnsi"/>
        </w:rPr>
      </w:pPr>
    </w:p>
    <w:tbl>
      <w:tblPr>
        <w:tblStyle w:val="TableGrid"/>
        <w:tblpPr w:leftFromText="141" w:rightFromText="141" w:vertAnchor="text" w:tblpX="25" w:tblpY="1"/>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shd w:val="clear" w:color="auto" w:fill="FFFFFF" w:themeFill="background1"/>
        <w:tblCellMar>
          <w:left w:w="0" w:type="dxa"/>
          <w:right w:w="115" w:type="dxa"/>
        </w:tblCellMar>
        <w:tblLook w:val="04A0" w:firstRow="1" w:lastRow="0" w:firstColumn="1" w:lastColumn="0" w:noHBand="0" w:noVBand="1"/>
      </w:tblPr>
      <w:tblGrid>
        <w:gridCol w:w="2411"/>
        <w:gridCol w:w="6661"/>
      </w:tblGrid>
      <w:tr w:rsidR="00582AA3" w:rsidRPr="00582AA3" w14:paraId="1828A564" w14:textId="77777777" w:rsidTr="007E16BD">
        <w:tc>
          <w:tcPr>
            <w:tcW w:w="2411" w:type="dxa"/>
            <w:tcBorders>
              <w:top w:val="single" w:sz="4" w:space="0" w:color="auto"/>
            </w:tcBorders>
            <w:shd w:val="clear" w:color="auto" w:fill="F2F2F2" w:themeFill="background1" w:themeFillShade="F2"/>
          </w:tcPr>
          <w:p w14:paraId="6D263D3A" w14:textId="77777777" w:rsidR="00582AA3" w:rsidRPr="00582AA3" w:rsidRDefault="00582AA3" w:rsidP="007E16BD">
            <w:pPr>
              <w:spacing w:before="120" w:after="120"/>
              <w:rPr>
                <w:rFonts w:asciiTheme="minorHAnsi" w:hAnsiTheme="minorHAnsi" w:cs="Arial"/>
                <w:b/>
                <w:sz w:val="18"/>
              </w:rPr>
            </w:pPr>
            <w:r>
              <w:rPr>
                <w:rFonts w:asciiTheme="minorHAnsi" w:hAnsiTheme="minorHAnsi" w:cs="Arial"/>
                <w:b/>
                <w:sz w:val="18"/>
                <w:lang w:val="en-US"/>
              </w:rPr>
              <w:t>ISIN</w:t>
            </w:r>
            <w:r>
              <w:rPr>
                <w:rFonts w:asciiTheme="minorHAnsi" w:hAnsiTheme="minorHAnsi" w:cs="Arial"/>
                <w:b/>
                <w:sz w:val="18"/>
              </w:rPr>
              <w:t xml:space="preserve"> код на емисията</w:t>
            </w:r>
          </w:p>
        </w:tc>
        <w:tc>
          <w:tcPr>
            <w:tcW w:w="6661" w:type="dxa"/>
            <w:tcBorders>
              <w:top w:val="single" w:sz="4" w:space="0" w:color="auto"/>
            </w:tcBorders>
            <w:shd w:val="clear" w:color="auto" w:fill="F2F2F2" w:themeFill="background1" w:themeFillShade="F2"/>
          </w:tcPr>
          <w:p w14:paraId="6F07C54A" w14:textId="77777777" w:rsidR="00582AA3" w:rsidRPr="000F6BE3" w:rsidRDefault="00582AA3" w:rsidP="00582AA3">
            <w:pPr>
              <w:spacing w:before="120" w:after="120"/>
              <w:jc w:val="both"/>
              <w:rPr>
                <w:rFonts w:asciiTheme="minorHAnsi" w:hAnsiTheme="minorHAnsi" w:cs="Arial"/>
                <w:sz w:val="18"/>
              </w:rPr>
            </w:pPr>
            <w:r>
              <w:rPr>
                <w:rFonts w:asciiTheme="minorHAnsi" w:hAnsiTheme="minorHAnsi" w:cs="Arial"/>
                <w:sz w:val="18"/>
                <w:lang w:val="en-US"/>
              </w:rPr>
              <w:t>BG</w:t>
            </w:r>
            <w:r w:rsidRPr="000F6BE3">
              <w:rPr>
                <w:rFonts w:asciiTheme="minorHAnsi" w:hAnsiTheme="minorHAnsi" w:cs="Arial"/>
                <w:sz w:val="18"/>
              </w:rPr>
              <w:t xml:space="preserve">2100017198, </w:t>
            </w:r>
            <w:r>
              <w:rPr>
                <w:rFonts w:asciiTheme="minorHAnsi" w:hAnsiTheme="minorHAnsi" w:cs="Arial"/>
                <w:sz w:val="18"/>
              </w:rPr>
              <w:t>Борсов код</w:t>
            </w:r>
            <w:r w:rsidR="00C76F94">
              <w:rPr>
                <w:rFonts w:asciiTheme="minorHAnsi" w:hAnsiTheme="minorHAnsi" w:cs="Arial"/>
                <w:sz w:val="18"/>
              </w:rPr>
              <w:t>:</w:t>
            </w:r>
            <w:r>
              <w:rPr>
                <w:rFonts w:asciiTheme="minorHAnsi" w:hAnsiTheme="minorHAnsi" w:cs="Arial"/>
                <w:sz w:val="18"/>
              </w:rPr>
              <w:t xml:space="preserve"> </w:t>
            </w:r>
            <w:r>
              <w:rPr>
                <w:rFonts w:asciiTheme="minorHAnsi" w:hAnsiTheme="minorHAnsi" w:cs="Arial"/>
                <w:sz w:val="18"/>
                <w:lang w:val="en-US"/>
              </w:rPr>
              <w:t>ITFA</w:t>
            </w:r>
            <w:r w:rsidRPr="000F6BE3">
              <w:rPr>
                <w:rFonts w:asciiTheme="minorHAnsi" w:hAnsiTheme="minorHAnsi" w:cs="Arial"/>
                <w:sz w:val="18"/>
              </w:rPr>
              <w:t>,</w:t>
            </w:r>
            <w:r>
              <w:rPr>
                <w:rFonts w:asciiTheme="minorHAnsi" w:hAnsiTheme="minorHAnsi" w:cs="Arial"/>
                <w:sz w:val="18"/>
              </w:rPr>
              <w:t xml:space="preserve"> </w:t>
            </w:r>
            <w:r w:rsidR="00C76F94">
              <w:rPr>
                <w:rFonts w:asciiTheme="minorHAnsi" w:hAnsiTheme="minorHAnsi" w:cs="Arial"/>
                <w:sz w:val="18"/>
                <w:lang w:val="en-US"/>
              </w:rPr>
              <w:t>CFI</w:t>
            </w:r>
            <w:r w:rsidR="00C76F94" w:rsidRPr="000F6BE3">
              <w:rPr>
                <w:rFonts w:asciiTheme="minorHAnsi" w:hAnsiTheme="minorHAnsi" w:cs="Arial"/>
                <w:sz w:val="18"/>
              </w:rPr>
              <w:t xml:space="preserve"> </w:t>
            </w:r>
            <w:r w:rsidR="00C76F94">
              <w:rPr>
                <w:rFonts w:asciiTheme="minorHAnsi" w:hAnsiTheme="minorHAnsi" w:cs="Arial"/>
                <w:sz w:val="18"/>
              </w:rPr>
              <w:t xml:space="preserve">код: </w:t>
            </w:r>
            <w:r w:rsidR="00C76F94" w:rsidRPr="00C76F94">
              <w:rPr>
                <w:rFonts w:asciiTheme="minorHAnsi" w:hAnsiTheme="minorHAnsi" w:cs="Arial"/>
                <w:sz w:val="18"/>
              </w:rPr>
              <w:t xml:space="preserve">DBFUFR </w:t>
            </w:r>
            <w:r w:rsidR="00C76F94">
              <w:rPr>
                <w:rFonts w:asciiTheme="minorHAnsi" w:hAnsiTheme="minorHAnsi" w:cs="Arial"/>
                <w:sz w:val="18"/>
              </w:rPr>
              <w:t xml:space="preserve">, </w:t>
            </w:r>
            <w:r>
              <w:rPr>
                <w:rFonts w:asciiTheme="minorHAnsi" w:hAnsiTheme="minorHAnsi" w:cs="Arial"/>
                <w:sz w:val="18"/>
                <w:lang w:val="en-US"/>
              </w:rPr>
              <w:t>LEI</w:t>
            </w:r>
            <w:r w:rsidRPr="000F6BE3">
              <w:rPr>
                <w:rFonts w:asciiTheme="minorHAnsi" w:hAnsiTheme="minorHAnsi" w:cs="Arial"/>
                <w:sz w:val="18"/>
              </w:rPr>
              <w:t xml:space="preserve"> </w:t>
            </w:r>
            <w:r>
              <w:rPr>
                <w:rFonts w:asciiTheme="minorHAnsi" w:hAnsiTheme="minorHAnsi" w:cs="Arial"/>
                <w:sz w:val="18"/>
              </w:rPr>
              <w:t>код:</w:t>
            </w:r>
            <w:r w:rsidRPr="000F6BE3">
              <w:rPr>
                <w:rFonts w:asciiTheme="minorHAnsi" w:hAnsiTheme="minorHAnsi" w:cs="Arial"/>
                <w:sz w:val="18"/>
              </w:rPr>
              <w:t xml:space="preserve"> 254900</w:t>
            </w:r>
            <w:r w:rsidRPr="00582AA3">
              <w:rPr>
                <w:rFonts w:asciiTheme="minorHAnsi" w:hAnsiTheme="minorHAnsi" w:cs="Arial"/>
                <w:sz w:val="18"/>
                <w:lang w:val="en-US"/>
              </w:rPr>
              <w:t>SP</w:t>
            </w:r>
            <w:r w:rsidRPr="000F6BE3">
              <w:rPr>
                <w:rFonts w:asciiTheme="minorHAnsi" w:hAnsiTheme="minorHAnsi" w:cs="Arial"/>
                <w:sz w:val="18"/>
              </w:rPr>
              <w:t>9</w:t>
            </w:r>
            <w:r w:rsidRPr="00582AA3">
              <w:rPr>
                <w:rFonts w:asciiTheme="minorHAnsi" w:hAnsiTheme="minorHAnsi" w:cs="Arial"/>
                <w:sz w:val="18"/>
                <w:lang w:val="en-US"/>
              </w:rPr>
              <w:t>M</w:t>
            </w:r>
            <w:r w:rsidRPr="000F6BE3">
              <w:rPr>
                <w:rFonts w:asciiTheme="minorHAnsi" w:hAnsiTheme="minorHAnsi" w:cs="Arial"/>
                <w:sz w:val="18"/>
              </w:rPr>
              <w:t>660</w:t>
            </w:r>
            <w:r w:rsidRPr="00582AA3">
              <w:rPr>
                <w:rFonts w:asciiTheme="minorHAnsi" w:hAnsiTheme="minorHAnsi" w:cs="Arial"/>
                <w:sz w:val="18"/>
                <w:lang w:val="en-US"/>
              </w:rPr>
              <w:t>ZUP</w:t>
            </w:r>
            <w:r w:rsidRPr="000F6BE3">
              <w:rPr>
                <w:rFonts w:asciiTheme="minorHAnsi" w:hAnsiTheme="minorHAnsi" w:cs="Arial"/>
                <w:sz w:val="18"/>
              </w:rPr>
              <w:t>0</w:t>
            </w:r>
            <w:r w:rsidRPr="00582AA3">
              <w:rPr>
                <w:rFonts w:asciiTheme="minorHAnsi" w:hAnsiTheme="minorHAnsi" w:cs="Arial"/>
                <w:sz w:val="18"/>
                <w:lang w:val="en-US"/>
              </w:rPr>
              <w:t>O</w:t>
            </w:r>
            <w:r w:rsidRPr="000F6BE3">
              <w:rPr>
                <w:rFonts w:asciiTheme="minorHAnsi" w:hAnsiTheme="minorHAnsi" w:cs="Arial"/>
                <w:sz w:val="18"/>
              </w:rPr>
              <w:t>21</w:t>
            </w:r>
          </w:p>
        </w:tc>
      </w:tr>
      <w:tr w:rsidR="00582AA3" w:rsidRPr="00582AA3" w14:paraId="1BF6D6A0" w14:textId="77777777" w:rsidTr="007E16BD">
        <w:tc>
          <w:tcPr>
            <w:tcW w:w="2411" w:type="dxa"/>
            <w:shd w:val="clear" w:color="auto" w:fill="FFFFFF" w:themeFill="background1"/>
          </w:tcPr>
          <w:p w14:paraId="6A5DAA64" w14:textId="77777777" w:rsidR="00582AA3" w:rsidRPr="00582AA3" w:rsidRDefault="00582AA3" w:rsidP="00582AA3">
            <w:pPr>
              <w:spacing w:before="120" w:after="120"/>
              <w:rPr>
                <w:rFonts w:asciiTheme="minorHAnsi" w:hAnsiTheme="minorHAnsi" w:cs="Arial"/>
                <w:b/>
                <w:sz w:val="18"/>
              </w:rPr>
            </w:pPr>
            <w:r>
              <w:rPr>
                <w:rFonts w:asciiTheme="minorHAnsi" w:hAnsiTheme="minorHAnsi" w:cs="Arial"/>
                <w:b/>
                <w:sz w:val="18"/>
              </w:rPr>
              <w:t>Първоначален р</w:t>
            </w:r>
            <w:r w:rsidRPr="00582AA3">
              <w:rPr>
                <w:rFonts w:asciiTheme="minorHAnsi" w:hAnsiTheme="minorHAnsi" w:cs="Arial"/>
                <w:b/>
                <w:sz w:val="18"/>
              </w:rPr>
              <w:t>азмер на емисията</w:t>
            </w:r>
          </w:p>
        </w:tc>
        <w:tc>
          <w:tcPr>
            <w:tcW w:w="6661" w:type="dxa"/>
            <w:shd w:val="clear" w:color="auto" w:fill="FFFFFF" w:themeFill="background1"/>
          </w:tcPr>
          <w:p w14:paraId="265EBFF5" w14:textId="77777777" w:rsidR="00582AA3" w:rsidRPr="00582AA3" w:rsidRDefault="00582AA3" w:rsidP="007E16BD">
            <w:pPr>
              <w:tabs>
                <w:tab w:val="left" w:pos="6643"/>
              </w:tabs>
              <w:spacing w:before="120" w:after="120"/>
              <w:jc w:val="both"/>
              <w:rPr>
                <w:rFonts w:asciiTheme="minorHAnsi" w:hAnsiTheme="minorHAnsi" w:cs="Arial"/>
                <w:sz w:val="18"/>
              </w:rPr>
            </w:pPr>
            <w:r w:rsidRPr="00582AA3">
              <w:rPr>
                <w:rFonts w:asciiTheme="minorHAnsi" w:hAnsiTheme="minorHAnsi" w:cs="Arial"/>
                <w:sz w:val="18"/>
              </w:rPr>
              <w:t>5 000 000 (пет милиона) лева</w:t>
            </w:r>
          </w:p>
        </w:tc>
      </w:tr>
      <w:tr w:rsidR="00582AA3" w:rsidRPr="00582AA3" w14:paraId="5F053022" w14:textId="77777777" w:rsidTr="007E16BD">
        <w:tc>
          <w:tcPr>
            <w:tcW w:w="2411" w:type="dxa"/>
            <w:shd w:val="clear" w:color="auto" w:fill="F2F2F2" w:themeFill="background1" w:themeFillShade="F2"/>
          </w:tcPr>
          <w:p w14:paraId="67946993" w14:textId="77777777" w:rsidR="00582AA3" w:rsidRPr="00582AA3" w:rsidRDefault="0017391A" w:rsidP="007E16BD">
            <w:pPr>
              <w:spacing w:before="120" w:after="120"/>
              <w:rPr>
                <w:rFonts w:asciiTheme="minorHAnsi" w:hAnsiTheme="minorHAnsi" w:cs="Arial"/>
                <w:b/>
                <w:sz w:val="18"/>
              </w:rPr>
            </w:pPr>
            <w:r>
              <w:rPr>
                <w:rFonts w:asciiTheme="minorHAnsi" w:hAnsiTheme="minorHAnsi" w:cs="Arial"/>
                <w:b/>
                <w:sz w:val="18"/>
              </w:rPr>
              <w:t>Непогасен размер</w:t>
            </w:r>
          </w:p>
        </w:tc>
        <w:tc>
          <w:tcPr>
            <w:tcW w:w="6661" w:type="dxa"/>
            <w:shd w:val="clear" w:color="auto" w:fill="F2F2F2" w:themeFill="background1" w:themeFillShade="F2"/>
          </w:tcPr>
          <w:p w14:paraId="43A3281C" w14:textId="132E2CF8" w:rsidR="00582AA3" w:rsidRDefault="0017391A" w:rsidP="007E16BD">
            <w:pPr>
              <w:spacing w:before="120" w:after="120"/>
              <w:jc w:val="both"/>
              <w:rPr>
                <w:rFonts w:asciiTheme="minorHAnsi" w:hAnsiTheme="minorHAnsi" w:cs="Arial"/>
                <w:sz w:val="18"/>
              </w:rPr>
            </w:pPr>
            <w:r>
              <w:rPr>
                <w:rFonts w:asciiTheme="minorHAnsi" w:hAnsiTheme="minorHAnsi" w:cs="Arial"/>
                <w:sz w:val="18"/>
              </w:rPr>
              <w:t>Към 3</w:t>
            </w:r>
            <w:r w:rsidR="00414899">
              <w:rPr>
                <w:rFonts w:asciiTheme="minorHAnsi" w:hAnsiTheme="minorHAnsi" w:cs="Arial"/>
                <w:sz w:val="18"/>
              </w:rPr>
              <w:t>1</w:t>
            </w:r>
            <w:r>
              <w:rPr>
                <w:rFonts w:asciiTheme="minorHAnsi" w:hAnsiTheme="minorHAnsi" w:cs="Arial"/>
                <w:sz w:val="18"/>
              </w:rPr>
              <w:t>.</w:t>
            </w:r>
            <w:r w:rsidR="00414899">
              <w:rPr>
                <w:rFonts w:asciiTheme="minorHAnsi" w:hAnsiTheme="minorHAnsi" w:cs="Arial"/>
                <w:sz w:val="18"/>
              </w:rPr>
              <w:t>1</w:t>
            </w:r>
            <w:r w:rsidR="00414899">
              <w:rPr>
                <w:rFonts w:cs="Arial"/>
                <w:sz w:val="18"/>
              </w:rPr>
              <w:t>2</w:t>
            </w:r>
            <w:r>
              <w:rPr>
                <w:rFonts w:asciiTheme="minorHAnsi" w:hAnsiTheme="minorHAnsi" w:cs="Arial"/>
                <w:sz w:val="18"/>
              </w:rPr>
              <w:t>.202</w:t>
            </w:r>
            <w:r w:rsidR="003A44D5">
              <w:rPr>
                <w:rFonts w:asciiTheme="minorHAnsi" w:hAnsiTheme="minorHAnsi" w:cs="Arial"/>
                <w:sz w:val="18"/>
              </w:rPr>
              <w:t>2</w:t>
            </w:r>
            <w:r>
              <w:rPr>
                <w:rFonts w:asciiTheme="minorHAnsi" w:hAnsiTheme="minorHAnsi" w:cs="Arial"/>
                <w:sz w:val="18"/>
              </w:rPr>
              <w:t xml:space="preserve"> г. – </w:t>
            </w:r>
            <w:r w:rsidR="00B550E3">
              <w:rPr>
                <w:rFonts w:asciiTheme="minorHAnsi" w:hAnsiTheme="minorHAnsi" w:cs="Arial"/>
                <w:sz w:val="18"/>
                <w:lang w:val="en-US"/>
              </w:rPr>
              <w:t xml:space="preserve">4 </w:t>
            </w:r>
            <w:r w:rsidR="008429B1">
              <w:rPr>
                <w:rFonts w:asciiTheme="minorHAnsi" w:hAnsiTheme="minorHAnsi" w:cs="Arial"/>
                <w:sz w:val="18"/>
                <w:lang w:val="en-US"/>
              </w:rPr>
              <w:t>0</w:t>
            </w:r>
            <w:r>
              <w:rPr>
                <w:rFonts w:asciiTheme="minorHAnsi" w:hAnsiTheme="minorHAnsi" w:cs="Arial"/>
                <w:sz w:val="18"/>
              </w:rPr>
              <w:t>00 000 лв.</w:t>
            </w:r>
          </w:p>
          <w:p w14:paraId="65468FBD" w14:textId="3000A194" w:rsidR="0017391A" w:rsidRPr="00582AA3" w:rsidRDefault="0017391A" w:rsidP="007E16BD">
            <w:pPr>
              <w:spacing w:before="120" w:after="120"/>
              <w:jc w:val="both"/>
              <w:rPr>
                <w:rFonts w:asciiTheme="minorHAnsi" w:hAnsiTheme="minorHAnsi" w:cs="Arial"/>
                <w:sz w:val="18"/>
              </w:rPr>
            </w:pPr>
            <w:r>
              <w:rPr>
                <w:rFonts w:asciiTheme="minorHAnsi" w:hAnsiTheme="minorHAnsi" w:cs="Arial"/>
                <w:sz w:val="18"/>
              </w:rPr>
              <w:t xml:space="preserve">Към датата на настоящия доклад – </w:t>
            </w:r>
            <w:r w:rsidR="003A44D5" w:rsidRPr="00270C12">
              <w:rPr>
                <w:rFonts w:asciiTheme="minorHAnsi" w:hAnsiTheme="minorHAnsi" w:cs="Arial"/>
                <w:sz w:val="18"/>
              </w:rPr>
              <w:t>4</w:t>
            </w:r>
            <w:r w:rsidRPr="00270C12">
              <w:rPr>
                <w:rFonts w:asciiTheme="minorHAnsi" w:hAnsiTheme="minorHAnsi" w:cs="Arial"/>
                <w:sz w:val="18"/>
              </w:rPr>
              <w:t xml:space="preserve"> </w:t>
            </w:r>
            <w:r w:rsidR="008429B1">
              <w:rPr>
                <w:rFonts w:asciiTheme="minorHAnsi" w:hAnsiTheme="minorHAnsi" w:cs="Arial"/>
                <w:sz w:val="18"/>
                <w:lang w:val="en-US"/>
              </w:rPr>
              <w:t>0</w:t>
            </w:r>
            <w:r w:rsidRPr="00270C12">
              <w:rPr>
                <w:rFonts w:asciiTheme="minorHAnsi" w:hAnsiTheme="minorHAnsi" w:cs="Arial"/>
                <w:sz w:val="18"/>
              </w:rPr>
              <w:t xml:space="preserve">00 000 </w:t>
            </w:r>
            <w:r>
              <w:rPr>
                <w:rFonts w:asciiTheme="minorHAnsi" w:hAnsiTheme="minorHAnsi" w:cs="Arial"/>
                <w:sz w:val="18"/>
              </w:rPr>
              <w:t>лв.</w:t>
            </w:r>
          </w:p>
        </w:tc>
      </w:tr>
      <w:tr w:rsidR="00582AA3" w:rsidRPr="00582AA3" w14:paraId="0490661E" w14:textId="77777777" w:rsidTr="007E16BD">
        <w:tc>
          <w:tcPr>
            <w:tcW w:w="2411" w:type="dxa"/>
            <w:shd w:val="clear" w:color="auto" w:fill="FFFFFF" w:themeFill="background1"/>
          </w:tcPr>
          <w:p w14:paraId="65146676" w14:textId="77777777" w:rsidR="00582AA3" w:rsidRPr="00582AA3" w:rsidRDefault="00056007" w:rsidP="007E16BD">
            <w:pPr>
              <w:spacing w:before="120" w:after="120"/>
              <w:rPr>
                <w:rFonts w:asciiTheme="minorHAnsi" w:hAnsiTheme="minorHAnsi" w:cs="Arial"/>
                <w:b/>
                <w:sz w:val="18"/>
              </w:rPr>
            </w:pPr>
            <w:r>
              <w:rPr>
                <w:rFonts w:asciiTheme="minorHAnsi" w:hAnsiTheme="minorHAnsi" w:cs="Arial"/>
                <w:b/>
                <w:sz w:val="18"/>
              </w:rPr>
              <w:t>Първоначален срок</w:t>
            </w:r>
          </w:p>
        </w:tc>
        <w:tc>
          <w:tcPr>
            <w:tcW w:w="6661" w:type="dxa"/>
            <w:shd w:val="clear" w:color="auto" w:fill="FFFFFF" w:themeFill="background1"/>
          </w:tcPr>
          <w:p w14:paraId="5AAB9C1A" w14:textId="77777777" w:rsidR="00582AA3" w:rsidRPr="00582AA3" w:rsidRDefault="00056007" w:rsidP="007E16BD">
            <w:pPr>
              <w:spacing w:before="120" w:after="120"/>
              <w:jc w:val="both"/>
              <w:rPr>
                <w:rFonts w:asciiTheme="minorHAnsi" w:hAnsiTheme="minorHAnsi" w:cs="Arial"/>
                <w:sz w:val="18"/>
              </w:rPr>
            </w:pPr>
            <w:r w:rsidRPr="00582AA3">
              <w:rPr>
                <w:rFonts w:asciiTheme="minorHAnsi" w:hAnsiTheme="minorHAnsi" w:cs="Arial"/>
                <w:sz w:val="18"/>
              </w:rPr>
              <w:t>7 години (84 месеца) от датата на издаване</w:t>
            </w:r>
            <w:r>
              <w:rPr>
                <w:rFonts w:asciiTheme="minorHAnsi" w:hAnsiTheme="minorHAnsi" w:cs="Arial"/>
                <w:sz w:val="18"/>
              </w:rPr>
              <w:t xml:space="preserve"> на емисията (15.11.2019 г.)</w:t>
            </w:r>
          </w:p>
        </w:tc>
      </w:tr>
      <w:tr w:rsidR="00582AA3" w:rsidRPr="00582AA3" w14:paraId="3669BE09" w14:textId="77777777" w:rsidTr="007E16BD">
        <w:tc>
          <w:tcPr>
            <w:tcW w:w="2411" w:type="dxa"/>
            <w:shd w:val="clear" w:color="auto" w:fill="F2F2F2" w:themeFill="background1" w:themeFillShade="F2"/>
          </w:tcPr>
          <w:p w14:paraId="32AA4A1E" w14:textId="77777777" w:rsidR="00582AA3" w:rsidRPr="00582AA3" w:rsidRDefault="00056007" w:rsidP="007E16BD">
            <w:pPr>
              <w:spacing w:before="120" w:after="120"/>
              <w:rPr>
                <w:rFonts w:asciiTheme="minorHAnsi" w:hAnsiTheme="minorHAnsi" w:cs="Arial"/>
                <w:b/>
                <w:sz w:val="18"/>
              </w:rPr>
            </w:pPr>
            <w:r>
              <w:rPr>
                <w:rFonts w:asciiTheme="minorHAnsi" w:hAnsiTheme="minorHAnsi" w:cs="Arial"/>
                <w:b/>
                <w:sz w:val="18"/>
              </w:rPr>
              <w:t>Лихвен процент</w:t>
            </w:r>
          </w:p>
        </w:tc>
        <w:tc>
          <w:tcPr>
            <w:tcW w:w="6661" w:type="dxa"/>
            <w:shd w:val="clear" w:color="auto" w:fill="F2F2F2" w:themeFill="background1" w:themeFillShade="F2"/>
          </w:tcPr>
          <w:p w14:paraId="49EA23BC"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10% фиксирана лихва </w:t>
            </w:r>
          </w:p>
        </w:tc>
      </w:tr>
      <w:tr w:rsidR="00582AA3" w:rsidRPr="00582AA3" w14:paraId="316E07B8" w14:textId="77777777" w:rsidTr="007E16BD">
        <w:tc>
          <w:tcPr>
            <w:tcW w:w="2411" w:type="dxa"/>
            <w:tcBorders>
              <w:bottom w:val="dotted" w:sz="4" w:space="0" w:color="auto"/>
            </w:tcBorders>
            <w:shd w:val="clear" w:color="auto" w:fill="FFFFFF" w:themeFill="background1"/>
          </w:tcPr>
          <w:p w14:paraId="11AC37D7"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Лихвени плащания</w:t>
            </w:r>
          </w:p>
        </w:tc>
        <w:tc>
          <w:tcPr>
            <w:tcW w:w="6661" w:type="dxa"/>
            <w:tcBorders>
              <w:bottom w:val="dotted" w:sz="4" w:space="0" w:color="auto"/>
            </w:tcBorders>
            <w:shd w:val="clear" w:color="auto" w:fill="FFFFFF" w:themeFill="background1"/>
          </w:tcPr>
          <w:p w14:paraId="16E6DB0C"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Шестмесечни лихвени плащания</w:t>
            </w:r>
          </w:p>
        </w:tc>
      </w:tr>
      <w:tr w:rsidR="00582AA3" w:rsidRPr="00582AA3" w14:paraId="51FAF284" w14:textId="77777777" w:rsidTr="007E16BD">
        <w:tc>
          <w:tcPr>
            <w:tcW w:w="2411" w:type="dxa"/>
            <w:tcBorders>
              <w:bottom w:val="dotted" w:sz="4" w:space="0" w:color="auto"/>
            </w:tcBorders>
            <w:shd w:val="clear" w:color="auto" w:fill="F2F2F2" w:themeFill="background1" w:themeFillShade="F2"/>
          </w:tcPr>
          <w:p w14:paraId="652AE5B3" w14:textId="77777777" w:rsidR="00582AA3" w:rsidRPr="00582AA3" w:rsidRDefault="00056007" w:rsidP="00056007">
            <w:pPr>
              <w:spacing w:before="120" w:after="120"/>
              <w:rPr>
                <w:rFonts w:asciiTheme="minorHAnsi" w:hAnsiTheme="minorHAnsi" w:cs="Arial"/>
                <w:b/>
                <w:sz w:val="18"/>
              </w:rPr>
            </w:pPr>
            <w:r>
              <w:rPr>
                <w:rFonts w:asciiTheme="minorHAnsi" w:hAnsiTheme="minorHAnsi" w:cs="Arial"/>
                <w:b/>
                <w:sz w:val="18"/>
              </w:rPr>
              <w:t>Лихвена к</w:t>
            </w:r>
            <w:r w:rsidR="00582AA3" w:rsidRPr="00582AA3">
              <w:rPr>
                <w:rFonts w:asciiTheme="minorHAnsi" w:hAnsiTheme="minorHAnsi" w:cs="Arial"/>
                <w:b/>
                <w:sz w:val="18"/>
              </w:rPr>
              <w:t>онвенция</w:t>
            </w:r>
          </w:p>
        </w:tc>
        <w:tc>
          <w:tcPr>
            <w:tcW w:w="6661" w:type="dxa"/>
            <w:tcBorders>
              <w:bottom w:val="dotted" w:sz="4" w:space="0" w:color="auto"/>
            </w:tcBorders>
            <w:shd w:val="clear" w:color="auto" w:fill="F2F2F2" w:themeFill="background1" w:themeFillShade="F2"/>
          </w:tcPr>
          <w:p w14:paraId="39BAE549"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ISMA Actual/Actuals (Реален брой дни в периода / Реален брой дни в годината)</w:t>
            </w:r>
          </w:p>
        </w:tc>
      </w:tr>
      <w:tr w:rsidR="00582AA3" w:rsidRPr="00582AA3" w14:paraId="7C1B0C78" w14:textId="77777777" w:rsidTr="007E16BD">
        <w:tc>
          <w:tcPr>
            <w:tcW w:w="2411" w:type="dxa"/>
            <w:tcBorders>
              <w:bottom w:val="dotted" w:sz="4" w:space="0" w:color="auto"/>
            </w:tcBorders>
            <w:shd w:val="clear" w:color="auto" w:fill="FFFFFF" w:themeFill="background1"/>
          </w:tcPr>
          <w:p w14:paraId="2336995B"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Гратисен период за лихвата</w:t>
            </w:r>
          </w:p>
        </w:tc>
        <w:tc>
          <w:tcPr>
            <w:tcW w:w="6661" w:type="dxa"/>
            <w:tcBorders>
              <w:bottom w:val="dotted" w:sz="4" w:space="0" w:color="auto"/>
            </w:tcBorders>
            <w:shd w:val="clear" w:color="auto" w:fill="FFFFFF" w:themeFill="background1"/>
          </w:tcPr>
          <w:p w14:paraId="00A60504"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Няма</w:t>
            </w:r>
          </w:p>
        </w:tc>
      </w:tr>
      <w:tr w:rsidR="00582AA3" w:rsidRPr="00582AA3" w14:paraId="46894DF5" w14:textId="77777777" w:rsidTr="007E16BD">
        <w:tc>
          <w:tcPr>
            <w:tcW w:w="2411" w:type="dxa"/>
            <w:tcBorders>
              <w:bottom w:val="dotted" w:sz="4" w:space="0" w:color="auto"/>
            </w:tcBorders>
            <w:shd w:val="clear" w:color="auto" w:fill="F2F2F2" w:themeFill="background1" w:themeFillShade="F2"/>
          </w:tcPr>
          <w:p w14:paraId="34BA4345"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Дати на лихвените плащания</w:t>
            </w:r>
          </w:p>
        </w:tc>
        <w:tc>
          <w:tcPr>
            <w:tcW w:w="6661" w:type="dxa"/>
            <w:tcBorders>
              <w:bottom w:val="dotted" w:sz="4" w:space="0" w:color="auto"/>
            </w:tcBorders>
            <w:shd w:val="clear" w:color="auto" w:fill="F2F2F2" w:themeFill="background1" w:themeFillShade="F2"/>
          </w:tcPr>
          <w:p w14:paraId="68B36DD4" w14:textId="77777777" w:rsidR="00582AA3" w:rsidRPr="00582AA3" w:rsidRDefault="00582AA3" w:rsidP="007E16BD">
            <w:pPr>
              <w:tabs>
                <w:tab w:val="left" w:pos="2679"/>
              </w:tabs>
              <w:spacing w:before="120" w:after="120"/>
              <w:jc w:val="both"/>
              <w:rPr>
                <w:rFonts w:asciiTheme="minorHAnsi" w:hAnsiTheme="minorHAnsi" w:cs="Arial"/>
                <w:sz w:val="18"/>
              </w:rPr>
            </w:pPr>
            <w:r w:rsidRPr="00582AA3">
              <w:rPr>
                <w:rFonts w:asciiTheme="minorHAnsi" w:hAnsiTheme="minorHAnsi" w:cs="Arial"/>
                <w:sz w:val="18"/>
              </w:rPr>
              <w:t>15.05.2020г., 15.11.2020г., 15.05.2021г., 15.11.2021г., 15.05.2022г., 15.11.2022г., 15.05.2023г., 15.11.2023г., 15.05.2024г., 15.11.2024г., 15.05.2025г., 15.11.2025г., 15.05.2026г., 15.11.2026г.</w:t>
            </w:r>
          </w:p>
        </w:tc>
      </w:tr>
      <w:tr w:rsidR="00582AA3" w:rsidRPr="00582AA3" w14:paraId="04EFD6B3" w14:textId="77777777" w:rsidTr="007E16BD">
        <w:tc>
          <w:tcPr>
            <w:tcW w:w="2411" w:type="dxa"/>
            <w:shd w:val="clear" w:color="auto" w:fill="FFFFFF" w:themeFill="background1"/>
          </w:tcPr>
          <w:p w14:paraId="1C809815"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Изплащане на главницата</w:t>
            </w:r>
          </w:p>
        </w:tc>
        <w:tc>
          <w:tcPr>
            <w:tcW w:w="6661" w:type="dxa"/>
            <w:shd w:val="clear" w:color="auto" w:fill="FFFFFF" w:themeFill="background1"/>
          </w:tcPr>
          <w:p w14:paraId="0C571C92"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На 10 /десет/ равни вноски от 500 000 лв. всяка една, представляваща 5% амортизационен коефициент на главницата, заедно с последните 10 /десет/ лихвени плащания, а именно на 15.05.2022г., 15.11.2022г., 15.05.2023г. ,15.11.2023г., 15.05.2024г., 15.11.2024г., 15.05.2025г.,15.11.2025г.,15.05.2026г.,15.11.2026г.</w:t>
            </w:r>
          </w:p>
        </w:tc>
      </w:tr>
      <w:tr w:rsidR="00C76F94" w:rsidRPr="00582AA3" w14:paraId="6A4BDA32" w14:textId="77777777" w:rsidTr="007E16BD">
        <w:tc>
          <w:tcPr>
            <w:tcW w:w="2411" w:type="dxa"/>
            <w:shd w:val="clear" w:color="auto" w:fill="F2F2F2" w:themeFill="background1" w:themeFillShade="F2"/>
          </w:tcPr>
          <w:p w14:paraId="000C3359" w14:textId="77777777" w:rsidR="00C76F94" w:rsidRPr="00582AA3" w:rsidRDefault="00C76F94" w:rsidP="00C76F94">
            <w:pPr>
              <w:spacing w:before="120" w:after="120"/>
              <w:rPr>
                <w:rFonts w:asciiTheme="minorHAnsi" w:hAnsiTheme="minorHAnsi" w:cs="Arial"/>
                <w:b/>
                <w:sz w:val="18"/>
              </w:rPr>
            </w:pPr>
            <w:r>
              <w:rPr>
                <w:rFonts w:asciiTheme="minorHAnsi" w:hAnsiTheme="minorHAnsi" w:cs="Arial"/>
                <w:b/>
                <w:sz w:val="18"/>
              </w:rPr>
              <w:t>Първоначален падеж</w:t>
            </w:r>
          </w:p>
        </w:tc>
        <w:tc>
          <w:tcPr>
            <w:tcW w:w="6661" w:type="dxa"/>
            <w:shd w:val="clear" w:color="auto" w:fill="F2F2F2" w:themeFill="background1" w:themeFillShade="F2"/>
          </w:tcPr>
          <w:p w14:paraId="6F1A9826" w14:textId="77777777" w:rsidR="00C76F94" w:rsidRPr="00582AA3" w:rsidRDefault="00C76F94" w:rsidP="00C76F94">
            <w:pPr>
              <w:spacing w:before="120" w:after="120"/>
              <w:jc w:val="both"/>
              <w:rPr>
                <w:rFonts w:asciiTheme="minorHAnsi" w:hAnsiTheme="minorHAnsi" w:cs="Arial"/>
                <w:sz w:val="18"/>
              </w:rPr>
            </w:pPr>
            <w:r>
              <w:rPr>
                <w:rFonts w:asciiTheme="minorHAnsi" w:hAnsiTheme="minorHAnsi" w:cs="Arial"/>
                <w:sz w:val="18"/>
              </w:rPr>
              <w:t>15.11.2026 г.</w:t>
            </w:r>
          </w:p>
        </w:tc>
      </w:tr>
      <w:tr w:rsidR="00582AA3" w:rsidRPr="00582AA3" w14:paraId="3AD65EE3" w14:textId="77777777" w:rsidTr="007E16BD">
        <w:tc>
          <w:tcPr>
            <w:tcW w:w="2411" w:type="dxa"/>
            <w:shd w:val="clear" w:color="auto" w:fill="FFFFFF" w:themeFill="background1"/>
          </w:tcPr>
          <w:p w14:paraId="7AFEA978"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Усвояване</w:t>
            </w:r>
          </w:p>
        </w:tc>
        <w:tc>
          <w:tcPr>
            <w:tcW w:w="6661" w:type="dxa"/>
            <w:shd w:val="clear" w:color="auto" w:fill="FFFFFF" w:themeFill="background1"/>
          </w:tcPr>
          <w:p w14:paraId="16B863B9"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След приключване на подписката, паричните средства по набирателната сметка са прехвърлени в специално създадена за целта на емисията ескроу сметка при „Уникредит Булбанк“. Освобождаването на средства от нея е на база на осигуреното от Емитента обезпечение, така че в нито един момент размерът на обезпечението на усвоената сума да не пада под лимита от 125%.</w:t>
            </w:r>
          </w:p>
        </w:tc>
      </w:tr>
      <w:tr w:rsidR="00582AA3" w:rsidRPr="00582AA3" w14:paraId="70E3E06C" w14:textId="77777777" w:rsidTr="007E16BD">
        <w:tc>
          <w:tcPr>
            <w:tcW w:w="2411" w:type="dxa"/>
            <w:shd w:val="clear" w:color="auto" w:fill="F2F2F2" w:themeFill="background1" w:themeFillShade="F2"/>
          </w:tcPr>
          <w:p w14:paraId="4D030A86"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Обезпечение</w:t>
            </w:r>
          </w:p>
        </w:tc>
        <w:tc>
          <w:tcPr>
            <w:tcW w:w="6661" w:type="dxa"/>
            <w:shd w:val="clear" w:color="auto" w:fill="F2F2F2" w:themeFill="background1" w:themeFillShade="F2"/>
          </w:tcPr>
          <w:p w14:paraId="08B78B47" w14:textId="77777777" w:rsidR="00582AA3" w:rsidRPr="00582AA3" w:rsidRDefault="00582AA3" w:rsidP="00C76F94">
            <w:pPr>
              <w:pStyle w:val="bs2"/>
              <w:numPr>
                <w:ilvl w:val="0"/>
                <w:numId w:val="15"/>
              </w:numPr>
              <w:spacing w:after="20" w:line="240" w:lineRule="auto"/>
              <w:ind w:left="424" w:hanging="424"/>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Първа по ред договорна ипотека върху 780,77/17474 идеални части от урегулиран поземлен имот ХVІІ-2201, кв.63 по плана на местн. „Вилна зона Симеоново север“, район Витоша, с адрес: гр. София, ул. ”Симеоновско шосе” № 198, ведно с изградената в имота жилищна сграда №32 със ЗП  163 кв. м. и РЗП 364,17 кв. м. Имотът е собственост на Светослав Юрий Ангелов – изпълнителен директор и основен акционер в „Ай Ти Еф Груп“ АД.</w:t>
            </w:r>
          </w:p>
          <w:p w14:paraId="0466D90C" w14:textId="77777777"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Първа по ред договорна ипотека върху Офис №1, разположен на две нива в жилищна сграда в гр. София, район Лозенец, ул. ”Света гора” №42, с РЗП на двете нива от 131.11 кв. м., състоящ се на първо ниво /ниво терен/ от приемна, кухня-бокс, стая за почивка, баня с тоалетна и входно антре, а на </w:t>
            </w:r>
            <w:r w:rsidRPr="00582AA3">
              <w:rPr>
                <w:rFonts w:asciiTheme="minorHAnsi" w:hAnsiTheme="minorHAnsi" w:cstheme="minorHAnsi"/>
                <w:b w:val="0"/>
                <w:smallCaps w:val="0"/>
                <w:sz w:val="18"/>
                <w:szCs w:val="24"/>
              </w:rPr>
              <w:lastRenderedPageBreak/>
              <w:t>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 Имотът е собственост на „Гео-Импорт-Експорт“ ЕООД, дружество с едноличен собственик Георги Добринов - баща на изпълнителния директор и акционер в „Ай Ти Еф Груп“ АД Филип Добринов.</w:t>
            </w:r>
          </w:p>
          <w:p w14:paraId="78A141F3" w14:textId="77777777"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Първи по ред особен залог върху съвкупност от вземания по договори за заеми на физически и юридически лица. Общият размер на Пула от вземания към датата на вписването на залога в ЦРОЗ се изчислява на основата на размера на непогасените суми по договорите за заеми, включени в Пула. Като обезпечение могат да служат вземания по кредити, които са класифицирани като редовни на база счетоводната политика на Емитента. В случай, че дадено вземане бъде погасено или бъде класифицирано като загуба, Емитентът е длъжен да ги замени с нови редовни вземания най-късно до 10 число на следващия месец, съответно да впише промените в Пула от вземания, вписан като обезпечение в ЦРОЗ. В случай, че предложените от Емитента вземания не отговарят на изискванията и/или техния размер не е достатъчен, за да осигури минималното покритие по емисията, Довереникът изисква от Емитента незабавно да осигури липсващото обезпечение. 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ескроу сметката и минус стойността на недвижимото имущество заложено като обезпечение на настоящата емисия;</w:t>
            </w:r>
          </w:p>
          <w:p w14:paraId="5D6C0801" w14:textId="77777777"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Първи по ред залог на всички настоящи и бъдещи вземания по платежни сметки на „Ай Ти Еф Груп“ АД в „Изипей“ АД, както и всички останали настоящи и бъдещи вземания по настоящи и бъдещи платежни сметки на Емитента в платежни институции на територията на Република България.</w:t>
            </w:r>
          </w:p>
          <w:p w14:paraId="147BEA9A" w14:textId="77777777" w:rsidR="00582AA3" w:rsidRPr="00582AA3" w:rsidRDefault="00582AA3" w:rsidP="00582AA3">
            <w:pPr>
              <w:pStyle w:val="bs2"/>
              <w:numPr>
                <w:ilvl w:val="0"/>
                <w:numId w:val="15"/>
              </w:numPr>
              <w:spacing w:after="20" w:line="240" w:lineRule="auto"/>
              <w:rPr>
                <w:rFonts w:asciiTheme="minorHAnsi" w:hAnsiTheme="minorHAnsi"/>
                <w:sz w:val="18"/>
                <w:szCs w:val="24"/>
              </w:rPr>
            </w:pPr>
            <w:r w:rsidRPr="00582AA3">
              <w:rPr>
                <w:rFonts w:asciiTheme="minorHAnsi" w:hAnsiTheme="minorHAnsi" w:cstheme="minorHAnsi"/>
                <w:b w:val="0"/>
                <w:smallCaps w:val="0"/>
                <w:sz w:val="18"/>
                <w:szCs w:val="24"/>
              </w:rPr>
              <w:t>Валидна застрахователна полица за застраховане на сградите, предмет на обезпечението по т. 1) и т. 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т. 7.1. от настоящия Документ и по която ко-бенефициент на застрахователно обезщетение е Довереника – „ЕЛАНА трейдинг“ АД.</w:t>
            </w:r>
          </w:p>
        </w:tc>
      </w:tr>
      <w:tr w:rsidR="00582AA3" w:rsidRPr="00582AA3" w14:paraId="3FC5B45C" w14:textId="77777777" w:rsidTr="00C76F94">
        <w:tc>
          <w:tcPr>
            <w:tcW w:w="2411" w:type="dxa"/>
            <w:shd w:val="clear" w:color="auto" w:fill="auto"/>
          </w:tcPr>
          <w:p w14:paraId="71257E33"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lastRenderedPageBreak/>
              <w:t xml:space="preserve">Опции за обратно изкупване от страна на Облигационерите </w:t>
            </w:r>
          </w:p>
          <w:p w14:paraId="46676B2E"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/Пут-опция/</w:t>
            </w:r>
          </w:p>
        </w:tc>
        <w:tc>
          <w:tcPr>
            <w:tcW w:w="6661" w:type="dxa"/>
            <w:shd w:val="clear" w:color="auto" w:fill="auto"/>
          </w:tcPr>
          <w:p w14:paraId="088798E8"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cs="Arial"/>
                <w:sz w:val="18"/>
              </w:rPr>
              <w:t xml:space="preserve">При Промяна в Контрола всеки облигационер има правото да поиска обратно изкупуване на държаните от него книжа на цена равна на 100% от неамортизираната главница плюс натрупаната и неизплатена лихва към датата на сетълмент на Пут опцията </w:t>
            </w:r>
            <w:r w:rsidRPr="00582AA3">
              <w:rPr>
                <w:rFonts w:asciiTheme="minorHAnsi" w:hAnsiTheme="minorHAnsi"/>
                <w:sz w:val="18"/>
              </w:rPr>
              <w:t>/Пут опция „Контрол“/</w:t>
            </w:r>
            <w:r w:rsidRPr="00582AA3">
              <w:rPr>
                <w:rFonts w:asciiTheme="minorHAnsi" w:hAnsiTheme="minorHAnsi" w:cs="Arial"/>
                <w:sz w:val="18"/>
              </w:rPr>
              <w:t>.</w:t>
            </w:r>
          </w:p>
          <w:p w14:paraId="5501C3E9" w14:textId="77777777" w:rsidR="00582AA3" w:rsidRPr="00582AA3" w:rsidRDefault="00582AA3" w:rsidP="007E16BD">
            <w:pPr>
              <w:spacing w:before="120" w:after="120"/>
              <w:jc w:val="both"/>
              <w:rPr>
                <w:rFonts w:asciiTheme="minorHAnsi" w:hAnsiTheme="minorHAnsi" w:cs="Arial"/>
                <w:sz w:val="18"/>
              </w:rPr>
            </w:pPr>
            <w:r w:rsidRPr="00582AA3">
              <w:rPr>
                <w:rFonts w:asciiTheme="minorHAnsi" w:hAnsiTheme="minorHAnsi"/>
                <w:sz w:val="18"/>
              </w:rPr>
              <w:t>При неприемане на облигациите за търговия на регулиран пазар до 6 (шест) месеца от датата на емитирането им, всеки облигационер има право да поиска обратно изкупуване на държаните от него книжа по емисионна стойност /Пут опция „Листване“/.</w:t>
            </w:r>
          </w:p>
        </w:tc>
      </w:tr>
      <w:tr w:rsidR="00582AA3" w:rsidRPr="00582AA3" w14:paraId="6F183249" w14:textId="77777777" w:rsidTr="007E16BD">
        <w:tc>
          <w:tcPr>
            <w:tcW w:w="2411" w:type="dxa"/>
            <w:shd w:val="clear" w:color="auto" w:fill="FFFFFF" w:themeFill="background1"/>
          </w:tcPr>
          <w:p w14:paraId="1EA50AC9"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 xml:space="preserve">Опция за обратно изкупуване от страна на Емитента </w:t>
            </w:r>
          </w:p>
          <w:p w14:paraId="3C9B80EF" w14:textId="77777777" w:rsidR="00582AA3" w:rsidRPr="00582AA3" w:rsidRDefault="00582AA3" w:rsidP="007E16BD">
            <w:pPr>
              <w:spacing w:before="120" w:after="120"/>
              <w:rPr>
                <w:rFonts w:asciiTheme="minorHAnsi" w:hAnsiTheme="minorHAnsi" w:cs="Arial"/>
                <w:b/>
                <w:sz w:val="18"/>
              </w:rPr>
            </w:pPr>
            <w:r w:rsidRPr="00582AA3">
              <w:rPr>
                <w:rFonts w:asciiTheme="minorHAnsi" w:hAnsiTheme="minorHAnsi" w:cs="Arial"/>
                <w:b/>
                <w:sz w:val="18"/>
              </w:rPr>
              <w:t>/Кол опция/</w:t>
            </w:r>
          </w:p>
        </w:tc>
        <w:tc>
          <w:tcPr>
            <w:tcW w:w="6661" w:type="dxa"/>
            <w:shd w:val="clear" w:color="auto" w:fill="FFFFFF" w:themeFill="background1"/>
          </w:tcPr>
          <w:p w14:paraId="34AE2857" w14:textId="77777777" w:rsidR="00582AA3" w:rsidRPr="00582AA3" w:rsidRDefault="00582AA3" w:rsidP="007E16BD">
            <w:pPr>
              <w:spacing w:before="120" w:after="120"/>
              <w:jc w:val="both"/>
              <w:rPr>
                <w:rFonts w:asciiTheme="minorHAnsi" w:hAnsiTheme="minorHAnsi"/>
                <w:sz w:val="18"/>
              </w:rPr>
            </w:pPr>
            <w:r w:rsidRPr="00582AA3">
              <w:rPr>
                <w:rFonts w:asciiTheme="minorHAnsi" w:hAnsiTheme="minorHAnsi"/>
                <w:sz w:val="18"/>
              </w:rPr>
              <w:t>Емитентът има право да изкупи обратно облигациите /</w:t>
            </w:r>
            <w:r w:rsidRPr="00582AA3">
              <w:rPr>
                <w:rFonts w:asciiTheme="minorHAnsi" w:hAnsiTheme="minorHAnsi"/>
                <w:i/>
                <w:sz w:val="18"/>
              </w:rPr>
              <w:t>Кол опция</w:t>
            </w:r>
            <w:r w:rsidRPr="00582AA3">
              <w:rPr>
                <w:rFonts w:asciiTheme="minorHAnsi" w:hAnsiTheme="minorHAnsi"/>
                <w:sz w:val="18"/>
              </w:rPr>
              <w:t>/ на няколко фиксирани дати, както следва:</w:t>
            </w:r>
          </w:p>
          <w:p w14:paraId="184E7171" w14:textId="77777777"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10-то лихвено плащане /15 ноември 2024</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от 105% от остатъчната главница след изплащане на главницата и лихвата дължими към ноември 2024</w:t>
            </w:r>
            <w:r w:rsidR="000C572B">
              <w:rPr>
                <w:rFonts w:asciiTheme="minorHAnsi" w:hAnsiTheme="minorHAnsi"/>
                <w:sz w:val="18"/>
                <w:szCs w:val="24"/>
                <w:lang w:val="bg-BG"/>
              </w:rPr>
              <w:t xml:space="preserve"> г.</w:t>
            </w:r>
          </w:p>
          <w:p w14:paraId="1462BBBE" w14:textId="77777777"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11-то лихвено плащане /15 май 2025</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от 104% от остатъчната главница след изплащане на главницата и лихвата дължими към май 2025</w:t>
            </w:r>
            <w:r w:rsidR="000C572B">
              <w:rPr>
                <w:rFonts w:asciiTheme="minorHAnsi" w:hAnsiTheme="minorHAnsi"/>
                <w:sz w:val="18"/>
                <w:szCs w:val="24"/>
                <w:lang w:val="bg-BG"/>
              </w:rPr>
              <w:t xml:space="preserve"> г.</w:t>
            </w:r>
          </w:p>
          <w:p w14:paraId="2AC92AA3" w14:textId="77777777"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lastRenderedPageBreak/>
              <w:t>На датата на 12-то лихвено плащане /15 ноември 2025</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103% от остатъчната главница след изплащане на главницата и лихвата дължими към ноември 2025</w:t>
            </w:r>
            <w:r w:rsidR="000C572B">
              <w:rPr>
                <w:rFonts w:asciiTheme="minorHAnsi" w:hAnsiTheme="minorHAnsi"/>
                <w:sz w:val="18"/>
                <w:szCs w:val="24"/>
                <w:lang w:val="bg-BG"/>
              </w:rPr>
              <w:t xml:space="preserve"> г.</w:t>
            </w:r>
          </w:p>
          <w:p w14:paraId="0275750D" w14:textId="77777777" w:rsidR="00582AA3" w:rsidRPr="000F6BE3"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0F6BE3">
              <w:rPr>
                <w:rFonts w:asciiTheme="minorHAnsi" w:hAnsiTheme="minorHAnsi"/>
                <w:sz w:val="18"/>
                <w:szCs w:val="24"/>
                <w:lang w:val="bg-BG"/>
              </w:rPr>
              <w:t>На датата на 13-то лихвено плащане /15 май 2026</w:t>
            </w:r>
            <w:r w:rsidR="000C572B">
              <w:rPr>
                <w:rFonts w:asciiTheme="minorHAnsi" w:hAnsiTheme="minorHAnsi"/>
                <w:sz w:val="18"/>
                <w:szCs w:val="24"/>
                <w:lang w:val="bg-BG"/>
              </w:rPr>
              <w:t xml:space="preserve"> г.</w:t>
            </w:r>
            <w:r w:rsidRPr="000F6BE3">
              <w:rPr>
                <w:rFonts w:asciiTheme="minorHAnsi" w:hAnsiTheme="minorHAnsi"/>
                <w:sz w:val="18"/>
                <w:szCs w:val="24"/>
                <w:lang w:val="bg-BG"/>
              </w:rPr>
              <w:t>/ на цена 101% от остатъчната главница след изплащане на главницата и лихвата дължими към май 2026</w:t>
            </w:r>
            <w:r w:rsidR="000C572B">
              <w:rPr>
                <w:rFonts w:asciiTheme="minorHAnsi" w:hAnsiTheme="minorHAnsi"/>
                <w:sz w:val="18"/>
                <w:szCs w:val="24"/>
                <w:lang w:val="bg-BG"/>
              </w:rPr>
              <w:t xml:space="preserve"> г.</w:t>
            </w:r>
          </w:p>
        </w:tc>
      </w:tr>
      <w:tr w:rsidR="00582AA3" w:rsidRPr="00582AA3" w14:paraId="0921DEB7" w14:textId="77777777" w:rsidTr="007E16BD">
        <w:tc>
          <w:tcPr>
            <w:tcW w:w="2411" w:type="dxa"/>
            <w:tcBorders>
              <w:bottom w:val="dotted" w:sz="4" w:space="0" w:color="auto"/>
            </w:tcBorders>
            <w:shd w:val="clear" w:color="auto" w:fill="F2F2F2" w:themeFill="background1" w:themeFillShade="F2"/>
          </w:tcPr>
          <w:p w14:paraId="0E4E0E11" w14:textId="77777777" w:rsidR="00582AA3" w:rsidRPr="00582AA3" w:rsidRDefault="00C43ECE" w:rsidP="007E16BD">
            <w:pPr>
              <w:spacing w:before="120" w:after="120"/>
              <w:rPr>
                <w:rFonts w:asciiTheme="minorHAnsi" w:hAnsiTheme="minorHAnsi" w:cs="Arial"/>
                <w:b/>
                <w:sz w:val="18"/>
              </w:rPr>
            </w:pPr>
            <w:r>
              <w:rPr>
                <w:rFonts w:asciiTheme="minorHAnsi" w:hAnsiTheme="minorHAnsi" w:cs="Arial"/>
                <w:b/>
                <w:sz w:val="18"/>
              </w:rPr>
              <w:lastRenderedPageBreak/>
              <w:t>Ковенанти</w:t>
            </w:r>
          </w:p>
        </w:tc>
        <w:tc>
          <w:tcPr>
            <w:tcW w:w="6661" w:type="dxa"/>
            <w:tcBorders>
              <w:bottom w:val="dotted" w:sz="4" w:space="0" w:color="auto"/>
            </w:tcBorders>
            <w:shd w:val="clear" w:color="auto" w:fill="F2F2F2" w:themeFill="background1" w:themeFillShade="F2"/>
          </w:tcPr>
          <w:p w14:paraId="637E49D0" w14:textId="77777777" w:rsidR="00406F9B" w:rsidRDefault="00406F9B" w:rsidP="00406F9B">
            <w:pPr>
              <w:spacing w:before="120" w:after="120"/>
              <w:jc w:val="both"/>
              <w:rPr>
                <w:rFonts w:asciiTheme="minorHAnsi" w:hAnsiTheme="minorHAnsi"/>
                <w:sz w:val="18"/>
              </w:rPr>
            </w:pPr>
            <w:r w:rsidRPr="00406F9B">
              <w:rPr>
                <w:rFonts w:asciiTheme="minorHAnsi" w:hAnsiTheme="minorHAnsi"/>
                <w:b/>
                <w:sz w:val="18"/>
              </w:rPr>
              <w:t>Общи условия</w:t>
            </w:r>
            <w:r>
              <w:rPr>
                <w:rFonts w:asciiTheme="minorHAnsi" w:hAnsiTheme="minorHAnsi"/>
                <w:sz w:val="18"/>
              </w:rPr>
              <w:t>:</w:t>
            </w:r>
          </w:p>
          <w:p w14:paraId="7EE28DC5" w14:textId="77777777" w:rsidR="00406F9B" w:rsidRPr="00406F9B" w:rsidRDefault="00406F9B" w:rsidP="00406F9B">
            <w:pPr>
              <w:spacing w:before="120" w:after="120"/>
              <w:jc w:val="both"/>
              <w:rPr>
                <w:rFonts w:asciiTheme="minorHAnsi" w:hAnsiTheme="minorHAnsi"/>
                <w:sz w:val="18"/>
              </w:rPr>
            </w:pPr>
            <w:r>
              <w:rPr>
                <w:rFonts w:asciiTheme="minorHAnsi" w:hAnsiTheme="minorHAnsi"/>
                <w:b/>
                <w:sz w:val="18"/>
              </w:rPr>
              <w:t>1)</w:t>
            </w:r>
            <w:r w:rsidRPr="00406F9B">
              <w:rPr>
                <w:rFonts w:asciiTheme="minorHAnsi" w:hAnsiTheme="minorHAnsi"/>
                <w:sz w:val="18"/>
              </w:rPr>
              <w:tab/>
            </w:r>
            <w:r w:rsidRPr="00406F9B">
              <w:rPr>
                <w:rFonts w:asciiTheme="minorHAnsi" w:hAnsiTheme="minorHAnsi"/>
                <w:b/>
                <w:sz w:val="18"/>
              </w:rPr>
              <w:t>Бизнес комбинации</w:t>
            </w:r>
            <w:r w:rsidRPr="00406F9B">
              <w:rPr>
                <w:rFonts w:asciiTheme="minorHAnsi" w:hAnsiTheme="minorHAnsi"/>
                <w:sz w:val="18"/>
              </w:rPr>
              <w:t>: Емитентът няма право да предприема преобразуване под формата на сливане, вливане, разделяне, отделяне или друга подобна бизнес комбинация или реорганизация засягаща прехвърляне на (част от) активите и задълженията на Дружеството, ако такава трансакция ще има Съществен Негативен Ефект. Емитентът е длъжен да уведоми Довереника за всяка подобна планирана трансакция заедно с мотивирано обяснение защо тя няма да има Съществен Негативен Ефект.</w:t>
            </w:r>
          </w:p>
          <w:p w14:paraId="5465BD45"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Прекратяване и ликвидация</w:t>
            </w:r>
            <w:r w:rsidRPr="00406F9B">
              <w:rPr>
                <w:rFonts w:asciiTheme="minorHAnsi" w:hAnsiTheme="minorHAnsi"/>
                <w:sz w:val="18"/>
              </w:rPr>
              <w:t>: Емитентът няма право да прекратява дейността на Дружеството и да го ликвидира без преди това да е изплатил изцяло задълженията си по Облигационния заем.</w:t>
            </w:r>
          </w:p>
          <w:p w14:paraId="5E1ADFE6"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Продажба на бизнеса:</w:t>
            </w:r>
            <w:r w:rsidRPr="00406F9B">
              <w:rPr>
                <w:rFonts w:asciiTheme="minorHAnsi" w:hAnsiTheme="minorHAnsi"/>
                <w:sz w:val="18"/>
              </w:rPr>
              <w:t xml:space="preserve"> Емитентът няма право да прехвърля и/или продава целият или съществена част от бизнеса и/или активите на Дружеството на трето лице, освен ако 1) трансакцията е на справедлива цена и 2) има предварително съгласие от Общото събрание на облигационерите на настоящата емисия.</w:t>
            </w:r>
          </w:p>
          <w:p w14:paraId="480C609B" w14:textId="77777777" w:rsidR="00406F9B" w:rsidRPr="00406F9B" w:rsidRDefault="00406F9B" w:rsidP="00406F9B">
            <w:pPr>
              <w:spacing w:before="120" w:after="120"/>
              <w:jc w:val="both"/>
              <w:rPr>
                <w:rFonts w:asciiTheme="minorHAnsi" w:hAnsiTheme="minorHAnsi"/>
                <w:sz w:val="18"/>
              </w:rPr>
            </w:pPr>
            <w:r w:rsidRPr="000C572B">
              <w:rPr>
                <w:rFonts w:asciiTheme="minorHAnsi" w:hAnsiTheme="minorHAnsi"/>
                <w:b/>
                <w:sz w:val="18"/>
              </w:rPr>
              <w:t>4)</w:t>
            </w:r>
            <w:r w:rsidRPr="00406F9B">
              <w:rPr>
                <w:rFonts w:asciiTheme="minorHAnsi" w:hAnsiTheme="minorHAnsi"/>
                <w:b/>
                <w:sz w:val="18"/>
              </w:rPr>
              <w:tab/>
              <w:t>Поемане на нов дълг</w:t>
            </w:r>
            <w:r w:rsidRPr="00406F9B">
              <w:rPr>
                <w:rFonts w:asciiTheme="minorHAnsi" w:hAnsiTheme="minorHAnsi"/>
                <w:sz w:val="18"/>
              </w:rPr>
              <w:t>: За срока на съществуване на настоящата емисия облигации, Емитентът няма право да издава емисия привилегировани облигации, нова емисия облигации с привилегирован режим на изплащане или да поема нов дълг с по-привилегирован режим на изплащане, обезпеченост и подчиненост от настоящата емисия без предварителното съгласие на Общото събрание на облигационерите от настоящата емисия.</w:t>
            </w:r>
          </w:p>
          <w:p w14:paraId="1DE30349"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5)</w:t>
            </w:r>
            <w:r w:rsidRPr="00406F9B">
              <w:rPr>
                <w:rFonts w:asciiTheme="minorHAnsi" w:hAnsiTheme="minorHAnsi"/>
                <w:b/>
                <w:sz w:val="18"/>
              </w:rPr>
              <w:tab/>
              <w:t>Cross Default:</w:t>
            </w:r>
            <w:r w:rsidRPr="00406F9B">
              <w:rPr>
                <w:rFonts w:asciiTheme="minorHAnsi" w:hAnsiTheme="minorHAnsi"/>
                <w:sz w:val="18"/>
              </w:rPr>
              <w:t xml:space="preserve"> При забава или невъзможност за плащане за повече от 15 /петнадесет/ дни на което и да е от текущите или бъдещите задължения на Емитента през живота на настоящата емисия облигации, Емитентът се задължава да предприеме действия, с които в срок от 20 /двадесет/ дни, считано от датата на изтичане на 15-дневния срок на забава, да изплати всички неразплатени и/или забавени задължения. В случай, че Емитентът не успее да направи това, облигационерите, които притежават облигации от настоящата емисия имат право да изискат предсрочното изплащане на остатъчната главница на 100% от номинала й и натрупаната за периода лихва по облигациите.</w:t>
            </w:r>
          </w:p>
          <w:p w14:paraId="2901CD5B"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6)</w:t>
            </w:r>
            <w:r w:rsidRPr="00406F9B">
              <w:rPr>
                <w:rFonts w:asciiTheme="minorHAnsi" w:hAnsiTheme="minorHAnsi"/>
                <w:b/>
                <w:sz w:val="18"/>
              </w:rPr>
              <w:tab/>
              <w:t>Сделки със свързани лица:</w:t>
            </w:r>
            <w:r w:rsidRPr="00406F9B">
              <w:rPr>
                <w:rFonts w:asciiTheme="minorHAnsi" w:hAnsiTheme="minorHAnsi"/>
                <w:sz w:val="18"/>
              </w:rPr>
              <w:t xml:space="preserve"> Емитентът няма право да сключва, директно или индиректно, сделки с основните акционери и свързани с тях лица освен ако тези сделки са свързани с обичайната му дейност и условията по тях не се различават съществено от пазарните. Емитентът няма право да изплаща задължения към свързани с основните акционери лица до настъпването на падежа на настоящата облигационна емисия, освен при преструктуриране на същите между свързани лица или трети лица, които трети лица са одобрени от Облигационерите. </w:t>
            </w:r>
          </w:p>
          <w:p w14:paraId="452FDAA0"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7)</w:t>
            </w:r>
            <w:r w:rsidRPr="00406F9B">
              <w:rPr>
                <w:rFonts w:asciiTheme="minorHAnsi" w:hAnsiTheme="minorHAnsi"/>
                <w:b/>
                <w:sz w:val="18"/>
              </w:rPr>
              <w:tab/>
              <w:t>Отчетност:</w:t>
            </w:r>
            <w:r w:rsidRPr="00406F9B">
              <w:rPr>
                <w:rFonts w:asciiTheme="minorHAnsi" w:hAnsiTheme="minorHAnsi"/>
                <w:sz w:val="18"/>
              </w:rPr>
              <w:t xml:space="preserve"> Емитентът е длъжен да изготвя годишни и междинни финансови отчети съгласно разпоредбите на чл. 100н-100о1 от ЗППЦК и да ги оповестява на своята интернет страница, както и до комисията и обществеността съгласно чл. 100т, 100ф, 100х и 100ц от ЗППЦК.</w:t>
            </w:r>
          </w:p>
          <w:p w14:paraId="57E2F94D"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8)</w:t>
            </w:r>
            <w:r w:rsidRPr="00406F9B">
              <w:rPr>
                <w:rFonts w:asciiTheme="minorHAnsi" w:hAnsiTheme="minorHAnsi"/>
                <w:b/>
                <w:sz w:val="18"/>
              </w:rPr>
              <w:tab/>
              <w:t>Сметки:</w:t>
            </w:r>
            <w:r w:rsidRPr="00406F9B">
              <w:rPr>
                <w:rFonts w:asciiTheme="minorHAnsi" w:hAnsiTheme="minorHAnsi"/>
                <w:sz w:val="18"/>
              </w:rPr>
              <w:t xml:space="preserve"> Емитентът се задължава да предоставя на Довереника ежемесечно списък на своите банкови и платежни сметки, както и да предоставя отчет за движението на средства по сметките, по които е титуляр за всяко тримесечие. Емитентът се задължава да предостави на Довереника ежемесечно справка за наличностите и движението на сметките по които е титуляр в „Изипей“ АД. При </w:t>
            </w:r>
            <w:r w:rsidRPr="00406F9B">
              <w:rPr>
                <w:rFonts w:asciiTheme="minorHAnsi" w:hAnsiTheme="minorHAnsi"/>
                <w:sz w:val="18"/>
              </w:rPr>
              <w:lastRenderedPageBreak/>
              <w:t>наличие на техническа възможност, Емитентът осигурява на Довереника „пасивен“ достъп/възможност сам да следи движението по сметки по горното изречение.</w:t>
            </w:r>
          </w:p>
          <w:p w14:paraId="3982DC42"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9)</w:t>
            </w:r>
            <w:r w:rsidRPr="00406F9B">
              <w:rPr>
                <w:rFonts w:asciiTheme="minorHAnsi" w:hAnsiTheme="minorHAnsi"/>
                <w:b/>
                <w:sz w:val="18"/>
              </w:rPr>
              <w:tab/>
              <w:t>Достъп:</w:t>
            </w:r>
            <w:r w:rsidRPr="00406F9B">
              <w:rPr>
                <w:rFonts w:asciiTheme="minorHAnsi" w:hAnsiTheme="minorHAnsi"/>
                <w:sz w:val="18"/>
              </w:rPr>
              <w:t xml:space="preserve"> Емитентът се задължава да осигурява достъп на Довереника по всяко време да извършва оглед на място на имуществото и вземанията – предмет на обезпечението. За оглед на имуществото Довереникът на облигационерите следва да уведоми Емитента най-малко три дни преди планираната дата на огледа. Емитентът се задължава да осигури непрекъснат „пасивен“ достъп до цялата документация (вкл., кредитни досиета и др.) свързана с вземанията, служещи за обезпечение на настоящата емисия облигации.</w:t>
            </w:r>
          </w:p>
          <w:p w14:paraId="6C48AF48"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10)</w:t>
            </w:r>
            <w:r w:rsidRPr="00406F9B">
              <w:rPr>
                <w:rFonts w:asciiTheme="minorHAnsi" w:hAnsiTheme="minorHAnsi"/>
                <w:b/>
                <w:sz w:val="18"/>
              </w:rPr>
              <w:tab/>
              <w:t>Промяна в контрола:</w:t>
            </w:r>
            <w:r w:rsidRPr="00406F9B">
              <w:rPr>
                <w:rFonts w:asciiTheme="minorHAnsi" w:hAnsiTheme="minorHAnsi"/>
                <w:sz w:val="18"/>
              </w:rPr>
              <w:t xml:space="preserve"> Акционер няма право без изричното решение на Общото събрание на облигационерите (ОСО) на Емитента, да продава (купува) пряко или косвено (посредством други свързани с него лица) акции, които намаляват (увеличават) неговото участие в капитала на Емитента в размер, надвишаващ 50% /петдесет процента/ от всички акции с право на глас от капитала на Дружеството. Решение по горното изречение се приема от ОСО, на което са присъствали не по-малко от две трети от издадените облигации, с мнозинство не по-малко от три четвърти от представените облигации, съгласно чл. 100б, ал. 4 от ЗППЦК.</w:t>
            </w:r>
          </w:p>
          <w:p w14:paraId="3B795F28"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Съветът на директорите на „АЙ ТИ ЕФ Груп“ АД уведомява Довереника за наличието на акционер по горния параграф с искане в срок от 3 /три/ дни от получаване на уведомлението да свиква Общо събрание на облигационерите.</w:t>
            </w:r>
          </w:p>
          <w:p w14:paraId="3A446111"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Облигационер гласувал „Против“ решението акционер да намали (увеличи) участието си в капитала на Дружеството в размер, надвишаващ 50% /петдесет процента/ от всички поименни акции с право на глас, има право в срок от 30 /тридесет дни/ от ОСО да предяви държаните от него облигации за обратно изкупуване от Дружеството.</w:t>
            </w:r>
          </w:p>
          <w:p w14:paraId="6C4C935A"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В случай на промяна на контрола върху “АЙ ТИ ЕФ Груп“ АД, без изричното одобрение на ОСО по реда описан по-горе, емисията става предсрочно изискуема след решение на ОСО по реда на т. 4.6.11 от настоящия Документ.</w:t>
            </w:r>
          </w:p>
          <w:p w14:paraId="50BDDD27"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11)</w:t>
            </w:r>
            <w:r w:rsidRPr="00406F9B">
              <w:rPr>
                <w:rFonts w:asciiTheme="minorHAnsi" w:hAnsiTheme="minorHAnsi"/>
                <w:b/>
                <w:sz w:val="18"/>
              </w:rPr>
              <w:tab/>
              <w:t>Приемане за търговия</w:t>
            </w:r>
            <w:r w:rsidRPr="00406F9B">
              <w:rPr>
                <w:rFonts w:asciiTheme="minorHAnsi" w:hAnsiTheme="minorHAnsi"/>
                <w:sz w:val="18"/>
              </w:rPr>
              <w:t>: Емитентът се задължава да осигури допускането на облигациите от тази емисия до търговия на регулиран пазар на ценни книжа до 12 /дванадесет/ месеца от датата на емитирането им.</w:t>
            </w:r>
          </w:p>
          <w:p w14:paraId="1EDA0BF1"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12)</w:t>
            </w:r>
            <w:r w:rsidRPr="00406F9B">
              <w:rPr>
                <w:rFonts w:asciiTheme="minorHAnsi" w:hAnsiTheme="minorHAnsi"/>
                <w:b/>
                <w:sz w:val="18"/>
              </w:rPr>
              <w:tab/>
              <w:t>Пазарна оценка на имотите служещи за обезпечение на облигациите:</w:t>
            </w:r>
            <w:r w:rsidRPr="00406F9B">
              <w:rPr>
                <w:rFonts w:asciiTheme="minorHAnsi" w:hAnsiTheme="minorHAnsi"/>
                <w:sz w:val="18"/>
              </w:rPr>
              <w:t xml:space="preserve"> Емитентът се задължава при учредяване на обезпеченията, както и най-малко един път годишно и при поискване от страна на Довереника и изцяло за своя сметка, да представя актуални пазарни оценки на имотите, предоставени като обезпечение. За актуални ще се считат оценки, направени през предходните 6 (шест) месеца. Пазарната оценка на имотите трябва да бъде изготвена от лицензиран независим оценител, отговарящ на изискванията на закона за независимите оценители, избран от Емитента от списък с независими оценителя предоставен от Облигационерите.</w:t>
            </w:r>
          </w:p>
          <w:p w14:paraId="2E08F02C" w14:textId="77777777" w:rsidR="00406F9B" w:rsidRPr="00406F9B" w:rsidRDefault="00406F9B" w:rsidP="00406F9B">
            <w:pPr>
              <w:spacing w:before="120" w:after="120"/>
              <w:jc w:val="both"/>
              <w:rPr>
                <w:rFonts w:asciiTheme="minorHAnsi" w:hAnsiTheme="minorHAnsi"/>
                <w:b/>
                <w:sz w:val="18"/>
              </w:rPr>
            </w:pPr>
            <w:r w:rsidRPr="00406F9B">
              <w:rPr>
                <w:rFonts w:asciiTheme="minorHAnsi" w:hAnsiTheme="minorHAnsi"/>
                <w:b/>
                <w:sz w:val="18"/>
              </w:rPr>
              <w:t>Финансови условия:</w:t>
            </w:r>
          </w:p>
          <w:p w14:paraId="27F296BC"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w:t>
            </w:r>
            <w:r w:rsidRPr="00406F9B">
              <w:rPr>
                <w:rFonts w:asciiTheme="minorHAnsi" w:hAnsiTheme="minorHAnsi"/>
                <w:b/>
                <w:sz w:val="18"/>
              </w:rPr>
              <w:tab/>
              <w:t xml:space="preserve">Максимално съотношение Пасиви към Активи: </w:t>
            </w:r>
            <w:r w:rsidRPr="00406F9B">
              <w:rPr>
                <w:rFonts w:asciiTheme="minorHAnsi" w:hAnsiTheme="minorHAnsi"/>
                <w:sz w:val="18"/>
              </w:rPr>
              <w:t>Емитентът следва да поддържа максимално съотношение на Пасиви към Активи /на база счетоводна стойност/ от 31 декември 2019 г. включително до падежа на облигациите от не повече от 80%. Изпълнението 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14:paraId="208D8077" w14:textId="77777777"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Минимален коефициент на покритие на лихвите:</w:t>
            </w:r>
            <w:r w:rsidRPr="00406F9B">
              <w:rPr>
                <w:rFonts w:asciiTheme="minorHAnsi" w:hAnsiTheme="minorHAnsi"/>
                <w:sz w:val="18"/>
              </w:rPr>
              <w:t xml:space="preserve"> Емитентът следва да поддържа минимален коефициент на покритие на лихвите /съотношение на оперативната печалба увеличена с размера на лихвите към лихвите/ от 31 декември 2019 включително до падежа на облигациите от не по-малко от 200%. Изпълнението на това задължение се удостоверява от Емитента с тримесечна писмена справка, </w:t>
            </w:r>
            <w:r w:rsidRPr="00406F9B">
              <w:rPr>
                <w:rFonts w:asciiTheme="minorHAnsi" w:hAnsiTheme="minorHAnsi"/>
                <w:sz w:val="18"/>
              </w:rPr>
              <w:lastRenderedPageBreak/>
              <w:t>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14:paraId="6F862AB9" w14:textId="77777777" w:rsidR="00582AA3" w:rsidRPr="00582AA3"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Минимален размер на обезпечението:</w:t>
            </w:r>
            <w:r w:rsidRPr="00406F9B">
              <w:rPr>
                <w:rFonts w:asciiTheme="minorHAnsi" w:hAnsiTheme="minorHAnsi"/>
                <w:sz w:val="18"/>
              </w:rPr>
              <w:t xml:space="preserve"> Емитентът следва да поддържа коефициент размер на неамортизирания облигационния заем към стойността на обезпечението (LTV) ≤ 80% през целия срок на емисията. Съгласно чл. 100ж, ал. 2, т. 2 от ЗППЦК, при установяване на нарушение на този коефициент, Довереникът е длъжен да уведоми Емитента и да поиска от последния да допълни обезпечението. В този случай, Емитентът ще разполага с 30 дни да възстанови нивото на коефициента чрез предоставяне на допълнително обезпечение от същия вид, като първоначално допустимите обезпечения по емисията. За целите на изчисляване на коефициента минимален размер на обезпечението (LTV) следва да се използва последната изготвена актуална оценка на обезпечението.</w:t>
            </w:r>
          </w:p>
        </w:tc>
      </w:tr>
      <w:tr w:rsidR="00C43ECE" w:rsidRPr="00582AA3" w14:paraId="44A02F24" w14:textId="77777777" w:rsidTr="00C43ECE">
        <w:tc>
          <w:tcPr>
            <w:tcW w:w="2411" w:type="dxa"/>
            <w:tcBorders>
              <w:bottom w:val="dotted" w:sz="4" w:space="0" w:color="auto"/>
            </w:tcBorders>
            <w:shd w:val="clear" w:color="auto" w:fill="FFFFFF" w:themeFill="background1"/>
          </w:tcPr>
          <w:p w14:paraId="7369CE58" w14:textId="77777777"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lastRenderedPageBreak/>
              <w:t>Регистрация на емисията и Агент по плащанията</w:t>
            </w:r>
          </w:p>
        </w:tc>
        <w:tc>
          <w:tcPr>
            <w:tcW w:w="6661" w:type="dxa"/>
            <w:tcBorders>
              <w:bottom w:val="dotted" w:sz="4" w:space="0" w:color="auto"/>
            </w:tcBorders>
            <w:shd w:val="clear" w:color="auto" w:fill="FFFFFF" w:themeFill="background1"/>
          </w:tcPr>
          <w:p w14:paraId="3D1E0B31" w14:textId="77777777" w:rsidR="00C43ECE" w:rsidRPr="00582AA3" w:rsidRDefault="00C43ECE" w:rsidP="00C43ECE">
            <w:pPr>
              <w:spacing w:before="120" w:after="120"/>
              <w:jc w:val="both"/>
              <w:rPr>
                <w:rFonts w:asciiTheme="minorHAnsi" w:hAnsiTheme="minorHAnsi"/>
                <w:sz w:val="18"/>
              </w:rPr>
            </w:pPr>
            <w:r>
              <w:rPr>
                <w:rFonts w:asciiTheme="minorHAnsi" w:hAnsiTheme="minorHAnsi"/>
                <w:sz w:val="18"/>
              </w:rPr>
              <w:t>Емисията е регистрирана в „Централен депозитар“ АД на 20.11.2019 г.</w:t>
            </w:r>
          </w:p>
        </w:tc>
      </w:tr>
      <w:tr w:rsidR="00C43ECE" w:rsidRPr="00582AA3" w14:paraId="58840ABF" w14:textId="77777777" w:rsidTr="00C43ECE">
        <w:tc>
          <w:tcPr>
            <w:tcW w:w="2411" w:type="dxa"/>
            <w:tcBorders>
              <w:bottom w:val="single" w:sz="4" w:space="0" w:color="auto"/>
            </w:tcBorders>
            <w:shd w:val="clear" w:color="auto" w:fill="F2F2F2" w:themeFill="background1" w:themeFillShade="F2"/>
          </w:tcPr>
          <w:p w14:paraId="503D57D6" w14:textId="77777777"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t>Допускане до търговия на регулиран пазар</w:t>
            </w:r>
          </w:p>
        </w:tc>
        <w:tc>
          <w:tcPr>
            <w:tcW w:w="6661" w:type="dxa"/>
            <w:tcBorders>
              <w:bottom w:val="single" w:sz="4" w:space="0" w:color="auto"/>
            </w:tcBorders>
            <w:shd w:val="clear" w:color="auto" w:fill="F2F2F2" w:themeFill="background1" w:themeFillShade="F2"/>
          </w:tcPr>
          <w:p w14:paraId="5C5F8BD3" w14:textId="77777777" w:rsidR="00C43ECE" w:rsidRPr="000F6BE3" w:rsidRDefault="00C43ECE" w:rsidP="00C43ECE">
            <w:pPr>
              <w:spacing w:before="120" w:after="120"/>
              <w:jc w:val="both"/>
              <w:rPr>
                <w:rFonts w:asciiTheme="minorHAnsi" w:hAnsiTheme="minorHAnsi"/>
                <w:sz w:val="18"/>
              </w:rPr>
            </w:pPr>
            <w:r>
              <w:rPr>
                <w:rFonts w:asciiTheme="minorHAnsi" w:hAnsiTheme="minorHAnsi"/>
                <w:sz w:val="18"/>
              </w:rPr>
              <w:t xml:space="preserve">Емисията е регистрирана за търговия на БФБ (Пазарен сегмент облигации MIC: ZBUL) с решение №29/22.05.2020 г. на СД на БФБ, след одобрение с </w:t>
            </w:r>
            <w:r w:rsidRPr="008616E7">
              <w:rPr>
                <w:rFonts w:asciiTheme="minorHAnsi" w:hAnsiTheme="minorHAnsi"/>
                <w:sz w:val="18"/>
              </w:rPr>
              <w:t xml:space="preserve">решение № 337-Е </w:t>
            </w:r>
            <w:r>
              <w:rPr>
                <w:rFonts w:asciiTheme="minorHAnsi" w:hAnsiTheme="minorHAnsi"/>
                <w:sz w:val="18"/>
              </w:rPr>
              <w:t xml:space="preserve">на КФН </w:t>
            </w:r>
            <w:r w:rsidRPr="008616E7">
              <w:rPr>
                <w:rFonts w:asciiTheme="minorHAnsi" w:hAnsiTheme="minorHAnsi"/>
                <w:sz w:val="18"/>
              </w:rPr>
              <w:t>от 19.05.2020 г.</w:t>
            </w:r>
            <w:r>
              <w:rPr>
                <w:rFonts w:asciiTheme="minorHAnsi" w:hAnsiTheme="minorHAnsi"/>
                <w:sz w:val="18"/>
              </w:rPr>
              <w:t xml:space="preserve"> на Проспект за допускане до търговия на регулиран пазар на емисия обезпечени корпоративни облигации.</w:t>
            </w:r>
          </w:p>
        </w:tc>
      </w:tr>
    </w:tbl>
    <w:p w14:paraId="5C9D2D35" w14:textId="77777777" w:rsidR="00582AA3" w:rsidRDefault="00582AA3" w:rsidP="00B6316D">
      <w:pPr>
        <w:jc w:val="both"/>
        <w:rPr>
          <w:rFonts w:asciiTheme="minorHAnsi" w:hAnsiTheme="minorHAnsi"/>
          <w:b/>
        </w:rPr>
      </w:pPr>
    </w:p>
    <w:p w14:paraId="14DC32B5" w14:textId="77777777" w:rsidR="00582AA3" w:rsidRDefault="00582AA3" w:rsidP="00B6316D">
      <w:pPr>
        <w:jc w:val="both"/>
        <w:rPr>
          <w:rFonts w:asciiTheme="minorHAnsi" w:hAnsiTheme="minorHAnsi"/>
          <w:b/>
        </w:rPr>
      </w:pPr>
    </w:p>
    <w:p w14:paraId="5E92052C" w14:textId="77777777" w:rsidR="00582AA3" w:rsidRDefault="00582AA3" w:rsidP="00B6316D">
      <w:pPr>
        <w:jc w:val="both"/>
        <w:rPr>
          <w:rFonts w:asciiTheme="minorHAnsi" w:hAnsiTheme="minorHAnsi"/>
          <w:b/>
        </w:rPr>
      </w:pPr>
    </w:p>
    <w:p w14:paraId="22DD4466" w14:textId="77777777" w:rsidR="00C76F94" w:rsidRDefault="00C76F94" w:rsidP="00B6316D">
      <w:pPr>
        <w:jc w:val="both"/>
        <w:rPr>
          <w:rFonts w:asciiTheme="minorHAnsi" w:hAnsiTheme="minorHAnsi"/>
          <w:b/>
        </w:rPr>
      </w:pPr>
    </w:p>
    <w:p w14:paraId="1D95C79C" w14:textId="77777777" w:rsidR="00C76F94" w:rsidRDefault="00C76F94" w:rsidP="00B6316D">
      <w:pPr>
        <w:jc w:val="both"/>
        <w:rPr>
          <w:rFonts w:asciiTheme="minorHAnsi" w:hAnsiTheme="minorHAnsi"/>
          <w:b/>
        </w:rPr>
      </w:pPr>
    </w:p>
    <w:p w14:paraId="16177B40" w14:textId="77777777" w:rsidR="00C76F94" w:rsidRDefault="00C76F94" w:rsidP="00B6316D">
      <w:pPr>
        <w:jc w:val="both"/>
        <w:rPr>
          <w:rFonts w:asciiTheme="minorHAnsi" w:hAnsiTheme="minorHAnsi"/>
          <w:b/>
        </w:rPr>
      </w:pPr>
    </w:p>
    <w:p w14:paraId="1DDFF5FB" w14:textId="77777777" w:rsidR="00C76F94" w:rsidRDefault="00C76F94" w:rsidP="00B6316D">
      <w:pPr>
        <w:jc w:val="both"/>
        <w:rPr>
          <w:rFonts w:asciiTheme="minorHAnsi" w:hAnsiTheme="minorHAnsi"/>
          <w:b/>
        </w:rPr>
      </w:pPr>
    </w:p>
    <w:p w14:paraId="33EC6CB6" w14:textId="77777777" w:rsidR="00C76F94" w:rsidRDefault="00C76F94" w:rsidP="00B6316D">
      <w:pPr>
        <w:jc w:val="both"/>
        <w:rPr>
          <w:rFonts w:asciiTheme="minorHAnsi" w:hAnsiTheme="minorHAnsi"/>
          <w:b/>
        </w:rPr>
      </w:pPr>
    </w:p>
    <w:p w14:paraId="10134362" w14:textId="77777777" w:rsidR="00C76F94" w:rsidRDefault="00C76F94" w:rsidP="00B6316D">
      <w:pPr>
        <w:jc w:val="both"/>
        <w:rPr>
          <w:rFonts w:asciiTheme="minorHAnsi" w:hAnsiTheme="minorHAnsi"/>
          <w:b/>
        </w:rPr>
      </w:pPr>
    </w:p>
    <w:p w14:paraId="4E0CC218" w14:textId="77777777" w:rsidR="00C76F94" w:rsidRDefault="00C76F94" w:rsidP="00B6316D">
      <w:pPr>
        <w:jc w:val="both"/>
        <w:rPr>
          <w:rFonts w:asciiTheme="minorHAnsi" w:hAnsiTheme="minorHAnsi"/>
          <w:b/>
        </w:rPr>
      </w:pPr>
    </w:p>
    <w:p w14:paraId="5A7EF519" w14:textId="77777777" w:rsidR="00C76F94" w:rsidRDefault="00C76F94" w:rsidP="00B6316D">
      <w:pPr>
        <w:jc w:val="both"/>
        <w:rPr>
          <w:rFonts w:asciiTheme="minorHAnsi" w:hAnsiTheme="minorHAnsi"/>
          <w:b/>
        </w:rPr>
      </w:pPr>
    </w:p>
    <w:p w14:paraId="538DACE1" w14:textId="77777777" w:rsidR="00C76F94" w:rsidRDefault="00C76F94" w:rsidP="00B6316D">
      <w:pPr>
        <w:jc w:val="both"/>
        <w:rPr>
          <w:rFonts w:asciiTheme="minorHAnsi" w:hAnsiTheme="minorHAnsi"/>
          <w:b/>
        </w:rPr>
      </w:pPr>
    </w:p>
    <w:p w14:paraId="7D2E03AF" w14:textId="77777777" w:rsidR="00C76F94" w:rsidRDefault="00C76F94" w:rsidP="00B6316D">
      <w:pPr>
        <w:jc w:val="both"/>
        <w:rPr>
          <w:rFonts w:asciiTheme="minorHAnsi" w:hAnsiTheme="minorHAnsi"/>
          <w:b/>
        </w:rPr>
      </w:pPr>
    </w:p>
    <w:p w14:paraId="69504982" w14:textId="77777777" w:rsidR="00C76F94" w:rsidRDefault="00C76F94" w:rsidP="00B6316D">
      <w:pPr>
        <w:jc w:val="both"/>
        <w:rPr>
          <w:rFonts w:asciiTheme="minorHAnsi" w:hAnsiTheme="minorHAnsi"/>
          <w:b/>
        </w:rPr>
      </w:pPr>
    </w:p>
    <w:p w14:paraId="4820E0A9" w14:textId="77777777" w:rsidR="00C76F94" w:rsidRDefault="00C76F94" w:rsidP="00B6316D">
      <w:pPr>
        <w:jc w:val="both"/>
        <w:rPr>
          <w:rFonts w:asciiTheme="minorHAnsi" w:hAnsiTheme="minorHAnsi"/>
          <w:b/>
        </w:rPr>
      </w:pPr>
    </w:p>
    <w:p w14:paraId="30578478" w14:textId="77777777" w:rsidR="00D971C2" w:rsidRDefault="00D971C2" w:rsidP="00B6316D">
      <w:pPr>
        <w:jc w:val="both"/>
        <w:rPr>
          <w:rFonts w:asciiTheme="minorHAnsi" w:hAnsiTheme="minorHAnsi"/>
          <w:b/>
        </w:rPr>
      </w:pPr>
    </w:p>
    <w:p w14:paraId="2881B79A" w14:textId="77777777" w:rsidR="00B6316D" w:rsidRPr="007E16BD" w:rsidRDefault="004A5156" w:rsidP="007E16BD">
      <w:pPr>
        <w:spacing w:before="240"/>
        <w:ind w:right="566"/>
        <w:jc w:val="both"/>
        <w:rPr>
          <w:rFonts w:asciiTheme="minorHAnsi" w:hAnsiTheme="minorHAnsi"/>
          <w:sz w:val="20"/>
        </w:rPr>
      </w:pPr>
      <w:r w:rsidRPr="007E16BD">
        <w:rPr>
          <w:rFonts w:asciiTheme="minorHAnsi" w:hAnsiTheme="minorHAnsi"/>
          <w:sz w:val="20"/>
        </w:rPr>
        <w:t xml:space="preserve">Настоящият доклад е изготвен в съответствие с изискванията на чл. 100ж, ал. 1, т. 3 от Закона за публичното предлагане на ценни книжа, в изпълнение на задълженията на ЕЛАНА трейдинг АД в качеството си на Довереник на облигационерите по първа емисия корпоративни облигации, издадени от „Ай Ти Еф Груп“ АД на 15.11.2019 г. </w:t>
      </w:r>
    </w:p>
    <w:p w14:paraId="136D57C7" w14:textId="77777777" w:rsidR="004A5156" w:rsidRPr="007E16BD" w:rsidRDefault="004A5156" w:rsidP="007E16BD">
      <w:pPr>
        <w:ind w:right="566"/>
        <w:jc w:val="both"/>
        <w:rPr>
          <w:rFonts w:asciiTheme="minorHAnsi" w:hAnsiTheme="minorHAnsi"/>
          <w:sz w:val="20"/>
        </w:rPr>
      </w:pPr>
    </w:p>
    <w:p w14:paraId="64CD360C" w14:textId="77777777" w:rsidR="004A5156" w:rsidRPr="007E16BD" w:rsidRDefault="004A5156" w:rsidP="007E16BD">
      <w:pPr>
        <w:ind w:right="566"/>
        <w:jc w:val="both"/>
        <w:rPr>
          <w:rFonts w:asciiTheme="minorHAnsi" w:hAnsiTheme="minorHAnsi"/>
          <w:sz w:val="20"/>
          <w:szCs w:val="20"/>
        </w:rPr>
      </w:pPr>
      <w:r w:rsidRPr="007E16BD">
        <w:rPr>
          <w:rFonts w:asciiTheme="minorHAnsi" w:hAnsiTheme="minorHAnsi"/>
          <w:sz w:val="20"/>
          <w:szCs w:val="20"/>
        </w:rPr>
        <w:t>Докладът е изготвен въз основа на следните документи:</w:t>
      </w:r>
    </w:p>
    <w:p w14:paraId="2F9F5283" w14:textId="77777777" w:rsidR="004A5156" w:rsidRPr="007E16BD" w:rsidRDefault="004A5156" w:rsidP="007E16BD">
      <w:pPr>
        <w:ind w:right="566"/>
        <w:jc w:val="both"/>
        <w:rPr>
          <w:rFonts w:asciiTheme="minorHAnsi" w:hAnsiTheme="minorHAnsi"/>
          <w:sz w:val="20"/>
          <w:szCs w:val="20"/>
        </w:rPr>
      </w:pPr>
    </w:p>
    <w:p w14:paraId="0E2D3180" w14:textId="77777777" w:rsidR="004A5156" w:rsidRPr="007E16BD" w:rsidRDefault="004A5156"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Предложение за записване на облигации при условията на частно предлагане (по реда на чл. 205, ал. 2 от Търговския закон) от 11.11.2019 г. </w:t>
      </w:r>
    </w:p>
    <w:p w14:paraId="76D0C108" w14:textId="77777777" w:rsidR="004A5156" w:rsidRPr="007E16BD" w:rsidRDefault="004A5156"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Проспект за допускане до търговия на регулиран пазар на емисия корпоративни облигации от 05.05.2020 г.</w:t>
      </w:r>
    </w:p>
    <w:p w14:paraId="418A3F53" w14:textId="49E53D60" w:rsidR="00E01EC5" w:rsidRPr="007E16BD" w:rsidRDefault="00E01EC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Междинен финансов отчет към 3</w:t>
      </w:r>
      <w:r w:rsidR="00EC4384">
        <w:rPr>
          <w:rFonts w:asciiTheme="minorHAnsi" w:hAnsiTheme="minorHAnsi"/>
          <w:sz w:val="20"/>
          <w:szCs w:val="20"/>
          <w:lang w:val="bg-BG"/>
        </w:rPr>
        <w:t>1</w:t>
      </w:r>
      <w:r w:rsidRPr="007E16BD">
        <w:rPr>
          <w:rFonts w:asciiTheme="minorHAnsi" w:hAnsiTheme="minorHAnsi"/>
          <w:sz w:val="20"/>
          <w:szCs w:val="20"/>
          <w:lang w:val="bg-BG"/>
        </w:rPr>
        <w:t>.</w:t>
      </w:r>
      <w:r w:rsidR="00EC4384">
        <w:rPr>
          <w:rFonts w:asciiTheme="minorHAnsi" w:hAnsiTheme="minorHAnsi"/>
          <w:sz w:val="20"/>
          <w:szCs w:val="20"/>
          <w:lang w:val="bg-BG"/>
        </w:rPr>
        <w:t>12</w:t>
      </w:r>
      <w:r w:rsidRPr="007E16BD">
        <w:rPr>
          <w:rFonts w:asciiTheme="minorHAnsi" w:hAnsiTheme="minorHAnsi"/>
          <w:sz w:val="20"/>
          <w:szCs w:val="20"/>
          <w:lang w:val="bg-BG"/>
        </w:rPr>
        <w:t>.202</w:t>
      </w:r>
      <w:r w:rsidR="00270C12">
        <w:rPr>
          <w:rFonts w:asciiTheme="minorHAnsi" w:hAnsiTheme="minorHAnsi"/>
          <w:sz w:val="20"/>
          <w:szCs w:val="20"/>
        </w:rPr>
        <w:t>2</w:t>
      </w:r>
      <w:r w:rsidRPr="007E16BD">
        <w:rPr>
          <w:rFonts w:asciiTheme="minorHAnsi" w:hAnsiTheme="minorHAnsi"/>
          <w:sz w:val="20"/>
          <w:szCs w:val="20"/>
          <w:lang w:val="bg-BG"/>
        </w:rPr>
        <w:t xml:space="preserve"> г., който съдържа баланс, отчет за доходите, отчет за собствения капитал и отчет за паричните потоци за периода, приключващ на 3</w:t>
      </w:r>
      <w:r w:rsidR="00EC4384">
        <w:rPr>
          <w:rFonts w:asciiTheme="minorHAnsi" w:hAnsiTheme="minorHAnsi"/>
          <w:sz w:val="20"/>
          <w:szCs w:val="20"/>
          <w:lang w:val="bg-BG"/>
        </w:rPr>
        <w:t>1</w:t>
      </w:r>
      <w:r w:rsidRPr="007E16BD">
        <w:rPr>
          <w:rFonts w:asciiTheme="minorHAnsi" w:hAnsiTheme="minorHAnsi"/>
          <w:sz w:val="20"/>
          <w:szCs w:val="20"/>
          <w:lang w:val="bg-BG"/>
        </w:rPr>
        <w:t>.</w:t>
      </w:r>
      <w:r w:rsidR="00EC4384">
        <w:rPr>
          <w:rFonts w:asciiTheme="minorHAnsi" w:hAnsiTheme="minorHAnsi"/>
          <w:sz w:val="20"/>
          <w:szCs w:val="20"/>
          <w:lang w:val="bg-BG"/>
        </w:rPr>
        <w:t>12</w:t>
      </w:r>
      <w:r w:rsidRPr="007E16BD">
        <w:rPr>
          <w:rFonts w:asciiTheme="minorHAnsi" w:hAnsiTheme="minorHAnsi"/>
          <w:sz w:val="20"/>
          <w:szCs w:val="20"/>
          <w:lang w:val="bg-BG"/>
        </w:rPr>
        <w:t>.202</w:t>
      </w:r>
      <w:r w:rsidR="00270C12">
        <w:rPr>
          <w:rFonts w:asciiTheme="minorHAnsi" w:hAnsiTheme="minorHAnsi"/>
          <w:sz w:val="20"/>
          <w:szCs w:val="20"/>
        </w:rPr>
        <w:t>2</w:t>
      </w:r>
      <w:r w:rsidRPr="007E16BD">
        <w:rPr>
          <w:rFonts w:asciiTheme="minorHAnsi" w:hAnsiTheme="minorHAnsi"/>
          <w:sz w:val="20"/>
          <w:szCs w:val="20"/>
          <w:lang w:val="bg-BG"/>
        </w:rPr>
        <w:t xml:space="preserve"> г.</w:t>
      </w:r>
    </w:p>
    <w:p w14:paraId="6FAC30E3" w14:textId="6B265709" w:rsidR="007D5EDF" w:rsidRPr="007E16BD" w:rsidRDefault="00E01EC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Междинен доклад за дейността, декларации, вътрешна информация и допълнителна информация към 3</w:t>
      </w:r>
      <w:r w:rsidR="00EC4384">
        <w:rPr>
          <w:rFonts w:asciiTheme="minorHAnsi" w:hAnsiTheme="minorHAnsi"/>
          <w:sz w:val="20"/>
          <w:szCs w:val="20"/>
          <w:lang w:val="bg-BG"/>
        </w:rPr>
        <w:t>1</w:t>
      </w:r>
      <w:r w:rsidRPr="007E16BD">
        <w:rPr>
          <w:rFonts w:asciiTheme="minorHAnsi" w:hAnsiTheme="minorHAnsi"/>
          <w:sz w:val="20"/>
          <w:szCs w:val="20"/>
          <w:lang w:val="bg-BG"/>
        </w:rPr>
        <w:t>.</w:t>
      </w:r>
      <w:r w:rsidR="00EC4384">
        <w:rPr>
          <w:rFonts w:asciiTheme="minorHAnsi" w:hAnsiTheme="minorHAnsi"/>
          <w:sz w:val="20"/>
          <w:szCs w:val="20"/>
          <w:lang w:val="bg-BG"/>
        </w:rPr>
        <w:t>12</w:t>
      </w:r>
      <w:r w:rsidRPr="007E16BD">
        <w:rPr>
          <w:rFonts w:asciiTheme="minorHAnsi" w:hAnsiTheme="minorHAnsi"/>
          <w:sz w:val="20"/>
          <w:szCs w:val="20"/>
          <w:lang w:val="bg-BG"/>
        </w:rPr>
        <w:t>.202</w:t>
      </w:r>
      <w:r w:rsidR="00270C12">
        <w:rPr>
          <w:rFonts w:asciiTheme="minorHAnsi" w:hAnsiTheme="minorHAnsi"/>
          <w:sz w:val="20"/>
          <w:szCs w:val="20"/>
        </w:rPr>
        <w:t>2</w:t>
      </w:r>
      <w:r w:rsidRPr="007E16BD">
        <w:rPr>
          <w:rFonts w:asciiTheme="minorHAnsi" w:hAnsiTheme="minorHAnsi"/>
          <w:sz w:val="20"/>
          <w:szCs w:val="20"/>
          <w:lang w:val="bg-BG"/>
        </w:rPr>
        <w:t xml:space="preserve"> г.</w:t>
      </w:r>
    </w:p>
    <w:p w14:paraId="3BDC5739" w14:textId="1F11BAD3" w:rsidR="003B4235" w:rsidRPr="007E16BD" w:rsidRDefault="003B423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Отчет за изпълнение на задълженията </w:t>
      </w:r>
      <w:r w:rsidR="0085051F" w:rsidRPr="007E16BD">
        <w:rPr>
          <w:rFonts w:asciiTheme="minorHAnsi" w:hAnsiTheme="minorHAnsi"/>
          <w:sz w:val="20"/>
          <w:szCs w:val="20"/>
          <w:lang w:val="bg-BG"/>
        </w:rPr>
        <w:t xml:space="preserve">за поддържане на финансови съотношения </w:t>
      </w:r>
      <w:r w:rsidRPr="007E16BD">
        <w:rPr>
          <w:rFonts w:asciiTheme="minorHAnsi" w:hAnsiTheme="minorHAnsi"/>
          <w:sz w:val="20"/>
          <w:szCs w:val="20"/>
          <w:lang w:val="bg-BG"/>
        </w:rPr>
        <w:t xml:space="preserve">по емисията корпоративни облигации към </w:t>
      </w:r>
      <w:r w:rsidR="007D5EDF" w:rsidRPr="007E16BD">
        <w:rPr>
          <w:rFonts w:asciiTheme="minorHAnsi" w:hAnsiTheme="minorHAnsi"/>
          <w:sz w:val="20"/>
          <w:szCs w:val="20"/>
          <w:lang w:val="bg-BG"/>
        </w:rPr>
        <w:t>3</w:t>
      </w:r>
      <w:r w:rsidR="00EC4384">
        <w:rPr>
          <w:rFonts w:asciiTheme="minorHAnsi" w:hAnsiTheme="minorHAnsi"/>
          <w:sz w:val="20"/>
          <w:szCs w:val="20"/>
          <w:lang w:val="bg-BG"/>
        </w:rPr>
        <w:t>1</w:t>
      </w:r>
      <w:r w:rsidR="007D5EDF" w:rsidRPr="007E16BD">
        <w:rPr>
          <w:rFonts w:asciiTheme="minorHAnsi" w:hAnsiTheme="minorHAnsi"/>
          <w:sz w:val="20"/>
          <w:szCs w:val="20"/>
          <w:lang w:val="bg-BG"/>
        </w:rPr>
        <w:t>.</w:t>
      </w:r>
      <w:r w:rsidR="00EC4384">
        <w:rPr>
          <w:rFonts w:asciiTheme="minorHAnsi" w:hAnsiTheme="minorHAnsi"/>
          <w:sz w:val="20"/>
          <w:szCs w:val="20"/>
          <w:lang w:val="bg-BG"/>
        </w:rPr>
        <w:t>12</w:t>
      </w:r>
      <w:r w:rsidR="007D5EDF" w:rsidRPr="007E16BD">
        <w:rPr>
          <w:rFonts w:asciiTheme="minorHAnsi" w:hAnsiTheme="minorHAnsi"/>
          <w:sz w:val="20"/>
          <w:szCs w:val="20"/>
          <w:lang w:val="bg-BG"/>
        </w:rPr>
        <w:t>.202</w:t>
      </w:r>
      <w:r w:rsidR="00270C12">
        <w:rPr>
          <w:rFonts w:asciiTheme="minorHAnsi" w:hAnsiTheme="minorHAnsi"/>
          <w:sz w:val="20"/>
          <w:szCs w:val="20"/>
        </w:rPr>
        <w:t>2</w:t>
      </w:r>
      <w:r w:rsidR="007D5EDF" w:rsidRPr="007E16BD">
        <w:rPr>
          <w:rFonts w:asciiTheme="minorHAnsi" w:hAnsiTheme="minorHAnsi"/>
          <w:sz w:val="20"/>
          <w:szCs w:val="20"/>
          <w:lang w:val="bg-BG"/>
        </w:rPr>
        <w:t xml:space="preserve"> г.</w:t>
      </w:r>
    </w:p>
    <w:p w14:paraId="0F0AE8C5" w14:textId="6945A447" w:rsidR="000C572B" w:rsidRPr="007E16BD" w:rsidRDefault="00225022"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Отчет за спазване на задълженията към облигационерите съгласно условията на облигационната емисия към 3</w:t>
      </w:r>
      <w:r w:rsidR="00EC4384">
        <w:rPr>
          <w:rFonts w:asciiTheme="minorHAnsi" w:hAnsiTheme="minorHAnsi"/>
          <w:sz w:val="20"/>
          <w:szCs w:val="20"/>
          <w:lang w:val="bg-BG"/>
        </w:rPr>
        <w:t>1</w:t>
      </w:r>
      <w:r w:rsidRPr="007E16BD">
        <w:rPr>
          <w:rFonts w:asciiTheme="minorHAnsi" w:hAnsiTheme="minorHAnsi"/>
          <w:sz w:val="20"/>
          <w:szCs w:val="20"/>
          <w:lang w:val="bg-BG"/>
        </w:rPr>
        <w:t>.</w:t>
      </w:r>
      <w:r w:rsidR="00EC4384">
        <w:rPr>
          <w:rFonts w:asciiTheme="minorHAnsi" w:hAnsiTheme="minorHAnsi"/>
          <w:sz w:val="20"/>
          <w:szCs w:val="20"/>
          <w:lang w:val="bg-BG"/>
        </w:rPr>
        <w:t>12</w:t>
      </w:r>
      <w:r w:rsidRPr="007E16BD">
        <w:rPr>
          <w:rFonts w:asciiTheme="minorHAnsi" w:hAnsiTheme="minorHAnsi"/>
          <w:sz w:val="20"/>
          <w:szCs w:val="20"/>
          <w:lang w:val="bg-BG"/>
        </w:rPr>
        <w:t>.202</w:t>
      </w:r>
      <w:r w:rsidR="00270C12">
        <w:rPr>
          <w:rFonts w:asciiTheme="minorHAnsi" w:hAnsiTheme="minorHAnsi"/>
          <w:sz w:val="20"/>
          <w:szCs w:val="20"/>
        </w:rPr>
        <w:t>2</w:t>
      </w:r>
      <w:r w:rsidRPr="007E16BD">
        <w:rPr>
          <w:rFonts w:asciiTheme="minorHAnsi" w:hAnsiTheme="minorHAnsi"/>
          <w:sz w:val="20"/>
          <w:szCs w:val="20"/>
          <w:lang w:val="bg-BG"/>
        </w:rPr>
        <w:t xml:space="preserve"> г. </w:t>
      </w:r>
      <w:r w:rsidR="000C572B" w:rsidRPr="007E16BD">
        <w:rPr>
          <w:rFonts w:asciiTheme="minorHAnsi" w:hAnsiTheme="minorHAnsi"/>
          <w:sz w:val="20"/>
          <w:szCs w:val="20"/>
          <w:lang w:val="bg-BG"/>
        </w:rPr>
        <w:t xml:space="preserve"> </w:t>
      </w:r>
    </w:p>
    <w:p w14:paraId="309096D9" w14:textId="7AFA0F8F" w:rsidR="003B4235" w:rsidRPr="007E16BD" w:rsidRDefault="003B4235" w:rsidP="007E16BD">
      <w:pPr>
        <w:pStyle w:val="ListParagraph"/>
        <w:numPr>
          <w:ilvl w:val="0"/>
          <w:numId w:val="16"/>
        </w:numPr>
        <w:ind w:right="566"/>
        <w:jc w:val="both"/>
        <w:rPr>
          <w:rFonts w:asciiTheme="minorHAnsi" w:hAnsiTheme="minorHAnsi"/>
          <w:sz w:val="20"/>
          <w:szCs w:val="20"/>
          <w:lang w:val="bg-BG"/>
        </w:rPr>
      </w:pPr>
      <w:r w:rsidRPr="007E16BD">
        <w:rPr>
          <w:rFonts w:asciiTheme="minorHAnsi" w:hAnsiTheme="minorHAnsi"/>
          <w:sz w:val="20"/>
          <w:szCs w:val="20"/>
          <w:lang w:val="bg-BG"/>
        </w:rPr>
        <w:t xml:space="preserve">Отчет за изразходване на набраните средства по емисията корпоративни облигации към </w:t>
      </w:r>
      <w:r w:rsidR="007D5EDF" w:rsidRPr="007E16BD">
        <w:rPr>
          <w:rFonts w:asciiTheme="minorHAnsi" w:hAnsiTheme="minorHAnsi"/>
          <w:sz w:val="20"/>
          <w:szCs w:val="20"/>
          <w:lang w:val="bg-BG"/>
        </w:rPr>
        <w:t>3</w:t>
      </w:r>
      <w:r w:rsidR="00EC4384">
        <w:rPr>
          <w:rFonts w:asciiTheme="minorHAnsi" w:hAnsiTheme="minorHAnsi"/>
          <w:sz w:val="20"/>
          <w:szCs w:val="20"/>
          <w:lang w:val="bg-BG"/>
        </w:rPr>
        <w:t>1</w:t>
      </w:r>
      <w:r w:rsidR="007D5EDF" w:rsidRPr="007E16BD">
        <w:rPr>
          <w:rFonts w:asciiTheme="minorHAnsi" w:hAnsiTheme="minorHAnsi"/>
          <w:sz w:val="20"/>
          <w:szCs w:val="20"/>
          <w:lang w:val="bg-BG"/>
        </w:rPr>
        <w:t>.</w:t>
      </w:r>
      <w:r w:rsidR="00EC4384">
        <w:rPr>
          <w:rFonts w:asciiTheme="minorHAnsi" w:hAnsiTheme="minorHAnsi"/>
          <w:sz w:val="20"/>
          <w:szCs w:val="20"/>
          <w:lang w:val="bg-BG"/>
        </w:rPr>
        <w:t>12</w:t>
      </w:r>
      <w:r w:rsidR="007D5EDF" w:rsidRPr="007E16BD">
        <w:rPr>
          <w:rFonts w:asciiTheme="minorHAnsi" w:hAnsiTheme="minorHAnsi"/>
          <w:sz w:val="20"/>
          <w:szCs w:val="20"/>
          <w:lang w:val="bg-BG"/>
        </w:rPr>
        <w:t>.202</w:t>
      </w:r>
      <w:r w:rsidR="00270C12">
        <w:rPr>
          <w:rFonts w:asciiTheme="minorHAnsi" w:hAnsiTheme="minorHAnsi"/>
          <w:sz w:val="20"/>
          <w:szCs w:val="20"/>
        </w:rPr>
        <w:t>2</w:t>
      </w:r>
      <w:r w:rsidR="007D5EDF" w:rsidRPr="007E16BD">
        <w:rPr>
          <w:rFonts w:asciiTheme="minorHAnsi" w:hAnsiTheme="minorHAnsi"/>
          <w:sz w:val="20"/>
          <w:szCs w:val="20"/>
          <w:lang w:val="bg-BG"/>
        </w:rPr>
        <w:t xml:space="preserve"> г.</w:t>
      </w:r>
    </w:p>
    <w:p w14:paraId="35F7CF09" w14:textId="3AB0CF38" w:rsidR="003B4235" w:rsidRPr="007E16BD" w:rsidRDefault="003B4235" w:rsidP="007E16BD">
      <w:pPr>
        <w:pStyle w:val="ListParagraph"/>
        <w:numPr>
          <w:ilvl w:val="0"/>
          <w:numId w:val="16"/>
        </w:numPr>
        <w:ind w:right="566"/>
        <w:rPr>
          <w:rFonts w:asciiTheme="minorHAnsi" w:hAnsiTheme="minorHAnsi"/>
          <w:sz w:val="20"/>
          <w:szCs w:val="20"/>
          <w:lang w:val="bg-BG"/>
        </w:rPr>
      </w:pPr>
      <w:r w:rsidRPr="007E16BD">
        <w:rPr>
          <w:rFonts w:asciiTheme="minorHAnsi" w:hAnsiTheme="minorHAnsi"/>
          <w:sz w:val="20"/>
          <w:szCs w:val="20"/>
          <w:lang w:val="bg-BG"/>
        </w:rPr>
        <w:t xml:space="preserve">Отчет за плащанията по емисията корпоративни облигации към </w:t>
      </w:r>
      <w:r w:rsidR="007D5EDF" w:rsidRPr="007E16BD">
        <w:rPr>
          <w:rFonts w:asciiTheme="minorHAnsi" w:hAnsiTheme="minorHAnsi"/>
          <w:sz w:val="20"/>
          <w:szCs w:val="20"/>
          <w:lang w:val="bg-BG"/>
        </w:rPr>
        <w:t>3</w:t>
      </w:r>
      <w:r w:rsidR="00EC4384">
        <w:rPr>
          <w:rFonts w:asciiTheme="minorHAnsi" w:hAnsiTheme="minorHAnsi"/>
          <w:sz w:val="20"/>
          <w:szCs w:val="20"/>
          <w:lang w:val="bg-BG"/>
        </w:rPr>
        <w:t>1</w:t>
      </w:r>
      <w:r w:rsidR="007D5EDF" w:rsidRPr="007E16BD">
        <w:rPr>
          <w:rFonts w:asciiTheme="minorHAnsi" w:hAnsiTheme="minorHAnsi"/>
          <w:sz w:val="20"/>
          <w:szCs w:val="20"/>
          <w:lang w:val="bg-BG"/>
        </w:rPr>
        <w:t>.</w:t>
      </w:r>
      <w:r w:rsidR="00EC4384">
        <w:rPr>
          <w:rFonts w:asciiTheme="minorHAnsi" w:hAnsiTheme="minorHAnsi"/>
          <w:sz w:val="20"/>
          <w:szCs w:val="20"/>
          <w:lang w:val="bg-BG"/>
        </w:rPr>
        <w:t>12</w:t>
      </w:r>
      <w:r w:rsidR="007D5EDF" w:rsidRPr="007E16BD">
        <w:rPr>
          <w:rFonts w:asciiTheme="minorHAnsi" w:hAnsiTheme="minorHAnsi"/>
          <w:sz w:val="20"/>
          <w:szCs w:val="20"/>
          <w:lang w:val="bg-BG"/>
        </w:rPr>
        <w:t>.202</w:t>
      </w:r>
      <w:r w:rsidR="00E71F18">
        <w:rPr>
          <w:rFonts w:asciiTheme="minorHAnsi" w:hAnsiTheme="minorHAnsi"/>
          <w:sz w:val="20"/>
          <w:szCs w:val="20"/>
        </w:rPr>
        <w:t>2</w:t>
      </w:r>
      <w:r w:rsidR="007D5EDF" w:rsidRPr="007E16BD">
        <w:rPr>
          <w:rFonts w:asciiTheme="minorHAnsi" w:hAnsiTheme="minorHAnsi"/>
          <w:sz w:val="20"/>
          <w:szCs w:val="20"/>
          <w:lang w:val="bg-BG"/>
        </w:rPr>
        <w:t xml:space="preserve"> г.</w:t>
      </w:r>
    </w:p>
    <w:p w14:paraId="7ECE5BB1" w14:textId="5CD3B3E7" w:rsidR="000C572B" w:rsidRPr="007E16BD" w:rsidRDefault="003B4235" w:rsidP="007E16BD">
      <w:pPr>
        <w:pStyle w:val="ListParagraph"/>
        <w:numPr>
          <w:ilvl w:val="0"/>
          <w:numId w:val="16"/>
        </w:numPr>
        <w:ind w:right="566"/>
        <w:rPr>
          <w:rFonts w:asciiTheme="minorHAnsi" w:hAnsiTheme="minorHAnsi"/>
          <w:i/>
          <w:sz w:val="20"/>
          <w:szCs w:val="20"/>
          <w:lang w:val="bg-BG"/>
        </w:rPr>
      </w:pPr>
      <w:r w:rsidRPr="007E16BD">
        <w:rPr>
          <w:rFonts w:asciiTheme="minorHAnsi" w:hAnsiTheme="minorHAnsi"/>
          <w:sz w:val="20"/>
          <w:szCs w:val="20"/>
          <w:lang w:val="bg-BG"/>
        </w:rPr>
        <w:t xml:space="preserve">Отчет за състояние на обезпечението по емисията корпоративни облигации към </w:t>
      </w:r>
      <w:r w:rsidR="00F66BFC">
        <w:rPr>
          <w:rFonts w:asciiTheme="minorHAnsi" w:hAnsiTheme="minorHAnsi"/>
          <w:sz w:val="20"/>
          <w:szCs w:val="20"/>
        </w:rPr>
        <w:t>3</w:t>
      </w:r>
      <w:r w:rsidR="00EC4384">
        <w:rPr>
          <w:rFonts w:asciiTheme="minorHAnsi" w:hAnsiTheme="minorHAnsi"/>
          <w:sz w:val="20"/>
          <w:szCs w:val="20"/>
          <w:lang w:val="bg-BG"/>
        </w:rPr>
        <w:t>1</w:t>
      </w:r>
      <w:r w:rsidR="007D5EDF" w:rsidRPr="007E16BD">
        <w:rPr>
          <w:rFonts w:asciiTheme="minorHAnsi" w:hAnsiTheme="minorHAnsi"/>
          <w:sz w:val="20"/>
          <w:szCs w:val="20"/>
          <w:lang w:val="bg-BG"/>
        </w:rPr>
        <w:t>.</w:t>
      </w:r>
      <w:r w:rsidR="00EC4384">
        <w:rPr>
          <w:rFonts w:asciiTheme="minorHAnsi" w:hAnsiTheme="minorHAnsi"/>
          <w:sz w:val="20"/>
          <w:szCs w:val="20"/>
          <w:lang w:val="bg-BG"/>
        </w:rPr>
        <w:t>12</w:t>
      </w:r>
      <w:r w:rsidR="007D5EDF" w:rsidRPr="007E16BD">
        <w:rPr>
          <w:rFonts w:asciiTheme="minorHAnsi" w:hAnsiTheme="minorHAnsi"/>
          <w:sz w:val="20"/>
          <w:szCs w:val="20"/>
          <w:lang w:val="bg-BG"/>
        </w:rPr>
        <w:t>.202</w:t>
      </w:r>
      <w:r w:rsidR="00270C12">
        <w:rPr>
          <w:rFonts w:asciiTheme="minorHAnsi" w:hAnsiTheme="minorHAnsi"/>
          <w:sz w:val="20"/>
          <w:szCs w:val="20"/>
        </w:rPr>
        <w:t>2</w:t>
      </w:r>
      <w:r w:rsidR="007D5EDF" w:rsidRPr="007E16BD">
        <w:rPr>
          <w:rFonts w:asciiTheme="minorHAnsi" w:hAnsiTheme="minorHAnsi"/>
          <w:sz w:val="20"/>
          <w:szCs w:val="20"/>
          <w:lang w:val="bg-BG"/>
        </w:rPr>
        <w:t xml:space="preserve"> г.</w:t>
      </w:r>
    </w:p>
    <w:p w14:paraId="4DA083D2" w14:textId="059EEA0B" w:rsidR="003E1E24" w:rsidRPr="007E16BD" w:rsidRDefault="000C572B" w:rsidP="007E16BD">
      <w:pPr>
        <w:pStyle w:val="ListParagraph"/>
        <w:numPr>
          <w:ilvl w:val="0"/>
          <w:numId w:val="16"/>
        </w:numPr>
        <w:ind w:right="566"/>
        <w:rPr>
          <w:rFonts w:asciiTheme="minorHAnsi" w:hAnsiTheme="minorHAnsi"/>
          <w:i/>
          <w:sz w:val="20"/>
          <w:szCs w:val="20"/>
          <w:lang w:val="bg-BG"/>
        </w:rPr>
      </w:pPr>
      <w:r w:rsidRPr="007E16BD">
        <w:rPr>
          <w:rFonts w:asciiTheme="minorHAnsi" w:hAnsiTheme="minorHAnsi"/>
          <w:sz w:val="20"/>
          <w:szCs w:val="20"/>
          <w:lang w:val="bg-BG"/>
        </w:rPr>
        <w:t>Годишен финансов отчет към 31.12.20</w:t>
      </w:r>
      <w:r w:rsidR="007E16BD" w:rsidRPr="007B0934">
        <w:rPr>
          <w:rFonts w:asciiTheme="minorHAnsi" w:hAnsiTheme="minorHAnsi"/>
          <w:sz w:val="20"/>
          <w:szCs w:val="20"/>
          <w:lang w:val="bg-BG"/>
        </w:rPr>
        <w:t>2</w:t>
      </w:r>
      <w:r w:rsidR="00270C12">
        <w:rPr>
          <w:rFonts w:asciiTheme="minorHAnsi" w:hAnsiTheme="minorHAnsi"/>
          <w:sz w:val="20"/>
          <w:szCs w:val="20"/>
        </w:rPr>
        <w:t>1</w:t>
      </w:r>
      <w:r w:rsidRPr="007E16BD">
        <w:rPr>
          <w:rFonts w:asciiTheme="minorHAnsi" w:hAnsiTheme="minorHAnsi"/>
          <w:sz w:val="20"/>
          <w:szCs w:val="20"/>
          <w:lang w:val="bg-BG"/>
        </w:rPr>
        <w:t xml:space="preserve"> г</w:t>
      </w:r>
      <w:r w:rsidR="00B95085" w:rsidRPr="007E16BD">
        <w:rPr>
          <w:rFonts w:asciiTheme="minorHAnsi" w:hAnsiTheme="minorHAnsi"/>
          <w:sz w:val="20"/>
          <w:szCs w:val="20"/>
          <w:lang w:val="bg-BG"/>
        </w:rPr>
        <w:t>.</w:t>
      </w:r>
      <w:r w:rsidR="00C5353E" w:rsidRPr="007E16BD">
        <w:rPr>
          <w:rFonts w:asciiTheme="minorHAnsi" w:hAnsiTheme="minorHAnsi"/>
          <w:sz w:val="20"/>
          <w:szCs w:val="20"/>
          <w:lang w:val="bg-BG"/>
        </w:rPr>
        <w:t xml:space="preserve"> </w:t>
      </w:r>
      <w:r w:rsidR="003E1E24" w:rsidRPr="007E16BD">
        <w:rPr>
          <w:rFonts w:asciiTheme="minorHAnsi" w:hAnsiTheme="minorHAnsi"/>
          <w:i/>
          <w:sz w:val="20"/>
          <w:szCs w:val="20"/>
          <w:lang w:val="bg-BG"/>
        </w:rPr>
        <w:br w:type="page"/>
      </w:r>
    </w:p>
    <w:p w14:paraId="21EDE622" w14:textId="77777777" w:rsidR="00DF25AD" w:rsidRPr="007E16BD" w:rsidRDefault="00DF25AD" w:rsidP="007E16BD">
      <w:pPr>
        <w:pStyle w:val="bs2"/>
        <w:numPr>
          <w:ilvl w:val="0"/>
          <w:numId w:val="7"/>
        </w:numPr>
        <w:ind w:right="566"/>
        <w:rPr>
          <w:rFonts w:asciiTheme="minorHAnsi" w:hAnsiTheme="minorHAnsi"/>
          <w:sz w:val="22"/>
        </w:rPr>
      </w:pPr>
      <w:r w:rsidRPr="007E16BD">
        <w:rPr>
          <w:rFonts w:asciiTheme="minorHAnsi" w:hAnsiTheme="minorHAnsi"/>
          <w:sz w:val="22"/>
        </w:rPr>
        <w:lastRenderedPageBreak/>
        <w:t>Информация за емитента „</w:t>
      </w:r>
      <w:r w:rsidR="00402C33" w:rsidRPr="007E16BD">
        <w:rPr>
          <w:rFonts w:asciiTheme="minorHAnsi" w:hAnsiTheme="minorHAnsi"/>
          <w:sz w:val="22"/>
        </w:rPr>
        <w:t>Ай Ти Еф Груп</w:t>
      </w:r>
      <w:r w:rsidRPr="007E16BD">
        <w:rPr>
          <w:rFonts w:asciiTheme="minorHAnsi" w:hAnsiTheme="minorHAnsi"/>
          <w:sz w:val="22"/>
        </w:rPr>
        <w:t>“ АД</w:t>
      </w:r>
    </w:p>
    <w:p w14:paraId="3EA26DD5" w14:textId="77777777" w:rsidR="00913EE9" w:rsidRPr="007E16BD" w:rsidRDefault="00913EE9" w:rsidP="007E16BD">
      <w:pPr>
        <w:ind w:right="566"/>
        <w:jc w:val="both"/>
        <w:rPr>
          <w:rFonts w:asciiTheme="minorHAnsi" w:hAnsiTheme="minorHAnsi"/>
          <w:sz w:val="20"/>
          <w:szCs w:val="20"/>
        </w:rPr>
      </w:pPr>
    </w:p>
    <w:p w14:paraId="785C6928" w14:textId="77777777" w:rsidR="00402C33" w:rsidRPr="007E16BD" w:rsidRDefault="00402C33" w:rsidP="007B0934">
      <w:pPr>
        <w:spacing w:after="120"/>
        <w:ind w:right="567"/>
        <w:jc w:val="both"/>
        <w:rPr>
          <w:rFonts w:asciiTheme="minorHAnsi" w:hAnsiTheme="minorHAnsi"/>
          <w:sz w:val="20"/>
          <w:szCs w:val="20"/>
        </w:rPr>
      </w:pPr>
      <w:r w:rsidRPr="007E16BD">
        <w:rPr>
          <w:rFonts w:asciiTheme="minorHAnsi" w:hAnsiTheme="minorHAnsi"/>
          <w:sz w:val="20"/>
          <w:szCs w:val="20"/>
        </w:rPr>
        <w:t>„</w:t>
      </w:r>
      <w:r w:rsidR="002B7727" w:rsidRPr="007E16BD">
        <w:rPr>
          <w:rFonts w:asciiTheme="minorHAnsi" w:hAnsiTheme="minorHAnsi"/>
          <w:sz w:val="20"/>
          <w:szCs w:val="20"/>
        </w:rPr>
        <w:t xml:space="preserve">Ай Ти Еф </w:t>
      </w:r>
      <w:r w:rsidRPr="007E16BD">
        <w:rPr>
          <w:rFonts w:asciiTheme="minorHAnsi" w:hAnsiTheme="minorHAnsi"/>
          <w:sz w:val="20"/>
          <w:szCs w:val="20"/>
        </w:rPr>
        <w:t xml:space="preserve">Груп“ АД е нишова финтех компания, създадена през 2012 г. и специализирана в потребителско кредитиране или т. нар. бързи кредити. Бизнес моделът на компанията е фокусиран върху предлагането на бърз и лесен достъп до финансов ресурс на физически лица. </w:t>
      </w:r>
    </w:p>
    <w:p w14:paraId="0C3B0923" w14:textId="77777777" w:rsidR="00DF25AD" w:rsidRPr="007E16BD" w:rsidRDefault="00402C33" w:rsidP="007B0934">
      <w:pPr>
        <w:spacing w:after="120"/>
        <w:ind w:right="567"/>
        <w:jc w:val="both"/>
        <w:rPr>
          <w:rFonts w:asciiTheme="minorHAnsi" w:hAnsiTheme="minorHAnsi"/>
          <w:sz w:val="20"/>
          <w:szCs w:val="20"/>
        </w:rPr>
      </w:pPr>
      <w:r w:rsidRPr="007E16BD">
        <w:rPr>
          <w:rFonts w:asciiTheme="minorHAnsi" w:hAnsiTheme="minorHAnsi"/>
          <w:sz w:val="20"/>
          <w:szCs w:val="20"/>
        </w:rPr>
        <w:t>Компанията успешно оперира два отделни бранда за потребителско кредитиране, които имат различни целеви клиентски групи и са структурирани като различни бизнес модели, а именно:  Smile Credit– онлайн платформа за кредитиране; и Get Cash – кредитиране през търговска мрежа от 10 офиса – 4 в София и 6 в големи градове на територията на България. Двата бранда Smile Credit и Get Cash дават възможност на ITF да предлага гъвкав набор от кредитни продукти.</w:t>
      </w:r>
    </w:p>
    <w:p w14:paraId="4FDA42E1" w14:textId="0D4A8E1B" w:rsidR="002B7727" w:rsidRPr="007E16BD" w:rsidRDefault="002B7727" w:rsidP="007B0934">
      <w:pPr>
        <w:spacing w:after="240"/>
        <w:ind w:right="567"/>
        <w:jc w:val="both"/>
        <w:rPr>
          <w:rFonts w:asciiTheme="minorHAnsi" w:hAnsiTheme="minorHAnsi"/>
          <w:sz w:val="20"/>
          <w:szCs w:val="20"/>
        </w:rPr>
      </w:pPr>
      <w:r w:rsidRPr="007E16BD">
        <w:rPr>
          <w:rFonts w:asciiTheme="minorHAnsi" w:hAnsiTheme="minorHAnsi"/>
          <w:sz w:val="20"/>
          <w:szCs w:val="20"/>
        </w:rPr>
        <w:t>Фокусът на „Ай Ти Еф Груп“ АД е върху онлайн кредитите, които към края на 20</w:t>
      </w:r>
      <w:r w:rsidR="00E71F18">
        <w:rPr>
          <w:rFonts w:asciiTheme="minorHAnsi" w:hAnsiTheme="minorHAnsi"/>
          <w:sz w:val="20"/>
          <w:szCs w:val="20"/>
          <w:lang w:val="en-US"/>
        </w:rPr>
        <w:t>2</w:t>
      </w:r>
      <w:r w:rsidR="00AF5470">
        <w:rPr>
          <w:rFonts w:asciiTheme="minorHAnsi" w:hAnsiTheme="minorHAnsi"/>
          <w:sz w:val="20"/>
          <w:szCs w:val="20"/>
          <w:lang w:val="en-US"/>
        </w:rPr>
        <w:t>2</w:t>
      </w:r>
      <w:r w:rsidRPr="007E16BD">
        <w:rPr>
          <w:rFonts w:asciiTheme="minorHAnsi" w:hAnsiTheme="minorHAnsi"/>
          <w:sz w:val="20"/>
          <w:szCs w:val="20"/>
        </w:rPr>
        <w:t xml:space="preserve"> г. представляват</w:t>
      </w:r>
      <w:r w:rsidR="00DA0BF5">
        <w:rPr>
          <w:rFonts w:asciiTheme="minorHAnsi" w:hAnsiTheme="minorHAnsi"/>
          <w:sz w:val="20"/>
          <w:szCs w:val="20"/>
          <w:lang w:val="en-US"/>
        </w:rPr>
        <w:t xml:space="preserve"> </w:t>
      </w:r>
      <w:r w:rsidR="00241828">
        <w:rPr>
          <w:rFonts w:asciiTheme="minorHAnsi" w:hAnsiTheme="minorHAnsi"/>
          <w:sz w:val="20"/>
          <w:szCs w:val="20"/>
        </w:rPr>
        <w:t>по-голямата част</w:t>
      </w:r>
      <w:r w:rsidR="007A00C4" w:rsidRPr="007E16BD">
        <w:rPr>
          <w:rFonts w:asciiTheme="minorHAnsi" w:hAnsiTheme="minorHAnsi"/>
          <w:sz w:val="20"/>
          <w:szCs w:val="20"/>
        </w:rPr>
        <w:t xml:space="preserve"> </w:t>
      </w:r>
      <w:r w:rsidRPr="007E16BD">
        <w:rPr>
          <w:rFonts w:asciiTheme="minorHAnsi" w:hAnsiTheme="minorHAnsi"/>
          <w:sz w:val="20"/>
          <w:szCs w:val="20"/>
        </w:rPr>
        <w:t xml:space="preserve">от кредитния й портфейл. В тази връзка компанията активно инвестира в изграждането на иновативна, Big Data /големи бази данни/ интегрирана и автоматизирана платформа за отпускане на кредити онлайн. Допълнително, има разработен и конкурентен модел </w:t>
      </w:r>
      <w:r w:rsidR="007A00C4" w:rsidRPr="007E16BD">
        <w:rPr>
          <w:rFonts w:asciiTheme="minorHAnsi" w:hAnsiTheme="minorHAnsi"/>
          <w:sz w:val="20"/>
          <w:szCs w:val="20"/>
        </w:rPr>
        <w:t>за</w:t>
      </w:r>
      <w:r w:rsidRPr="007E16BD">
        <w:rPr>
          <w:rFonts w:asciiTheme="minorHAnsi" w:hAnsiTheme="minorHAnsi"/>
          <w:sz w:val="20"/>
          <w:szCs w:val="20"/>
        </w:rPr>
        <w:t xml:space="preserve"> оценка на риска на клиента, базиран на информацията подадена от самия клиент и проверена в десетки различни източници. Това намалява</w:t>
      </w:r>
      <w:r w:rsidR="00F97929">
        <w:rPr>
          <w:rFonts w:asciiTheme="minorHAnsi" w:hAnsiTheme="minorHAnsi"/>
          <w:sz w:val="20"/>
          <w:szCs w:val="20"/>
        </w:rPr>
        <w:t>,</w:t>
      </w:r>
      <w:r w:rsidRPr="007E16BD">
        <w:rPr>
          <w:rFonts w:asciiTheme="minorHAnsi" w:hAnsiTheme="minorHAnsi"/>
          <w:sz w:val="20"/>
          <w:szCs w:val="20"/>
        </w:rPr>
        <w:t xml:space="preserve"> както риска от загуба, така и себестойността на отпуснатия кредит.</w:t>
      </w:r>
    </w:p>
    <w:p w14:paraId="0344904D" w14:textId="77777777" w:rsidR="00B905D0" w:rsidRPr="007B0934" w:rsidRDefault="00B905D0" w:rsidP="007E16BD">
      <w:pPr>
        <w:pStyle w:val="bs2"/>
        <w:numPr>
          <w:ilvl w:val="0"/>
          <w:numId w:val="7"/>
        </w:numPr>
        <w:ind w:right="566"/>
        <w:rPr>
          <w:rFonts w:asciiTheme="minorHAnsi" w:hAnsiTheme="minorHAnsi"/>
          <w:sz w:val="22"/>
        </w:rPr>
      </w:pPr>
      <w:r w:rsidRPr="007B0934">
        <w:rPr>
          <w:rFonts w:asciiTheme="minorHAnsi" w:hAnsiTheme="minorHAnsi"/>
          <w:sz w:val="22"/>
        </w:rPr>
        <w:t>Изразходване на набраните средства по облигационния заем</w:t>
      </w:r>
    </w:p>
    <w:p w14:paraId="78609649" w14:textId="77777777" w:rsidR="00B905D0" w:rsidRPr="007E16BD" w:rsidRDefault="00B905D0" w:rsidP="007E16BD">
      <w:pPr>
        <w:ind w:right="566"/>
        <w:jc w:val="both"/>
        <w:rPr>
          <w:rFonts w:asciiTheme="minorHAnsi" w:hAnsiTheme="minorHAnsi"/>
          <w:sz w:val="20"/>
          <w:szCs w:val="20"/>
        </w:rPr>
      </w:pPr>
    </w:p>
    <w:p w14:paraId="2C727731" w14:textId="77777777" w:rsidR="00B905D0" w:rsidRPr="007E16BD" w:rsidRDefault="00B905D0" w:rsidP="007B0934">
      <w:pPr>
        <w:spacing w:after="240"/>
        <w:ind w:right="567"/>
        <w:jc w:val="both"/>
        <w:rPr>
          <w:rFonts w:asciiTheme="minorHAnsi" w:hAnsiTheme="minorHAnsi"/>
          <w:sz w:val="20"/>
          <w:szCs w:val="20"/>
        </w:rPr>
      </w:pPr>
      <w:r w:rsidRPr="007E16BD">
        <w:rPr>
          <w:rFonts w:asciiTheme="minorHAnsi" w:hAnsiTheme="minorHAnsi"/>
          <w:sz w:val="20"/>
          <w:szCs w:val="20"/>
        </w:rPr>
        <w:t>През отчетния период Емитентът е инвестирал напълно средствата по облигационния заем за финансиране на разрастване на основната си дейност, а именно за увеличаване на кредитния си портфейл чрез отпускане на потребителски заеми.</w:t>
      </w:r>
    </w:p>
    <w:p w14:paraId="3E536958" w14:textId="77777777" w:rsidR="00DD31DF" w:rsidRPr="007B0934" w:rsidRDefault="00DD31DF" w:rsidP="007E16BD">
      <w:pPr>
        <w:pStyle w:val="bs2"/>
        <w:numPr>
          <w:ilvl w:val="0"/>
          <w:numId w:val="7"/>
        </w:numPr>
        <w:ind w:right="566"/>
        <w:rPr>
          <w:rFonts w:asciiTheme="minorHAnsi" w:hAnsiTheme="minorHAnsi"/>
          <w:sz w:val="22"/>
        </w:rPr>
      </w:pPr>
      <w:r w:rsidRPr="007B0934">
        <w:rPr>
          <w:rFonts w:asciiTheme="minorHAnsi" w:hAnsiTheme="minorHAnsi"/>
          <w:sz w:val="22"/>
        </w:rPr>
        <w:t>Спазване на условията на облигационния заем</w:t>
      </w:r>
    </w:p>
    <w:p w14:paraId="20FD26F1" w14:textId="77777777" w:rsidR="001B2F3A" w:rsidRPr="007E16BD" w:rsidRDefault="001B2F3A" w:rsidP="007E16BD">
      <w:pPr>
        <w:ind w:right="566"/>
        <w:jc w:val="both"/>
        <w:rPr>
          <w:rFonts w:asciiTheme="minorHAnsi" w:hAnsiTheme="minorHAnsi"/>
          <w:sz w:val="20"/>
          <w:szCs w:val="20"/>
        </w:rPr>
      </w:pPr>
    </w:p>
    <w:p w14:paraId="2ACBBA74" w14:textId="77777777" w:rsidR="002D3551" w:rsidRPr="007E16BD" w:rsidRDefault="002D3551" w:rsidP="007B0934">
      <w:pPr>
        <w:spacing w:after="240"/>
        <w:ind w:right="567"/>
        <w:jc w:val="both"/>
        <w:rPr>
          <w:rFonts w:asciiTheme="minorHAnsi" w:hAnsiTheme="minorHAnsi"/>
          <w:sz w:val="20"/>
          <w:szCs w:val="20"/>
        </w:rPr>
      </w:pPr>
      <w:r w:rsidRPr="007E16BD">
        <w:rPr>
          <w:rFonts w:asciiTheme="minorHAnsi" w:hAnsiTheme="minorHAnsi"/>
          <w:sz w:val="20"/>
          <w:szCs w:val="20"/>
        </w:rPr>
        <w:t>„</w:t>
      </w:r>
      <w:r w:rsidR="00204BE9" w:rsidRPr="007E16BD">
        <w:rPr>
          <w:rFonts w:asciiTheme="minorHAnsi" w:hAnsiTheme="minorHAnsi"/>
          <w:sz w:val="20"/>
          <w:szCs w:val="20"/>
        </w:rPr>
        <w:t>Ай Ти Еф Груп</w:t>
      </w:r>
      <w:r w:rsidRPr="007E16BD">
        <w:rPr>
          <w:rFonts w:asciiTheme="minorHAnsi" w:hAnsiTheme="minorHAnsi"/>
          <w:sz w:val="20"/>
          <w:szCs w:val="20"/>
        </w:rPr>
        <w:t xml:space="preserve">“ АД в качеството си на </w:t>
      </w:r>
      <w:r w:rsidR="00204BE9" w:rsidRPr="007E16BD">
        <w:rPr>
          <w:rFonts w:asciiTheme="minorHAnsi" w:hAnsiTheme="minorHAnsi"/>
          <w:sz w:val="20"/>
          <w:szCs w:val="20"/>
        </w:rPr>
        <w:t>Е</w:t>
      </w:r>
      <w:r w:rsidRPr="007E16BD">
        <w:rPr>
          <w:rFonts w:asciiTheme="minorHAnsi" w:hAnsiTheme="minorHAnsi"/>
          <w:sz w:val="20"/>
          <w:szCs w:val="20"/>
        </w:rPr>
        <w:t xml:space="preserve">митент </w:t>
      </w:r>
      <w:r w:rsidR="00204BE9" w:rsidRPr="007E16BD">
        <w:rPr>
          <w:rFonts w:asciiTheme="minorHAnsi" w:hAnsiTheme="minorHAnsi"/>
          <w:sz w:val="20"/>
          <w:szCs w:val="20"/>
        </w:rPr>
        <w:t>се задължава</w:t>
      </w:r>
      <w:r w:rsidRPr="007E16BD">
        <w:rPr>
          <w:rFonts w:asciiTheme="minorHAnsi" w:hAnsiTheme="minorHAnsi"/>
          <w:sz w:val="20"/>
          <w:szCs w:val="20"/>
        </w:rPr>
        <w:t xml:space="preserve"> да изпълнява за срока на облигационния заем </w:t>
      </w:r>
      <w:r w:rsidR="00FA00CC" w:rsidRPr="007E16BD">
        <w:rPr>
          <w:rFonts w:asciiTheme="minorHAnsi" w:hAnsiTheme="minorHAnsi"/>
          <w:sz w:val="20"/>
          <w:szCs w:val="20"/>
        </w:rPr>
        <w:t xml:space="preserve">следните </w:t>
      </w:r>
      <w:r w:rsidR="00204BE9" w:rsidRPr="007E16BD">
        <w:rPr>
          <w:rFonts w:asciiTheme="minorHAnsi" w:hAnsiTheme="minorHAnsi"/>
          <w:sz w:val="20"/>
          <w:szCs w:val="20"/>
        </w:rPr>
        <w:t>три</w:t>
      </w:r>
      <w:r w:rsidR="00FA00CC" w:rsidRPr="007E16BD">
        <w:rPr>
          <w:rFonts w:asciiTheme="minorHAnsi" w:hAnsiTheme="minorHAnsi"/>
          <w:sz w:val="20"/>
          <w:szCs w:val="20"/>
        </w:rPr>
        <w:t xml:space="preserve"> финансови </w:t>
      </w:r>
      <w:r w:rsidR="00204BE9" w:rsidRPr="007E16BD">
        <w:rPr>
          <w:rFonts w:asciiTheme="minorHAnsi" w:hAnsiTheme="minorHAnsi"/>
          <w:sz w:val="20"/>
          <w:szCs w:val="20"/>
        </w:rPr>
        <w:t>коефициента</w:t>
      </w:r>
      <w:r w:rsidR="00FA00CC" w:rsidRPr="007E16BD">
        <w:rPr>
          <w:rFonts w:asciiTheme="minorHAnsi" w:hAnsiTheme="minorHAnsi"/>
          <w:sz w:val="20"/>
          <w:szCs w:val="20"/>
        </w:rPr>
        <w:t>:</w:t>
      </w:r>
    </w:p>
    <w:p w14:paraId="64BCB1E1" w14:textId="77777777" w:rsidR="00FA4B2E" w:rsidRPr="007E16BD" w:rsidRDefault="00B905D0" w:rsidP="007B0934">
      <w:pPr>
        <w:pStyle w:val="bs2"/>
        <w:spacing w:after="240"/>
        <w:ind w:left="709" w:right="567"/>
        <w:rPr>
          <w:rFonts w:asciiTheme="minorHAnsi" w:hAnsiTheme="minorHAnsi"/>
        </w:rPr>
      </w:pPr>
      <w:r w:rsidRPr="007E16BD">
        <w:rPr>
          <w:rFonts w:asciiTheme="minorHAnsi" w:hAnsiTheme="minorHAnsi"/>
        </w:rPr>
        <w:t xml:space="preserve">3.1 </w:t>
      </w:r>
      <w:r w:rsidR="00204BE9" w:rsidRPr="007E16BD">
        <w:rPr>
          <w:rFonts w:asciiTheme="minorHAnsi" w:hAnsiTheme="minorHAnsi"/>
        </w:rPr>
        <w:t xml:space="preserve">Максимално съотношение Пасиви към Активи: </w:t>
      </w:r>
    </w:p>
    <w:p w14:paraId="3600F85B" w14:textId="77777777" w:rsidR="00204BE9" w:rsidRPr="007E16BD" w:rsidRDefault="00204BE9" w:rsidP="007B0934">
      <w:pPr>
        <w:spacing w:after="120"/>
        <w:ind w:right="567"/>
        <w:jc w:val="both"/>
        <w:rPr>
          <w:rFonts w:asciiTheme="minorHAnsi" w:hAnsiTheme="minorHAnsi"/>
          <w:sz w:val="20"/>
          <w:szCs w:val="20"/>
        </w:rPr>
      </w:pPr>
      <w:r w:rsidRPr="007E16BD">
        <w:rPr>
          <w:rFonts w:asciiTheme="minorHAnsi" w:hAnsiTheme="minorHAnsi"/>
          <w:sz w:val="20"/>
          <w:szCs w:val="20"/>
        </w:rPr>
        <w:t>Емитентът следва да поддържа максимално съотношение на Пасиви към Активи /на база счетоводна стойност/ от не повече от 80%.</w:t>
      </w:r>
    </w:p>
    <w:p w14:paraId="5E4478F3" w14:textId="0F2D007B" w:rsidR="006944E2" w:rsidRDefault="006944E2" w:rsidP="006944E2">
      <w:pPr>
        <w:pStyle w:val="bs2"/>
        <w:spacing w:after="240"/>
        <w:ind w:right="567"/>
        <w:outlineLvl w:val="9"/>
        <w:rPr>
          <w:rFonts w:asciiTheme="minorHAnsi" w:hAnsiTheme="minorHAnsi" w:cs="Times New Roman"/>
          <w:b w:val="0"/>
          <w:bCs w:val="0"/>
          <w:iCs w:val="0"/>
          <w:smallCaps w:val="0"/>
        </w:rPr>
      </w:pPr>
      <w:r w:rsidRPr="006944E2">
        <w:rPr>
          <w:rFonts w:asciiTheme="minorHAnsi" w:hAnsiTheme="minorHAnsi" w:cs="Times New Roman"/>
          <w:b w:val="0"/>
          <w:bCs w:val="0"/>
          <w:iCs w:val="0"/>
          <w:smallCaps w:val="0"/>
        </w:rPr>
        <w:t xml:space="preserve">Стойността на съотношението пасиви към активи към </w:t>
      </w:r>
      <w:r w:rsidR="00F66BFC">
        <w:rPr>
          <w:rFonts w:asciiTheme="minorHAnsi" w:hAnsiTheme="minorHAnsi" w:cs="Times New Roman"/>
          <w:b w:val="0"/>
          <w:bCs w:val="0"/>
          <w:iCs w:val="0"/>
          <w:smallCaps w:val="0"/>
          <w:lang w:val="en-US"/>
        </w:rPr>
        <w:t>3</w:t>
      </w:r>
      <w:r w:rsidR="00F97929">
        <w:rPr>
          <w:rFonts w:asciiTheme="minorHAnsi" w:hAnsiTheme="minorHAnsi" w:cs="Times New Roman"/>
          <w:b w:val="0"/>
          <w:bCs w:val="0"/>
          <w:iCs w:val="0"/>
          <w:smallCaps w:val="0"/>
        </w:rPr>
        <w:t>1</w:t>
      </w:r>
      <w:r w:rsidRPr="006944E2">
        <w:rPr>
          <w:rFonts w:asciiTheme="minorHAnsi" w:hAnsiTheme="minorHAnsi" w:cs="Times New Roman"/>
          <w:b w:val="0"/>
          <w:bCs w:val="0"/>
          <w:iCs w:val="0"/>
          <w:smallCaps w:val="0"/>
        </w:rPr>
        <w:t>.</w:t>
      </w:r>
      <w:r w:rsidR="00F97929">
        <w:rPr>
          <w:rFonts w:asciiTheme="minorHAnsi" w:hAnsiTheme="minorHAnsi" w:cs="Times New Roman"/>
          <w:b w:val="0"/>
          <w:bCs w:val="0"/>
          <w:iCs w:val="0"/>
          <w:smallCaps w:val="0"/>
        </w:rPr>
        <w:t>12</w:t>
      </w:r>
      <w:r w:rsidRPr="006944E2">
        <w:rPr>
          <w:rFonts w:asciiTheme="minorHAnsi" w:hAnsiTheme="minorHAnsi" w:cs="Times New Roman"/>
          <w:b w:val="0"/>
          <w:bCs w:val="0"/>
          <w:iCs w:val="0"/>
          <w:smallCaps w:val="0"/>
        </w:rPr>
        <w:t>.202</w:t>
      </w:r>
      <w:r w:rsidR="00C1396A">
        <w:rPr>
          <w:rFonts w:asciiTheme="minorHAnsi" w:hAnsiTheme="minorHAnsi" w:cs="Times New Roman"/>
          <w:b w:val="0"/>
          <w:bCs w:val="0"/>
          <w:iCs w:val="0"/>
          <w:smallCaps w:val="0"/>
          <w:lang w:val="en-US"/>
        </w:rPr>
        <w:t>2</w:t>
      </w:r>
      <w:r w:rsidRPr="006944E2">
        <w:rPr>
          <w:rFonts w:asciiTheme="minorHAnsi" w:hAnsiTheme="minorHAnsi" w:cs="Times New Roman"/>
          <w:b w:val="0"/>
          <w:bCs w:val="0"/>
          <w:iCs w:val="0"/>
          <w:smallCaps w:val="0"/>
        </w:rPr>
        <w:t xml:space="preserve"> г. е </w:t>
      </w:r>
      <w:r w:rsidR="003D475B">
        <w:rPr>
          <w:rFonts w:asciiTheme="minorHAnsi" w:hAnsiTheme="minorHAnsi" w:cs="Times New Roman"/>
          <w:b w:val="0"/>
          <w:bCs w:val="0"/>
          <w:iCs w:val="0"/>
          <w:smallCaps w:val="0"/>
          <w:lang w:val="en-US"/>
        </w:rPr>
        <w:t>62</w:t>
      </w:r>
      <w:r w:rsidRPr="006944E2">
        <w:rPr>
          <w:rFonts w:asciiTheme="minorHAnsi" w:hAnsiTheme="minorHAnsi" w:cs="Times New Roman"/>
          <w:b w:val="0"/>
          <w:bCs w:val="0"/>
          <w:iCs w:val="0"/>
          <w:smallCaps w:val="0"/>
        </w:rPr>
        <w:t>.</w:t>
      </w:r>
      <w:r w:rsidR="003D475B">
        <w:rPr>
          <w:rFonts w:asciiTheme="minorHAnsi" w:hAnsiTheme="minorHAnsi" w:cs="Times New Roman"/>
          <w:b w:val="0"/>
          <w:bCs w:val="0"/>
          <w:iCs w:val="0"/>
          <w:smallCaps w:val="0"/>
          <w:lang w:val="en-US"/>
        </w:rPr>
        <w:t>46</w:t>
      </w:r>
      <w:r w:rsidRPr="006944E2">
        <w:rPr>
          <w:rFonts w:asciiTheme="minorHAnsi" w:hAnsiTheme="minorHAnsi" w:cs="Times New Roman"/>
          <w:b w:val="0"/>
          <w:bCs w:val="0"/>
          <w:iCs w:val="0"/>
          <w:smallCaps w:val="0"/>
        </w:rPr>
        <w:t>%.</w:t>
      </w:r>
    </w:p>
    <w:p w14:paraId="03E0DD78" w14:textId="77777777" w:rsidR="00FA4B2E" w:rsidRPr="007B0934" w:rsidRDefault="00B905D0" w:rsidP="007B0934">
      <w:pPr>
        <w:pStyle w:val="bs2"/>
        <w:spacing w:after="240"/>
        <w:ind w:left="709" w:right="567"/>
        <w:rPr>
          <w:rFonts w:asciiTheme="minorHAnsi" w:hAnsiTheme="minorHAnsi"/>
        </w:rPr>
      </w:pPr>
      <w:r w:rsidRPr="007B0934">
        <w:rPr>
          <w:rFonts w:asciiTheme="minorHAnsi" w:hAnsiTheme="minorHAnsi"/>
        </w:rPr>
        <w:t>3.2</w:t>
      </w:r>
      <w:r w:rsidR="003D5852" w:rsidRPr="007B0934">
        <w:rPr>
          <w:rFonts w:asciiTheme="minorHAnsi" w:hAnsiTheme="minorHAnsi"/>
        </w:rPr>
        <w:t xml:space="preserve">. </w:t>
      </w:r>
      <w:r w:rsidR="00204BE9" w:rsidRPr="007B0934">
        <w:rPr>
          <w:rFonts w:asciiTheme="minorHAnsi" w:hAnsiTheme="minorHAnsi"/>
        </w:rPr>
        <w:t xml:space="preserve">Минимален коефициент на покритие на лихвите: </w:t>
      </w:r>
    </w:p>
    <w:p w14:paraId="649CFA3E" w14:textId="77777777" w:rsidR="00204BE9" w:rsidRPr="007B0934" w:rsidRDefault="00204BE9" w:rsidP="007B0934">
      <w:pPr>
        <w:spacing w:after="120"/>
        <w:ind w:right="709"/>
        <w:jc w:val="both"/>
        <w:rPr>
          <w:rFonts w:asciiTheme="minorHAnsi" w:hAnsiTheme="minorHAnsi"/>
          <w:sz w:val="20"/>
        </w:rPr>
      </w:pPr>
      <w:r w:rsidRPr="007B0934">
        <w:rPr>
          <w:rFonts w:asciiTheme="minorHAnsi" w:hAnsiTheme="minorHAnsi"/>
          <w:sz w:val="20"/>
        </w:rPr>
        <w:t>Емитентът следва да поддържа минимален коефициент на покритие на лихвите /съотношение на оперативната печалба</w:t>
      </w:r>
      <w:r w:rsidR="00C9257A" w:rsidRPr="00C9257A">
        <w:rPr>
          <w:rFonts w:asciiTheme="minorHAnsi" w:hAnsiTheme="minorHAnsi"/>
          <w:sz w:val="20"/>
        </w:rPr>
        <w:t>,</w:t>
      </w:r>
      <w:r w:rsidRPr="007B0934">
        <w:rPr>
          <w:rFonts w:asciiTheme="minorHAnsi" w:hAnsiTheme="minorHAnsi"/>
          <w:sz w:val="20"/>
        </w:rPr>
        <w:t xml:space="preserve"> увеличена с размера на лихвите към лихвите/ от не по-малко от </w:t>
      </w:r>
      <w:r w:rsidRPr="00B91440">
        <w:rPr>
          <w:rFonts w:asciiTheme="minorHAnsi" w:hAnsiTheme="minorHAnsi"/>
          <w:sz w:val="20"/>
        </w:rPr>
        <w:t>200</w:t>
      </w:r>
      <w:r w:rsidRPr="007B0934">
        <w:rPr>
          <w:rFonts w:asciiTheme="minorHAnsi" w:hAnsiTheme="minorHAnsi"/>
          <w:sz w:val="20"/>
        </w:rPr>
        <w:t>%.</w:t>
      </w:r>
    </w:p>
    <w:p w14:paraId="7538F875" w14:textId="3F6188F2" w:rsidR="006944E2" w:rsidRPr="006944E2" w:rsidRDefault="006944E2" w:rsidP="006944E2">
      <w:pPr>
        <w:spacing w:after="120"/>
        <w:ind w:right="709"/>
        <w:jc w:val="both"/>
        <w:rPr>
          <w:rFonts w:asciiTheme="minorHAnsi" w:hAnsiTheme="minorHAnsi"/>
          <w:sz w:val="20"/>
        </w:rPr>
      </w:pPr>
      <w:r w:rsidRPr="006944E2">
        <w:rPr>
          <w:rFonts w:asciiTheme="minorHAnsi" w:hAnsiTheme="minorHAnsi"/>
          <w:sz w:val="20"/>
        </w:rPr>
        <w:t>Стойността на показателя „Покритие на разходите за лихви“ към 3</w:t>
      </w:r>
      <w:r w:rsidR="00455F56">
        <w:rPr>
          <w:rFonts w:asciiTheme="minorHAnsi" w:hAnsiTheme="minorHAnsi"/>
          <w:sz w:val="20"/>
        </w:rPr>
        <w:t>1</w:t>
      </w:r>
      <w:r w:rsidRPr="006944E2">
        <w:rPr>
          <w:rFonts w:asciiTheme="minorHAnsi" w:hAnsiTheme="minorHAnsi"/>
          <w:sz w:val="20"/>
        </w:rPr>
        <w:t>.</w:t>
      </w:r>
      <w:r w:rsidR="00455F56">
        <w:rPr>
          <w:rFonts w:asciiTheme="minorHAnsi" w:hAnsiTheme="minorHAnsi"/>
          <w:sz w:val="20"/>
        </w:rPr>
        <w:t>12</w:t>
      </w:r>
      <w:r w:rsidRPr="006944E2">
        <w:rPr>
          <w:rFonts w:asciiTheme="minorHAnsi" w:hAnsiTheme="minorHAnsi"/>
          <w:sz w:val="20"/>
        </w:rPr>
        <w:t>.202</w:t>
      </w:r>
      <w:r w:rsidR="00C1396A">
        <w:rPr>
          <w:rFonts w:asciiTheme="minorHAnsi" w:hAnsiTheme="minorHAnsi"/>
          <w:sz w:val="20"/>
          <w:lang w:val="en-US"/>
        </w:rPr>
        <w:t>2</w:t>
      </w:r>
      <w:r w:rsidRPr="006944E2">
        <w:rPr>
          <w:rFonts w:asciiTheme="minorHAnsi" w:hAnsiTheme="minorHAnsi"/>
          <w:sz w:val="20"/>
        </w:rPr>
        <w:t xml:space="preserve"> г. е </w:t>
      </w:r>
      <w:r w:rsidR="00455F56">
        <w:rPr>
          <w:rFonts w:asciiTheme="minorHAnsi" w:hAnsiTheme="minorHAnsi"/>
          <w:sz w:val="20"/>
        </w:rPr>
        <w:t>287</w:t>
      </w:r>
      <w:r w:rsidRPr="006944E2">
        <w:rPr>
          <w:rFonts w:asciiTheme="minorHAnsi" w:hAnsiTheme="minorHAnsi"/>
          <w:sz w:val="20"/>
        </w:rPr>
        <w:t>%.</w:t>
      </w:r>
    </w:p>
    <w:p w14:paraId="25A09BD6" w14:textId="5D4DB2DA" w:rsidR="00C81AD7" w:rsidRPr="007B0934" w:rsidRDefault="00204BE9" w:rsidP="007B0934">
      <w:pPr>
        <w:spacing w:after="120"/>
        <w:ind w:right="709"/>
        <w:jc w:val="both"/>
        <w:rPr>
          <w:rFonts w:asciiTheme="minorHAnsi" w:hAnsiTheme="minorHAnsi"/>
          <w:sz w:val="22"/>
        </w:rPr>
      </w:pPr>
      <w:r w:rsidRPr="007B0934">
        <w:rPr>
          <w:rFonts w:asciiTheme="minorHAnsi" w:hAnsiTheme="minorHAnsi"/>
          <w:sz w:val="20"/>
        </w:rPr>
        <w:t xml:space="preserve">За целите на изчисление на горните два показателя </w:t>
      </w:r>
      <w:r w:rsidR="00C81AD7" w:rsidRPr="007B0934">
        <w:rPr>
          <w:rFonts w:asciiTheme="minorHAnsi" w:hAnsiTheme="minorHAnsi"/>
          <w:sz w:val="20"/>
        </w:rPr>
        <w:t>са</w:t>
      </w:r>
      <w:r w:rsidRPr="007B0934">
        <w:rPr>
          <w:rFonts w:asciiTheme="minorHAnsi" w:hAnsiTheme="minorHAnsi"/>
          <w:sz w:val="20"/>
        </w:rPr>
        <w:t xml:space="preserve"> взети </w:t>
      </w:r>
      <w:r w:rsidR="00C81AD7" w:rsidRPr="007B0934">
        <w:rPr>
          <w:rFonts w:asciiTheme="minorHAnsi" w:hAnsiTheme="minorHAnsi"/>
          <w:sz w:val="20"/>
        </w:rPr>
        <w:t>данните от публикуваните междинен</w:t>
      </w:r>
      <w:r w:rsidRPr="007B0934">
        <w:rPr>
          <w:rFonts w:asciiTheme="minorHAnsi" w:hAnsiTheme="minorHAnsi"/>
          <w:sz w:val="20"/>
        </w:rPr>
        <w:t xml:space="preserve"> финансов отчет на</w:t>
      </w:r>
      <w:r w:rsidR="00C81AD7" w:rsidRPr="007B0934">
        <w:rPr>
          <w:rFonts w:asciiTheme="minorHAnsi" w:hAnsiTheme="minorHAnsi"/>
          <w:sz w:val="20"/>
        </w:rPr>
        <w:t xml:space="preserve"> Емитента към 3</w:t>
      </w:r>
      <w:r w:rsidR="00455F56">
        <w:rPr>
          <w:rFonts w:asciiTheme="minorHAnsi" w:hAnsiTheme="minorHAnsi"/>
          <w:sz w:val="20"/>
        </w:rPr>
        <w:t>1</w:t>
      </w:r>
      <w:r w:rsidR="00C81AD7" w:rsidRPr="007B0934">
        <w:rPr>
          <w:rFonts w:asciiTheme="minorHAnsi" w:hAnsiTheme="minorHAnsi"/>
          <w:sz w:val="20"/>
        </w:rPr>
        <w:t>.</w:t>
      </w:r>
      <w:r w:rsidR="00455F56">
        <w:rPr>
          <w:rFonts w:asciiTheme="minorHAnsi" w:hAnsiTheme="minorHAnsi"/>
          <w:sz w:val="20"/>
        </w:rPr>
        <w:t>12</w:t>
      </w:r>
      <w:r w:rsidR="00C81AD7" w:rsidRPr="007B0934">
        <w:rPr>
          <w:rFonts w:asciiTheme="minorHAnsi" w:hAnsiTheme="minorHAnsi"/>
          <w:sz w:val="20"/>
        </w:rPr>
        <w:t>.202</w:t>
      </w:r>
      <w:r w:rsidR="00C1396A">
        <w:rPr>
          <w:rFonts w:asciiTheme="minorHAnsi" w:hAnsiTheme="minorHAnsi"/>
          <w:sz w:val="20"/>
          <w:lang w:val="en-US"/>
        </w:rPr>
        <w:t>2</w:t>
      </w:r>
      <w:r w:rsidR="00C81AD7" w:rsidRPr="007B0934">
        <w:rPr>
          <w:rFonts w:asciiTheme="minorHAnsi" w:hAnsiTheme="minorHAnsi"/>
          <w:sz w:val="20"/>
        </w:rPr>
        <w:t xml:space="preserve"> г. </w:t>
      </w:r>
      <w:r w:rsidR="007A00C4" w:rsidRPr="007B0934">
        <w:rPr>
          <w:rFonts w:asciiTheme="minorHAnsi" w:hAnsiTheme="minorHAnsi"/>
          <w:sz w:val="20"/>
        </w:rPr>
        <w:t>Изчисленията на показателите са на дванадесет месечна база и са предст</w:t>
      </w:r>
      <w:r w:rsidR="00010AFD" w:rsidRPr="007B0934">
        <w:rPr>
          <w:rFonts w:asciiTheme="minorHAnsi" w:hAnsiTheme="minorHAnsi"/>
          <w:sz w:val="20"/>
        </w:rPr>
        <w:t>а</w:t>
      </w:r>
      <w:r w:rsidR="007A00C4" w:rsidRPr="007B0934">
        <w:rPr>
          <w:rFonts w:asciiTheme="minorHAnsi" w:hAnsiTheme="minorHAnsi"/>
          <w:sz w:val="20"/>
        </w:rPr>
        <w:t>в</w:t>
      </w:r>
      <w:r w:rsidR="00C81AD7" w:rsidRPr="007B0934">
        <w:rPr>
          <w:rFonts w:asciiTheme="minorHAnsi" w:hAnsiTheme="minorHAnsi"/>
          <w:sz w:val="20"/>
        </w:rPr>
        <w:t>ени в таблицата, която следва по-долу:</w:t>
      </w:r>
    </w:p>
    <w:p w14:paraId="1D8739FC" w14:textId="77777777" w:rsidR="007B0934" w:rsidRDefault="007B0934">
      <w:pPr>
        <w:rPr>
          <w:rFonts w:asciiTheme="minorHAnsi" w:hAnsiTheme="minorHAnsi"/>
        </w:rPr>
      </w:pPr>
      <w:r>
        <w:rPr>
          <w:rFonts w:asciiTheme="minorHAnsi" w:hAnsiTheme="minorHAnsi"/>
        </w:rPr>
        <w:br w:type="page"/>
      </w:r>
    </w:p>
    <w:p w14:paraId="67C838D5" w14:textId="77777777" w:rsidR="00C81AD7" w:rsidRDefault="00C81AD7" w:rsidP="00204BE9">
      <w:pPr>
        <w:jc w:val="both"/>
        <w:rPr>
          <w:rFonts w:asciiTheme="minorHAnsi" w:hAnsiTheme="minorHAnsi"/>
        </w:rPr>
      </w:pPr>
    </w:p>
    <w:tbl>
      <w:tblPr>
        <w:tblW w:w="8709" w:type="dxa"/>
        <w:tblCellMar>
          <w:left w:w="70" w:type="dxa"/>
          <w:right w:w="70" w:type="dxa"/>
        </w:tblCellMar>
        <w:tblLook w:val="04A0" w:firstRow="1" w:lastRow="0" w:firstColumn="1" w:lastColumn="0" w:noHBand="0" w:noVBand="1"/>
      </w:tblPr>
      <w:tblGrid>
        <w:gridCol w:w="3969"/>
        <w:gridCol w:w="3280"/>
        <w:gridCol w:w="1460"/>
      </w:tblGrid>
      <w:tr w:rsidR="000E00A5" w14:paraId="65A685B1" w14:textId="77777777" w:rsidTr="007B0934">
        <w:trPr>
          <w:trHeight w:val="552"/>
        </w:trPr>
        <w:tc>
          <w:tcPr>
            <w:tcW w:w="3969" w:type="dxa"/>
            <w:tcBorders>
              <w:top w:val="nil"/>
              <w:left w:val="nil"/>
              <w:bottom w:val="nil"/>
              <w:right w:val="nil"/>
            </w:tcBorders>
            <w:shd w:val="clear" w:color="000000" w:fill="B41E37"/>
            <w:vAlign w:val="center"/>
            <w:hideMark/>
          </w:tcPr>
          <w:p w14:paraId="07393DBE" w14:textId="77777777" w:rsidR="000E00A5" w:rsidRDefault="000E00A5">
            <w:pPr>
              <w:rPr>
                <w:rFonts w:ascii="Calibri" w:hAnsi="Calibri"/>
                <w:b/>
                <w:bCs/>
                <w:color w:val="FFFFFF"/>
                <w:sz w:val="20"/>
                <w:szCs w:val="20"/>
              </w:rPr>
            </w:pPr>
            <w:r>
              <w:rPr>
                <w:rFonts w:ascii="Calibri" w:hAnsi="Calibri"/>
                <w:b/>
                <w:bCs/>
                <w:color w:val="FFFFFF"/>
                <w:sz w:val="20"/>
                <w:szCs w:val="20"/>
              </w:rPr>
              <w:t>Коефициент</w:t>
            </w:r>
          </w:p>
        </w:tc>
        <w:tc>
          <w:tcPr>
            <w:tcW w:w="3280" w:type="dxa"/>
            <w:tcBorders>
              <w:top w:val="nil"/>
              <w:left w:val="nil"/>
              <w:bottom w:val="nil"/>
              <w:right w:val="nil"/>
            </w:tcBorders>
            <w:shd w:val="clear" w:color="000000" w:fill="B41E37"/>
            <w:vAlign w:val="center"/>
            <w:hideMark/>
          </w:tcPr>
          <w:p w14:paraId="3A0246E4" w14:textId="77777777" w:rsidR="000E00A5" w:rsidRDefault="000E00A5">
            <w:pPr>
              <w:rPr>
                <w:rFonts w:ascii="Calibri" w:hAnsi="Calibri"/>
                <w:b/>
                <w:bCs/>
                <w:color w:val="FFFFFF"/>
                <w:sz w:val="20"/>
                <w:szCs w:val="20"/>
              </w:rPr>
            </w:pPr>
            <w:r>
              <w:rPr>
                <w:rFonts w:ascii="Calibri" w:hAnsi="Calibri"/>
                <w:b/>
                <w:bCs/>
                <w:color w:val="FFFFFF"/>
                <w:sz w:val="20"/>
                <w:szCs w:val="20"/>
              </w:rPr>
              <w:t>Показател /в хил. лв./</w:t>
            </w:r>
          </w:p>
        </w:tc>
        <w:tc>
          <w:tcPr>
            <w:tcW w:w="1460" w:type="dxa"/>
            <w:tcBorders>
              <w:top w:val="nil"/>
              <w:left w:val="nil"/>
              <w:bottom w:val="nil"/>
              <w:right w:val="nil"/>
            </w:tcBorders>
            <w:shd w:val="clear" w:color="000000" w:fill="B41E37"/>
            <w:vAlign w:val="center"/>
            <w:hideMark/>
          </w:tcPr>
          <w:p w14:paraId="04665A65" w14:textId="15A6100F" w:rsidR="000E00A5" w:rsidRDefault="000E00A5" w:rsidP="00443AEB">
            <w:pPr>
              <w:jc w:val="center"/>
              <w:rPr>
                <w:rFonts w:ascii="Calibri" w:hAnsi="Calibri"/>
                <w:b/>
                <w:bCs/>
                <w:color w:val="FFFFFF"/>
                <w:sz w:val="20"/>
                <w:szCs w:val="20"/>
              </w:rPr>
            </w:pPr>
            <w:r>
              <w:rPr>
                <w:rFonts w:ascii="Calibri" w:hAnsi="Calibri"/>
                <w:b/>
                <w:bCs/>
                <w:color w:val="FFFFFF"/>
                <w:sz w:val="20"/>
                <w:szCs w:val="20"/>
              </w:rPr>
              <w:t>3</w:t>
            </w:r>
            <w:r w:rsidR="00397502">
              <w:rPr>
                <w:rFonts w:ascii="Calibri" w:hAnsi="Calibri"/>
                <w:b/>
                <w:bCs/>
                <w:color w:val="FFFFFF"/>
                <w:sz w:val="20"/>
                <w:szCs w:val="20"/>
              </w:rPr>
              <w:t>0</w:t>
            </w:r>
            <w:r w:rsidR="00443AEB">
              <w:rPr>
                <w:rFonts w:ascii="Calibri" w:hAnsi="Calibri"/>
                <w:b/>
                <w:bCs/>
                <w:color w:val="FFFFFF"/>
                <w:sz w:val="20"/>
                <w:szCs w:val="20"/>
                <w:lang w:val="en-US"/>
              </w:rPr>
              <w:t>.</w:t>
            </w:r>
            <w:r w:rsidR="00C1396A">
              <w:rPr>
                <w:rFonts w:ascii="Calibri" w:hAnsi="Calibri"/>
                <w:b/>
                <w:bCs/>
                <w:color w:val="FFFFFF"/>
                <w:sz w:val="20"/>
                <w:szCs w:val="20"/>
                <w:lang w:val="en-US"/>
              </w:rPr>
              <w:t>0</w:t>
            </w:r>
            <w:r w:rsidR="00397502">
              <w:rPr>
                <w:rFonts w:ascii="Calibri" w:hAnsi="Calibri"/>
                <w:b/>
                <w:color w:val="FFFFFF"/>
                <w:sz w:val="20"/>
                <w:szCs w:val="20"/>
              </w:rPr>
              <w:t>9</w:t>
            </w:r>
            <w:r>
              <w:rPr>
                <w:rFonts w:ascii="Calibri" w:hAnsi="Calibri"/>
                <w:b/>
                <w:bCs/>
                <w:color w:val="FFFFFF"/>
                <w:sz w:val="20"/>
                <w:szCs w:val="20"/>
              </w:rPr>
              <w:t>.202</w:t>
            </w:r>
            <w:r w:rsidR="00C1396A">
              <w:rPr>
                <w:rFonts w:ascii="Calibri" w:hAnsi="Calibri"/>
                <w:b/>
                <w:bCs/>
                <w:color w:val="FFFFFF"/>
                <w:sz w:val="20"/>
                <w:szCs w:val="20"/>
                <w:lang w:val="en-US"/>
              </w:rPr>
              <w:t>2</w:t>
            </w:r>
            <w:r>
              <w:rPr>
                <w:rFonts w:ascii="Calibri" w:hAnsi="Calibri"/>
                <w:b/>
                <w:bCs/>
                <w:color w:val="FFFFFF"/>
                <w:sz w:val="20"/>
                <w:szCs w:val="20"/>
              </w:rPr>
              <w:t xml:space="preserve"> г.      / ttm база/</w:t>
            </w:r>
          </w:p>
        </w:tc>
      </w:tr>
      <w:tr w:rsidR="000E00A5" w14:paraId="663703A0" w14:textId="77777777" w:rsidTr="007B0934">
        <w:trPr>
          <w:trHeight w:val="288"/>
        </w:trPr>
        <w:tc>
          <w:tcPr>
            <w:tcW w:w="3969" w:type="dxa"/>
            <w:vMerge w:val="restart"/>
            <w:tcBorders>
              <w:top w:val="single" w:sz="4" w:space="0" w:color="auto"/>
              <w:left w:val="nil"/>
              <w:bottom w:val="single" w:sz="4" w:space="0" w:color="000000"/>
              <w:right w:val="nil"/>
            </w:tcBorders>
            <w:shd w:val="clear" w:color="000000" w:fill="FFFFFF"/>
            <w:vAlign w:val="center"/>
            <w:hideMark/>
          </w:tcPr>
          <w:p w14:paraId="4063CF90" w14:textId="77777777" w:rsidR="000E00A5" w:rsidRDefault="000E00A5">
            <w:pPr>
              <w:rPr>
                <w:rFonts w:ascii="Calibri" w:hAnsi="Calibri"/>
                <w:b/>
                <w:bCs/>
                <w:color w:val="000000"/>
                <w:sz w:val="20"/>
                <w:szCs w:val="20"/>
              </w:rPr>
            </w:pPr>
            <w:r>
              <w:rPr>
                <w:rFonts w:ascii="Calibri" w:hAnsi="Calibri"/>
                <w:b/>
                <w:bCs/>
                <w:color w:val="000000"/>
                <w:sz w:val="20"/>
                <w:szCs w:val="20"/>
              </w:rPr>
              <w:t>Пасиви към активи</w:t>
            </w:r>
          </w:p>
        </w:tc>
        <w:tc>
          <w:tcPr>
            <w:tcW w:w="3280" w:type="dxa"/>
            <w:tcBorders>
              <w:top w:val="single" w:sz="4" w:space="0" w:color="auto"/>
              <w:left w:val="nil"/>
              <w:bottom w:val="nil"/>
              <w:right w:val="nil"/>
            </w:tcBorders>
            <w:shd w:val="clear" w:color="000000" w:fill="FFFFFF"/>
            <w:vAlign w:val="center"/>
            <w:hideMark/>
          </w:tcPr>
          <w:p w14:paraId="501E8F3E" w14:textId="77777777"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Пасиви</w:t>
            </w:r>
          </w:p>
        </w:tc>
        <w:tc>
          <w:tcPr>
            <w:tcW w:w="1460" w:type="dxa"/>
            <w:vMerge w:val="restart"/>
            <w:tcBorders>
              <w:top w:val="single" w:sz="4" w:space="0" w:color="auto"/>
              <w:left w:val="nil"/>
              <w:bottom w:val="single" w:sz="4" w:space="0" w:color="000000"/>
              <w:right w:val="nil"/>
            </w:tcBorders>
            <w:shd w:val="clear" w:color="000000" w:fill="FFFFFF"/>
            <w:vAlign w:val="center"/>
            <w:hideMark/>
          </w:tcPr>
          <w:p w14:paraId="3F6A25C0" w14:textId="3F824004" w:rsidR="000E00A5" w:rsidRDefault="00455F56" w:rsidP="008967C1">
            <w:pPr>
              <w:jc w:val="center"/>
              <w:rPr>
                <w:rFonts w:ascii="Calibri" w:hAnsi="Calibri"/>
                <w:b/>
                <w:bCs/>
                <w:color w:val="000000"/>
                <w:sz w:val="20"/>
                <w:szCs w:val="20"/>
              </w:rPr>
            </w:pPr>
            <w:r>
              <w:rPr>
                <w:rFonts w:ascii="Calibri" w:hAnsi="Calibri"/>
                <w:b/>
                <w:bCs/>
                <w:color w:val="000000"/>
                <w:sz w:val="20"/>
                <w:szCs w:val="20"/>
              </w:rPr>
              <w:t>62</w:t>
            </w:r>
            <w:r w:rsidR="000E00A5">
              <w:rPr>
                <w:rFonts w:ascii="Calibri" w:hAnsi="Calibri"/>
                <w:b/>
                <w:bCs/>
                <w:color w:val="000000"/>
                <w:sz w:val="20"/>
                <w:szCs w:val="20"/>
              </w:rPr>
              <w:t>.</w:t>
            </w:r>
            <w:r>
              <w:rPr>
                <w:rFonts w:ascii="Calibri" w:hAnsi="Calibri"/>
                <w:b/>
                <w:bCs/>
                <w:color w:val="000000"/>
                <w:sz w:val="20"/>
                <w:szCs w:val="20"/>
              </w:rPr>
              <w:t>46</w:t>
            </w:r>
            <w:r w:rsidR="000E00A5">
              <w:rPr>
                <w:rFonts w:ascii="Calibri" w:hAnsi="Calibri"/>
                <w:b/>
                <w:bCs/>
                <w:color w:val="000000"/>
                <w:sz w:val="20"/>
                <w:szCs w:val="20"/>
              </w:rPr>
              <w:t>%</w:t>
            </w:r>
          </w:p>
        </w:tc>
      </w:tr>
      <w:tr w:rsidR="000E00A5" w:rsidRPr="007A43EA" w14:paraId="46A41024" w14:textId="77777777" w:rsidTr="007B0934">
        <w:trPr>
          <w:trHeight w:val="288"/>
        </w:trPr>
        <w:tc>
          <w:tcPr>
            <w:tcW w:w="3969" w:type="dxa"/>
            <w:vMerge/>
            <w:tcBorders>
              <w:top w:val="single" w:sz="4" w:space="0" w:color="auto"/>
              <w:left w:val="nil"/>
              <w:bottom w:val="single" w:sz="4" w:space="0" w:color="000000"/>
              <w:right w:val="nil"/>
            </w:tcBorders>
            <w:vAlign w:val="center"/>
            <w:hideMark/>
          </w:tcPr>
          <w:p w14:paraId="6792F8E6" w14:textId="77777777" w:rsidR="000E00A5"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14:paraId="0C637F5A" w14:textId="32B57CAD" w:rsidR="000E00A5" w:rsidRPr="00397502" w:rsidRDefault="00455F56" w:rsidP="00443AEB">
            <w:pPr>
              <w:jc w:val="both"/>
              <w:rPr>
                <w:rFonts w:ascii="Calibri" w:hAnsi="Calibri"/>
                <w:color w:val="000000"/>
                <w:sz w:val="20"/>
                <w:szCs w:val="20"/>
              </w:rPr>
            </w:pPr>
            <w:r>
              <w:rPr>
                <w:rFonts w:ascii="Calibri" w:hAnsi="Calibri"/>
                <w:color w:val="000000"/>
                <w:sz w:val="20"/>
                <w:szCs w:val="20"/>
              </w:rPr>
              <w:t>13 499</w:t>
            </w:r>
          </w:p>
        </w:tc>
        <w:tc>
          <w:tcPr>
            <w:tcW w:w="1460" w:type="dxa"/>
            <w:vMerge/>
            <w:tcBorders>
              <w:top w:val="single" w:sz="4" w:space="0" w:color="auto"/>
              <w:left w:val="nil"/>
              <w:bottom w:val="single" w:sz="4" w:space="0" w:color="000000"/>
              <w:right w:val="nil"/>
            </w:tcBorders>
            <w:vAlign w:val="center"/>
            <w:hideMark/>
          </w:tcPr>
          <w:p w14:paraId="60195378" w14:textId="77777777" w:rsidR="000E00A5" w:rsidRPr="007A43EA" w:rsidRDefault="000E00A5">
            <w:pPr>
              <w:rPr>
                <w:rFonts w:ascii="Calibri" w:hAnsi="Calibri"/>
                <w:b/>
                <w:bCs/>
                <w:color w:val="000000"/>
                <w:sz w:val="20"/>
                <w:szCs w:val="20"/>
                <w:highlight w:val="yellow"/>
              </w:rPr>
            </w:pPr>
          </w:p>
        </w:tc>
      </w:tr>
      <w:tr w:rsidR="000E00A5" w:rsidRPr="007A43EA" w14:paraId="4363505D" w14:textId="77777777" w:rsidTr="007B0934">
        <w:trPr>
          <w:trHeight w:val="288"/>
        </w:trPr>
        <w:tc>
          <w:tcPr>
            <w:tcW w:w="3969" w:type="dxa"/>
            <w:vMerge/>
            <w:tcBorders>
              <w:top w:val="single" w:sz="4" w:space="0" w:color="auto"/>
              <w:left w:val="nil"/>
              <w:bottom w:val="single" w:sz="4" w:space="0" w:color="000000"/>
              <w:right w:val="nil"/>
            </w:tcBorders>
            <w:vAlign w:val="center"/>
            <w:hideMark/>
          </w:tcPr>
          <w:p w14:paraId="1F0BFDFC"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14:paraId="2A1B7C46" w14:textId="77777777"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Активи:</w:t>
            </w:r>
          </w:p>
        </w:tc>
        <w:tc>
          <w:tcPr>
            <w:tcW w:w="1460" w:type="dxa"/>
            <w:vMerge/>
            <w:tcBorders>
              <w:top w:val="single" w:sz="4" w:space="0" w:color="auto"/>
              <w:left w:val="nil"/>
              <w:bottom w:val="single" w:sz="4" w:space="0" w:color="000000"/>
              <w:right w:val="nil"/>
            </w:tcBorders>
            <w:vAlign w:val="center"/>
            <w:hideMark/>
          </w:tcPr>
          <w:p w14:paraId="7B7B4718" w14:textId="77777777" w:rsidR="000E00A5" w:rsidRPr="007A43EA" w:rsidRDefault="000E00A5">
            <w:pPr>
              <w:rPr>
                <w:rFonts w:ascii="Calibri" w:hAnsi="Calibri"/>
                <w:b/>
                <w:bCs/>
                <w:color w:val="000000"/>
                <w:sz w:val="20"/>
                <w:szCs w:val="20"/>
                <w:highlight w:val="yellow"/>
              </w:rPr>
            </w:pPr>
          </w:p>
        </w:tc>
      </w:tr>
      <w:tr w:rsidR="000E00A5" w:rsidRPr="007A43EA" w14:paraId="79C9E377" w14:textId="77777777" w:rsidTr="007B0934">
        <w:trPr>
          <w:trHeight w:val="288"/>
        </w:trPr>
        <w:tc>
          <w:tcPr>
            <w:tcW w:w="3969" w:type="dxa"/>
            <w:vMerge/>
            <w:tcBorders>
              <w:top w:val="single" w:sz="4" w:space="0" w:color="auto"/>
              <w:left w:val="nil"/>
              <w:bottom w:val="single" w:sz="4" w:space="0" w:color="000000"/>
              <w:right w:val="nil"/>
            </w:tcBorders>
            <w:vAlign w:val="center"/>
            <w:hideMark/>
          </w:tcPr>
          <w:p w14:paraId="540EE84F"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single" w:sz="4" w:space="0" w:color="auto"/>
              <w:right w:val="nil"/>
            </w:tcBorders>
            <w:shd w:val="clear" w:color="000000" w:fill="FFFFFF"/>
            <w:vAlign w:val="center"/>
            <w:hideMark/>
          </w:tcPr>
          <w:p w14:paraId="5AF30773" w14:textId="522B8F32" w:rsidR="000E00A5" w:rsidRPr="00397502" w:rsidRDefault="00455F56" w:rsidP="008967C1">
            <w:pPr>
              <w:jc w:val="both"/>
              <w:rPr>
                <w:rFonts w:ascii="Calibri" w:hAnsi="Calibri"/>
                <w:color w:val="000000"/>
                <w:sz w:val="20"/>
                <w:szCs w:val="20"/>
              </w:rPr>
            </w:pPr>
            <w:r>
              <w:rPr>
                <w:rFonts w:ascii="Calibri" w:hAnsi="Calibri"/>
                <w:sz w:val="20"/>
                <w:szCs w:val="20"/>
              </w:rPr>
              <w:t>21</w:t>
            </w:r>
            <w:r w:rsidR="00397502">
              <w:rPr>
                <w:rFonts w:ascii="Calibri" w:hAnsi="Calibri"/>
                <w:sz w:val="20"/>
                <w:szCs w:val="20"/>
              </w:rPr>
              <w:t xml:space="preserve"> </w:t>
            </w:r>
            <w:r>
              <w:rPr>
                <w:rFonts w:ascii="Calibri" w:hAnsi="Calibri"/>
                <w:sz w:val="20"/>
                <w:szCs w:val="20"/>
              </w:rPr>
              <w:t>611</w:t>
            </w:r>
          </w:p>
        </w:tc>
        <w:tc>
          <w:tcPr>
            <w:tcW w:w="1460" w:type="dxa"/>
            <w:vMerge/>
            <w:tcBorders>
              <w:top w:val="single" w:sz="4" w:space="0" w:color="auto"/>
              <w:left w:val="nil"/>
              <w:bottom w:val="single" w:sz="4" w:space="0" w:color="000000"/>
              <w:right w:val="nil"/>
            </w:tcBorders>
            <w:vAlign w:val="center"/>
            <w:hideMark/>
          </w:tcPr>
          <w:p w14:paraId="38719E12" w14:textId="77777777" w:rsidR="000E00A5" w:rsidRPr="007A43EA" w:rsidRDefault="000E00A5">
            <w:pPr>
              <w:rPr>
                <w:rFonts w:ascii="Calibri" w:hAnsi="Calibri"/>
                <w:b/>
                <w:bCs/>
                <w:color w:val="000000"/>
                <w:sz w:val="20"/>
                <w:szCs w:val="20"/>
                <w:highlight w:val="yellow"/>
              </w:rPr>
            </w:pPr>
          </w:p>
        </w:tc>
      </w:tr>
      <w:tr w:rsidR="000E00A5" w:rsidRPr="007A43EA" w14:paraId="2A97365A" w14:textId="77777777" w:rsidTr="007B0934">
        <w:trPr>
          <w:trHeight w:val="288"/>
        </w:trPr>
        <w:tc>
          <w:tcPr>
            <w:tcW w:w="3969" w:type="dxa"/>
            <w:vMerge w:val="restart"/>
            <w:tcBorders>
              <w:top w:val="nil"/>
              <w:left w:val="nil"/>
              <w:bottom w:val="single" w:sz="4" w:space="0" w:color="000000"/>
              <w:right w:val="nil"/>
            </w:tcBorders>
            <w:shd w:val="clear" w:color="000000" w:fill="FFFFFF"/>
            <w:vAlign w:val="center"/>
            <w:hideMark/>
          </w:tcPr>
          <w:p w14:paraId="51283EA5" w14:textId="77777777" w:rsidR="000E00A5" w:rsidRPr="000D36F4" w:rsidRDefault="000E00A5">
            <w:pPr>
              <w:jc w:val="both"/>
              <w:rPr>
                <w:rFonts w:ascii="Calibri" w:hAnsi="Calibri"/>
                <w:b/>
                <w:bCs/>
                <w:color w:val="000000"/>
                <w:sz w:val="20"/>
                <w:szCs w:val="20"/>
              </w:rPr>
            </w:pPr>
            <w:r w:rsidRPr="000D36F4">
              <w:rPr>
                <w:rFonts w:ascii="Calibri" w:hAnsi="Calibri"/>
                <w:b/>
                <w:bCs/>
                <w:color w:val="000000"/>
                <w:sz w:val="20"/>
                <w:szCs w:val="20"/>
              </w:rPr>
              <w:t>Покритие на лихвите</w:t>
            </w:r>
          </w:p>
        </w:tc>
        <w:tc>
          <w:tcPr>
            <w:tcW w:w="3280" w:type="dxa"/>
            <w:tcBorders>
              <w:top w:val="nil"/>
              <w:left w:val="nil"/>
              <w:bottom w:val="nil"/>
              <w:right w:val="nil"/>
            </w:tcBorders>
            <w:shd w:val="clear" w:color="000000" w:fill="FFFFFF"/>
            <w:vAlign w:val="center"/>
            <w:hideMark/>
          </w:tcPr>
          <w:p w14:paraId="0FF827DF" w14:textId="77777777" w:rsidR="000E00A5" w:rsidRPr="00C9257A" w:rsidRDefault="000E00A5">
            <w:pPr>
              <w:jc w:val="both"/>
              <w:rPr>
                <w:rFonts w:ascii="Calibri" w:hAnsi="Calibri"/>
                <w:b/>
                <w:bCs/>
                <w:color w:val="000000"/>
                <w:sz w:val="20"/>
                <w:szCs w:val="20"/>
              </w:rPr>
            </w:pPr>
            <w:r w:rsidRPr="00C9257A">
              <w:rPr>
                <w:rFonts w:ascii="Calibri" w:hAnsi="Calibri"/>
                <w:b/>
                <w:bCs/>
                <w:color w:val="000000"/>
                <w:sz w:val="20"/>
                <w:szCs w:val="20"/>
              </w:rPr>
              <w:t>Оперативна печалба</w:t>
            </w:r>
          </w:p>
        </w:tc>
        <w:tc>
          <w:tcPr>
            <w:tcW w:w="1460" w:type="dxa"/>
            <w:vMerge w:val="restart"/>
            <w:tcBorders>
              <w:top w:val="nil"/>
              <w:left w:val="nil"/>
              <w:bottom w:val="single" w:sz="4" w:space="0" w:color="000000"/>
              <w:right w:val="nil"/>
            </w:tcBorders>
            <w:shd w:val="clear" w:color="000000" w:fill="FFFFFF"/>
            <w:vAlign w:val="center"/>
            <w:hideMark/>
          </w:tcPr>
          <w:p w14:paraId="3E1E4704" w14:textId="427A82EE" w:rsidR="000E00A5" w:rsidRPr="00C9257A" w:rsidRDefault="00455F56" w:rsidP="008967C1">
            <w:pPr>
              <w:jc w:val="center"/>
              <w:rPr>
                <w:rFonts w:ascii="Calibri" w:hAnsi="Calibri"/>
                <w:b/>
                <w:bCs/>
                <w:color w:val="000000"/>
                <w:sz w:val="20"/>
                <w:szCs w:val="20"/>
              </w:rPr>
            </w:pPr>
            <w:r>
              <w:rPr>
                <w:rFonts w:ascii="Calibri" w:hAnsi="Calibri"/>
                <w:b/>
                <w:bCs/>
                <w:color w:val="000000"/>
                <w:sz w:val="20"/>
                <w:szCs w:val="20"/>
              </w:rPr>
              <w:t>287</w:t>
            </w:r>
            <w:r w:rsidR="000E00A5" w:rsidRPr="00C9257A">
              <w:rPr>
                <w:rFonts w:ascii="Calibri" w:hAnsi="Calibri"/>
                <w:b/>
                <w:bCs/>
                <w:color w:val="000000"/>
                <w:sz w:val="20"/>
                <w:szCs w:val="20"/>
              </w:rPr>
              <w:t>%</w:t>
            </w:r>
          </w:p>
        </w:tc>
      </w:tr>
      <w:tr w:rsidR="000E00A5" w:rsidRPr="007A43EA" w14:paraId="782529D0" w14:textId="77777777" w:rsidTr="007B0934">
        <w:trPr>
          <w:trHeight w:val="288"/>
        </w:trPr>
        <w:tc>
          <w:tcPr>
            <w:tcW w:w="3969" w:type="dxa"/>
            <w:vMerge/>
            <w:tcBorders>
              <w:top w:val="nil"/>
              <w:left w:val="nil"/>
              <w:bottom w:val="single" w:sz="4" w:space="0" w:color="000000"/>
              <w:right w:val="nil"/>
            </w:tcBorders>
            <w:vAlign w:val="center"/>
            <w:hideMark/>
          </w:tcPr>
          <w:p w14:paraId="060CE2A1"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14:paraId="375EFC5A" w14:textId="03B2F4C7" w:rsidR="006C5948" w:rsidRPr="00397502" w:rsidRDefault="00455F56" w:rsidP="00C9257A">
            <w:pPr>
              <w:jc w:val="both"/>
              <w:rPr>
                <w:rFonts w:ascii="Calibri" w:hAnsi="Calibri"/>
                <w:sz w:val="20"/>
                <w:szCs w:val="20"/>
              </w:rPr>
            </w:pPr>
            <w:r>
              <w:rPr>
                <w:rFonts w:ascii="Calibri" w:hAnsi="Calibri"/>
                <w:sz w:val="20"/>
                <w:szCs w:val="20"/>
              </w:rPr>
              <w:t>2 409</w:t>
            </w:r>
          </w:p>
        </w:tc>
        <w:tc>
          <w:tcPr>
            <w:tcW w:w="1460" w:type="dxa"/>
            <w:vMerge/>
            <w:tcBorders>
              <w:top w:val="nil"/>
              <w:left w:val="nil"/>
              <w:bottom w:val="single" w:sz="4" w:space="0" w:color="000000"/>
              <w:right w:val="nil"/>
            </w:tcBorders>
            <w:vAlign w:val="center"/>
            <w:hideMark/>
          </w:tcPr>
          <w:p w14:paraId="5203D592" w14:textId="77777777" w:rsidR="000E00A5" w:rsidRPr="007A43EA" w:rsidRDefault="000E00A5">
            <w:pPr>
              <w:rPr>
                <w:rFonts w:ascii="Calibri" w:hAnsi="Calibri"/>
                <w:b/>
                <w:bCs/>
                <w:color w:val="000000"/>
                <w:sz w:val="20"/>
                <w:szCs w:val="20"/>
                <w:highlight w:val="yellow"/>
              </w:rPr>
            </w:pPr>
          </w:p>
        </w:tc>
      </w:tr>
      <w:tr w:rsidR="000E00A5" w:rsidRPr="007A43EA" w14:paraId="7A541305" w14:textId="77777777" w:rsidTr="007B0934">
        <w:trPr>
          <w:trHeight w:val="288"/>
        </w:trPr>
        <w:tc>
          <w:tcPr>
            <w:tcW w:w="3969" w:type="dxa"/>
            <w:vMerge/>
            <w:tcBorders>
              <w:top w:val="nil"/>
              <w:left w:val="nil"/>
              <w:bottom w:val="single" w:sz="4" w:space="0" w:color="000000"/>
              <w:right w:val="nil"/>
            </w:tcBorders>
            <w:vAlign w:val="center"/>
            <w:hideMark/>
          </w:tcPr>
          <w:p w14:paraId="44C2005B"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nil"/>
              <w:right w:val="nil"/>
            </w:tcBorders>
            <w:shd w:val="clear" w:color="000000" w:fill="FFFFFF"/>
            <w:vAlign w:val="center"/>
            <w:hideMark/>
          </w:tcPr>
          <w:p w14:paraId="61947D32" w14:textId="77777777" w:rsidR="000E00A5" w:rsidRPr="00C9257A" w:rsidRDefault="000E00A5">
            <w:pPr>
              <w:jc w:val="both"/>
              <w:rPr>
                <w:rFonts w:ascii="Calibri" w:hAnsi="Calibri"/>
                <w:b/>
                <w:bCs/>
                <w:color w:val="000000"/>
                <w:sz w:val="20"/>
                <w:szCs w:val="20"/>
              </w:rPr>
            </w:pPr>
            <w:r w:rsidRPr="00C9257A">
              <w:rPr>
                <w:rFonts w:ascii="Calibri" w:hAnsi="Calibri"/>
                <w:b/>
                <w:bCs/>
                <w:color w:val="000000"/>
                <w:sz w:val="20"/>
                <w:szCs w:val="20"/>
              </w:rPr>
              <w:t>Разходи за лихви:</w:t>
            </w:r>
          </w:p>
        </w:tc>
        <w:tc>
          <w:tcPr>
            <w:tcW w:w="1460" w:type="dxa"/>
            <w:vMerge/>
            <w:tcBorders>
              <w:top w:val="nil"/>
              <w:left w:val="nil"/>
              <w:bottom w:val="single" w:sz="4" w:space="0" w:color="000000"/>
              <w:right w:val="nil"/>
            </w:tcBorders>
            <w:vAlign w:val="center"/>
            <w:hideMark/>
          </w:tcPr>
          <w:p w14:paraId="1893D4B6" w14:textId="77777777" w:rsidR="000E00A5" w:rsidRPr="007A43EA" w:rsidRDefault="000E00A5">
            <w:pPr>
              <w:rPr>
                <w:rFonts w:ascii="Calibri" w:hAnsi="Calibri"/>
                <w:b/>
                <w:bCs/>
                <w:color w:val="000000"/>
                <w:sz w:val="20"/>
                <w:szCs w:val="20"/>
                <w:highlight w:val="yellow"/>
              </w:rPr>
            </w:pPr>
          </w:p>
        </w:tc>
      </w:tr>
      <w:tr w:rsidR="000E00A5" w14:paraId="709F1B52" w14:textId="77777777" w:rsidTr="007B0934">
        <w:trPr>
          <w:trHeight w:val="288"/>
        </w:trPr>
        <w:tc>
          <w:tcPr>
            <w:tcW w:w="3969" w:type="dxa"/>
            <w:vMerge/>
            <w:tcBorders>
              <w:top w:val="nil"/>
              <w:left w:val="nil"/>
              <w:bottom w:val="single" w:sz="4" w:space="0" w:color="000000"/>
              <w:right w:val="nil"/>
            </w:tcBorders>
            <w:vAlign w:val="center"/>
            <w:hideMark/>
          </w:tcPr>
          <w:p w14:paraId="066A9CE8" w14:textId="77777777" w:rsidR="000E00A5" w:rsidRPr="007A43EA" w:rsidRDefault="000E00A5">
            <w:pPr>
              <w:rPr>
                <w:rFonts w:ascii="Calibri" w:hAnsi="Calibri"/>
                <w:b/>
                <w:bCs/>
                <w:color w:val="000000"/>
                <w:sz w:val="20"/>
                <w:szCs w:val="20"/>
                <w:highlight w:val="yellow"/>
              </w:rPr>
            </w:pPr>
          </w:p>
        </w:tc>
        <w:tc>
          <w:tcPr>
            <w:tcW w:w="3280" w:type="dxa"/>
            <w:tcBorders>
              <w:top w:val="nil"/>
              <w:left w:val="nil"/>
              <w:bottom w:val="single" w:sz="4" w:space="0" w:color="auto"/>
              <w:right w:val="nil"/>
            </w:tcBorders>
            <w:shd w:val="clear" w:color="000000" w:fill="FFFFFF"/>
            <w:vAlign w:val="center"/>
            <w:hideMark/>
          </w:tcPr>
          <w:p w14:paraId="43122DF3" w14:textId="126763C4" w:rsidR="000E00A5" w:rsidRPr="00397502" w:rsidRDefault="00455F56">
            <w:pPr>
              <w:jc w:val="both"/>
              <w:rPr>
                <w:rFonts w:ascii="Calibri" w:hAnsi="Calibri"/>
                <w:color w:val="000000"/>
                <w:sz w:val="20"/>
                <w:szCs w:val="20"/>
              </w:rPr>
            </w:pPr>
            <w:r>
              <w:rPr>
                <w:rFonts w:ascii="Calibri" w:hAnsi="Calibri"/>
                <w:color w:val="000000"/>
                <w:sz w:val="20"/>
                <w:szCs w:val="20"/>
              </w:rPr>
              <w:t>1 287</w:t>
            </w:r>
          </w:p>
        </w:tc>
        <w:tc>
          <w:tcPr>
            <w:tcW w:w="1460" w:type="dxa"/>
            <w:vMerge/>
            <w:tcBorders>
              <w:top w:val="nil"/>
              <w:left w:val="nil"/>
              <w:bottom w:val="single" w:sz="4" w:space="0" w:color="000000"/>
              <w:right w:val="nil"/>
            </w:tcBorders>
            <w:vAlign w:val="center"/>
            <w:hideMark/>
          </w:tcPr>
          <w:p w14:paraId="2B798990" w14:textId="77777777" w:rsidR="000E00A5" w:rsidRDefault="000E00A5">
            <w:pPr>
              <w:rPr>
                <w:rFonts w:ascii="Calibri" w:hAnsi="Calibri"/>
                <w:b/>
                <w:bCs/>
                <w:color w:val="000000"/>
                <w:sz w:val="20"/>
                <w:szCs w:val="20"/>
              </w:rPr>
            </w:pPr>
          </w:p>
        </w:tc>
      </w:tr>
    </w:tbl>
    <w:p w14:paraId="22E819F8" w14:textId="77777777" w:rsidR="00BA5398" w:rsidRPr="007B0934" w:rsidRDefault="00BA5398" w:rsidP="007B0934">
      <w:pPr>
        <w:ind w:right="566"/>
        <w:jc w:val="both"/>
        <w:rPr>
          <w:rFonts w:asciiTheme="minorHAnsi" w:hAnsiTheme="minorHAnsi"/>
          <w:b/>
          <w:sz w:val="20"/>
          <w:szCs w:val="20"/>
        </w:rPr>
      </w:pPr>
    </w:p>
    <w:p w14:paraId="3D38F844" w14:textId="77777777" w:rsidR="001068F0" w:rsidRPr="00B91440" w:rsidRDefault="001068F0" w:rsidP="007B0934">
      <w:pPr>
        <w:pStyle w:val="bs2"/>
        <w:spacing w:after="240"/>
        <w:ind w:left="709" w:right="567"/>
        <w:rPr>
          <w:rFonts w:asciiTheme="minorHAnsi" w:hAnsiTheme="minorHAnsi"/>
        </w:rPr>
      </w:pPr>
      <w:r w:rsidRPr="00B91440">
        <w:rPr>
          <w:rFonts w:asciiTheme="minorHAnsi" w:hAnsiTheme="minorHAnsi"/>
        </w:rPr>
        <w:t>3</w:t>
      </w:r>
      <w:r w:rsidR="003D5852" w:rsidRPr="00B91440">
        <w:rPr>
          <w:rFonts w:asciiTheme="minorHAnsi" w:hAnsiTheme="minorHAnsi"/>
        </w:rPr>
        <w:t xml:space="preserve">.3. </w:t>
      </w:r>
      <w:r w:rsidR="00204BE9" w:rsidRPr="00B91440">
        <w:rPr>
          <w:rFonts w:asciiTheme="minorHAnsi" w:hAnsiTheme="minorHAnsi"/>
        </w:rPr>
        <w:t xml:space="preserve">Минимален размер на обезпечението: </w:t>
      </w:r>
    </w:p>
    <w:p w14:paraId="4D9912E2" w14:textId="77777777" w:rsidR="00204BE9" w:rsidRPr="007B0934" w:rsidRDefault="00204BE9" w:rsidP="007B0934">
      <w:pPr>
        <w:spacing w:after="120"/>
        <w:ind w:right="567"/>
        <w:jc w:val="both"/>
        <w:rPr>
          <w:rFonts w:asciiTheme="minorHAnsi" w:hAnsiTheme="minorHAnsi"/>
          <w:b/>
          <w:sz w:val="20"/>
          <w:szCs w:val="20"/>
        </w:rPr>
      </w:pPr>
      <w:r w:rsidRPr="007B0934">
        <w:rPr>
          <w:rFonts w:asciiTheme="minorHAnsi" w:hAnsiTheme="minorHAnsi"/>
          <w:sz w:val="20"/>
          <w:szCs w:val="20"/>
        </w:rPr>
        <w:t>Емитентът следва да поддържа коефициент размер на неамортизирания облигационния заем към стойността на обезпечението (LTV) ≤ 80%.</w:t>
      </w:r>
    </w:p>
    <w:p w14:paraId="04763B33" w14:textId="7D97023B" w:rsidR="006944E2" w:rsidRPr="006944E2" w:rsidRDefault="006944E2" w:rsidP="006944E2">
      <w:pPr>
        <w:spacing w:after="120"/>
        <w:ind w:right="567"/>
        <w:jc w:val="both"/>
        <w:rPr>
          <w:rFonts w:asciiTheme="minorHAnsi" w:hAnsiTheme="minorHAnsi"/>
          <w:sz w:val="20"/>
          <w:szCs w:val="20"/>
        </w:rPr>
      </w:pPr>
      <w:r w:rsidRPr="006944E2">
        <w:rPr>
          <w:rFonts w:asciiTheme="minorHAnsi" w:hAnsiTheme="minorHAnsi"/>
          <w:sz w:val="20"/>
          <w:szCs w:val="20"/>
        </w:rPr>
        <w:t>Стойността на показателя „Минимален размер на обезпечението“ към 3</w:t>
      </w:r>
      <w:r w:rsidR="00455F56">
        <w:rPr>
          <w:rFonts w:asciiTheme="minorHAnsi" w:hAnsiTheme="minorHAnsi"/>
          <w:sz w:val="20"/>
          <w:szCs w:val="20"/>
        </w:rPr>
        <w:t>1</w:t>
      </w:r>
      <w:r w:rsidRPr="006944E2">
        <w:rPr>
          <w:rFonts w:asciiTheme="minorHAnsi" w:hAnsiTheme="minorHAnsi"/>
          <w:sz w:val="20"/>
          <w:szCs w:val="20"/>
        </w:rPr>
        <w:t>.</w:t>
      </w:r>
      <w:r w:rsidR="00455F56">
        <w:rPr>
          <w:rFonts w:asciiTheme="minorHAnsi" w:hAnsiTheme="minorHAnsi"/>
          <w:sz w:val="20"/>
          <w:szCs w:val="20"/>
        </w:rPr>
        <w:t>12</w:t>
      </w:r>
      <w:r w:rsidRPr="006944E2">
        <w:rPr>
          <w:rFonts w:asciiTheme="minorHAnsi" w:hAnsiTheme="minorHAnsi"/>
          <w:sz w:val="20"/>
          <w:szCs w:val="20"/>
        </w:rPr>
        <w:t>.202</w:t>
      </w:r>
      <w:r w:rsidR="008967C1">
        <w:rPr>
          <w:rFonts w:asciiTheme="minorHAnsi" w:hAnsiTheme="minorHAnsi"/>
          <w:sz w:val="20"/>
          <w:szCs w:val="20"/>
          <w:lang w:val="en-US"/>
        </w:rPr>
        <w:t>2</w:t>
      </w:r>
      <w:r w:rsidRPr="006944E2">
        <w:rPr>
          <w:rFonts w:asciiTheme="minorHAnsi" w:hAnsiTheme="minorHAnsi"/>
          <w:sz w:val="20"/>
          <w:szCs w:val="20"/>
        </w:rPr>
        <w:t xml:space="preserve"> г. е </w:t>
      </w:r>
      <w:r w:rsidR="00B7029A" w:rsidRPr="00B7029A">
        <w:rPr>
          <w:rFonts w:asciiTheme="minorHAnsi" w:hAnsiTheme="minorHAnsi"/>
          <w:sz w:val="20"/>
          <w:szCs w:val="20"/>
        </w:rPr>
        <w:t>69.45</w:t>
      </w:r>
      <w:r w:rsidRPr="00B7029A">
        <w:rPr>
          <w:rFonts w:asciiTheme="minorHAnsi" w:hAnsiTheme="minorHAnsi"/>
          <w:sz w:val="20"/>
          <w:szCs w:val="20"/>
        </w:rPr>
        <w:t>%.</w:t>
      </w:r>
    </w:p>
    <w:p w14:paraId="46C9D7DD" w14:textId="7DD8CBD4" w:rsidR="006944E2" w:rsidRPr="006944E2" w:rsidRDefault="006944E2" w:rsidP="006944E2">
      <w:pPr>
        <w:spacing w:after="120"/>
        <w:ind w:right="567"/>
        <w:jc w:val="both"/>
        <w:rPr>
          <w:rFonts w:asciiTheme="minorHAnsi" w:hAnsiTheme="minorHAnsi"/>
          <w:sz w:val="20"/>
          <w:szCs w:val="20"/>
        </w:rPr>
      </w:pPr>
      <w:r w:rsidRPr="006944E2">
        <w:rPr>
          <w:rFonts w:asciiTheme="minorHAnsi" w:hAnsiTheme="minorHAnsi"/>
          <w:sz w:val="20"/>
          <w:szCs w:val="20"/>
        </w:rPr>
        <w:t>За целите на изчислението на показателя са взети предвид стойностите на заложените недвижими имоти и вземания, обезпечаващи емисията към 3</w:t>
      </w:r>
      <w:r w:rsidR="00455F56">
        <w:rPr>
          <w:rFonts w:asciiTheme="minorHAnsi" w:hAnsiTheme="minorHAnsi"/>
          <w:sz w:val="20"/>
          <w:szCs w:val="20"/>
        </w:rPr>
        <w:t>1</w:t>
      </w:r>
      <w:r w:rsidRPr="006944E2">
        <w:rPr>
          <w:rFonts w:asciiTheme="minorHAnsi" w:hAnsiTheme="minorHAnsi"/>
          <w:sz w:val="20"/>
          <w:szCs w:val="20"/>
        </w:rPr>
        <w:t>.</w:t>
      </w:r>
      <w:r w:rsidR="00455F56">
        <w:rPr>
          <w:rFonts w:asciiTheme="minorHAnsi" w:hAnsiTheme="minorHAnsi"/>
          <w:sz w:val="20"/>
          <w:szCs w:val="20"/>
        </w:rPr>
        <w:t>12</w:t>
      </w:r>
      <w:r w:rsidRPr="006944E2">
        <w:rPr>
          <w:rFonts w:asciiTheme="minorHAnsi" w:hAnsiTheme="minorHAnsi"/>
          <w:sz w:val="20"/>
          <w:szCs w:val="20"/>
        </w:rPr>
        <w:t>.202</w:t>
      </w:r>
      <w:r w:rsidR="008967C1">
        <w:rPr>
          <w:rFonts w:asciiTheme="minorHAnsi" w:hAnsiTheme="minorHAnsi"/>
          <w:sz w:val="20"/>
          <w:szCs w:val="20"/>
          <w:lang w:val="en-US"/>
        </w:rPr>
        <w:t>2</w:t>
      </w:r>
      <w:r w:rsidRPr="006944E2">
        <w:rPr>
          <w:rFonts w:asciiTheme="minorHAnsi" w:hAnsiTheme="minorHAnsi"/>
          <w:sz w:val="20"/>
          <w:szCs w:val="20"/>
        </w:rPr>
        <w:t xml:space="preserve"> г. както следва:</w:t>
      </w:r>
    </w:p>
    <w:p w14:paraId="486B05F0" w14:textId="2994B8F6" w:rsidR="006944E2" w:rsidRPr="006944E2" w:rsidRDefault="006944E2" w:rsidP="006944E2">
      <w:pPr>
        <w:numPr>
          <w:ilvl w:val="0"/>
          <w:numId w:val="30"/>
        </w:numPr>
        <w:spacing w:after="120"/>
        <w:ind w:right="567"/>
        <w:jc w:val="both"/>
        <w:rPr>
          <w:rFonts w:asciiTheme="minorHAnsi" w:hAnsiTheme="minorHAnsi"/>
          <w:sz w:val="20"/>
          <w:szCs w:val="20"/>
        </w:rPr>
      </w:pPr>
      <w:r w:rsidRPr="006944E2">
        <w:rPr>
          <w:rFonts w:asciiTheme="minorHAnsi" w:hAnsiTheme="minorHAnsi"/>
          <w:sz w:val="20"/>
          <w:szCs w:val="20"/>
        </w:rPr>
        <w:t>Недвижим имот с адрес гр. София, ул. Симеоновско шосе № 198 на обща стойност 1</w:t>
      </w:r>
      <w:r w:rsidRPr="006944E2">
        <w:rPr>
          <w:rFonts w:asciiTheme="minorHAnsi" w:hAnsiTheme="minorHAnsi"/>
          <w:sz w:val="20"/>
          <w:szCs w:val="20"/>
          <w:lang w:val="en-US"/>
        </w:rPr>
        <w:t>,</w:t>
      </w:r>
      <w:r w:rsidR="000A12DB">
        <w:rPr>
          <w:rFonts w:asciiTheme="minorHAnsi" w:hAnsiTheme="minorHAnsi"/>
          <w:sz w:val="20"/>
          <w:szCs w:val="20"/>
        </w:rPr>
        <w:t>792</w:t>
      </w:r>
      <w:r w:rsidRPr="006944E2">
        <w:rPr>
          <w:rFonts w:asciiTheme="minorHAnsi" w:hAnsiTheme="minorHAnsi"/>
          <w:sz w:val="20"/>
          <w:szCs w:val="20"/>
          <w:lang w:val="en-US"/>
        </w:rPr>
        <w:t>,</w:t>
      </w:r>
      <w:r w:rsidRPr="006944E2">
        <w:rPr>
          <w:rFonts w:asciiTheme="minorHAnsi" w:hAnsiTheme="minorHAnsi"/>
          <w:sz w:val="20"/>
          <w:szCs w:val="20"/>
        </w:rPr>
        <w:t xml:space="preserve">000 лв. </w:t>
      </w:r>
    </w:p>
    <w:p w14:paraId="4CCF9B0F" w14:textId="26B42AC1" w:rsidR="006944E2" w:rsidRPr="006944E2" w:rsidRDefault="006944E2" w:rsidP="006944E2">
      <w:pPr>
        <w:numPr>
          <w:ilvl w:val="0"/>
          <w:numId w:val="30"/>
        </w:numPr>
        <w:spacing w:after="120"/>
        <w:ind w:right="567"/>
        <w:jc w:val="both"/>
        <w:rPr>
          <w:rFonts w:asciiTheme="minorHAnsi" w:hAnsiTheme="minorHAnsi"/>
          <w:sz w:val="20"/>
          <w:szCs w:val="20"/>
        </w:rPr>
      </w:pPr>
      <w:r w:rsidRPr="006944E2">
        <w:rPr>
          <w:rFonts w:asciiTheme="minorHAnsi" w:hAnsiTheme="minorHAnsi"/>
          <w:sz w:val="20"/>
          <w:szCs w:val="20"/>
        </w:rPr>
        <w:t xml:space="preserve">Недвижим имот с адрес гр. София, ул. Света гора №42 на обща стойност </w:t>
      </w:r>
      <w:r w:rsidR="000A12DB">
        <w:rPr>
          <w:rFonts w:asciiTheme="minorHAnsi" w:hAnsiTheme="minorHAnsi"/>
          <w:sz w:val="20"/>
          <w:szCs w:val="20"/>
        </w:rPr>
        <w:t>512</w:t>
      </w:r>
      <w:r w:rsidRPr="006944E2">
        <w:rPr>
          <w:rFonts w:asciiTheme="minorHAnsi" w:hAnsiTheme="minorHAnsi"/>
          <w:sz w:val="20"/>
          <w:szCs w:val="20"/>
          <w:lang w:val="en-US"/>
        </w:rPr>
        <w:t>,</w:t>
      </w:r>
      <w:r w:rsidRPr="006944E2">
        <w:rPr>
          <w:rFonts w:asciiTheme="minorHAnsi" w:hAnsiTheme="minorHAnsi"/>
          <w:sz w:val="20"/>
          <w:szCs w:val="20"/>
        </w:rPr>
        <w:t>000 лв.</w:t>
      </w:r>
    </w:p>
    <w:p w14:paraId="537C643E" w14:textId="4ED71460" w:rsidR="006944E2" w:rsidRPr="006944E2" w:rsidRDefault="006944E2" w:rsidP="006944E2">
      <w:pPr>
        <w:numPr>
          <w:ilvl w:val="0"/>
          <w:numId w:val="30"/>
        </w:numPr>
        <w:spacing w:after="120"/>
        <w:ind w:right="567"/>
        <w:jc w:val="both"/>
        <w:rPr>
          <w:rFonts w:asciiTheme="minorHAnsi" w:hAnsiTheme="minorHAnsi"/>
          <w:sz w:val="20"/>
          <w:szCs w:val="20"/>
        </w:rPr>
      </w:pPr>
      <w:r w:rsidRPr="006944E2">
        <w:rPr>
          <w:rFonts w:asciiTheme="minorHAnsi" w:hAnsiTheme="minorHAnsi"/>
          <w:sz w:val="20"/>
          <w:szCs w:val="20"/>
        </w:rPr>
        <w:t xml:space="preserve">Съвкупност от вземания по отпуснати кредити на </w:t>
      </w:r>
      <w:r w:rsidRPr="007A52D8">
        <w:rPr>
          <w:rFonts w:asciiTheme="minorHAnsi" w:hAnsiTheme="minorHAnsi"/>
          <w:sz w:val="20"/>
          <w:szCs w:val="20"/>
        </w:rPr>
        <w:t xml:space="preserve">стойност </w:t>
      </w:r>
      <w:r w:rsidR="00B7029A">
        <w:rPr>
          <w:rFonts w:asciiTheme="minorHAnsi" w:hAnsiTheme="minorHAnsi"/>
          <w:sz w:val="20"/>
          <w:szCs w:val="20"/>
        </w:rPr>
        <w:t>3 455, 365</w:t>
      </w:r>
      <w:r w:rsidRPr="007A52D8">
        <w:rPr>
          <w:rFonts w:asciiTheme="minorHAnsi" w:hAnsiTheme="minorHAnsi"/>
          <w:sz w:val="20"/>
          <w:szCs w:val="20"/>
        </w:rPr>
        <w:t xml:space="preserve"> лв.</w:t>
      </w:r>
    </w:p>
    <w:p w14:paraId="661E7789" w14:textId="5B3E5B9D" w:rsidR="006944E2" w:rsidRPr="006944E2" w:rsidRDefault="006944E2" w:rsidP="006944E2">
      <w:pPr>
        <w:spacing w:after="120"/>
        <w:ind w:right="567"/>
        <w:jc w:val="both"/>
        <w:rPr>
          <w:rFonts w:asciiTheme="minorHAnsi" w:hAnsiTheme="minorHAnsi"/>
          <w:sz w:val="20"/>
          <w:szCs w:val="20"/>
        </w:rPr>
      </w:pPr>
      <w:r w:rsidRPr="006944E2">
        <w:rPr>
          <w:rFonts w:asciiTheme="minorHAnsi" w:hAnsiTheme="minorHAnsi"/>
          <w:sz w:val="20"/>
          <w:szCs w:val="20"/>
        </w:rPr>
        <w:t xml:space="preserve">Общ размер на обезпечението – </w:t>
      </w:r>
      <w:r w:rsidR="00B7029A">
        <w:rPr>
          <w:rFonts w:asciiTheme="minorHAnsi" w:hAnsiTheme="minorHAnsi"/>
          <w:sz w:val="20"/>
          <w:szCs w:val="20"/>
        </w:rPr>
        <w:t>5 759, 365</w:t>
      </w:r>
      <w:r w:rsidRPr="006944E2">
        <w:rPr>
          <w:rFonts w:asciiTheme="minorHAnsi" w:hAnsiTheme="minorHAnsi"/>
          <w:sz w:val="20"/>
          <w:szCs w:val="20"/>
        </w:rPr>
        <w:t xml:space="preserve"> лв.</w:t>
      </w:r>
    </w:p>
    <w:p w14:paraId="39DCBAE1" w14:textId="6FB876D2" w:rsidR="00204BE9" w:rsidRPr="007B0934" w:rsidRDefault="00204BE9" w:rsidP="007B0934">
      <w:pPr>
        <w:spacing w:after="120"/>
        <w:ind w:right="567"/>
        <w:jc w:val="both"/>
        <w:rPr>
          <w:rFonts w:asciiTheme="minorHAnsi" w:hAnsiTheme="minorHAnsi"/>
          <w:sz w:val="20"/>
          <w:szCs w:val="20"/>
        </w:rPr>
      </w:pPr>
      <w:r w:rsidRPr="007B0934">
        <w:rPr>
          <w:rFonts w:asciiTheme="minorHAnsi" w:hAnsiTheme="minorHAnsi"/>
          <w:sz w:val="20"/>
          <w:szCs w:val="20"/>
        </w:rPr>
        <w:t xml:space="preserve">Размер на усвоената и неамортизирана стойност на облигационния заем – </w:t>
      </w:r>
      <w:r w:rsidR="008967C1">
        <w:rPr>
          <w:rFonts w:asciiTheme="minorHAnsi" w:hAnsiTheme="minorHAnsi"/>
          <w:sz w:val="20"/>
          <w:szCs w:val="20"/>
          <w:lang w:val="en-US"/>
        </w:rPr>
        <w:t xml:space="preserve">4 </w:t>
      </w:r>
      <w:r w:rsidR="00B7029A">
        <w:rPr>
          <w:rFonts w:asciiTheme="minorHAnsi" w:hAnsiTheme="minorHAnsi"/>
          <w:sz w:val="20"/>
          <w:szCs w:val="20"/>
        </w:rPr>
        <w:t>0</w:t>
      </w:r>
      <w:r w:rsidRPr="007B0934">
        <w:rPr>
          <w:rFonts w:asciiTheme="minorHAnsi" w:hAnsiTheme="minorHAnsi"/>
          <w:sz w:val="20"/>
          <w:szCs w:val="20"/>
        </w:rPr>
        <w:t>00 000 лв.</w:t>
      </w:r>
    </w:p>
    <w:p w14:paraId="63FA2A18" w14:textId="6DC679A7" w:rsidR="00C10FA4" w:rsidRPr="007B0934" w:rsidRDefault="00E01B94" w:rsidP="007B0934">
      <w:pPr>
        <w:ind w:right="566"/>
        <w:jc w:val="both"/>
        <w:rPr>
          <w:rFonts w:asciiTheme="minorHAnsi" w:hAnsiTheme="minorHAnsi"/>
          <w:sz w:val="20"/>
          <w:szCs w:val="20"/>
        </w:rPr>
      </w:pPr>
      <w:r w:rsidRPr="007B0934">
        <w:rPr>
          <w:rFonts w:asciiTheme="minorHAnsi" w:hAnsiTheme="minorHAnsi"/>
          <w:sz w:val="20"/>
          <w:szCs w:val="20"/>
        </w:rPr>
        <w:t>Към 3</w:t>
      </w:r>
      <w:r w:rsidR="00374458">
        <w:rPr>
          <w:rFonts w:asciiTheme="minorHAnsi" w:hAnsiTheme="minorHAnsi"/>
          <w:sz w:val="20"/>
          <w:szCs w:val="20"/>
        </w:rPr>
        <w:t>1</w:t>
      </w:r>
      <w:r w:rsidRPr="007B0934">
        <w:rPr>
          <w:rFonts w:asciiTheme="minorHAnsi" w:hAnsiTheme="minorHAnsi"/>
          <w:sz w:val="20"/>
          <w:szCs w:val="20"/>
        </w:rPr>
        <w:t>.</w:t>
      </w:r>
      <w:r w:rsidR="00374458">
        <w:rPr>
          <w:rFonts w:asciiTheme="minorHAnsi" w:hAnsiTheme="minorHAnsi"/>
          <w:sz w:val="20"/>
          <w:szCs w:val="20"/>
        </w:rPr>
        <w:t>12</w:t>
      </w:r>
      <w:r w:rsidRPr="007B0934">
        <w:rPr>
          <w:rFonts w:asciiTheme="minorHAnsi" w:hAnsiTheme="minorHAnsi"/>
          <w:sz w:val="20"/>
          <w:szCs w:val="20"/>
        </w:rPr>
        <w:t>.202</w:t>
      </w:r>
      <w:r w:rsidR="008967C1">
        <w:rPr>
          <w:rFonts w:asciiTheme="minorHAnsi" w:hAnsiTheme="minorHAnsi"/>
          <w:sz w:val="20"/>
          <w:szCs w:val="20"/>
          <w:lang w:val="en-US"/>
        </w:rPr>
        <w:t>2</w:t>
      </w:r>
      <w:r w:rsidRPr="007B0934">
        <w:rPr>
          <w:rFonts w:asciiTheme="minorHAnsi" w:hAnsiTheme="minorHAnsi"/>
          <w:sz w:val="20"/>
          <w:szCs w:val="20"/>
        </w:rPr>
        <w:t xml:space="preserve"> г. </w:t>
      </w:r>
      <w:r w:rsidR="006A08D3" w:rsidRPr="007B0934">
        <w:rPr>
          <w:rFonts w:asciiTheme="minorHAnsi" w:hAnsiTheme="minorHAnsi"/>
          <w:sz w:val="20"/>
          <w:szCs w:val="20"/>
        </w:rPr>
        <w:t xml:space="preserve">Емитентът спазва </w:t>
      </w:r>
      <w:r w:rsidRPr="007B0934">
        <w:rPr>
          <w:rFonts w:asciiTheme="minorHAnsi" w:hAnsiTheme="minorHAnsi"/>
          <w:sz w:val="20"/>
          <w:szCs w:val="20"/>
        </w:rPr>
        <w:t xml:space="preserve">всички финансови коефициенти </w:t>
      </w:r>
      <w:r w:rsidR="006A08D3" w:rsidRPr="007B0934">
        <w:rPr>
          <w:rFonts w:asciiTheme="minorHAnsi" w:hAnsiTheme="minorHAnsi"/>
          <w:sz w:val="20"/>
          <w:szCs w:val="20"/>
        </w:rPr>
        <w:t>заложени в</w:t>
      </w:r>
      <w:r w:rsidRPr="007B0934">
        <w:rPr>
          <w:rFonts w:asciiTheme="minorHAnsi" w:hAnsiTheme="minorHAnsi"/>
          <w:sz w:val="20"/>
          <w:szCs w:val="20"/>
        </w:rPr>
        <w:t xml:space="preserve"> условията на облигационния заем.</w:t>
      </w:r>
    </w:p>
    <w:p w14:paraId="0F2DCB30" w14:textId="77777777" w:rsidR="00C10FA4" w:rsidRPr="007B0934" w:rsidRDefault="00C10FA4" w:rsidP="007B0934">
      <w:pPr>
        <w:ind w:right="566"/>
        <w:jc w:val="both"/>
        <w:rPr>
          <w:rFonts w:asciiTheme="minorHAnsi" w:hAnsiTheme="minorHAnsi"/>
          <w:sz w:val="20"/>
          <w:szCs w:val="20"/>
        </w:rPr>
      </w:pPr>
    </w:p>
    <w:p w14:paraId="6AD8BC90" w14:textId="77777777" w:rsidR="00EA082A" w:rsidRPr="007B0934" w:rsidRDefault="00EA082A" w:rsidP="007B0934">
      <w:pPr>
        <w:ind w:right="566"/>
        <w:jc w:val="both"/>
        <w:rPr>
          <w:rFonts w:asciiTheme="minorHAnsi" w:hAnsiTheme="minorHAnsi"/>
          <w:sz w:val="20"/>
          <w:szCs w:val="20"/>
        </w:rPr>
      </w:pPr>
    </w:p>
    <w:p w14:paraId="17C6CF22" w14:textId="77777777" w:rsidR="00FC07F5" w:rsidRPr="007B0934" w:rsidRDefault="00FC07F5" w:rsidP="007B0934">
      <w:pPr>
        <w:ind w:right="566"/>
        <w:jc w:val="both"/>
        <w:rPr>
          <w:rFonts w:asciiTheme="minorHAnsi" w:hAnsiTheme="minorHAnsi"/>
          <w:sz w:val="20"/>
          <w:szCs w:val="20"/>
        </w:rPr>
      </w:pPr>
    </w:p>
    <w:p w14:paraId="410517B4" w14:textId="77777777" w:rsidR="00EA082A" w:rsidRPr="007B0934" w:rsidRDefault="00EA082A" w:rsidP="007B0934">
      <w:pPr>
        <w:ind w:right="566"/>
        <w:rPr>
          <w:rFonts w:asciiTheme="minorHAnsi" w:hAnsiTheme="minorHAnsi"/>
          <w:sz w:val="20"/>
          <w:szCs w:val="20"/>
        </w:rPr>
      </w:pPr>
      <w:r w:rsidRPr="007B0934">
        <w:rPr>
          <w:rFonts w:asciiTheme="minorHAnsi" w:hAnsiTheme="minorHAnsi"/>
          <w:sz w:val="20"/>
          <w:szCs w:val="20"/>
        </w:rPr>
        <w:br w:type="page"/>
      </w:r>
    </w:p>
    <w:p w14:paraId="7B6B31BF" w14:textId="77777777" w:rsidR="00DF25AD" w:rsidRPr="007A43EA" w:rsidRDefault="00DF25AD" w:rsidP="001B2F3A">
      <w:pPr>
        <w:pStyle w:val="bs2"/>
        <w:numPr>
          <w:ilvl w:val="0"/>
          <w:numId w:val="7"/>
        </w:numPr>
        <w:rPr>
          <w:rFonts w:asciiTheme="minorHAnsi" w:hAnsiTheme="minorHAnsi"/>
          <w:sz w:val="22"/>
        </w:rPr>
      </w:pPr>
      <w:r w:rsidRPr="007A43EA">
        <w:rPr>
          <w:rFonts w:asciiTheme="minorHAnsi" w:hAnsiTheme="minorHAnsi"/>
          <w:sz w:val="22"/>
        </w:rPr>
        <w:lastRenderedPageBreak/>
        <w:t>Погасителен план</w:t>
      </w:r>
      <w:r w:rsidR="006863D2" w:rsidRPr="007A43EA">
        <w:rPr>
          <w:rFonts w:asciiTheme="minorHAnsi" w:hAnsiTheme="minorHAnsi"/>
          <w:sz w:val="22"/>
        </w:rPr>
        <w:t xml:space="preserve"> и извършени лихвени и главни</w:t>
      </w:r>
      <w:r w:rsidR="000A6EDF" w:rsidRPr="007A43EA">
        <w:rPr>
          <w:rFonts w:asciiTheme="minorHAnsi" w:hAnsiTheme="minorHAnsi"/>
          <w:sz w:val="22"/>
        </w:rPr>
        <w:t>ч</w:t>
      </w:r>
      <w:r w:rsidR="006863D2" w:rsidRPr="007A43EA">
        <w:rPr>
          <w:rFonts w:asciiTheme="minorHAnsi" w:hAnsiTheme="minorHAnsi"/>
          <w:sz w:val="22"/>
        </w:rPr>
        <w:t>ни плащания</w:t>
      </w:r>
    </w:p>
    <w:p w14:paraId="5A607907" w14:textId="77777777" w:rsidR="00E86722" w:rsidRPr="00E86722" w:rsidRDefault="00E86722" w:rsidP="00E86722">
      <w:pPr>
        <w:jc w:val="both"/>
        <w:rPr>
          <w:rFonts w:asciiTheme="minorHAnsi" w:hAnsiTheme="minorHAnsi"/>
        </w:rPr>
      </w:pPr>
    </w:p>
    <w:tbl>
      <w:tblPr>
        <w:tblW w:w="8696" w:type="dxa"/>
        <w:tblCellMar>
          <w:left w:w="70" w:type="dxa"/>
          <w:right w:w="70" w:type="dxa"/>
        </w:tblCellMar>
        <w:tblLook w:val="04A0" w:firstRow="1" w:lastRow="0" w:firstColumn="1" w:lastColumn="0" w:noHBand="0" w:noVBand="1"/>
      </w:tblPr>
      <w:tblGrid>
        <w:gridCol w:w="828"/>
        <w:gridCol w:w="1134"/>
        <w:gridCol w:w="989"/>
        <w:gridCol w:w="850"/>
        <w:gridCol w:w="850"/>
        <w:gridCol w:w="1077"/>
        <w:gridCol w:w="983"/>
        <w:gridCol w:w="992"/>
        <w:gridCol w:w="993"/>
      </w:tblGrid>
      <w:tr w:rsidR="000A6EDF" w:rsidRPr="007A43EA" w14:paraId="6D73BD9F" w14:textId="77777777" w:rsidTr="007A43EA">
        <w:trPr>
          <w:trHeight w:val="288"/>
        </w:trPr>
        <w:tc>
          <w:tcPr>
            <w:tcW w:w="828" w:type="dxa"/>
            <w:vMerge w:val="restart"/>
            <w:tcBorders>
              <w:top w:val="nil"/>
              <w:left w:val="nil"/>
              <w:bottom w:val="nil"/>
              <w:right w:val="nil"/>
            </w:tcBorders>
            <w:shd w:val="clear" w:color="000000" w:fill="B41E37"/>
            <w:vAlign w:val="center"/>
            <w:hideMark/>
          </w:tcPr>
          <w:p w14:paraId="420FD922"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Дата на издаване</w:t>
            </w:r>
          </w:p>
        </w:tc>
        <w:tc>
          <w:tcPr>
            <w:tcW w:w="1134" w:type="dxa"/>
            <w:vMerge w:val="restart"/>
            <w:tcBorders>
              <w:top w:val="nil"/>
              <w:left w:val="nil"/>
              <w:bottom w:val="nil"/>
              <w:right w:val="nil"/>
            </w:tcBorders>
            <w:shd w:val="clear" w:color="000000" w:fill="B41E37"/>
            <w:vAlign w:val="center"/>
            <w:hideMark/>
          </w:tcPr>
          <w:p w14:paraId="7509D426"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Дата на лихвено плащане</w:t>
            </w:r>
          </w:p>
        </w:tc>
        <w:tc>
          <w:tcPr>
            <w:tcW w:w="989" w:type="dxa"/>
            <w:vMerge w:val="restart"/>
            <w:tcBorders>
              <w:top w:val="nil"/>
              <w:left w:val="nil"/>
              <w:bottom w:val="nil"/>
              <w:right w:val="nil"/>
            </w:tcBorders>
            <w:shd w:val="clear" w:color="000000" w:fill="B41E37"/>
            <w:vAlign w:val="center"/>
            <w:hideMark/>
          </w:tcPr>
          <w:p w14:paraId="151CBE1A"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Брой дни в лихвен период</w:t>
            </w:r>
          </w:p>
        </w:tc>
        <w:tc>
          <w:tcPr>
            <w:tcW w:w="850" w:type="dxa"/>
            <w:vMerge w:val="restart"/>
            <w:tcBorders>
              <w:top w:val="nil"/>
              <w:left w:val="nil"/>
              <w:bottom w:val="nil"/>
              <w:right w:val="nil"/>
            </w:tcBorders>
            <w:shd w:val="clear" w:color="000000" w:fill="B41E37"/>
            <w:vAlign w:val="center"/>
            <w:hideMark/>
          </w:tcPr>
          <w:p w14:paraId="0AB5AE82"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Брой дни в годината</w:t>
            </w:r>
          </w:p>
        </w:tc>
        <w:tc>
          <w:tcPr>
            <w:tcW w:w="850" w:type="dxa"/>
            <w:vMerge w:val="restart"/>
            <w:tcBorders>
              <w:top w:val="nil"/>
              <w:left w:val="nil"/>
              <w:bottom w:val="nil"/>
              <w:right w:val="nil"/>
            </w:tcBorders>
            <w:shd w:val="clear" w:color="000000" w:fill="B41E37"/>
            <w:vAlign w:val="center"/>
            <w:hideMark/>
          </w:tcPr>
          <w:p w14:paraId="76F47A81"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Лихвен процент</w:t>
            </w:r>
          </w:p>
        </w:tc>
        <w:tc>
          <w:tcPr>
            <w:tcW w:w="1077" w:type="dxa"/>
            <w:vMerge w:val="restart"/>
            <w:tcBorders>
              <w:top w:val="nil"/>
              <w:left w:val="nil"/>
              <w:bottom w:val="nil"/>
              <w:right w:val="nil"/>
            </w:tcBorders>
            <w:shd w:val="clear" w:color="000000" w:fill="B41E37"/>
            <w:vAlign w:val="center"/>
            <w:hideMark/>
          </w:tcPr>
          <w:p w14:paraId="1C0C996E"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Сума на дължима лихва (лв.)</w:t>
            </w:r>
          </w:p>
        </w:tc>
        <w:tc>
          <w:tcPr>
            <w:tcW w:w="983" w:type="dxa"/>
            <w:vMerge w:val="restart"/>
            <w:tcBorders>
              <w:top w:val="nil"/>
              <w:left w:val="nil"/>
              <w:bottom w:val="nil"/>
              <w:right w:val="nil"/>
            </w:tcBorders>
            <w:shd w:val="clear" w:color="000000" w:fill="B41E37"/>
            <w:vAlign w:val="center"/>
            <w:hideMark/>
          </w:tcPr>
          <w:p w14:paraId="2A66E076"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Главнични погашения (лв.)</w:t>
            </w:r>
          </w:p>
        </w:tc>
        <w:tc>
          <w:tcPr>
            <w:tcW w:w="992" w:type="dxa"/>
            <w:vMerge w:val="restart"/>
            <w:tcBorders>
              <w:top w:val="nil"/>
              <w:left w:val="nil"/>
              <w:bottom w:val="nil"/>
              <w:right w:val="nil"/>
            </w:tcBorders>
            <w:shd w:val="clear" w:color="000000" w:fill="B41E37"/>
            <w:vAlign w:val="center"/>
            <w:hideMark/>
          </w:tcPr>
          <w:p w14:paraId="47BDDDFE"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Главничен фактор</w:t>
            </w:r>
          </w:p>
        </w:tc>
        <w:tc>
          <w:tcPr>
            <w:tcW w:w="993" w:type="dxa"/>
            <w:vMerge w:val="restart"/>
            <w:tcBorders>
              <w:top w:val="nil"/>
              <w:left w:val="nil"/>
              <w:bottom w:val="nil"/>
              <w:right w:val="nil"/>
            </w:tcBorders>
            <w:shd w:val="clear" w:color="000000" w:fill="B41E37"/>
            <w:vAlign w:val="center"/>
            <w:hideMark/>
          </w:tcPr>
          <w:p w14:paraId="59FA2BEB" w14:textId="77777777" w:rsidR="000A6EDF" w:rsidRPr="007A43EA" w:rsidRDefault="000A6EDF">
            <w:pPr>
              <w:jc w:val="center"/>
              <w:rPr>
                <w:rFonts w:asciiTheme="minorHAnsi" w:hAnsiTheme="minorHAnsi"/>
                <w:b/>
                <w:bCs/>
                <w:color w:val="FFFFFF"/>
                <w:sz w:val="14"/>
                <w:szCs w:val="16"/>
              </w:rPr>
            </w:pPr>
            <w:r w:rsidRPr="007A43EA">
              <w:rPr>
                <w:rFonts w:asciiTheme="minorHAnsi" w:hAnsiTheme="minorHAnsi"/>
                <w:b/>
                <w:bCs/>
                <w:color w:val="FFFFFF"/>
                <w:sz w:val="14"/>
                <w:szCs w:val="16"/>
              </w:rPr>
              <w:t>Непогасена главница (лв.)</w:t>
            </w:r>
          </w:p>
        </w:tc>
      </w:tr>
      <w:tr w:rsidR="000A6EDF" w:rsidRPr="007A43EA" w14:paraId="151437CB" w14:textId="77777777" w:rsidTr="007A43EA">
        <w:trPr>
          <w:trHeight w:val="288"/>
        </w:trPr>
        <w:tc>
          <w:tcPr>
            <w:tcW w:w="828" w:type="dxa"/>
            <w:vMerge/>
            <w:tcBorders>
              <w:top w:val="nil"/>
              <w:left w:val="nil"/>
              <w:bottom w:val="nil"/>
              <w:right w:val="nil"/>
            </w:tcBorders>
            <w:vAlign w:val="center"/>
            <w:hideMark/>
          </w:tcPr>
          <w:p w14:paraId="0C3E6225" w14:textId="77777777" w:rsidR="000A6EDF" w:rsidRPr="007A43EA" w:rsidRDefault="000A6EDF">
            <w:pPr>
              <w:rPr>
                <w:rFonts w:asciiTheme="minorHAnsi" w:hAnsiTheme="minorHAnsi"/>
                <w:b/>
                <w:bCs/>
                <w:color w:val="FFFFFF"/>
                <w:sz w:val="14"/>
                <w:szCs w:val="16"/>
              </w:rPr>
            </w:pPr>
          </w:p>
        </w:tc>
        <w:tc>
          <w:tcPr>
            <w:tcW w:w="1134" w:type="dxa"/>
            <w:vMerge/>
            <w:tcBorders>
              <w:top w:val="nil"/>
              <w:left w:val="nil"/>
              <w:bottom w:val="nil"/>
              <w:right w:val="nil"/>
            </w:tcBorders>
            <w:vAlign w:val="center"/>
            <w:hideMark/>
          </w:tcPr>
          <w:p w14:paraId="5047CFC6" w14:textId="77777777" w:rsidR="000A6EDF" w:rsidRPr="007A43EA" w:rsidRDefault="000A6EDF">
            <w:pPr>
              <w:rPr>
                <w:rFonts w:asciiTheme="minorHAnsi" w:hAnsiTheme="minorHAnsi"/>
                <w:b/>
                <w:bCs/>
                <w:color w:val="FFFFFF"/>
                <w:sz w:val="14"/>
                <w:szCs w:val="16"/>
              </w:rPr>
            </w:pPr>
          </w:p>
        </w:tc>
        <w:tc>
          <w:tcPr>
            <w:tcW w:w="989" w:type="dxa"/>
            <w:vMerge/>
            <w:tcBorders>
              <w:top w:val="nil"/>
              <w:left w:val="nil"/>
              <w:bottom w:val="nil"/>
              <w:right w:val="nil"/>
            </w:tcBorders>
            <w:vAlign w:val="center"/>
            <w:hideMark/>
          </w:tcPr>
          <w:p w14:paraId="6DFAD0D1" w14:textId="77777777" w:rsidR="000A6EDF" w:rsidRPr="007A43EA" w:rsidRDefault="000A6EDF">
            <w:pPr>
              <w:rPr>
                <w:rFonts w:asciiTheme="minorHAnsi" w:hAnsiTheme="minorHAnsi"/>
                <w:b/>
                <w:bCs/>
                <w:color w:val="FFFFFF"/>
                <w:sz w:val="14"/>
                <w:szCs w:val="16"/>
              </w:rPr>
            </w:pPr>
          </w:p>
        </w:tc>
        <w:tc>
          <w:tcPr>
            <w:tcW w:w="850" w:type="dxa"/>
            <w:vMerge/>
            <w:tcBorders>
              <w:top w:val="nil"/>
              <w:left w:val="nil"/>
              <w:bottom w:val="nil"/>
              <w:right w:val="nil"/>
            </w:tcBorders>
            <w:vAlign w:val="center"/>
            <w:hideMark/>
          </w:tcPr>
          <w:p w14:paraId="4A29E5B9" w14:textId="77777777" w:rsidR="000A6EDF" w:rsidRPr="007A43EA" w:rsidRDefault="000A6EDF">
            <w:pPr>
              <w:rPr>
                <w:rFonts w:asciiTheme="minorHAnsi" w:hAnsiTheme="minorHAnsi"/>
                <w:b/>
                <w:bCs/>
                <w:color w:val="FFFFFF"/>
                <w:sz w:val="14"/>
                <w:szCs w:val="16"/>
              </w:rPr>
            </w:pPr>
          </w:p>
        </w:tc>
        <w:tc>
          <w:tcPr>
            <w:tcW w:w="850" w:type="dxa"/>
            <w:vMerge/>
            <w:tcBorders>
              <w:top w:val="nil"/>
              <w:left w:val="nil"/>
              <w:bottom w:val="nil"/>
              <w:right w:val="nil"/>
            </w:tcBorders>
            <w:vAlign w:val="center"/>
            <w:hideMark/>
          </w:tcPr>
          <w:p w14:paraId="445ED787" w14:textId="77777777" w:rsidR="000A6EDF" w:rsidRPr="007A43EA" w:rsidRDefault="000A6EDF">
            <w:pPr>
              <w:rPr>
                <w:rFonts w:asciiTheme="minorHAnsi" w:hAnsiTheme="minorHAnsi"/>
                <w:b/>
                <w:bCs/>
                <w:color w:val="FFFFFF"/>
                <w:sz w:val="14"/>
                <w:szCs w:val="16"/>
              </w:rPr>
            </w:pPr>
          </w:p>
        </w:tc>
        <w:tc>
          <w:tcPr>
            <w:tcW w:w="1077" w:type="dxa"/>
            <w:vMerge/>
            <w:tcBorders>
              <w:top w:val="nil"/>
              <w:left w:val="nil"/>
              <w:bottom w:val="nil"/>
              <w:right w:val="nil"/>
            </w:tcBorders>
            <w:vAlign w:val="center"/>
            <w:hideMark/>
          </w:tcPr>
          <w:p w14:paraId="057F3069" w14:textId="77777777" w:rsidR="000A6EDF" w:rsidRPr="007A43EA" w:rsidRDefault="000A6EDF">
            <w:pPr>
              <w:rPr>
                <w:rFonts w:asciiTheme="minorHAnsi" w:hAnsiTheme="minorHAnsi"/>
                <w:b/>
                <w:bCs/>
                <w:color w:val="FFFFFF"/>
                <w:sz w:val="14"/>
                <w:szCs w:val="16"/>
              </w:rPr>
            </w:pPr>
          </w:p>
        </w:tc>
        <w:tc>
          <w:tcPr>
            <w:tcW w:w="983" w:type="dxa"/>
            <w:vMerge/>
            <w:tcBorders>
              <w:top w:val="nil"/>
              <w:left w:val="nil"/>
              <w:bottom w:val="nil"/>
              <w:right w:val="nil"/>
            </w:tcBorders>
            <w:vAlign w:val="center"/>
            <w:hideMark/>
          </w:tcPr>
          <w:p w14:paraId="7B70E1DD" w14:textId="77777777" w:rsidR="000A6EDF" w:rsidRPr="007A43EA" w:rsidRDefault="000A6EDF">
            <w:pPr>
              <w:rPr>
                <w:rFonts w:asciiTheme="minorHAnsi" w:hAnsiTheme="minorHAnsi"/>
                <w:b/>
                <w:bCs/>
                <w:color w:val="FFFFFF"/>
                <w:sz w:val="14"/>
                <w:szCs w:val="16"/>
              </w:rPr>
            </w:pPr>
          </w:p>
        </w:tc>
        <w:tc>
          <w:tcPr>
            <w:tcW w:w="992" w:type="dxa"/>
            <w:vMerge/>
            <w:tcBorders>
              <w:top w:val="nil"/>
              <w:left w:val="nil"/>
              <w:bottom w:val="nil"/>
              <w:right w:val="nil"/>
            </w:tcBorders>
            <w:vAlign w:val="center"/>
            <w:hideMark/>
          </w:tcPr>
          <w:p w14:paraId="3495E48E" w14:textId="77777777" w:rsidR="000A6EDF" w:rsidRPr="007A43EA" w:rsidRDefault="000A6EDF">
            <w:pPr>
              <w:rPr>
                <w:rFonts w:asciiTheme="minorHAnsi" w:hAnsiTheme="minorHAnsi"/>
                <w:b/>
                <w:bCs/>
                <w:color w:val="FFFFFF"/>
                <w:sz w:val="14"/>
                <w:szCs w:val="16"/>
              </w:rPr>
            </w:pPr>
          </w:p>
        </w:tc>
        <w:tc>
          <w:tcPr>
            <w:tcW w:w="993" w:type="dxa"/>
            <w:vMerge/>
            <w:tcBorders>
              <w:top w:val="nil"/>
              <w:left w:val="nil"/>
              <w:bottom w:val="nil"/>
              <w:right w:val="nil"/>
            </w:tcBorders>
            <w:vAlign w:val="center"/>
            <w:hideMark/>
          </w:tcPr>
          <w:p w14:paraId="756DEC6E" w14:textId="77777777" w:rsidR="000A6EDF" w:rsidRPr="007A43EA" w:rsidRDefault="000A6EDF">
            <w:pPr>
              <w:rPr>
                <w:rFonts w:asciiTheme="minorHAnsi" w:hAnsiTheme="minorHAnsi"/>
                <w:b/>
                <w:bCs/>
                <w:color w:val="FFFFFF"/>
                <w:sz w:val="14"/>
                <w:szCs w:val="16"/>
              </w:rPr>
            </w:pPr>
          </w:p>
        </w:tc>
      </w:tr>
      <w:tr w:rsidR="000A6EDF" w:rsidRPr="007A43EA" w14:paraId="042B77E1" w14:textId="77777777" w:rsidTr="007A43EA">
        <w:trPr>
          <w:trHeight w:val="288"/>
        </w:trPr>
        <w:tc>
          <w:tcPr>
            <w:tcW w:w="828" w:type="dxa"/>
            <w:tcBorders>
              <w:top w:val="nil"/>
              <w:left w:val="nil"/>
              <w:bottom w:val="nil"/>
              <w:right w:val="nil"/>
            </w:tcBorders>
            <w:shd w:val="clear" w:color="000000" w:fill="FFFFFF"/>
            <w:noWrap/>
            <w:vAlign w:val="bottom"/>
            <w:hideMark/>
          </w:tcPr>
          <w:p w14:paraId="43AD15B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11/15/2019</w:t>
            </w:r>
          </w:p>
        </w:tc>
        <w:tc>
          <w:tcPr>
            <w:tcW w:w="1134" w:type="dxa"/>
            <w:tcBorders>
              <w:top w:val="nil"/>
              <w:left w:val="nil"/>
              <w:bottom w:val="nil"/>
              <w:right w:val="nil"/>
            </w:tcBorders>
            <w:shd w:val="clear" w:color="000000" w:fill="FFFFFF"/>
            <w:noWrap/>
            <w:vAlign w:val="bottom"/>
            <w:hideMark/>
          </w:tcPr>
          <w:p w14:paraId="62275623"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15/05/2020 г.</w:t>
            </w:r>
          </w:p>
        </w:tc>
        <w:tc>
          <w:tcPr>
            <w:tcW w:w="989" w:type="dxa"/>
            <w:tcBorders>
              <w:top w:val="nil"/>
              <w:left w:val="nil"/>
              <w:bottom w:val="nil"/>
              <w:right w:val="nil"/>
            </w:tcBorders>
            <w:shd w:val="clear" w:color="000000" w:fill="FFFFFF"/>
            <w:noWrap/>
            <w:vAlign w:val="bottom"/>
            <w:hideMark/>
          </w:tcPr>
          <w:p w14:paraId="1A20673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182</w:t>
            </w:r>
          </w:p>
        </w:tc>
        <w:tc>
          <w:tcPr>
            <w:tcW w:w="850" w:type="dxa"/>
            <w:tcBorders>
              <w:top w:val="nil"/>
              <w:left w:val="nil"/>
              <w:bottom w:val="nil"/>
              <w:right w:val="nil"/>
            </w:tcBorders>
            <w:shd w:val="clear" w:color="000000" w:fill="FFFFFF"/>
            <w:noWrap/>
            <w:vAlign w:val="bottom"/>
            <w:hideMark/>
          </w:tcPr>
          <w:p w14:paraId="68237A8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34212C1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7A56962"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248,633.88</w:t>
            </w:r>
          </w:p>
        </w:tc>
        <w:tc>
          <w:tcPr>
            <w:tcW w:w="983" w:type="dxa"/>
            <w:tcBorders>
              <w:top w:val="nil"/>
              <w:left w:val="nil"/>
              <w:bottom w:val="nil"/>
              <w:right w:val="nil"/>
            </w:tcBorders>
            <w:shd w:val="clear" w:color="000000" w:fill="FFFFFF"/>
            <w:noWrap/>
            <w:vAlign w:val="bottom"/>
            <w:hideMark/>
          </w:tcPr>
          <w:p w14:paraId="1FC8DE8C"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780E63C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5B165E46"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6478868B" w14:textId="77777777" w:rsidTr="007A43EA">
        <w:trPr>
          <w:trHeight w:val="288"/>
        </w:trPr>
        <w:tc>
          <w:tcPr>
            <w:tcW w:w="828" w:type="dxa"/>
            <w:tcBorders>
              <w:top w:val="nil"/>
              <w:left w:val="nil"/>
              <w:bottom w:val="nil"/>
              <w:right w:val="nil"/>
            </w:tcBorders>
            <w:shd w:val="clear" w:color="000000" w:fill="FFFFFF"/>
            <w:noWrap/>
            <w:vAlign w:val="bottom"/>
            <w:hideMark/>
          </w:tcPr>
          <w:p w14:paraId="12A29B0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032310ED"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15/11/2020 г.</w:t>
            </w:r>
          </w:p>
        </w:tc>
        <w:tc>
          <w:tcPr>
            <w:tcW w:w="989" w:type="dxa"/>
            <w:tcBorders>
              <w:top w:val="nil"/>
              <w:left w:val="nil"/>
              <w:bottom w:val="nil"/>
              <w:right w:val="nil"/>
            </w:tcBorders>
            <w:shd w:val="clear" w:color="000000" w:fill="FFFFFF"/>
            <w:noWrap/>
            <w:vAlign w:val="bottom"/>
            <w:hideMark/>
          </w:tcPr>
          <w:p w14:paraId="734D075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6D1FC47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76C0DF9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604FC13C"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251,366.12</w:t>
            </w:r>
          </w:p>
        </w:tc>
        <w:tc>
          <w:tcPr>
            <w:tcW w:w="983" w:type="dxa"/>
            <w:tcBorders>
              <w:top w:val="nil"/>
              <w:left w:val="nil"/>
              <w:bottom w:val="nil"/>
              <w:right w:val="nil"/>
            </w:tcBorders>
            <w:shd w:val="clear" w:color="000000" w:fill="FFFFFF"/>
            <w:noWrap/>
            <w:vAlign w:val="bottom"/>
            <w:hideMark/>
          </w:tcPr>
          <w:p w14:paraId="6EB4F8FB"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2FC09B6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0B15F58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1F8EADC9" w14:textId="77777777" w:rsidTr="007A43EA">
        <w:trPr>
          <w:trHeight w:val="288"/>
        </w:trPr>
        <w:tc>
          <w:tcPr>
            <w:tcW w:w="828" w:type="dxa"/>
            <w:tcBorders>
              <w:top w:val="nil"/>
              <w:left w:val="nil"/>
              <w:bottom w:val="nil"/>
              <w:right w:val="nil"/>
            </w:tcBorders>
            <w:shd w:val="clear" w:color="000000" w:fill="FFFFFF"/>
            <w:noWrap/>
            <w:vAlign w:val="bottom"/>
            <w:hideMark/>
          </w:tcPr>
          <w:p w14:paraId="7ECE682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4F7F4C7B"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15/05/2021 г.</w:t>
            </w:r>
          </w:p>
        </w:tc>
        <w:tc>
          <w:tcPr>
            <w:tcW w:w="989" w:type="dxa"/>
            <w:tcBorders>
              <w:top w:val="nil"/>
              <w:left w:val="nil"/>
              <w:bottom w:val="nil"/>
              <w:right w:val="nil"/>
            </w:tcBorders>
            <w:shd w:val="clear" w:color="000000" w:fill="FFFFFF"/>
            <w:noWrap/>
            <w:vAlign w:val="bottom"/>
            <w:hideMark/>
          </w:tcPr>
          <w:p w14:paraId="61A5E51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3453B95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0AF9373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15C7E3D8"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247,945.21</w:t>
            </w:r>
          </w:p>
        </w:tc>
        <w:tc>
          <w:tcPr>
            <w:tcW w:w="983" w:type="dxa"/>
            <w:tcBorders>
              <w:top w:val="nil"/>
              <w:left w:val="nil"/>
              <w:bottom w:val="nil"/>
              <w:right w:val="nil"/>
            </w:tcBorders>
            <w:shd w:val="clear" w:color="000000" w:fill="FFFFFF"/>
            <w:noWrap/>
            <w:vAlign w:val="bottom"/>
            <w:hideMark/>
          </w:tcPr>
          <w:p w14:paraId="307C850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3409045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58F73A9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3FE8A6DF" w14:textId="77777777" w:rsidTr="007A43EA">
        <w:trPr>
          <w:trHeight w:val="288"/>
        </w:trPr>
        <w:tc>
          <w:tcPr>
            <w:tcW w:w="828" w:type="dxa"/>
            <w:tcBorders>
              <w:top w:val="nil"/>
              <w:left w:val="nil"/>
              <w:bottom w:val="nil"/>
              <w:right w:val="nil"/>
            </w:tcBorders>
            <w:shd w:val="clear" w:color="000000" w:fill="FFFFFF"/>
            <w:noWrap/>
            <w:vAlign w:val="bottom"/>
            <w:hideMark/>
          </w:tcPr>
          <w:p w14:paraId="3FADBB1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06EEDDEA"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15/11/2021 г.</w:t>
            </w:r>
          </w:p>
        </w:tc>
        <w:tc>
          <w:tcPr>
            <w:tcW w:w="989" w:type="dxa"/>
            <w:tcBorders>
              <w:top w:val="nil"/>
              <w:left w:val="nil"/>
              <w:bottom w:val="nil"/>
              <w:right w:val="nil"/>
            </w:tcBorders>
            <w:shd w:val="clear" w:color="000000" w:fill="FFFFFF"/>
            <w:noWrap/>
            <w:vAlign w:val="bottom"/>
            <w:hideMark/>
          </w:tcPr>
          <w:p w14:paraId="14C3FFD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3E3AF74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772C672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D7D5A1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252,054.79</w:t>
            </w:r>
          </w:p>
        </w:tc>
        <w:tc>
          <w:tcPr>
            <w:tcW w:w="983" w:type="dxa"/>
            <w:tcBorders>
              <w:top w:val="nil"/>
              <w:left w:val="nil"/>
              <w:bottom w:val="nil"/>
              <w:right w:val="nil"/>
            </w:tcBorders>
            <w:shd w:val="clear" w:color="000000" w:fill="FFFFFF"/>
            <w:noWrap/>
            <w:vAlign w:val="bottom"/>
            <w:hideMark/>
          </w:tcPr>
          <w:p w14:paraId="4CF717E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2" w:type="dxa"/>
            <w:tcBorders>
              <w:top w:val="nil"/>
              <w:left w:val="nil"/>
              <w:bottom w:val="nil"/>
              <w:right w:val="nil"/>
            </w:tcBorders>
            <w:shd w:val="clear" w:color="000000" w:fill="FFFFFF"/>
            <w:noWrap/>
            <w:vAlign w:val="bottom"/>
            <w:hideMark/>
          </w:tcPr>
          <w:p w14:paraId="3E5DAFA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w:t>
            </w:r>
          </w:p>
        </w:tc>
        <w:tc>
          <w:tcPr>
            <w:tcW w:w="993" w:type="dxa"/>
            <w:tcBorders>
              <w:top w:val="nil"/>
              <w:left w:val="nil"/>
              <w:bottom w:val="nil"/>
              <w:right w:val="nil"/>
            </w:tcBorders>
            <w:shd w:val="clear" w:color="000000" w:fill="FFFFFF"/>
            <w:noWrap/>
            <w:vAlign w:val="bottom"/>
            <w:hideMark/>
          </w:tcPr>
          <w:p w14:paraId="2B2830E6"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r>
      <w:tr w:rsidR="000A6EDF" w:rsidRPr="007A43EA" w14:paraId="1D106ABD" w14:textId="77777777" w:rsidTr="007A43EA">
        <w:trPr>
          <w:trHeight w:val="288"/>
        </w:trPr>
        <w:tc>
          <w:tcPr>
            <w:tcW w:w="828" w:type="dxa"/>
            <w:tcBorders>
              <w:top w:val="nil"/>
              <w:left w:val="nil"/>
              <w:bottom w:val="nil"/>
              <w:right w:val="nil"/>
            </w:tcBorders>
            <w:shd w:val="clear" w:color="000000" w:fill="FFFFFF"/>
            <w:noWrap/>
            <w:vAlign w:val="bottom"/>
            <w:hideMark/>
          </w:tcPr>
          <w:p w14:paraId="5B567F2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205888E2"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15/05/2022 г.</w:t>
            </w:r>
          </w:p>
        </w:tc>
        <w:tc>
          <w:tcPr>
            <w:tcW w:w="989" w:type="dxa"/>
            <w:tcBorders>
              <w:top w:val="nil"/>
              <w:left w:val="nil"/>
              <w:bottom w:val="nil"/>
              <w:right w:val="nil"/>
            </w:tcBorders>
            <w:shd w:val="clear" w:color="000000" w:fill="FFFFFF"/>
            <w:noWrap/>
            <w:vAlign w:val="bottom"/>
            <w:hideMark/>
          </w:tcPr>
          <w:p w14:paraId="7F8802C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1FE0048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701AA6B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497A244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247,945.21</w:t>
            </w:r>
          </w:p>
        </w:tc>
        <w:tc>
          <w:tcPr>
            <w:tcW w:w="983" w:type="dxa"/>
            <w:tcBorders>
              <w:top w:val="nil"/>
              <w:left w:val="nil"/>
              <w:bottom w:val="nil"/>
              <w:right w:val="nil"/>
            </w:tcBorders>
            <w:shd w:val="clear" w:color="000000" w:fill="FFFFFF"/>
            <w:noWrap/>
            <w:vAlign w:val="bottom"/>
            <w:hideMark/>
          </w:tcPr>
          <w:p w14:paraId="6DCF80C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4C8D28B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90%</w:t>
            </w:r>
          </w:p>
        </w:tc>
        <w:tc>
          <w:tcPr>
            <w:tcW w:w="993" w:type="dxa"/>
            <w:tcBorders>
              <w:top w:val="nil"/>
              <w:left w:val="nil"/>
              <w:bottom w:val="nil"/>
              <w:right w:val="nil"/>
            </w:tcBorders>
            <w:shd w:val="clear" w:color="000000" w:fill="FFFFFF"/>
            <w:noWrap/>
            <w:vAlign w:val="bottom"/>
            <w:hideMark/>
          </w:tcPr>
          <w:p w14:paraId="5E5FD237"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4,500,000</w:t>
            </w:r>
          </w:p>
        </w:tc>
      </w:tr>
      <w:tr w:rsidR="000A6EDF" w:rsidRPr="007A43EA" w14:paraId="40C41FB3" w14:textId="77777777" w:rsidTr="007A43EA">
        <w:trPr>
          <w:trHeight w:val="288"/>
        </w:trPr>
        <w:tc>
          <w:tcPr>
            <w:tcW w:w="828" w:type="dxa"/>
            <w:tcBorders>
              <w:top w:val="nil"/>
              <w:left w:val="nil"/>
              <w:bottom w:val="nil"/>
              <w:right w:val="nil"/>
            </w:tcBorders>
            <w:shd w:val="clear" w:color="000000" w:fill="FFFFFF"/>
            <w:noWrap/>
            <w:vAlign w:val="bottom"/>
            <w:hideMark/>
          </w:tcPr>
          <w:p w14:paraId="19DB979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18529DC0"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15/11/2022 г.</w:t>
            </w:r>
          </w:p>
        </w:tc>
        <w:tc>
          <w:tcPr>
            <w:tcW w:w="989" w:type="dxa"/>
            <w:tcBorders>
              <w:top w:val="nil"/>
              <w:left w:val="nil"/>
              <w:bottom w:val="nil"/>
              <w:right w:val="nil"/>
            </w:tcBorders>
            <w:shd w:val="clear" w:color="000000" w:fill="FFFFFF"/>
            <w:noWrap/>
            <w:vAlign w:val="bottom"/>
            <w:hideMark/>
          </w:tcPr>
          <w:p w14:paraId="347A7CD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5A13C60D"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43A1D64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32A6882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226,849.32</w:t>
            </w:r>
          </w:p>
        </w:tc>
        <w:tc>
          <w:tcPr>
            <w:tcW w:w="983" w:type="dxa"/>
            <w:tcBorders>
              <w:top w:val="nil"/>
              <w:left w:val="nil"/>
              <w:bottom w:val="nil"/>
              <w:right w:val="nil"/>
            </w:tcBorders>
            <w:shd w:val="clear" w:color="000000" w:fill="FFFFFF"/>
            <w:noWrap/>
            <w:vAlign w:val="bottom"/>
            <w:hideMark/>
          </w:tcPr>
          <w:p w14:paraId="39C1637B"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4B124B7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80%</w:t>
            </w:r>
          </w:p>
        </w:tc>
        <w:tc>
          <w:tcPr>
            <w:tcW w:w="993" w:type="dxa"/>
            <w:tcBorders>
              <w:top w:val="nil"/>
              <w:left w:val="nil"/>
              <w:bottom w:val="nil"/>
              <w:right w:val="nil"/>
            </w:tcBorders>
            <w:shd w:val="clear" w:color="000000" w:fill="FFFFFF"/>
            <w:noWrap/>
            <w:vAlign w:val="bottom"/>
            <w:hideMark/>
          </w:tcPr>
          <w:p w14:paraId="17E4D4CB"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4,000,000</w:t>
            </w:r>
          </w:p>
        </w:tc>
      </w:tr>
      <w:tr w:rsidR="000A6EDF" w:rsidRPr="007A43EA" w14:paraId="05CE8B3A" w14:textId="77777777" w:rsidTr="007A43EA">
        <w:trPr>
          <w:trHeight w:val="288"/>
        </w:trPr>
        <w:tc>
          <w:tcPr>
            <w:tcW w:w="828" w:type="dxa"/>
            <w:tcBorders>
              <w:top w:val="nil"/>
              <w:left w:val="nil"/>
              <w:bottom w:val="nil"/>
              <w:right w:val="nil"/>
            </w:tcBorders>
            <w:shd w:val="clear" w:color="000000" w:fill="FFFFFF"/>
            <w:noWrap/>
            <w:vAlign w:val="bottom"/>
            <w:hideMark/>
          </w:tcPr>
          <w:p w14:paraId="3F00F97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236ED8C5"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15/05/2023 г.</w:t>
            </w:r>
          </w:p>
        </w:tc>
        <w:tc>
          <w:tcPr>
            <w:tcW w:w="989" w:type="dxa"/>
            <w:tcBorders>
              <w:top w:val="nil"/>
              <w:left w:val="nil"/>
              <w:bottom w:val="nil"/>
              <w:right w:val="nil"/>
            </w:tcBorders>
            <w:shd w:val="clear" w:color="000000" w:fill="FFFFFF"/>
            <w:noWrap/>
            <w:vAlign w:val="bottom"/>
            <w:hideMark/>
          </w:tcPr>
          <w:p w14:paraId="6E7EBA2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0EB974E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7BC6242B"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B66818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198,356.16</w:t>
            </w:r>
          </w:p>
        </w:tc>
        <w:tc>
          <w:tcPr>
            <w:tcW w:w="983" w:type="dxa"/>
            <w:tcBorders>
              <w:top w:val="nil"/>
              <w:left w:val="nil"/>
              <w:bottom w:val="nil"/>
              <w:right w:val="nil"/>
            </w:tcBorders>
            <w:shd w:val="clear" w:color="000000" w:fill="FFFFFF"/>
            <w:noWrap/>
            <w:vAlign w:val="bottom"/>
            <w:hideMark/>
          </w:tcPr>
          <w:p w14:paraId="2684E8D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53E5929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70%</w:t>
            </w:r>
          </w:p>
        </w:tc>
        <w:tc>
          <w:tcPr>
            <w:tcW w:w="993" w:type="dxa"/>
            <w:tcBorders>
              <w:top w:val="nil"/>
              <w:left w:val="nil"/>
              <w:bottom w:val="nil"/>
              <w:right w:val="nil"/>
            </w:tcBorders>
            <w:shd w:val="clear" w:color="000000" w:fill="FFFFFF"/>
            <w:noWrap/>
            <w:vAlign w:val="bottom"/>
            <w:hideMark/>
          </w:tcPr>
          <w:p w14:paraId="293588D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3,500,000</w:t>
            </w:r>
          </w:p>
        </w:tc>
      </w:tr>
      <w:tr w:rsidR="000A6EDF" w:rsidRPr="007A43EA" w14:paraId="38262F66" w14:textId="77777777" w:rsidTr="007A43EA">
        <w:trPr>
          <w:trHeight w:val="288"/>
        </w:trPr>
        <w:tc>
          <w:tcPr>
            <w:tcW w:w="828" w:type="dxa"/>
            <w:tcBorders>
              <w:top w:val="nil"/>
              <w:left w:val="nil"/>
              <w:bottom w:val="nil"/>
              <w:right w:val="nil"/>
            </w:tcBorders>
            <w:shd w:val="clear" w:color="000000" w:fill="FFFFFF"/>
            <w:noWrap/>
            <w:vAlign w:val="bottom"/>
            <w:hideMark/>
          </w:tcPr>
          <w:p w14:paraId="5FBFE69E"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5FFF1E3A"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15/11/2023 г.</w:t>
            </w:r>
          </w:p>
        </w:tc>
        <w:tc>
          <w:tcPr>
            <w:tcW w:w="989" w:type="dxa"/>
            <w:tcBorders>
              <w:top w:val="nil"/>
              <w:left w:val="nil"/>
              <w:bottom w:val="nil"/>
              <w:right w:val="nil"/>
            </w:tcBorders>
            <w:shd w:val="clear" w:color="000000" w:fill="FFFFFF"/>
            <w:noWrap/>
            <w:vAlign w:val="bottom"/>
            <w:hideMark/>
          </w:tcPr>
          <w:p w14:paraId="5937875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424EE5A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67CCE61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3AA524C7"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176,438.36</w:t>
            </w:r>
          </w:p>
        </w:tc>
        <w:tc>
          <w:tcPr>
            <w:tcW w:w="983" w:type="dxa"/>
            <w:tcBorders>
              <w:top w:val="nil"/>
              <w:left w:val="nil"/>
              <w:bottom w:val="nil"/>
              <w:right w:val="nil"/>
            </w:tcBorders>
            <w:shd w:val="clear" w:color="000000" w:fill="FFFFFF"/>
            <w:noWrap/>
            <w:vAlign w:val="bottom"/>
            <w:hideMark/>
          </w:tcPr>
          <w:p w14:paraId="6C80C73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2368BDBD"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60%</w:t>
            </w:r>
          </w:p>
        </w:tc>
        <w:tc>
          <w:tcPr>
            <w:tcW w:w="993" w:type="dxa"/>
            <w:tcBorders>
              <w:top w:val="nil"/>
              <w:left w:val="nil"/>
              <w:bottom w:val="nil"/>
              <w:right w:val="nil"/>
            </w:tcBorders>
            <w:shd w:val="clear" w:color="000000" w:fill="FFFFFF"/>
            <w:noWrap/>
            <w:vAlign w:val="bottom"/>
            <w:hideMark/>
          </w:tcPr>
          <w:p w14:paraId="0443CD4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3,000,000</w:t>
            </w:r>
          </w:p>
        </w:tc>
      </w:tr>
      <w:tr w:rsidR="000A6EDF" w:rsidRPr="007A43EA" w14:paraId="380FC116" w14:textId="77777777" w:rsidTr="007A43EA">
        <w:trPr>
          <w:trHeight w:val="288"/>
        </w:trPr>
        <w:tc>
          <w:tcPr>
            <w:tcW w:w="828" w:type="dxa"/>
            <w:tcBorders>
              <w:top w:val="nil"/>
              <w:left w:val="nil"/>
              <w:bottom w:val="nil"/>
              <w:right w:val="nil"/>
            </w:tcBorders>
            <w:shd w:val="clear" w:color="000000" w:fill="FFFFFF"/>
            <w:noWrap/>
            <w:vAlign w:val="bottom"/>
            <w:hideMark/>
          </w:tcPr>
          <w:p w14:paraId="2BF52E6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7801F0CB"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15/05/2024 г.</w:t>
            </w:r>
          </w:p>
        </w:tc>
        <w:tc>
          <w:tcPr>
            <w:tcW w:w="989" w:type="dxa"/>
            <w:tcBorders>
              <w:top w:val="nil"/>
              <w:left w:val="nil"/>
              <w:bottom w:val="nil"/>
              <w:right w:val="nil"/>
            </w:tcBorders>
            <w:shd w:val="clear" w:color="000000" w:fill="FFFFFF"/>
            <w:noWrap/>
            <w:vAlign w:val="bottom"/>
            <w:hideMark/>
          </w:tcPr>
          <w:p w14:paraId="7D7F919B"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182</w:t>
            </w:r>
          </w:p>
        </w:tc>
        <w:tc>
          <w:tcPr>
            <w:tcW w:w="850" w:type="dxa"/>
            <w:tcBorders>
              <w:top w:val="nil"/>
              <w:left w:val="nil"/>
              <w:bottom w:val="nil"/>
              <w:right w:val="nil"/>
            </w:tcBorders>
            <w:shd w:val="clear" w:color="000000" w:fill="FFFFFF"/>
            <w:noWrap/>
            <w:vAlign w:val="bottom"/>
            <w:hideMark/>
          </w:tcPr>
          <w:p w14:paraId="2201DCE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3C8330B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0FF02D2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149,180.33</w:t>
            </w:r>
          </w:p>
        </w:tc>
        <w:tc>
          <w:tcPr>
            <w:tcW w:w="983" w:type="dxa"/>
            <w:tcBorders>
              <w:top w:val="nil"/>
              <w:left w:val="nil"/>
              <w:bottom w:val="nil"/>
              <w:right w:val="nil"/>
            </w:tcBorders>
            <w:shd w:val="clear" w:color="000000" w:fill="FFFFFF"/>
            <w:noWrap/>
            <w:vAlign w:val="bottom"/>
            <w:hideMark/>
          </w:tcPr>
          <w:p w14:paraId="0C00064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77FCDF7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50%</w:t>
            </w:r>
          </w:p>
        </w:tc>
        <w:tc>
          <w:tcPr>
            <w:tcW w:w="993" w:type="dxa"/>
            <w:tcBorders>
              <w:top w:val="nil"/>
              <w:left w:val="nil"/>
              <w:bottom w:val="nil"/>
              <w:right w:val="nil"/>
            </w:tcBorders>
            <w:shd w:val="clear" w:color="000000" w:fill="FFFFFF"/>
            <w:noWrap/>
            <w:vAlign w:val="bottom"/>
            <w:hideMark/>
          </w:tcPr>
          <w:p w14:paraId="3B1537F0"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2,500,000</w:t>
            </w:r>
          </w:p>
        </w:tc>
      </w:tr>
      <w:tr w:rsidR="000A6EDF" w:rsidRPr="007A43EA" w14:paraId="19D15C46" w14:textId="77777777" w:rsidTr="007A43EA">
        <w:trPr>
          <w:trHeight w:val="288"/>
        </w:trPr>
        <w:tc>
          <w:tcPr>
            <w:tcW w:w="828" w:type="dxa"/>
            <w:tcBorders>
              <w:top w:val="nil"/>
              <w:left w:val="nil"/>
              <w:bottom w:val="nil"/>
              <w:right w:val="nil"/>
            </w:tcBorders>
            <w:shd w:val="clear" w:color="000000" w:fill="FFFFFF"/>
            <w:noWrap/>
            <w:vAlign w:val="bottom"/>
            <w:hideMark/>
          </w:tcPr>
          <w:p w14:paraId="4F6F4D19"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7BED8554"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15/11/2024 г.</w:t>
            </w:r>
          </w:p>
        </w:tc>
        <w:tc>
          <w:tcPr>
            <w:tcW w:w="989" w:type="dxa"/>
            <w:tcBorders>
              <w:top w:val="nil"/>
              <w:left w:val="nil"/>
              <w:bottom w:val="nil"/>
              <w:right w:val="nil"/>
            </w:tcBorders>
            <w:shd w:val="clear" w:color="000000" w:fill="FFFFFF"/>
            <w:noWrap/>
            <w:vAlign w:val="bottom"/>
            <w:hideMark/>
          </w:tcPr>
          <w:p w14:paraId="6220F22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24F5DDB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366</w:t>
            </w:r>
          </w:p>
        </w:tc>
        <w:tc>
          <w:tcPr>
            <w:tcW w:w="850" w:type="dxa"/>
            <w:tcBorders>
              <w:top w:val="nil"/>
              <w:left w:val="nil"/>
              <w:bottom w:val="nil"/>
              <w:right w:val="nil"/>
            </w:tcBorders>
            <w:shd w:val="clear" w:color="000000" w:fill="FFFFFF"/>
            <w:noWrap/>
            <w:vAlign w:val="bottom"/>
            <w:hideMark/>
          </w:tcPr>
          <w:p w14:paraId="074692E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397DE22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125,683.06</w:t>
            </w:r>
          </w:p>
        </w:tc>
        <w:tc>
          <w:tcPr>
            <w:tcW w:w="983" w:type="dxa"/>
            <w:tcBorders>
              <w:top w:val="nil"/>
              <w:left w:val="nil"/>
              <w:bottom w:val="nil"/>
              <w:right w:val="nil"/>
            </w:tcBorders>
            <w:shd w:val="clear" w:color="000000" w:fill="FFFFFF"/>
            <w:noWrap/>
            <w:vAlign w:val="bottom"/>
            <w:hideMark/>
          </w:tcPr>
          <w:p w14:paraId="2D5A149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73D59D1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40%</w:t>
            </w:r>
          </w:p>
        </w:tc>
        <w:tc>
          <w:tcPr>
            <w:tcW w:w="993" w:type="dxa"/>
            <w:tcBorders>
              <w:top w:val="nil"/>
              <w:left w:val="nil"/>
              <w:bottom w:val="nil"/>
              <w:right w:val="nil"/>
            </w:tcBorders>
            <w:shd w:val="clear" w:color="000000" w:fill="FFFFFF"/>
            <w:noWrap/>
            <w:vAlign w:val="bottom"/>
            <w:hideMark/>
          </w:tcPr>
          <w:p w14:paraId="64F8047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2,000,000</w:t>
            </w:r>
          </w:p>
        </w:tc>
      </w:tr>
      <w:tr w:rsidR="000A6EDF" w:rsidRPr="007A43EA" w14:paraId="4765110B" w14:textId="77777777" w:rsidTr="007A43EA">
        <w:trPr>
          <w:trHeight w:val="288"/>
        </w:trPr>
        <w:tc>
          <w:tcPr>
            <w:tcW w:w="828" w:type="dxa"/>
            <w:tcBorders>
              <w:top w:val="nil"/>
              <w:left w:val="nil"/>
              <w:bottom w:val="nil"/>
              <w:right w:val="nil"/>
            </w:tcBorders>
            <w:shd w:val="clear" w:color="000000" w:fill="FFFFFF"/>
            <w:noWrap/>
            <w:vAlign w:val="bottom"/>
            <w:hideMark/>
          </w:tcPr>
          <w:p w14:paraId="0FCD9EA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5E4B5EFA"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15/05/2025 г.</w:t>
            </w:r>
          </w:p>
        </w:tc>
        <w:tc>
          <w:tcPr>
            <w:tcW w:w="989" w:type="dxa"/>
            <w:tcBorders>
              <w:top w:val="nil"/>
              <w:left w:val="nil"/>
              <w:bottom w:val="nil"/>
              <w:right w:val="nil"/>
            </w:tcBorders>
            <w:shd w:val="clear" w:color="000000" w:fill="FFFFFF"/>
            <w:noWrap/>
            <w:vAlign w:val="bottom"/>
            <w:hideMark/>
          </w:tcPr>
          <w:p w14:paraId="0C878A8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46D9C0CC"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2AC61998"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0CD09AA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99,178.08</w:t>
            </w:r>
          </w:p>
        </w:tc>
        <w:tc>
          <w:tcPr>
            <w:tcW w:w="983" w:type="dxa"/>
            <w:tcBorders>
              <w:top w:val="nil"/>
              <w:left w:val="nil"/>
              <w:bottom w:val="nil"/>
              <w:right w:val="nil"/>
            </w:tcBorders>
            <w:shd w:val="clear" w:color="000000" w:fill="FFFFFF"/>
            <w:noWrap/>
            <w:vAlign w:val="bottom"/>
            <w:hideMark/>
          </w:tcPr>
          <w:p w14:paraId="39C91E7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73A22DAA"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30%</w:t>
            </w:r>
          </w:p>
        </w:tc>
        <w:tc>
          <w:tcPr>
            <w:tcW w:w="993" w:type="dxa"/>
            <w:tcBorders>
              <w:top w:val="nil"/>
              <w:left w:val="nil"/>
              <w:bottom w:val="nil"/>
              <w:right w:val="nil"/>
            </w:tcBorders>
            <w:shd w:val="clear" w:color="000000" w:fill="FFFFFF"/>
            <w:noWrap/>
            <w:vAlign w:val="bottom"/>
            <w:hideMark/>
          </w:tcPr>
          <w:p w14:paraId="2FBED7A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1,500,000</w:t>
            </w:r>
          </w:p>
        </w:tc>
      </w:tr>
      <w:tr w:rsidR="000A6EDF" w:rsidRPr="007A43EA" w14:paraId="2A1595F7" w14:textId="77777777" w:rsidTr="007A43EA">
        <w:trPr>
          <w:trHeight w:val="288"/>
        </w:trPr>
        <w:tc>
          <w:tcPr>
            <w:tcW w:w="828" w:type="dxa"/>
            <w:tcBorders>
              <w:top w:val="nil"/>
              <w:left w:val="nil"/>
              <w:bottom w:val="nil"/>
              <w:right w:val="nil"/>
            </w:tcBorders>
            <w:shd w:val="clear" w:color="000000" w:fill="FFFFFF"/>
            <w:noWrap/>
            <w:vAlign w:val="bottom"/>
            <w:hideMark/>
          </w:tcPr>
          <w:p w14:paraId="0B4B9CE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6ECE1AF5"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15/11/2025 г.</w:t>
            </w:r>
          </w:p>
        </w:tc>
        <w:tc>
          <w:tcPr>
            <w:tcW w:w="989" w:type="dxa"/>
            <w:tcBorders>
              <w:top w:val="nil"/>
              <w:left w:val="nil"/>
              <w:bottom w:val="nil"/>
              <w:right w:val="nil"/>
            </w:tcBorders>
            <w:shd w:val="clear" w:color="000000" w:fill="FFFFFF"/>
            <w:noWrap/>
            <w:vAlign w:val="bottom"/>
            <w:hideMark/>
          </w:tcPr>
          <w:p w14:paraId="73ED242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6B92109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5D9351E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77B953FE"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75,616.44</w:t>
            </w:r>
          </w:p>
        </w:tc>
        <w:tc>
          <w:tcPr>
            <w:tcW w:w="983" w:type="dxa"/>
            <w:tcBorders>
              <w:top w:val="nil"/>
              <w:left w:val="nil"/>
              <w:bottom w:val="nil"/>
              <w:right w:val="nil"/>
            </w:tcBorders>
            <w:shd w:val="clear" w:color="000000" w:fill="FFFFFF"/>
            <w:noWrap/>
            <w:vAlign w:val="bottom"/>
            <w:hideMark/>
          </w:tcPr>
          <w:p w14:paraId="1BD83202"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50033E9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20%</w:t>
            </w:r>
          </w:p>
        </w:tc>
        <w:tc>
          <w:tcPr>
            <w:tcW w:w="993" w:type="dxa"/>
            <w:tcBorders>
              <w:top w:val="nil"/>
              <w:left w:val="nil"/>
              <w:bottom w:val="nil"/>
              <w:right w:val="nil"/>
            </w:tcBorders>
            <w:shd w:val="clear" w:color="000000" w:fill="FFFFFF"/>
            <w:noWrap/>
            <w:vAlign w:val="bottom"/>
            <w:hideMark/>
          </w:tcPr>
          <w:p w14:paraId="2784BB6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1,000,000</w:t>
            </w:r>
          </w:p>
        </w:tc>
      </w:tr>
      <w:tr w:rsidR="000A6EDF" w:rsidRPr="007A43EA" w14:paraId="1FE3F09B" w14:textId="77777777" w:rsidTr="007A43EA">
        <w:trPr>
          <w:trHeight w:val="288"/>
        </w:trPr>
        <w:tc>
          <w:tcPr>
            <w:tcW w:w="828" w:type="dxa"/>
            <w:tcBorders>
              <w:top w:val="nil"/>
              <w:left w:val="nil"/>
              <w:bottom w:val="nil"/>
              <w:right w:val="nil"/>
            </w:tcBorders>
            <w:shd w:val="clear" w:color="000000" w:fill="FFFFFF"/>
            <w:noWrap/>
            <w:vAlign w:val="bottom"/>
            <w:hideMark/>
          </w:tcPr>
          <w:p w14:paraId="1926E5C5"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04498386"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15/05/2026 г.</w:t>
            </w:r>
          </w:p>
        </w:tc>
        <w:tc>
          <w:tcPr>
            <w:tcW w:w="989" w:type="dxa"/>
            <w:tcBorders>
              <w:top w:val="nil"/>
              <w:left w:val="nil"/>
              <w:bottom w:val="nil"/>
              <w:right w:val="nil"/>
            </w:tcBorders>
            <w:shd w:val="clear" w:color="000000" w:fill="FFFFFF"/>
            <w:noWrap/>
            <w:vAlign w:val="bottom"/>
            <w:hideMark/>
          </w:tcPr>
          <w:p w14:paraId="13474DB3"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181</w:t>
            </w:r>
          </w:p>
        </w:tc>
        <w:tc>
          <w:tcPr>
            <w:tcW w:w="850" w:type="dxa"/>
            <w:tcBorders>
              <w:top w:val="nil"/>
              <w:left w:val="nil"/>
              <w:bottom w:val="nil"/>
              <w:right w:val="nil"/>
            </w:tcBorders>
            <w:shd w:val="clear" w:color="000000" w:fill="FFFFFF"/>
            <w:noWrap/>
            <w:vAlign w:val="bottom"/>
            <w:hideMark/>
          </w:tcPr>
          <w:p w14:paraId="317C915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12E06AC2"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466C5823"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49,589.04</w:t>
            </w:r>
          </w:p>
        </w:tc>
        <w:tc>
          <w:tcPr>
            <w:tcW w:w="983" w:type="dxa"/>
            <w:tcBorders>
              <w:top w:val="nil"/>
              <w:left w:val="nil"/>
              <w:bottom w:val="nil"/>
              <w:right w:val="nil"/>
            </w:tcBorders>
            <w:shd w:val="clear" w:color="000000" w:fill="FFFFFF"/>
            <w:noWrap/>
            <w:vAlign w:val="bottom"/>
            <w:hideMark/>
          </w:tcPr>
          <w:p w14:paraId="457E1161"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106D87D7"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w:t>
            </w:r>
          </w:p>
        </w:tc>
        <w:tc>
          <w:tcPr>
            <w:tcW w:w="993" w:type="dxa"/>
            <w:tcBorders>
              <w:top w:val="nil"/>
              <w:left w:val="nil"/>
              <w:bottom w:val="nil"/>
              <w:right w:val="nil"/>
            </w:tcBorders>
            <w:shd w:val="clear" w:color="000000" w:fill="FFFFFF"/>
            <w:noWrap/>
            <w:vAlign w:val="bottom"/>
            <w:hideMark/>
          </w:tcPr>
          <w:p w14:paraId="5500EF2A"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r>
      <w:tr w:rsidR="000A6EDF" w:rsidRPr="007A43EA" w14:paraId="0271A689" w14:textId="77777777" w:rsidTr="007A43EA">
        <w:trPr>
          <w:trHeight w:val="288"/>
        </w:trPr>
        <w:tc>
          <w:tcPr>
            <w:tcW w:w="828" w:type="dxa"/>
            <w:tcBorders>
              <w:top w:val="nil"/>
              <w:left w:val="nil"/>
              <w:bottom w:val="nil"/>
              <w:right w:val="nil"/>
            </w:tcBorders>
            <w:shd w:val="clear" w:color="000000" w:fill="FFFFFF"/>
            <w:noWrap/>
            <w:vAlign w:val="bottom"/>
            <w:hideMark/>
          </w:tcPr>
          <w:p w14:paraId="069235B1"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1134" w:type="dxa"/>
            <w:tcBorders>
              <w:top w:val="nil"/>
              <w:left w:val="nil"/>
              <w:bottom w:val="nil"/>
              <w:right w:val="nil"/>
            </w:tcBorders>
            <w:shd w:val="clear" w:color="000000" w:fill="FFFFFF"/>
            <w:noWrap/>
            <w:vAlign w:val="bottom"/>
            <w:hideMark/>
          </w:tcPr>
          <w:p w14:paraId="32227070" w14:textId="77777777" w:rsidR="000A6EDF" w:rsidRPr="007A43EA" w:rsidRDefault="000A6EDF">
            <w:pPr>
              <w:jc w:val="right"/>
              <w:rPr>
                <w:rFonts w:asciiTheme="minorHAnsi" w:hAnsiTheme="minorHAnsi"/>
                <w:b/>
                <w:bCs/>
                <w:color w:val="000000"/>
                <w:sz w:val="14"/>
                <w:szCs w:val="16"/>
              </w:rPr>
            </w:pPr>
            <w:r w:rsidRPr="007A43EA">
              <w:rPr>
                <w:rFonts w:asciiTheme="minorHAnsi" w:hAnsiTheme="minorHAnsi"/>
                <w:b/>
                <w:bCs/>
                <w:color w:val="000000"/>
                <w:sz w:val="14"/>
                <w:szCs w:val="16"/>
              </w:rPr>
              <w:t>15/11/2026 г.</w:t>
            </w:r>
          </w:p>
        </w:tc>
        <w:tc>
          <w:tcPr>
            <w:tcW w:w="989" w:type="dxa"/>
            <w:tcBorders>
              <w:top w:val="nil"/>
              <w:left w:val="nil"/>
              <w:bottom w:val="nil"/>
              <w:right w:val="nil"/>
            </w:tcBorders>
            <w:shd w:val="clear" w:color="000000" w:fill="FFFFFF"/>
            <w:noWrap/>
            <w:vAlign w:val="bottom"/>
            <w:hideMark/>
          </w:tcPr>
          <w:p w14:paraId="6E4047CF"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184</w:t>
            </w:r>
          </w:p>
        </w:tc>
        <w:tc>
          <w:tcPr>
            <w:tcW w:w="850" w:type="dxa"/>
            <w:tcBorders>
              <w:top w:val="nil"/>
              <w:left w:val="nil"/>
              <w:bottom w:val="nil"/>
              <w:right w:val="nil"/>
            </w:tcBorders>
            <w:shd w:val="clear" w:color="000000" w:fill="FFFFFF"/>
            <w:noWrap/>
            <w:vAlign w:val="bottom"/>
            <w:hideMark/>
          </w:tcPr>
          <w:p w14:paraId="330FC936"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365</w:t>
            </w:r>
          </w:p>
        </w:tc>
        <w:tc>
          <w:tcPr>
            <w:tcW w:w="850" w:type="dxa"/>
            <w:tcBorders>
              <w:top w:val="nil"/>
              <w:left w:val="nil"/>
              <w:bottom w:val="nil"/>
              <w:right w:val="nil"/>
            </w:tcBorders>
            <w:shd w:val="clear" w:color="000000" w:fill="FFFFFF"/>
            <w:noWrap/>
            <w:vAlign w:val="bottom"/>
            <w:hideMark/>
          </w:tcPr>
          <w:p w14:paraId="7FA6DD94"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10.00%</w:t>
            </w:r>
          </w:p>
        </w:tc>
        <w:tc>
          <w:tcPr>
            <w:tcW w:w="1077" w:type="dxa"/>
            <w:tcBorders>
              <w:top w:val="nil"/>
              <w:left w:val="nil"/>
              <w:bottom w:val="nil"/>
              <w:right w:val="nil"/>
            </w:tcBorders>
            <w:shd w:val="clear" w:color="000000" w:fill="FFFFFF"/>
            <w:noWrap/>
            <w:vAlign w:val="bottom"/>
            <w:hideMark/>
          </w:tcPr>
          <w:p w14:paraId="3F8F631D"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25,205.48</w:t>
            </w:r>
          </w:p>
        </w:tc>
        <w:tc>
          <w:tcPr>
            <w:tcW w:w="983" w:type="dxa"/>
            <w:tcBorders>
              <w:top w:val="nil"/>
              <w:left w:val="nil"/>
              <w:bottom w:val="nil"/>
              <w:right w:val="nil"/>
            </w:tcBorders>
            <w:shd w:val="clear" w:color="000000" w:fill="FFFFFF"/>
            <w:noWrap/>
            <w:vAlign w:val="bottom"/>
            <w:hideMark/>
          </w:tcPr>
          <w:p w14:paraId="7ADA1C2F"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w:t>
            </w:r>
          </w:p>
        </w:tc>
        <w:tc>
          <w:tcPr>
            <w:tcW w:w="992" w:type="dxa"/>
            <w:tcBorders>
              <w:top w:val="nil"/>
              <w:left w:val="nil"/>
              <w:bottom w:val="nil"/>
              <w:right w:val="nil"/>
            </w:tcBorders>
            <w:shd w:val="clear" w:color="000000" w:fill="FFFFFF"/>
            <w:noWrap/>
            <w:vAlign w:val="bottom"/>
            <w:hideMark/>
          </w:tcPr>
          <w:p w14:paraId="1C783050" w14:textId="77777777" w:rsidR="000A6EDF" w:rsidRPr="007A43EA" w:rsidRDefault="000A6EDF">
            <w:pPr>
              <w:jc w:val="center"/>
              <w:rPr>
                <w:rFonts w:asciiTheme="minorHAnsi" w:hAnsiTheme="minorHAnsi"/>
                <w:b/>
                <w:bCs/>
                <w:color w:val="000000"/>
                <w:sz w:val="14"/>
                <w:szCs w:val="16"/>
              </w:rPr>
            </w:pPr>
            <w:r w:rsidRPr="007A43EA">
              <w:rPr>
                <w:rFonts w:asciiTheme="minorHAnsi" w:hAnsiTheme="minorHAnsi"/>
                <w:b/>
                <w:bCs/>
                <w:color w:val="000000"/>
                <w:sz w:val="14"/>
                <w:szCs w:val="16"/>
              </w:rPr>
              <w:t>0%</w:t>
            </w:r>
          </w:p>
        </w:tc>
        <w:tc>
          <w:tcPr>
            <w:tcW w:w="993" w:type="dxa"/>
            <w:tcBorders>
              <w:top w:val="nil"/>
              <w:left w:val="nil"/>
              <w:bottom w:val="nil"/>
              <w:right w:val="nil"/>
            </w:tcBorders>
            <w:shd w:val="clear" w:color="000000" w:fill="FFFFFF"/>
            <w:noWrap/>
            <w:vAlign w:val="bottom"/>
            <w:hideMark/>
          </w:tcPr>
          <w:p w14:paraId="49E21CA4"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0</w:t>
            </w:r>
          </w:p>
        </w:tc>
      </w:tr>
      <w:tr w:rsidR="000A6EDF" w:rsidRPr="007A43EA" w14:paraId="164A0032" w14:textId="77777777" w:rsidTr="007A43EA">
        <w:trPr>
          <w:trHeight w:val="288"/>
        </w:trPr>
        <w:tc>
          <w:tcPr>
            <w:tcW w:w="828" w:type="dxa"/>
            <w:tcBorders>
              <w:top w:val="nil"/>
              <w:left w:val="nil"/>
              <w:bottom w:val="nil"/>
              <w:right w:val="nil"/>
            </w:tcBorders>
            <w:shd w:val="clear" w:color="000000" w:fill="FFFFFF"/>
            <w:noWrap/>
            <w:vAlign w:val="bottom"/>
            <w:hideMark/>
          </w:tcPr>
          <w:p w14:paraId="5D0E78E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ОБЩО</w:t>
            </w:r>
          </w:p>
        </w:tc>
        <w:tc>
          <w:tcPr>
            <w:tcW w:w="1134" w:type="dxa"/>
            <w:tcBorders>
              <w:top w:val="nil"/>
              <w:left w:val="nil"/>
              <w:bottom w:val="nil"/>
              <w:right w:val="nil"/>
            </w:tcBorders>
            <w:shd w:val="clear" w:color="000000" w:fill="FFFFFF"/>
            <w:noWrap/>
            <w:vAlign w:val="bottom"/>
            <w:hideMark/>
          </w:tcPr>
          <w:p w14:paraId="0F4163C2" w14:textId="77777777" w:rsidR="000A6EDF" w:rsidRPr="007A43EA" w:rsidRDefault="000A6EDF">
            <w:pPr>
              <w:jc w:val="center"/>
              <w:rPr>
                <w:rFonts w:asciiTheme="minorHAnsi" w:hAnsiTheme="minorHAnsi"/>
                <w:color w:val="000000"/>
                <w:sz w:val="14"/>
                <w:szCs w:val="16"/>
              </w:rPr>
            </w:pPr>
            <w:r w:rsidRPr="007A43EA">
              <w:rPr>
                <w:rFonts w:asciiTheme="minorHAnsi" w:hAnsiTheme="minorHAnsi"/>
                <w:color w:val="000000"/>
                <w:sz w:val="14"/>
                <w:szCs w:val="16"/>
              </w:rPr>
              <w:t> </w:t>
            </w:r>
          </w:p>
        </w:tc>
        <w:tc>
          <w:tcPr>
            <w:tcW w:w="989" w:type="dxa"/>
            <w:tcBorders>
              <w:top w:val="nil"/>
              <w:left w:val="nil"/>
              <w:bottom w:val="nil"/>
              <w:right w:val="nil"/>
            </w:tcBorders>
            <w:shd w:val="clear" w:color="000000" w:fill="FFFFFF"/>
            <w:noWrap/>
            <w:vAlign w:val="bottom"/>
            <w:hideMark/>
          </w:tcPr>
          <w:p w14:paraId="5A9CBD2D" w14:textId="77777777"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850" w:type="dxa"/>
            <w:tcBorders>
              <w:top w:val="nil"/>
              <w:left w:val="nil"/>
              <w:bottom w:val="nil"/>
              <w:right w:val="nil"/>
            </w:tcBorders>
            <w:shd w:val="clear" w:color="000000" w:fill="FFFFFF"/>
            <w:noWrap/>
            <w:vAlign w:val="bottom"/>
            <w:hideMark/>
          </w:tcPr>
          <w:p w14:paraId="4A124DED" w14:textId="77777777"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850" w:type="dxa"/>
            <w:tcBorders>
              <w:top w:val="nil"/>
              <w:left w:val="nil"/>
              <w:bottom w:val="nil"/>
              <w:right w:val="nil"/>
            </w:tcBorders>
            <w:shd w:val="clear" w:color="000000" w:fill="FFFFFF"/>
            <w:noWrap/>
            <w:vAlign w:val="bottom"/>
            <w:hideMark/>
          </w:tcPr>
          <w:p w14:paraId="3B444A20" w14:textId="77777777" w:rsidR="000A6EDF" w:rsidRPr="007A43EA" w:rsidRDefault="000A6EDF">
            <w:pPr>
              <w:ind w:firstLineChars="100" w:firstLine="140"/>
              <w:jc w:val="right"/>
              <w:rPr>
                <w:rFonts w:asciiTheme="minorHAnsi" w:hAnsiTheme="minorHAnsi"/>
                <w:color w:val="000000"/>
                <w:sz w:val="14"/>
                <w:szCs w:val="16"/>
              </w:rPr>
            </w:pPr>
            <w:r w:rsidRPr="007A43EA">
              <w:rPr>
                <w:rFonts w:asciiTheme="minorHAnsi" w:hAnsiTheme="minorHAnsi"/>
                <w:color w:val="000000"/>
                <w:sz w:val="14"/>
                <w:szCs w:val="16"/>
              </w:rPr>
              <w:t> </w:t>
            </w:r>
          </w:p>
        </w:tc>
        <w:tc>
          <w:tcPr>
            <w:tcW w:w="1077" w:type="dxa"/>
            <w:tcBorders>
              <w:top w:val="single" w:sz="4" w:space="0" w:color="auto"/>
              <w:left w:val="nil"/>
              <w:bottom w:val="single" w:sz="4" w:space="0" w:color="auto"/>
              <w:right w:val="nil"/>
            </w:tcBorders>
            <w:shd w:val="clear" w:color="000000" w:fill="FFFFFF"/>
            <w:noWrap/>
            <w:vAlign w:val="bottom"/>
            <w:hideMark/>
          </w:tcPr>
          <w:p w14:paraId="45DC7CF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2,124,452.43</w:t>
            </w:r>
          </w:p>
        </w:tc>
        <w:tc>
          <w:tcPr>
            <w:tcW w:w="983" w:type="dxa"/>
            <w:tcBorders>
              <w:top w:val="single" w:sz="4" w:space="0" w:color="auto"/>
              <w:left w:val="nil"/>
              <w:bottom w:val="single" w:sz="4" w:space="0" w:color="auto"/>
              <w:right w:val="nil"/>
            </w:tcBorders>
            <w:shd w:val="clear" w:color="000000" w:fill="FFFFFF"/>
            <w:noWrap/>
            <w:vAlign w:val="bottom"/>
            <w:hideMark/>
          </w:tcPr>
          <w:p w14:paraId="36B34402"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5,000,000</w:t>
            </w:r>
          </w:p>
        </w:tc>
        <w:tc>
          <w:tcPr>
            <w:tcW w:w="992" w:type="dxa"/>
            <w:tcBorders>
              <w:top w:val="nil"/>
              <w:left w:val="nil"/>
              <w:bottom w:val="nil"/>
              <w:right w:val="nil"/>
            </w:tcBorders>
            <w:shd w:val="clear" w:color="000000" w:fill="FFFFFF"/>
            <w:noWrap/>
            <w:vAlign w:val="bottom"/>
            <w:hideMark/>
          </w:tcPr>
          <w:p w14:paraId="1644DB9E"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c>
          <w:tcPr>
            <w:tcW w:w="993" w:type="dxa"/>
            <w:tcBorders>
              <w:top w:val="nil"/>
              <w:left w:val="nil"/>
              <w:bottom w:val="nil"/>
              <w:right w:val="nil"/>
            </w:tcBorders>
            <w:shd w:val="clear" w:color="000000" w:fill="FFFFFF"/>
            <w:noWrap/>
            <w:vAlign w:val="bottom"/>
            <w:hideMark/>
          </w:tcPr>
          <w:p w14:paraId="6AA9FC89" w14:textId="77777777" w:rsidR="000A6EDF" w:rsidRPr="007A43EA" w:rsidRDefault="000A6EDF">
            <w:pPr>
              <w:ind w:firstLineChars="100" w:firstLine="141"/>
              <w:jc w:val="right"/>
              <w:rPr>
                <w:rFonts w:asciiTheme="minorHAnsi" w:hAnsiTheme="minorHAnsi"/>
                <w:b/>
                <w:bCs/>
                <w:color w:val="000000"/>
                <w:sz w:val="14"/>
                <w:szCs w:val="16"/>
              </w:rPr>
            </w:pPr>
            <w:r w:rsidRPr="007A43EA">
              <w:rPr>
                <w:rFonts w:asciiTheme="minorHAnsi" w:hAnsiTheme="minorHAnsi"/>
                <w:b/>
                <w:bCs/>
                <w:color w:val="000000"/>
                <w:sz w:val="14"/>
                <w:szCs w:val="16"/>
              </w:rPr>
              <w:t> </w:t>
            </w:r>
          </w:p>
        </w:tc>
      </w:tr>
    </w:tbl>
    <w:p w14:paraId="2FF62B46" w14:textId="77777777" w:rsidR="006863D2" w:rsidRPr="007A43EA" w:rsidRDefault="006863D2" w:rsidP="00812428">
      <w:pPr>
        <w:tabs>
          <w:tab w:val="left" w:pos="9072"/>
        </w:tabs>
        <w:spacing w:before="240" w:after="120"/>
        <w:ind w:right="567"/>
        <w:jc w:val="both"/>
        <w:textAlignment w:val="baseline"/>
        <w:rPr>
          <w:rFonts w:ascii="Calibri" w:hAnsi="Calibri"/>
          <w:color w:val="000000"/>
          <w:sz w:val="20"/>
          <w:szCs w:val="20"/>
        </w:rPr>
      </w:pPr>
      <w:r w:rsidRPr="007A43EA">
        <w:rPr>
          <w:rFonts w:ascii="Calibri" w:hAnsi="Calibri"/>
          <w:color w:val="000000"/>
          <w:sz w:val="20"/>
          <w:szCs w:val="20"/>
        </w:rPr>
        <w:t xml:space="preserve">Лихвените плащания по облигационната емисия се извършват на всеки </w:t>
      </w:r>
      <w:r w:rsidR="000842C6" w:rsidRPr="007A43EA">
        <w:rPr>
          <w:rFonts w:ascii="Calibri" w:hAnsi="Calibri"/>
          <w:color w:val="000000"/>
          <w:sz w:val="20"/>
          <w:szCs w:val="20"/>
        </w:rPr>
        <w:t>шест месеца от издаването на заема</w:t>
      </w:r>
      <w:r w:rsidRPr="007A43EA">
        <w:rPr>
          <w:rFonts w:ascii="Calibri" w:hAnsi="Calibri"/>
          <w:color w:val="000000"/>
          <w:sz w:val="20"/>
          <w:szCs w:val="20"/>
        </w:rPr>
        <w:t>.</w:t>
      </w:r>
    </w:p>
    <w:p w14:paraId="11E6DD3F" w14:textId="6DC0EDEB" w:rsidR="006863D2" w:rsidRPr="007A43EA" w:rsidRDefault="006863D2" w:rsidP="00812428">
      <w:pPr>
        <w:tabs>
          <w:tab w:val="left" w:pos="9072"/>
        </w:tabs>
        <w:spacing w:after="120"/>
        <w:ind w:right="567"/>
        <w:jc w:val="both"/>
        <w:rPr>
          <w:sz w:val="20"/>
          <w:szCs w:val="20"/>
        </w:rPr>
      </w:pPr>
      <w:r w:rsidRPr="007A43EA">
        <w:rPr>
          <w:rFonts w:ascii="Calibri" w:hAnsi="Calibri"/>
          <w:color w:val="000000"/>
          <w:sz w:val="20"/>
          <w:szCs w:val="20"/>
        </w:rPr>
        <w:t xml:space="preserve">През отчетения период </w:t>
      </w:r>
      <w:r w:rsidR="00455F56">
        <w:rPr>
          <w:rFonts w:ascii="Calibri" w:hAnsi="Calibri"/>
          <w:color w:val="000000"/>
          <w:sz w:val="20"/>
          <w:szCs w:val="20"/>
        </w:rPr>
        <w:t>има</w:t>
      </w:r>
      <w:r w:rsidR="006C5948">
        <w:rPr>
          <w:rFonts w:ascii="Calibri" w:hAnsi="Calibri"/>
          <w:color w:val="000000"/>
          <w:sz w:val="20"/>
          <w:szCs w:val="20"/>
        </w:rPr>
        <w:t xml:space="preserve"> извършено лихвено и главнично плащане</w:t>
      </w:r>
      <w:r w:rsidR="00455F56">
        <w:rPr>
          <w:rFonts w:ascii="Calibri" w:hAnsi="Calibri"/>
          <w:color w:val="000000"/>
          <w:sz w:val="20"/>
          <w:szCs w:val="20"/>
        </w:rPr>
        <w:t xml:space="preserve"> </w:t>
      </w:r>
      <w:r w:rsidR="00397502">
        <w:rPr>
          <w:rFonts w:ascii="Calibri" w:hAnsi="Calibri"/>
          <w:color w:val="000000"/>
          <w:sz w:val="20"/>
          <w:szCs w:val="20"/>
        </w:rPr>
        <w:t xml:space="preserve">на </w:t>
      </w:r>
      <w:r w:rsidR="00397502" w:rsidRPr="007A43EA">
        <w:rPr>
          <w:rFonts w:ascii="Calibri" w:hAnsi="Calibri"/>
          <w:color w:val="000000"/>
          <w:sz w:val="20"/>
          <w:szCs w:val="20"/>
        </w:rPr>
        <w:t>15.</w:t>
      </w:r>
      <w:r w:rsidR="00397502">
        <w:rPr>
          <w:rFonts w:ascii="Calibri" w:hAnsi="Calibri"/>
          <w:color w:val="000000"/>
          <w:sz w:val="20"/>
          <w:szCs w:val="20"/>
        </w:rPr>
        <w:t>11</w:t>
      </w:r>
      <w:r w:rsidR="00397502" w:rsidRPr="007A43EA">
        <w:rPr>
          <w:rFonts w:ascii="Calibri" w:hAnsi="Calibri"/>
          <w:color w:val="000000"/>
          <w:sz w:val="20"/>
          <w:szCs w:val="20"/>
        </w:rPr>
        <w:t>.202</w:t>
      </w:r>
      <w:r w:rsidR="00397502">
        <w:rPr>
          <w:rFonts w:ascii="Calibri" w:hAnsi="Calibri"/>
          <w:color w:val="000000"/>
          <w:sz w:val="20"/>
          <w:szCs w:val="20"/>
        </w:rPr>
        <w:t>2</w:t>
      </w:r>
      <w:r w:rsidR="00397502" w:rsidRPr="007A43EA">
        <w:rPr>
          <w:rFonts w:ascii="Calibri" w:hAnsi="Calibri"/>
          <w:color w:val="000000"/>
          <w:sz w:val="20"/>
          <w:szCs w:val="20"/>
        </w:rPr>
        <w:t xml:space="preserve"> г.</w:t>
      </w:r>
    </w:p>
    <w:p w14:paraId="60C271EE" w14:textId="190C4C16" w:rsidR="006863D2" w:rsidRPr="007A43EA" w:rsidRDefault="006863D2" w:rsidP="00812428">
      <w:pPr>
        <w:tabs>
          <w:tab w:val="left" w:pos="9072"/>
        </w:tabs>
        <w:spacing w:after="120"/>
        <w:ind w:right="567"/>
        <w:jc w:val="both"/>
        <w:rPr>
          <w:sz w:val="20"/>
          <w:szCs w:val="20"/>
        </w:rPr>
      </w:pPr>
      <w:r w:rsidRPr="007A43EA">
        <w:rPr>
          <w:rFonts w:ascii="Calibri" w:hAnsi="Calibri"/>
          <w:color w:val="000000"/>
          <w:sz w:val="20"/>
          <w:szCs w:val="20"/>
        </w:rPr>
        <w:t>Датата на следващото лихвено плащане е 15.</w:t>
      </w:r>
      <w:r w:rsidR="00397502">
        <w:rPr>
          <w:rFonts w:ascii="Calibri" w:hAnsi="Calibri"/>
          <w:color w:val="000000"/>
          <w:sz w:val="20"/>
          <w:szCs w:val="20"/>
        </w:rPr>
        <w:t>05</w:t>
      </w:r>
      <w:r w:rsidRPr="007A43EA">
        <w:rPr>
          <w:rFonts w:ascii="Calibri" w:hAnsi="Calibri"/>
          <w:color w:val="000000"/>
          <w:sz w:val="20"/>
          <w:szCs w:val="20"/>
        </w:rPr>
        <w:t>.202</w:t>
      </w:r>
      <w:r w:rsidR="00397502">
        <w:rPr>
          <w:rFonts w:ascii="Calibri" w:hAnsi="Calibri"/>
          <w:color w:val="000000"/>
          <w:sz w:val="20"/>
          <w:szCs w:val="20"/>
        </w:rPr>
        <w:t>3</w:t>
      </w:r>
      <w:r w:rsidRPr="007A43EA">
        <w:rPr>
          <w:rFonts w:ascii="Calibri" w:hAnsi="Calibri"/>
          <w:color w:val="000000"/>
          <w:sz w:val="20"/>
          <w:szCs w:val="20"/>
        </w:rPr>
        <w:t xml:space="preserve"> г.</w:t>
      </w:r>
    </w:p>
    <w:p w14:paraId="1E99B292" w14:textId="6B945858" w:rsidR="006863D2" w:rsidRPr="007A43EA" w:rsidRDefault="000A6EDF" w:rsidP="00812428">
      <w:pPr>
        <w:tabs>
          <w:tab w:val="left" w:pos="9072"/>
        </w:tabs>
        <w:spacing w:after="240"/>
        <w:ind w:right="567"/>
        <w:jc w:val="both"/>
        <w:rPr>
          <w:rFonts w:asciiTheme="minorHAnsi" w:hAnsiTheme="minorHAnsi"/>
          <w:sz w:val="20"/>
          <w:szCs w:val="20"/>
        </w:rPr>
      </w:pPr>
      <w:r w:rsidRPr="007A43EA">
        <w:rPr>
          <w:rFonts w:asciiTheme="minorHAnsi" w:hAnsiTheme="minorHAnsi"/>
          <w:sz w:val="20"/>
          <w:szCs w:val="20"/>
        </w:rPr>
        <w:t xml:space="preserve">Изплащането на главницата е на 10 /десет/ равни вноски от 500 000 лв. всяка една, представляваща 5% амортизационен коефициент на главницата, заедно с последните 10 /десет/ лихвени плащания по емисията облигации. </w:t>
      </w:r>
      <w:r w:rsidR="003C537F">
        <w:rPr>
          <w:rFonts w:asciiTheme="minorHAnsi" w:hAnsiTheme="minorHAnsi"/>
          <w:sz w:val="20"/>
          <w:szCs w:val="20"/>
        </w:rPr>
        <w:t>Второто</w:t>
      </w:r>
      <w:r w:rsidRPr="007A43EA">
        <w:rPr>
          <w:rFonts w:asciiTheme="minorHAnsi" w:hAnsiTheme="minorHAnsi"/>
          <w:sz w:val="20"/>
          <w:szCs w:val="20"/>
        </w:rPr>
        <w:t xml:space="preserve"> задължение за главнично плащане по емисията </w:t>
      </w:r>
      <w:r w:rsidR="008967C1">
        <w:rPr>
          <w:rFonts w:asciiTheme="minorHAnsi" w:hAnsiTheme="minorHAnsi"/>
          <w:sz w:val="20"/>
          <w:szCs w:val="20"/>
        </w:rPr>
        <w:t>е осъществено на</w:t>
      </w:r>
      <w:r w:rsidRPr="007A43EA">
        <w:rPr>
          <w:rFonts w:asciiTheme="minorHAnsi" w:hAnsiTheme="minorHAnsi"/>
          <w:sz w:val="20"/>
          <w:szCs w:val="20"/>
        </w:rPr>
        <w:t xml:space="preserve"> 15.</w:t>
      </w:r>
      <w:r w:rsidR="00D74C91">
        <w:rPr>
          <w:rFonts w:asciiTheme="minorHAnsi" w:hAnsiTheme="minorHAnsi"/>
          <w:sz w:val="20"/>
          <w:szCs w:val="20"/>
        </w:rPr>
        <w:t>11</w:t>
      </w:r>
      <w:r w:rsidRPr="007A43EA">
        <w:rPr>
          <w:rFonts w:asciiTheme="minorHAnsi" w:hAnsiTheme="minorHAnsi"/>
          <w:sz w:val="20"/>
          <w:szCs w:val="20"/>
        </w:rPr>
        <w:t>.2022</w:t>
      </w:r>
      <w:r w:rsidR="006B4BB2" w:rsidRPr="007A43EA">
        <w:rPr>
          <w:rFonts w:asciiTheme="minorHAnsi" w:hAnsiTheme="minorHAnsi"/>
          <w:sz w:val="20"/>
          <w:szCs w:val="20"/>
        </w:rPr>
        <w:t xml:space="preserve"> </w:t>
      </w:r>
      <w:r w:rsidRPr="007A43EA">
        <w:rPr>
          <w:rFonts w:asciiTheme="minorHAnsi" w:hAnsiTheme="minorHAnsi"/>
          <w:sz w:val="20"/>
          <w:szCs w:val="20"/>
        </w:rPr>
        <w:t>г.</w:t>
      </w:r>
    </w:p>
    <w:p w14:paraId="09644F3A" w14:textId="77777777" w:rsidR="005A1AA4" w:rsidRPr="00812428" w:rsidRDefault="006721AE" w:rsidP="00812428">
      <w:pPr>
        <w:pStyle w:val="bs2"/>
        <w:numPr>
          <w:ilvl w:val="0"/>
          <w:numId w:val="7"/>
        </w:numPr>
        <w:spacing w:after="240"/>
        <w:ind w:left="714" w:hanging="357"/>
        <w:rPr>
          <w:rFonts w:asciiTheme="minorHAnsi" w:hAnsiTheme="minorHAnsi"/>
          <w:sz w:val="22"/>
        </w:rPr>
      </w:pPr>
      <w:r w:rsidRPr="00812428">
        <w:rPr>
          <w:rFonts w:asciiTheme="minorHAnsi" w:hAnsiTheme="minorHAnsi"/>
          <w:sz w:val="22"/>
        </w:rPr>
        <w:t>Състояние на о</w:t>
      </w:r>
      <w:r w:rsidR="005A1AA4" w:rsidRPr="00812428">
        <w:rPr>
          <w:rFonts w:asciiTheme="minorHAnsi" w:hAnsiTheme="minorHAnsi"/>
          <w:sz w:val="22"/>
        </w:rPr>
        <w:t>безпечение</w:t>
      </w:r>
      <w:r w:rsidRPr="00812428">
        <w:rPr>
          <w:rFonts w:asciiTheme="minorHAnsi" w:hAnsiTheme="minorHAnsi"/>
          <w:sz w:val="22"/>
        </w:rPr>
        <w:t>то</w:t>
      </w:r>
      <w:r w:rsidR="005A1AA4" w:rsidRPr="00812428">
        <w:rPr>
          <w:rFonts w:asciiTheme="minorHAnsi" w:hAnsiTheme="minorHAnsi"/>
          <w:sz w:val="22"/>
        </w:rPr>
        <w:t xml:space="preserve"> на облигационната емисия</w:t>
      </w:r>
    </w:p>
    <w:p w14:paraId="684022C8" w14:textId="77777777" w:rsidR="006721AE" w:rsidRPr="007A43EA" w:rsidRDefault="00772B84" w:rsidP="00812428">
      <w:pPr>
        <w:spacing w:after="120"/>
        <w:ind w:right="567"/>
        <w:jc w:val="both"/>
        <w:rPr>
          <w:rFonts w:asciiTheme="minorHAnsi" w:hAnsiTheme="minorHAnsi"/>
          <w:sz w:val="20"/>
          <w:szCs w:val="20"/>
        </w:rPr>
      </w:pPr>
      <w:r w:rsidRPr="007A43EA">
        <w:rPr>
          <w:rFonts w:asciiTheme="minorHAnsi" w:hAnsiTheme="minorHAnsi"/>
          <w:sz w:val="20"/>
          <w:szCs w:val="20"/>
        </w:rPr>
        <w:t>С</w:t>
      </w:r>
      <w:r w:rsidR="006721AE" w:rsidRPr="007A43EA">
        <w:rPr>
          <w:rFonts w:asciiTheme="minorHAnsi" w:hAnsiTheme="minorHAnsi"/>
          <w:sz w:val="20"/>
          <w:szCs w:val="20"/>
        </w:rPr>
        <w:t>ъгласно условията настоящата емисия Емитентът следва да учреди:</w:t>
      </w:r>
    </w:p>
    <w:p w14:paraId="7F835421" w14:textId="77777777" w:rsidR="00E05CA7" w:rsidRPr="007A43EA" w:rsidRDefault="00E05CA7" w:rsidP="00812428">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7A43EA">
        <w:rPr>
          <w:rFonts w:asciiTheme="minorHAnsi" w:hAnsiTheme="minorHAnsi"/>
          <w:sz w:val="20"/>
          <w:szCs w:val="20"/>
          <w:lang w:val="bg-BG"/>
        </w:rPr>
        <w:t>Първа по ред договорна ипотека върху 780,77/17474 идеални части от урегулиран поземлен имот Х</w:t>
      </w:r>
      <w:r w:rsidRPr="007A43EA">
        <w:rPr>
          <w:rFonts w:asciiTheme="minorHAnsi" w:hAnsiTheme="minorHAnsi"/>
          <w:sz w:val="20"/>
          <w:szCs w:val="20"/>
        </w:rPr>
        <w:t>V</w:t>
      </w:r>
      <w:r w:rsidRPr="007A43EA">
        <w:rPr>
          <w:rFonts w:asciiTheme="minorHAnsi" w:hAnsiTheme="minorHAnsi"/>
          <w:sz w:val="20"/>
          <w:szCs w:val="20"/>
          <w:lang w:val="bg-BG"/>
        </w:rPr>
        <w:t xml:space="preserve">ІІ-2201, кв.63 по плана на местн. "Вилна зона Симеоново север", район Витоша, с адрес: гр. София, ул. "Симеоновско шосе" № 198, ведно с изградената в имота жилищна сграда №32 със ЗП 163 кв. м. и РЗП 364,17 кв. м. </w:t>
      </w:r>
    </w:p>
    <w:p w14:paraId="6C3F7165" w14:textId="77777777" w:rsidR="00E05CA7" w:rsidRPr="007A43EA" w:rsidRDefault="00E05CA7" w:rsidP="00EC4C32">
      <w:pPr>
        <w:pStyle w:val="ListParagraph"/>
        <w:spacing w:after="120"/>
        <w:ind w:left="0" w:right="567"/>
        <w:contextualSpacing w:val="0"/>
        <w:jc w:val="both"/>
        <w:rPr>
          <w:rFonts w:asciiTheme="minorHAnsi" w:hAnsiTheme="minorHAnsi"/>
          <w:sz w:val="20"/>
          <w:szCs w:val="20"/>
          <w:lang w:val="bg-BG"/>
        </w:rPr>
      </w:pPr>
      <w:r w:rsidRPr="007A43EA">
        <w:rPr>
          <w:rFonts w:asciiTheme="minorHAnsi" w:hAnsiTheme="minorHAnsi"/>
          <w:sz w:val="20"/>
          <w:szCs w:val="20"/>
          <w:lang w:val="bg-BG"/>
        </w:rPr>
        <w:t>Договорната ипотека (Нотариален акт №61, том №</w:t>
      </w:r>
      <w:r w:rsidRPr="007A43EA">
        <w:rPr>
          <w:rFonts w:asciiTheme="minorHAnsi" w:hAnsiTheme="minorHAnsi"/>
          <w:sz w:val="20"/>
          <w:szCs w:val="20"/>
        </w:rPr>
        <w:t>XVIII</w:t>
      </w:r>
      <w:r w:rsidRPr="007A43EA">
        <w:rPr>
          <w:rFonts w:asciiTheme="minorHAnsi" w:hAnsiTheme="minorHAnsi"/>
          <w:sz w:val="20"/>
          <w:szCs w:val="20"/>
          <w:lang w:val="bg-BG"/>
        </w:rPr>
        <w:t xml:space="preserve">, рег. № 34958, дело №2955/2019 г.) е учредена на 23.12.2019 г. от Светослав Юрий Ангелов като собственик на недвижимия имот и ипотекарен длъжник в полза на "ЕЛАНА Трейдинг" като ипотекарен кредитор съгласно Договор за изпълнение на функцията Довереник на облигационерите от 12.11.2019 г. </w:t>
      </w:r>
    </w:p>
    <w:p w14:paraId="58EE0FD3" w14:textId="61D55C67" w:rsidR="00E05CA7" w:rsidRPr="007A43EA" w:rsidRDefault="00E05CA7" w:rsidP="00EC4C32">
      <w:pPr>
        <w:pStyle w:val="ListParagraph"/>
        <w:spacing w:after="120"/>
        <w:ind w:left="0" w:right="567"/>
        <w:contextualSpacing w:val="0"/>
        <w:jc w:val="both"/>
        <w:rPr>
          <w:rFonts w:asciiTheme="minorHAnsi" w:hAnsiTheme="minorHAnsi"/>
          <w:sz w:val="20"/>
          <w:szCs w:val="20"/>
          <w:lang w:val="bg-BG"/>
        </w:rPr>
      </w:pPr>
      <w:r w:rsidRPr="007A43EA">
        <w:rPr>
          <w:rFonts w:asciiTheme="minorHAnsi" w:hAnsiTheme="minorHAnsi"/>
          <w:sz w:val="20"/>
          <w:szCs w:val="20"/>
          <w:lang w:val="bg-BG"/>
        </w:rPr>
        <w:t xml:space="preserve">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w:t>
      </w:r>
      <w:r w:rsidRPr="007A43EA">
        <w:rPr>
          <w:rFonts w:asciiTheme="minorHAnsi" w:hAnsiTheme="minorHAnsi"/>
          <w:sz w:val="20"/>
          <w:szCs w:val="20"/>
        </w:rPr>
        <w:t>ISIN</w:t>
      </w:r>
      <w:r w:rsidRPr="007A43EA">
        <w:rPr>
          <w:rFonts w:asciiTheme="minorHAnsi" w:hAnsiTheme="minorHAnsi"/>
          <w:sz w:val="20"/>
          <w:szCs w:val="20"/>
          <w:lang w:val="bg-BG"/>
        </w:rPr>
        <w:t xml:space="preserve"> код </w:t>
      </w:r>
      <w:r w:rsidRPr="007A43EA">
        <w:rPr>
          <w:rFonts w:asciiTheme="minorHAnsi" w:hAnsiTheme="minorHAnsi"/>
          <w:sz w:val="20"/>
          <w:szCs w:val="20"/>
        </w:rPr>
        <w:t>BG</w:t>
      </w:r>
      <w:r w:rsidRPr="007A43EA">
        <w:rPr>
          <w:rFonts w:asciiTheme="minorHAnsi" w:hAnsiTheme="minorHAnsi"/>
          <w:sz w:val="20"/>
          <w:szCs w:val="20"/>
          <w:lang w:val="bg-BG"/>
        </w:rPr>
        <w:t xml:space="preserve">2100017198, в това число на вземанията на облигационерите за главници и лихви, както и за всички акцесорни и/или свързани с вземанията на </w:t>
      </w:r>
      <w:r w:rsidRPr="007A43EA">
        <w:rPr>
          <w:rFonts w:asciiTheme="minorHAnsi" w:hAnsiTheme="minorHAnsi"/>
          <w:sz w:val="20"/>
          <w:szCs w:val="20"/>
          <w:lang w:val="bg-BG"/>
        </w:rPr>
        <w:lastRenderedPageBreak/>
        <w:t>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1,</w:t>
      </w:r>
      <w:r w:rsidR="00D80391">
        <w:rPr>
          <w:rFonts w:asciiTheme="minorHAnsi" w:hAnsiTheme="minorHAnsi"/>
          <w:sz w:val="20"/>
          <w:szCs w:val="20"/>
          <w:lang w:val="bg-BG"/>
        </w:rPr>
        <w:t>792</w:t>
      </w:r>
      <w:r w:rsidRPr="007A43EA">
        <w:rPr>
          <w:rFonts w:asciiTheme="minorHAnsi" w:hAnsiTheme="minorHAnsi"/>
          <w:sz w:val="20"/>
          <w:szCs w:val="20"/>
          <w:lang w:val="bg-BG"/>
        </w:rPr>
        <w:t xml:space="preserve"> хил. лв. В случай на неизпълнение и предсрочна 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1,</w:t>
      </w:r>
      <w:r w:rsidR="00D80391">
        <w:rPr>
          <w:rFonts w:asciiTheme="minorHAnsi" w:hAnsiTheme="minorHAnsi"/>
          <w:sz w:val="20"/>
          <w:szCs w:val="20"/>
          <w:lang w:val="bg-BG"/>
        </w:rPr>
        <w:t>792</w:t>
      </w:r>
      <w:r w:rsidRPr="007A43EA">
        <w:rPr>
          <w:rFonts w:asciiTheme="minorHAnsi" w:hAnsiTheme="minorHAnsi"/>
          <w:sz w:val="20"/>
          <w:szCs w:val="20"/>
          <w:lang w:val="bg-BG"/>
        </w:rPr>
        <w:t xml:space="preserve"> хил. лв. чрез продажба по законоустановения ред недвижимия имот предмет на договорната ипотека.</w:t>
      </w:r>
    </w:p>
    <w:p w14:paraId="3FE1ED4A" w14:textId="77777777" w:rsidR="00E05CA7" w:rsidRPr="007A43EA" w:rsidRDefault="00E05CA7" w:rsidP="00EC4C32">
      <w:pPr>
        <w:pStyle w:val="ListParagraph"/>
        <w:spacing w:after="120"/>
        <w:ind w:left="0" w:right="566"/>
        <w:contextualSpacing w:val="0"/>
        <w:jc w:val="both"/>
        <w:rPr>
          <w:rFonts w:asciiTheme="minorHAnsi" w:hAnsiTheme="minorHAnsi"/>
          <w:sz w:val="20"/>
          <w:szCs w:val="20"/>
          <w:lang w:val="bg-BG"/>
        </w:rPr>
      </w:pPr>
      <w:r w:rsidRPr="007A43EA">
        <w:rPr>
          <w:rFonts w:asciiTheme="minorHAnsi" w:hAnsiTheme="minorHAnsi"/>
          <w:sz w:val="20"/>
          <w:szCs w:val="20"/>
          <w:lang w:val="bg-BG"/>
        </w:rPr>
        <w:t>Светослав Юрий Ангелов е изп</w:t>
      </w:r>
      <w:r w:rsidR="00EC4C32">
        <w:rPr>
          <w:rFonts w:asciiTheme="minorHAnsi" w:hAnsiTheme="minorHAnsi"/>
          <w:sz w:val="20"/>
          <w:szCs w:val="20"/>
          <w:lang w:val="bg-BG"/>
        </w:rPr>
        <w:t>ълнителен</w:t>
      </w:r>
      <w:r w:rsidRPr="007A43EA">
        <w:rPr>
          <w:rFonts w:asciiTheme="minorHAnsi" w:hAnsiTheme="minorHAnsi"/>
          <w:sz w:val="20"/>
          <w:szCs w:val="20"/>
          <w:lang w:val="bg-BG"/>
        </w:rPr>
        <w:t xml:space="preserve"> директор и мажоритарен акционер в "АЙ ТИ ЕФ Груп" АД.</w:t>
      </w:r>
    </w:p>
    <w:p w14:paraId="59590F57" w14:textId="178F58D2" w:rsidR="00E05CA7" w:rsidRPr="00D80391" w:rsidRDefault="00E05CA7" w:rsidP="00EC4C32">
      <w:pPr>
        <w:pStyle w:val="ListParagraph"/>
        <w:spacing w:after="120"/>
        <w:ind w:left="0" w:right="566"/>
        <w:contextualSpacing w:val="0"/>
        <w:jc w:val="both"/>
        <w:rPr>
          <w:rFonts w:asciiTheme="minorHAnsi" w:hAnsiTheme="minorHAnsi"/>
          <w:sz w:val="20"/>
          <w:szCs w:val="20"/>
        </w:rPr>
      </w:pPr>
      <w:r w:rsidRPr="00812428">
        <w:rPr>
          <w:rFonts w:asciiTheme="minorHAnsi" w:hAnsiTheme="minorHAnsi"/>
          <w:sz w:val="20"/>
          <w:szCs w:val="20"/>
          <w:lang w:val="bg-BG"/>
        </w:rPr>
        <w:t>Съгласно чл. 100и, ал. 4 от ЗППЦК първоначалната пазарна оценка на имота е направена на 05.06.2019 г. от "Явлена - Импакт" ООД и възлиза на 1 463 000 лв. Посл</w:t>
      </w:r>
      <w:r w:rsidR="00D80391">
        <w:rPr>
          <w:rFonts w:asciiTheme="minorHAnsi" w:hAnsiTheme="minorHAnsi"/>
          <w:sz w:val="20"/>
          <w:szCs w:val="20"/>
          <w:lang w:val="bg-BG"/>
        </w:rPr>
        <w:t>едваща</w:t>
      </w:r>
      <w:r w:rsidRPr="00812428">
        <w:rPr>
          <w:rFonts w:asciiTheme="minorHAnsi" w:hAnsiTheme="minorHAnsi"/>
          <w:sz w:val="20"/>
          <w:szCs w:val="20"/>
          <w:lang w:val="bg-BG"/>
        </w:rPr>
        <w:t xml:space="preserve"> пазарна оценка на имота е направена на </w:t>
      </w:r>
      <w:r w:rsidR="00F25DC9">
        <w:rPr>
          <w:rFonts w:asciiTheme="minorHAnsi" w:hAnsiTheme="minorHAnsi"/>
          <w:sz w:val="20"/>
          <w:szCs w:val="20"/>
          <w:lang w:val="bg-BG"/>
        </w:rPr>
        <w:t>09.04.2020</w:t>
      </w:r>
      <w:r w:rsidRPr="00812428">
        <w:rPr>
          <w:rFonts w:asciiTheme="minorHAnsi" w:hAnsiTheme="minorHAnsi"/>
          <w:sz w:val="20"/>
          <w:szCs w:val="20"/>
          <w:lang w:val="bg-BG"/>
        </w:rPr>
        <w:t xml:space="preserve"> г. от "Импакт оценители" ООД, за да послужи на "ЕЛАНА </w:t>
      </w:r>
      <w:r w:rsidR="00F25DC9">
        <w:rPr>
          <w:rFonts w:asciiTheme="minorHAnsi" w:hAnsiTheme="minorHAnsi"/>
          <w:sz w:val="20"/>
          <w:szCs w:val="20"/>
          <w:lang w:val="bg-BG"/>
        </w:rPr>
        <w:t>Т</w:t>
      </w:r>
      <w:r w:rsidRPr="00812428">
        <w:rPr>
          <w:rFonts w:asciiTheme="minorHAnsi" w:hAnsiTheme="minorHAnsi"/>
          <w:sz w:val="20"/>
          <w:szCs w:val="20"/>
          <w:lang w:val="bg-BG"/>
        </w:rPr>
        <w:t xml:space="preserve">рейдинг" АД в качеството й на Довереник на облигационерите и възлиза на 1 </w:t>
      </w:r>
      <w:r w:rsidR="00F25DC9">
        <w:rPr>
          <w:rFonts w:asciiTheme="minorHAnsi" w:hAnsiTheme="minorHAnsi"/>
          <w:sz w:val="20"/>
          <w:szCs w:val="20"/>
          <w:lang w:val="bg-BG"/>
        </w:rPr>
        <w:t>463</w:t>
      </w:r>
      <w:r w:rsidRPr="00812428">
        <w:rPr>
          <w:rFonts w:asciiTheme="minorHAnsi" w:hAnsiTheme="minorHAnsi"/>
          <w:sz w:val="20"/>
          <w:szCs w:val="20"/>
          <w:lang w:val="bg-BG"/>
        </w:rPr>
        <w:t xml:space="preserve"> 000 лв.</w:t>
      </w:r>
      <w:r w:rsidR="00D80391">
        <w:rPr>
          <w:rFonts w:asciiTheme="minorHAnsi" w:hAnsiTheme="minorHAnsi"/>
          <w:sz w:val="20"/>
          <w:szCs w:val="20"/>
        </w:rPr>
        <w:t xml:space="preserve"> </w:t>
      </w:r>
      <w:r w:rsidR="00F25DC9" w:rsidRPr="00812428">
        <w:rPr>
          <w:rFonts w:asciiTheme="minorHAnsi" w:hAnsiTheme="minorHAnsi"/>
          <w:sz w:val="20"/>
          <w:szCs w:val="20"/>
          <w:lang w:val="bg-BG"/>
        </w:rPr>
        <w:t>Посл</w:t>
      </w:r>
      <w:r w:rsidR="00F25DC9">
        <w:rPr>
          <w:rFonts w:asciiTheme="minorHAnsi" w:hAnsiTheme="minorHAnsi"/>
          <w:sz w:val="20"/>
          <w:szCs w:val="20"/>
          <w:lang w:val="bg-BG"/>
        </w:rPr>
        <w:t>едваща</w:t>
      </w:r>
      <w:r w:rsidR="00F25DC9" w:rsidRPr="00812428">
        <w:rPr>
          <w:rFonts w:asciiTheme="minorHAnsi" w:hAnsiTheme="minorHAnsi"/>
          <w:sz w:val="20"/>
          <w:szCs w:val="20"/>
          <w:lang w:val="bg-BG"/>
        </w:rPr>
        <w:t xml:space="preserve"> пазарна оценка на имота е направена на 20.05.2021 г. от "Импакт оценители" ООД, за да послужи на "ЕЛАНА </w:t>
      </w:r>
      <w:r w:rsidR="00F25DC9">
        <w:rPr>
          <w:rFonts w:asciiTheme="minorHAnsi" w:hAnsiTheme="minorHAnsi"/>
          <w:sz w:val="20"/>
          <w:szCs w:val="20"/>
          <w:lang w:val="bg-BG"/>
        </w:rPr>
        <w:t>Т</w:t>
      </w:r>
      <w:r w:rsidR="00F25DC9" w:rsidRPr="00812428">
        <w:rPr>
          <w:rFonts w:asciiTheme="minorHAnsi" w:hAnsiTheme="minorHAnsi"/>
          <w:sz w:val="20"/>
          <w:szCs w:val="20"/>
          <w:lang w:val="bg-BG"/>
        </w:rPr>
        <w:t>рейдинг" АД в качеството й на Довереник на облигационерите и възлиза на 1 546 000 лв.</w:t>
      </w:r>
      <w:r w:rsidR="00F25DC9">
        <w:rPr>
          <w:rFonts w:asciiTheme="minorHAnsi" w:hAnsiTheme="minorHAnsi"/>
          <w:sz w:val="20"/>
          <w:szCs w:val="20"/>
        </w:rPr>
        <w:t xml:space="preserve"> </w:t>
      </w:r>
      <w:r w:rsidR="00D80391" w:rsidRPr="00812428">
        <w:rPr>
          <w:rFonts w:asciiTheme="minorHAnsi" w:hAnsiTheme="minorHAnsi"/>
          <w:sz w:val="20"/>
          <w:szCs w:val="20"/>
          <w:lang w:val="bg-BG"/>
        </w:rPr>
        <w:t xml:space="preserve">Последната пазарна оценка на имота е направена на </w:t>
      </w:r>
      <w:r w:rsidR="00D80391">
        <w:rPr>
          <w:rFonts w:asciiTheme="minorHAnsi" w:hAnsiTheme="minorHAnsi"/>
          <w:sz w:val="20"/>
          <w:szCs w:val="20"/>
          <w:lang w:val="bg-BG"/>
        </w:rPr>
        <w:t>13</w:t>
      </w:r>
      <w:r w:rsidR="00D80391" w:rsidRPr="00812428">
        <w:rPr>
          <w:rFonts w:asciiTheme="minorHAnsi" w:hAnsiTheme="minorHAnsi"/>
          <w:sz w:val="20"/>
          <w:szCs w:val="20"/>
          <w:lang w:val="bg-BG"/>
        </w:rPr>
        <w:t>.05.202</w:t>
      </w:r>
      <w:r w:rsidR="00D80391">
        <w:rPr>
          <w:rFonts w:asciiTheme="minorHAnsi" w:hAnsiTheme="minorHAnsi"/>
          <w:sz w:val="20"/>
          <w:szCs w:val="20"/>
          <w:lang w:val="bg-BG"/>
        </w:rPr>
        <w:t>2</w:t>
      </w:r>
      <w:r w:rsidR="00D80391" w:rsidRPr="00812428">
        <w:rPr>
          <w:rFonts w:asciiTheme="minorHAnsi" w:hAnsiTheme="minorHAnsi"/>
          <w:sz w:val="20"/>
          <w:szCs w:val="20"/>
          <w:lang w:val="bg-BG"/>
        </w:rPr>
        <w:t xml:space="preserve"> г. от "Импакт оценители" ООД, за да послужи на "ЕЛАНА </w:t>
      </w:r>
      <w:r w:rsidR="00F25DC9">
        <w:rPr>
          <w:rFonts w:asciiTheme="minorHAnsi" w:hAnsiTheme="minorHAnsi"/>
          <w:sz w:val="20"/>
          <w:szCs w:val="20"/>
          <w:lang w:val="bg-BG"/>
        </w:rPr>
        <w:t>Т</w:t>
      </w:r>
      <w:r w:rsidR="00D80391" w:rsidRPr="00812428">
        <w:rPr>
          <w:rFonts w:asciiTheme="minorHAnsi" w:hAnsiTheme="minorHAnsi"/>
          <w:sz w:val="20"/>
          <w:szCs w:val="20"/>
          <w:lang w:val="bg-BG"/>
        </w:rPr>
        <w:t xml:space="preserve">рейдинг" АД в качеството й на Довереник на облигационерите и възлиза на 1 </w:t>
      </w:r>
      <w:r w:rsidR="00D80391">
        <w:rPr>
          <w:rFonts w:asciiTheme="minorHAnsi" w:hAnsiTheme="minorHAnsi"/>
          <w:sz w:val="20"/>
          <w:szCs w:val="20"/>
          <w:lang w:val="bg-BG"/>
        </w:rPr>
        <w:t>792</w:t>
      </w:r>
      <w:r w:rsidR="00D80391" w:rsidRPr="00812428">
        <w:rPr>
          <w:rFonts w:asciiTheme="minorHAnsi" w:hAnsiTheme="minorHAnsi"/>
          <w:sz w:val="20"/>
          <w:szCs w:val="20"/>
          <w:lang w:val="bg-BG"/>
        </w:rPr>
        <w:t xml:space="preserve"> 000 лв.</w:t>
      </w:r>
    </w:p>
    <w:p w14:paraId="48AE662E" w14:textId="77777777" w:rsidR="006721AE" w:rsidRPr="00EC4C32" w:rsidRDefault="00E05CA7" w:rsidP="00EC4C32">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7A43EA">
        <w:rPr>
          <w:rFonts w:asciiTheme="minorHAnsi" w:hAnsiTheme="minorHAnsi"/>
          <w:sz w:val="20"/>
          <w:szCs w:val="20"/>
          <w:lang w:val="bg-BG"/>
        </w:rPr>
        <w:t>Първа по ред договорна ипотека върху Офис №1, разположен на две нива в жилищна сграда в гр. София, район Лозенец, ул</w:t>
      </w:r>
      <w:r w:rsidRPr="00EC4C32">
        <w:rPr>
          <w:rFonts w:asciiTheme="minorHAnsi" w:hAnsiTheme="minorHAnsi"/>
          <w:sz w:val="20"/>
          <w:szCs w:val="20"/>
          <w:lang w:val="bg-BG"/>
        </w:rPr>
        <w:t>.”Света гора” №42, с РЗП на двете нива от 131.11 кв. м., състоящ се на първо ниво /ниво терен/ от приемна, кухня-бокс, стая за почивка, баня с тоалетна и входно антре, а на 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w:t>
      </w:r>
    </w:p>
    <w:p w14:paraId="6592C9ED" w14:textId="77777777"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Договорната ипотека (Нотариален акт № 179, том № I, рег. № 3059, дел № 153/2020 г.) е учредена на 14.02.2020 г. от „Гео Импорт Експорт“ ЕООД като ипотекарен длъжник и собственик на имота в полза на „ЕЛАНА трейдинг“ като ипотекарен кредитор съгласно Договор за изпълнение на функцията Довереник на облигационерите от 12.11.2019 г.</w:t>
      </w:r>
    </w:p>
    <w:p w14:paraId="4B59736C" w14:textId="4174F15B"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ISIN код BG2100017198, в това число на вземанията на облигационерите за главници и лихви, както и за всички акцесорни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w:t>
      </w:r>
      <w:r w:rsidR="00F25DC9">
        <w:rPr>
          <w:rFonts w:asciiTheme="minorHAnsi" w:hAnsiTheme="minorHAnsi"/>
          <w:sz w:val="20"/>
          <w:szCs w:val="20"/>
          <w:lang w:val="bg-BG"/>
        </w:rPr>
        <w:t>512 000</w:t>
      </w:r>
      <w:r w:rsidRPr="00EC4C32">
        <w:rPr>
          <w:rFonts w:asciiTheme="minorHAnsi" w:hAnsiTheme="minorHAnsi"/>
          <w:sz w:val="20"/>
          <w:szCs w:val="20"/>
          <w:lang w:val="bg-BG"/>
        </w:rPr>
        <w:t xml:space="preserve"> лв. В случай на неизпълнение и предсрочна 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w:t>
      </w:r>
      <w:r w:rsidR="00F25DC9">
        <w:rPr>
          <w:rFonts w:asciiTheme="minorHAnsi" w:hAnsiTheme="minorHAnsi"/>
          <w:sz w:val="20"/>
          <w:szCs w:val="20"/>
          <w:lang w:val="bg-BG"/>
        </w:rPr>
        <w:t>512 000</w:t>
      </w:r>
      <w:r w:rsidRPr="00EC4C32">
        <w:rPr>
          <w:rFonts w:asciiTheme="minorHAnsi" w:hAnsiTheme="minorHAnsi"/>
          <w:sz w:val="20"/>
          <w:szCs w:val="20"/>
          <w:lang w:val="bg-BG"/>
        </w:rPr>
        <w:t xml:space="preserve"> лв. чрез продажба по законоустановения ред недвижимия имот предмет на договорната ипотека.</w:t>
      </w:r>
    </w:p>
    <w:p w14:paraId="41ADC668" w14:textId="77777777"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„Гео-Импорт-Експорт“ ЕООД е дружество с едноличен собственик Георги Добринов - баща на изпълнителния директор и акционер в „АЙ ТИ ЕФ Груп“ АД Филип Добринов.</w:t>
      </w:r>
    </w:p>
    <w:p w14:paraId="14484758" w14:textId="18C9E38D" w:rsidR="00F25DC9" w:rsidRPr="00EC4C32" w:rsidRDefault="00E05CA7" w:rsidP="00F25DC9">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Съгласно чл. 100и, ал. 4 от ЗППЦК първоначалната пазарна оценка на имота е направена на 05.06.2019 г. от „Явлена - Импакт“ ООД и възлиза на 482 120 лв. Послед</w:t>
      </w:r>
      <w:r w:rsidR="00F25DC9">
        <w:rPr>
          <w:rFonts w:asciiTheme="minorHAnsi" w:hAnsiTheme="minorHAnsi"/>
          <w:sz w:val="20"/>
          <w:szCs w:val="20"/>
          <w:lang w:val="bg-BG"/>
        </w:rPr>
        <w:t>ваща</w:t>
      </w:r>
      <w:r w:rsidRPr="00EC4C32">
        <w:rPr>
          <w:rFonts w:asciiTheme="minorHAnsi" w:hAnsiTheme="minorHAnsi"/>
          <w:sz w:val="20"/>
          <w:szCs w:val="20"/>
          <w:lang w:val="bg-BG"/>
        </w:rPr>
        <w:t xml:space="preserve"> пазарна оценка на имота е направена на </w:t>
      </w:r>
      <w:r w:rsidR="00F25DC9">
        <w:rPr>
          <w:rFonts w:asciiTheme="minorHAnsi" w:hAnsiTheme="minorHAnsi"/>
          <w:sz w:val="20"/>
          <w:szCs w:val="20"/>
          <w:lang w:val="bg-BG"/>
        </w:rPr>
        <w:t>02.04.2020</w:t>
      </w:r>
      <w:r w:rsidR="00EC4C32">
        <w:rPr>
          <w:rFonts w:asciiTheme="minorHAnsi" w:hAnsiTheme="minorHAnsi"/>
          <w:sz w:val="20"/>
          <w:szCs w:val="20"/>
          <w:lang w:val="bg-BG"/>
        </w:rPr>
        <w:t xml:space="preserve"> </w:t>
      </w:r>
      <w:r w:rsidRPr="00EC4C32">
        <w:rPr>
          <w:rFonts w:asciiTheme="minorHAnsi" w:hAnsiTheme="minorHAnsi"/>
          <w:sz w:val="20"/>
          <w:szCs w:val="20"/>
          <w:lang w:val="bg-BG"/>
        </w:rPr>
        <w:t xml:space="preserve">г. от „Импакт оценители“ ООД, за да послужи на „ЕЛАНА </w:t>
      </w:r>
      <w:r w:rsidR="00F25DC9">
        <w:rPr>
          <w:rFonts w:asciiTheme="minorHAnsi" w:hAnsiTheme="minorHAnsi"/>
          <w:sz w:val="20"/>
          <w:szCs w:val="20"/>
          <w:lang w:val="bg-BG"/>
        </w:rPr>
        <w:t>Т</w:t>
      </w:r>
      <w:r w:rsidRPr="00EC4C32">
        <w:rPr>
          <w:rFonts w:asciiTheme="minorHAnsi" w:hAnsiTheme="minorHAnsi"/>
          <w:sz w:val="20"/>
          <w:szCs w:val="20"/>
          <w:lang w:val="bg-BG"/>
        </w:rPr>
        <w:t>рейдинг“ в качеството й на Довереник на облигационерите и възлиза на 48</w:t>
      </w:r>
      <w:r w:rsidR="00F25DC9">
        <w:rPr>
          <w:rFonts w:asciiTheme="minorHAnsi" w:hAnsiTheme="minorHAnsi"/>
          <w:sz w:val="20"/>
          <w:szCs w:val="20"/>
          <w:lang w:val="bg-BG"/>
        </w:rPr>
        <w:t>4</w:t>
      </w:r>
      <w:r w:rsidRPr="00EC4C32">
        <w:rPr>
          <w:rFonts w:asciiTheme="minorHAnsi" w:hAnsiTheme="minorHAnsi"/>
          <w:sz w:val="20"/>
          <w:szCs w:val="20"/>
          <w:lang w:val="bg-BG"/>
        </w:rPr>
        <w:t xml:space="preserve"> </w:t>
      </w:r>
      <w:r w:rsidR="00F25DC9">
        <w:rPr>
          <w:rFonts w:asciiTheme="minorHAnsi" w:hAnsiTheme="minorHAnsi"/>
          <w:sz w:val="20"/>
          <w:szCs w:val="20"/>
          <w:lang w:val="bg-BG"/>
        </w:rPr>
        <w:t>1</w:t>
      </w:r>
      <w:r w:rsidRPr="00EC4C32">
        <w:rPr>
          <w:rFonts w:asciiTheme="minorHAnsi" w:hAnsiTheme="minorHAnsi"/>
          <w:sz w:val="20"/>
          <w:szCs w:val="20"/>
          <w:lang w:val="bg-BG"/>
        </w:rPr>
        <w:t>00 лв.</w:t>
      </w:r>
      <w:r w:rsidR="00F25DC9">
        <w:rPr>
          <w:rFonts w:asciiTheme="minorHAnsi" w:hAnsiTheme="minorHAnsi"/>
          <w:sz w:val="20"/>
          <w:szCs w:val="20"/>
          <w:lang w:val="bg-BG"/>
        </w:rPr>
        <w:t xml:space="preserve"> </w:t>
      </w:r>
      <w:r w:rsidR="00F25DC9" w:rsidRPr="00EC4C32">
        <w:rPr>
          <w:rFonts w:asciiTheme="minorHAnsi" w:hAnsiTheme="minorHAnsi"/>
          <w:sz w:val="20"/>
          <w:szCs w:val="20"/>
          <w:lang w:val="bg-BG"/>
        </w:rPr>
        <w:t>Послед</w:t>
      </w:r>
      <w:r w:rsidR="00F25DC9">
        <w:rPr>
          <w:rFonts w:asciiTheme="minorHAnsi" w:hAnsiTheme="minorHAnsi"/>
          <w:sz w:val="20"/>
          <w:szCs w:val="20"/>
          <w:lang w:val="bg-BG"/>
        </w:rPr>
        <w:t>ваща</w:t>
      </w:r>
      <w:r w:rsidR="00F25DC9" w:rsidRPr="00EC4C32">
        <w:rPr>
          <w:rFonts w:asciiTheme="minorHAnsi" w:hAnsiTheme="minorHAnsi"/>
          <w:sz w:val="20"/>
          <w:szCs w:val="20"/>
          <w:lang w:val="bg-BG"/>
        </w:rPr>
        <w:t xml:space="preserve"> пазарна оценка на имота е направена на </w:t>
      </w:r>
      <w:r w:rsidR="00F25DC9">
        <w:rPr>
          <w:rFonts w:asciiTheme="minorHAnsi" w:hAnsiTheme="minorHAnsi"/>
          <w:sz w:val="20"/>
          <w:szCs w:val="20"/>
          <w:lang w:val="bg-BG"/>
        </w:rPr>
        <w:t xml:space="preserve">20.05.2021 </w:t>
      </w:r>
      <w:r w:rsidR="00F25DC9" w:rsidRPr="00EC4C32">
        <w:rPr>
          <w:rFonts w:asciiTheme="minorHAnsi" w:hAnsiTheme="minorHAnsi"/>
          <w:sz w:val="20"/>
          <w:szCs w:val="20"/>
          <w:lang w:val="bg-BG"/>
        </w:rPr>
        <w:t xml:space="preserve">г. от „Импакт оценители“ ООД, за да послужи на „ЕЛАНА </w:t>
      </w:r>
      <w:r w:rsidR="00F25DC9">
        <w:rPr>
          <w:rFonts w:asciiTheme="minorHAnsi" w:hAnsiTheme="minorHAnsi"/>
          <w:sz w:val="20"/>
          <w:szCs w:val="20"/>
          <w:lang w:val="bg-BG"/>
        </w:rPr>
        <w:t>Т</w:t>
      </w:r>
      <w:r w:rsidR="00F25DC9" w:rsidRPr="00EC4C32">
        <w:rPr>
          <w:rFonts w:asciiTheme="minorHAnsi" w:hAnsiTheme="minorHAnsi"/>
          <w:sz w:val="20"/>
          <w:szCs w:val="20"/>
          <w:lang w:val="bg-BG"/>
        </w:rPr>
        <w:t xml:space="preserve">рейдинг“ в качеството й на Довереник </w:t>
      </w:r>
      <w:r w:rsidR="00F25DC9" w:rsidRPr="00EC4C32">
        <w:rPr>
          <w:rFonts w:asciiTheme="minorHAnsi" w:hAnsiTheme="minorHAnsi"/>
          <w:sz w:val="20"/>
          <w:szCs w:val="20"/>
          <w:lang w:val="bg-BG"/>
        </w:rPr>
        <w:lastRenderedPageBreak/>
        <w:t>на облигационерите и възлиза на 48</w:t>
      </w:r>
      <w:r w:rsidR="00F25DC9">
        <w:rPr>
          <w:rFonts w:asciiTheme="minorHAnsi" w:hAnsiTheme="minorHAnsi"/>
          <w:sz w:val="20"/>
          <w:szCs w:val="20"/>
          <w:lang w:val="bg-BG"/>
        </w:rPr>
        <w:t>5</w:t>
      </w:r>
      <w:r w:rsidR="00F25DC9" w:rsidRPr="00EC4C32">
        <w:rPr>
          <w:rFonts w:asciiTheme="minorHAnsi" w:hAnsiTheme="minorHAnsi"/>
          <w:sz w:val="20"/>
          <w:szCs w:val="20"/>
          <w:lang w:val="bg-BG"/>
        </w:rPr>
        <w:t xml:space="preserve"> </w:t>
      </w:r>
      <w:r w:rsidR="00F25DC9">
        <w:rPr>
          <w:rFonts w:asciiTheme="minorHAnsi" w:hAnsiTheme="minorHAnsi"/>
          <w:sz w:val="20"/>
          <w:szCs w:val="20"/>
          <w:lang w:val="bg-BG"/>
        </w:rPr>
        <w:t>0</w:t>
      </w:r>
      <w:r w:rsidR="00F25DC9" w:rsidRPr="00EC4C32">
        <w:rPr>
          <w:rFonts w:asciiTheme="minorHAnsi" w:hAnsiTheme="minorHAnsi"/>
          <w:sz w:val="20"/>
          <w:szCs w:val="20"/>
          <w:lang w:val="bg-BG"/>
        </w:rPr>
        <w:t>00 лв.</w:t>
      </w:r>
      <w:r w:rsidR="00F25DC9">
        <w:rPr>
          <w:rFonts w:asciiTheme="minorHAnsi" w:hAnsiTheme="minorHAnsi"/>
          <w:sz w:val="20"/>
          <w:szCs w:val="20"/>
          <w:lang w:val="bg-BG"/>
        </w:rPr>
        <w:t xml:space="preserve"> </w:t>
      </w:r>
      <w:r w:rsidR="00F25DC9" w:rsidRPr="00EC4C32">
        <w:rPr>
          <w:rFonts w:asciiTheme="minorHAnsi" w:hAnsiTheme="minorHAnsi"/>
          <w:sz w:val="20"/>
          <w:szCs w:val="20"/>
          <w:lang w:val="bg-BG"/>
        </w:rPr>
        <w:t xml:space="preserve">Последната пазарна оценка на имота е направена на </w:t>
      </w:r>
      <w:r w:rsidR="00F25DC9">
        <w:rPr>
          <w:rFonts w:asciiTheme="minorHAnsi" w:hAnsiTheme="minorHAnsi"/>
          <w:sz w:val="20"/>
          <w:szCs w:val="20"/>
          <w:lang w:val="bg-BG"/>
        </w:rPr>
        <w:t xml:space="preserve">13.05.2022 </w:t>
      </w:r>
      <w:r w:rsidR="00F25DC9" w:rsidRPr="00EC4C32">
        <w:rPr>
          <w:rFonts w:asciiTheme="minorHAnsi" w:hAnsiTheme="minorHAnsi"/>
          <w:sz w:val="20"/>
          <w:szCs w:val="20"/>
          <w:lang w:val="bg-BG"/>
        </w:rPr>
        <w:t xml:space="preserve">г. от „Импакт оценители“ ООД, за да послужи на „ЕЛАНА трейдинг“ в качеството й на Довереник на облигационерите и възлиза на </w:t>
      </w:r>
      <w:r w:rsidR="00F25DC9">
        <w:rPr>
          <w:rFonts w:asciiTheme="minorHAnsi" w:hAnsiTheme="minorHAnsi"/>
          <w:sz w:val="20"/>
          <w:szCs w:val="20"/>
          <w:lang w:val="bg-BG"/>
        </w:rPr>
        <w:t>512</w:t>
      </w:r>
      <w:r w:rsidR="00F25DC9" w:rsidRPr="00EC4C32">
        <w:rPr>
          <w:rFonts w:asciiTheme="minorHAnsi" w:hAnsiTheme="minorHAnsi"/>
          <w:sz w:val="20"/>
          <w:szCs w:val="20"/>
          <w:lang w:val="bg-BG"/>
        </w:rPr>
        <w:t xml:space="preserve"> </w:t>
      </w:r>
      <w:r w:rsidR="00F25DC9">
        <w:rPr>
          <w:rFonts w:asciiTheme="minorHAnsi" w:hAnsiTheme="minorHAnsi"/>
          <w:sz w:val="20"/>
          <w:szCs w:val="20"/>
          <w:lang w:val="bg-BG"/>
        </w:rPr>
        <w:t>0</w:t>
      </w:r>
      <w:r w:rsidR="00F25DC9" w:rsidRPr="00EC4C32">
        <w:rPr>
          <w:rFonts w:asciiTheme="minorHAnsi" w:hAnsiTheme="minorHAnsi"/>
          <w:sz w:val="20"/>
          <w:szCs w:val="20"/>
          <w:lang w:val="bg-BG"/>
        </w:rPr>
        <w:t>00 лв.</w:t>
      </w:r>
    </w:p>
    <w:p w14:paraId="42A16B42" w14:textId="33E5CA18" w:rsidR="00E05CA7" w:rsidRPr="00EC4C32" w:rsidRDefault="00E05CA7" w:rsidP="00EC4C32">
      <w:pPr>
        <w:pStyle w:val="ListParagraph"/>
        <w:spacing w:after="120"/>
        <w:ind w:left="0" w:right="566"/>
        <w:contextualSpacing w:val="0"/>
        <w:jc w:val="both"/>
        <w:rPr>
          <w:rFonts w:asciiTheme="minorHAnsi" w:hAnsiTheme="minorHAnsi"/>
          <w:sz w:val="20"/>
          <w:szCs w:val="20"/>
          <w:lang w:val="bg-BG"/>
        </w:rPr>
      </w:pPr>
    </w:p>
    <w:p w14:paraId="459C96E5" w14:textId="77777777" w:rsidR="0022327F" w:rsidRPr="00EC4C32" w:rsidRDefault="0022327F" w:rsidP="00EC4C32">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Първи по ред особен залог, по реда на Закона за особените залози (ЗОЗ) върху съвкупност от настоящи и бъдещи вземания по договори за заеми на физически и юридически лица, които вземания са класифицирани като редовни съгласно Предложението за записване на корпоративни облигации от 11.11.2019 г. </w:t>
      </w:r>
    </w:p>
    <w:p w14:paraId="2355B9D1" w14:textId="3741364B" w:rsidR="0022327F"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 xml:space="preserve">Договорът за особен залог с прилежащо към него Приложение №1, представляващо списък на индивидуализираните вземания, представляващи заложеното имущество, е вписан в Централния регистър на особените залози (ЦРОЗ) на 28.11.2019 г. със страни "АЙ ТИ ЕФ Груп" АД като залогодател и "ЕЛАНА Трейдинг" като заложения кредитор съгласно Договора за изпълнение на функцията Довереника на облигационерите. Приложение №1 </w:t>
      </w:r>
      <w:r w:rsidR="00EC4C32">
        <w:rPr>
          <w:rFonts w:asciiTheme="minorHAnsi" w:hAnsiTheme="minorHAnsi"/>
          <w:sz w:val="20"/>
          <w:szCs w:val="20"/>
          <w:lang w:val="bg-BG"/>
        </w:rPr>
        <w:t>се</w:t>
      </w:r>
      <w:r w:rsidRPr="00EC4C32">
        <w:rPr>
          <w:rFonts w:asciiTheme="minorHAnsi" w:hAnsiTheme="minorHAnsi"/>
          <w:sz w:val="20"/>
          <w:szCs w:val="20"/>
          <w:lang w:val="bg-BG"/>
        </w:rPr>
        <w:t xml:space="preserve"> актуализира</w:t>
      </w:r>
      <w:r w:rsidR="00EC4C32">
        <w:rPr>
          <w:rFonts w:asciiTheme="minorHAnsi" w:hAnsiTheme="minorHAnsi"/>
          <w:sz w:val="20"/>
          <w:szCs w:val="20"/>
          <w:lang w:val="bg-BG"/>
        </w:rPr>
        <w:t xml:space="preserve"> с анекс при всяка промяна на съвкупността от вземания, служещи като обезпечение и съответния анекс се вписва в ЦРОЗ. </w:t>
      </w:r>
      <w:r w:rsidR="00D209B8" w:rsidRPr="00C335E7">
        <w:rPr>
          <w:rFonts w:asciiTheme="minorHAnsi" w:hAnsiTheme="minorHAnsi"/>
          <w:sz w:val="20"/>
          <w:szCs w:val="20"/>
          <w:lang w:val="bg-BG"/>
        </w:rPr>
        <w:t>Към 3</w:t>
      </w:r>
      <w:r w:rsidR="003C537F">
        <w:rPr>
          <w:rFonts w:asciiTheme="minorHAnsi" w:hAnsiTheme="minorHAnsi"/>
          <w:sz w:val="20"/>
          <w:szCs w:val="20"/>
          <w:lang w:val="bg-BG"/>
        </w:rPr>
        <w:t>1</w:t>
      </w:r>
      <w:r w:rsidR="00D209B8" w:rsidRPr="00C335E7">
        <w:rPr>
          <w:rFonts w:asciiTheme="minorHAnsi" w:hAnsiTheme="minorHAnsi"/>
          <w:sz w:val="20"/>
          <w:szCs w:val="20"/>
          <w:lang w:val="bg-BG"/>
        </w:rPr>
        <w:t>.</w:t>
      </w:r>
      <w:r w:rsidR="003C537F">
        <w:rPr>
          <w:rFonts w:asciiTheme="minorHAnsi" w:hAnsiTheme="minorHAnsi"/>
          <w:sz w:val="20"/>
          <w:szCs w:val="20"/>
          <w:lang w:val="bg-BG"/>
        </w:rPr>
        <w:t>12</w:t>
      </w:r>
      <w:r w:rsidR="00D209B8" w:rsidRPr="00C335E7">
        <w:rPr>
          <w:rFonts w:asciiTheme="minorHAnsi" w:hAnsiTheme="minorHAnsi"/>
          <w:sz w:val="20"/>
          <w:szCs w:val="20"/>
          <w:lang w:val="bg-BG"/>
        </w:rPr>
        <w:t>.202</w:t>
      </w:r>
      <w:r w:rsidR="008768A6">
        <w:rPr>
          <w:rFonts w:asciiTheme="minorHAnsi" w:hAnsiTheme="minorHAnsi"/>
          <w:sz w:val="20"/>
          <w:szCs w:val="20"/>
          <w:lang w:val="bg-BG"/>
        </w:rPr>
        <w:t>2</w:t>
      </w:r>
      <w:r w:rsidR="00D209B8" w:rsidRPr="00C335E7">
        <w:rPr>
          <w:rFonts w:asciiTheme="minorHAnsi" w:hAnsiTheme="minorHAnsi"/>
          <w:sz w:val="20"/>
          <w:szCs w:val="20"/>
          <w:lang w:val="bg-BG"/>
        </w:rPr>
        <w:t xml:space="preserve">г. в действие </w:t>
      </w:r>
      <w:r w:rsidR="00C335E7" w:rsidRPr="00C335E7">
        <w:rPr>
          <w:rFonts w:asciiTheme="minorHAnsi" w:hAnsiTheme="minorHAnsi"/>
          <w:sz w:val="20"/>
          <w:szCs w:val="20"/>
          <w:lang w:val="bg-BG"/>
        </w:rPr>
        <w:t xml:space="preserve">е Анекс </w:t>
      </w:r>
      <w:r w:rsidR="008768A6">
        <w:rPr>
          <w:rFonts w:asciiTheme="minorHAnsi" w:hAnsiTheme="minorHAnsi"/>
          <w:sz w:val="20"/>
          <w:szCs w:val="20"/>
          <w:lang w:val="bg-BG"/>
        </w:rPr>
        <w:t>4</w:t>
      </w:r>
      <w:r w:rsidR="003C537F">
        <w:rPr>
          <w:rFonts w:asciiTheme="minorHAnsi" w:hAnsiTheme="minorHAnsi"/>
          <w:sz w:val="20"/>
          <w:szCs w:val="20"/>
          <w:lang w:val="bg-BG"/>
        </w:rPr>
        <w:t>3</w:t>
      </w:r>
      <w:r w:rsidR="00D209B8" w:rsidRPr="00C335E7">
        <w:rPr>
          <w:rFonts w:asciiTheme="minorHAnsi" w:hAnsiTheme="minorHAnsi"/>
          <w:sz w:val="20"/>
          <w:szCs w:val="20"/>
          <w:lang w:val="bg-BG"/>
        </w:rPr>
        <w:t xml:space="preserve">, сключен на </w:t>
      </w:r>
      <w:r w:rsidR="003C537F">
        <w:rPr>
          <w:rFonts w:asciiTheme="minorHAnsi" w:hAnsiTheme="minorHAnsi"/>
          <w:sz w:val="20"/>
          <w:szCs w:val="20"/>
          <w:lang w:val="bg-BG"/>
        </w:rPr>
        <w:t>03.10</w:t>
      </w:r>
      <w:r w:rsidR="008768A6">
        <w:rPr>
          <w:rFonts w:asciiTheme="minorHAnsi" w:hAnsiTheme="minorHAnsi"/>
          <w:sz w:val="20"/>
          <w:szCs w:val="20"/>
          <w:lang w:val="bg-BG"/>
        </w:rPr>
        <w:t>.2022</w:t>
      </w:r>
      <w:r w:rsidR="00D209B8" w:rsidRPr="00C335E7">
        <w:rPr>
          <w:rFonts w:asciiTheme="minorHAnsi" w:hAnsiTheme="minorHAnsi"/>
          <w:sz w:val="20"/>
          <w:szCs w:val="20"/>
          <w:lang w:val="bg-BG"/>
        </w:rPr>
        <w:t xml:space="preserve">г. и обявен в ЦРОЗ на </w:t>
      </w:r>
      <w:r w:rsidR="003C537F">
        <w:rPr>
          <w:rFonts w:asciiTheme="minorHAnsi" w:hAnsiTheme="minorHAnsi"/>
          <w:sz w:val="20"/>
          <w:szCs w:val="20"/>
          <w:lang w:val="bg-BG"/>
        </w:rPr>
        <w:t>05.10</w:t>
      </w:r>
      <w:r w:rsidR="008768A6">
        <w:rPr>
          <w:rFonts w:asciiTheme="minorHAnsi" w:hAnsiTheme="minorHAnsi"/>
          <w:sz w:val="20"/>
          <w:szCs w:val="20"/>
          <w:lang w:val="bg-BG"/>
        </w:rPr>
        <w:t>.2022</w:t>
      </w:r>
      <w:r w:rsidR="00D209B8" w:rsidRPr="00C335E7">
        <w:rPr>
          <w:rFonts w:asciiTheme="minorHAnsi" w:hAnsiTheme="minorHAnsi"/>
          <w:sz w:val="20"/>
          <w:szCs w:val="20"/>
          <w:lang w:val="bg-BG"/>
        </w:rPr>
        <w:t>г.</w:t>
      </w:r>
    </w:p>
    <w:p w14:paraId="2AC64C9C" w14:textId="77777777" w:rsidR="00A919CB"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Договорът за особен залог е анексиран с Анекс 3 от 20.02.2020 г. , когато е прецизиран текста на уведомлението, което Залогодателят следва да направи към длъжниците по нововъзникнали вземания след сключването и вписването на Договора за особен залог чрез клауза в индивидуалните договори за предоставяне на кредити на трети лица. Анекс 3, съответно съдържащите се в него обстоятелства не е вписан в ЦРОЗ защото промяната на текста за уведомяване на кредитополучателите не е обстоятелство, което подлежи на вписване или обявяване в ЦРОЗ съгласно изискванията на чл. 26 от Закона за особените залози.</w:t>
      </w:r>
    </w:p>
    <w:p w14:paraId="1475D3AB" w14:textId="77777777" w:rsidR="00A919CB"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Съгласно чл. 5.1 от Договора в случай, че Залогодателят не изпълни което и да е от своите задължения от настоящия Договор или от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p>
    <w:p w14:paraId="0745F62E" w14:textId="77777777" w:rsidR="00AB64D3" w:rsidRPr="00EC4C32" w:rsidRDefault="006721AE"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ескроу сметката, открита за целите на емисията в „Уникредит Булбанк“ и минус стойността на недвижимото имущество заложено като обезпечение на настоящата емисия;</w:t>
      </w:r>
    </w:p>
    <w:p w14:paraId="2201F8E3" w14:textId="2A5B2FE2" w:rsidR="0022327F" w:rsidRPr="00EC4C32" w:rsidRDefault="0022327F" w:rsidP="00EC4C32">
      <w:pPr>
        <w:pStyle w:val="ListParagraph"/>
        <w:spacing w:after="120"/>
        <w:ind w:left="0" w:right="566"/>
        <w:contextualSpacing w:val="0"/>
        <w:jc w:val="both"/>
        <w:rPr>
          <w:rFonts w:asciiTheme="minorHAnsi" w:hAnsiTheme="minorHAnsi"/>
          <w:sz w:val="20"/>
          <w:szCs w:val="20"/>
          <w:lang w:val="bg-BG"/>
        </w:rPr>
      </w:pPr>
      <w:r w:rsidRPr="00EC4C32">
        <w:rPr>
          <w:rFonts w:asciiTheme="minorHAnsi" w:hAnsiTheme="minorHAnsi"/>
          <w:sz w:val="20"/>
          <w:szCs w:val="20"/>
          <w:lang w:val="bg-BG"/>
        </w:rPr>
        <w:t>Към дата</w:t>
      </w:r>
      <w:r w:rsidR="00C335E7">
        <w:rPr>
          <w:rFonts w:asciiTheme="minorHAnsi" w:hAnsiTheme="minorHAnsi"/>
          <w:sz w:val="20"/>
          <w:szCs w:val="20"/>
          <w:lang w:val="bg-BG"/>
        </w:rPr>
        <w:t>та</w:t>
      </w:r>
      <w:r w:rsidRPr="00EC4C32">
        <w:rPr>
          <w:rFonts w:asciiTheme="minorHAnsi" w:hAnsiTheme="minorHAnsi"/>
          <w:sz w:val="20"/>
          <w:szCs w:val="20"/>
          <w:lang w:val="bg-BG"/>
        </w:rPr>
        <w:t xml:space="preserve"> на настоящия доклад Приложение 1 към Договора за особен залог е </w:t>
      </w:r>
      <w:r w:rsidR="00D209B8">
        <w:rPr>
          <w:rFonts w:asciiTheme="minorHAnsi" w:hAnsiTheme="minorHAnsi"/>
          <w:sz w:val="20"/>
          <w:szCs w:val="20"/>
          <w:lang w:val="bg-BG"/>
        </w:rPr>
        <w:t xml:space="preserve">последно </w:t>
      </w:r>
      <w:r w:rsidRPr="00EC4C32">
        <w:rPr>
          <w:rFonts w:asciiTheme="minorHAnsi" w:hAnsiTheme="minorHAnsi"/>
          <w:sz w:val="20"/>
          <w:szCs w:val="20"/>
          <w:lang w:val="bg-BG"/>
        </w:rPr>
        <w:t>актуализиран</w:t>
      </w:r>
      <w:r w:rsidR="00D209B8">
        <w:rPr>
          <w:rFonts w:asciiTheme="minorHAnsi" w:hAnsiTheme="minorHAnsi"/>
          <w:sz w:val="20"/>
          <w:szCs w:val="20"/>
          <w:lang w:val="bg-BG"/>
        </w:rPr>
        <w:t>о</w:t>
      </w:r>
      <w:r w:rsidRPr="00EC4C32">
        <w:rPr>
          <w:rFonts w:asciiTheme="minorHAnsi" w:hAnsiTheme="minorHAnsi"/>
          <w:sz w:val="20"/>
          <w:szCs w:val="20"/>
          <w:lang w:val="bg-BG"/>
        </w:rPr>
        <w:t xml:space="preserve"> с Анекс </w:t>
      </w:r>
      <w:r w:rsidR="008768A6">
        <w:rPr>
          <w:rFonts w:asciiTheme="minorHAnsi" w:hAnsiTheme="minorHAnsi"/>
          <w:sz w:val="20"/>
          <w:szCs w:val="20"/>
          <w:lang w:val="bg-BG"/>
        </w:rPr>
        <w:t>4</w:t>
      </w:r>
      <w:r w:rsidR="005C2C47">
        <w:rPr>
          <w:rFonts w:asciiTheme="minorHAnsi" w:hAnsiTheme="minorHAnsi"/>
          <w:sz w:val="20"/>
          <w:szCs w:val="20"/>
          <w:lang w:val="bg-BG"/>
        </w:rPr>
        <w:t>4</w:t>
      </w:r>
      <w:r w:rsidRPr="00EC4C32">
        <w:rPr>
          <w:rFonts w:asciiTheme="minorHAnsi" w:hAnsiTheme="minorHAnsi"/>
          <w:sz w:val="20"/>
          <w:szCs w:val="20"/>
          <w:lang w:val="bg-BG"/>
        </w:rPr>
        <w:t xml:space="preserve"> от </w:t>
      </w:r>
      <w:r w:rsidR="005C2C47">
        <w:rPr>
          <w:rFonts w:asciiTheme="minorHAnsi" w:hAnsiTheme="minorHAnsi"/>
          <w:sz w:val="20"/>
          <w:szCs w:val="20"/>
          <w:lang w:val="bg-BG"/>
        </w:rPr>
        <w:t>07.02.2023</w:t>
      </w:r>
      <w:r w:rsidRPr="00EC4C32">
        <w:rPr>
          <w:rFonts w:asciiTheme="minorHAnsi" w:hAnsiTheme="minorHAnsi"/>
          <w:sz w:val="20"/>
          <w:szCs w:val="20"/>
          <w:lang w:val="bg-BG"/>
        </w:rPr>
        <w:t xml:space="preserve"> </w:t>
      </w:r>
      <w:r w:rsidR="00D209B8">
        <w:rPr>
          <w:rFonts w:asciiTheme="minorHAnsi" w:hAnsiTheme="minorHAnsi"/>
          <w:sz w:val="20"/>
          <w:szCs w:val="20"/>
          <w:lang w:val="bg-BG"/>
        </w:rPr>
        <w:t xml:space="preserve">г., </w:t>
      </w:r>
      <w:r w:rsidRPr="00EC4C32">
        <w:rPr>
          <w:rFonts w:asciiTheme="minorHAnsi" w:hAnsiTheme="minorHAnsi"/>
          <w:sz w:val="20"/>
          <w:szCs w:val="20"/>
          <w:lang w:val="bg-BG"/>
        </w:rPr>
        <w:t xml:space="preserve">вписан в ЦРОЗ на </w:t>
      </w:r>
      <w:r w:rsidR="005C2C47">
        <w:rPr>
          <w:rFonts w:asciiTheme="minorHAnsi" w:hAnsiTheme="minorHAnsi"/>
          <w:sz w:val="20"/>
          <w:szCs w:val="20"/>
          <w:lang w:val="bg-BG"/>
        </w:rPr>
        <w:t>09.02.2023</w:t>
      </w:r>
      <w:r w:rsidRPr="00EC4C32">
        <w:rPr>
          <w:rFonts w:asciiTheme="minorHAnsi" w:hAnsiTheme="minorHAnsi"/>
          <w:sz w:val="20"/>
          <w:szCs w:val="20"/>
          <w:lang w:val="bg-BG"/>
        </w:rPr>
        <w:t xml:space="preserve"> г.</w:t>
      </w:r>
    </w:p>
    <w:p w14:paraId="40B5DC74" w14:textId="77777777" w:rsidR="005539AF" w:rsidRPr="00D209B8" w:rsidRDefault="005539AF" w:rsidP="00D209B8">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D209B8">
        <w:rPr>
          <w:rFonts w:asciiTheme="minorHAnsi" w:hAnsiTheme="minorHAnsi"/>
          <w:sz w:val="20"/>
          <w:szCs w:val="20"/>
          <w:lang w:val="bg-BG"/>
        </w:rPr>
        <w:t>Първа по ред особен залог, по реда на Закона за особените залози (ЗОЗ) върху всички настоящи и бъдещи вземания по платежни сметки на "Ай Ти Еф Груп" в "Изипей" АД, както и вземанията по всички останали настоящи и бъдещи сметки на "Ай Ти Еф Груп" АД в платежни институции на територията на Република България.</w:t>
      </w:r>
    </w:p>
    <w:p w14:paraId="1BD72CA1" w14:textId="77777777" w:rsidR="005539AF" w:rsidRPr="00D209B8" w:rsidRDefault="005539AF"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Договорът за особен залог е вписан в ЦРОЗ на 17.03.2020 г. със страни "Ай Ти Еф Груп" АД като залогодател и "ЕЛАНА Трейдинг" като заложения кредитор съгласно Договора за изпълнение на функцията Довереника на облигационерите.</w:t>
      </w:r>
    </w:p>
    <w:p w14:paraId="28D7D1D7" w14:textId="77777777" w:rsidR="00AB64D3" w:rsidRPr="00D209B8" w:rsidRDefault="005539AF"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Съгласно чл. 5.1 от Договора в случай, че Залогодателят не изпълни което и да е от своите задължения от настоящия Договор след предоставяне на 14 (четиринадесет) дневен срок за доброволно изпълнение или при неизпълнение на задължения съгласно сроковете и условията на Договора за изпълнение на функцията "Довереник на облигационерите" или от условията на облигационния заем, Заложният </w:t>
      </w:r>
      <w:r w:rsidRPr="00D209B8">
        <w:rPr>
          <w:rFonts w:asciiTheme="minorHAnsi" w:hAnsiTheme="minorHAnsi"/>
          <w:sz w:val="20"/>
          <w:szCs w:val="20"/>
          <w:lang w:val="bg-BG"/>
        </w:rPr>
        <w:lastRenderedPageBreak/>
        <w:t>кредитор има право, да обяви Обезпечените вземания за предсрочно изцяло или частично изискуеми и да се удовлетвори от Заложеното имущество</w:t>
      </w:r>
      <w:r w:rsidR="006721AE" w:rsidRPr="00D209B8">
        <w:rPr>
          <w:rFonts w:asciiTheme="minorHAnsi" w:hAnsiTheme="minorHAnsi"/>
          <w:sz w:val="20"/>
          <w:szCs w:val="20"/>
          <w:lang w:val="bg-BG"/>
        </w:rPr>
        <w:t>;</w:t>
      </w:r>
    </w:p>
    <w:p w14:paraId="7A99E52A" w14:textId="77777777" w:rsidR="007D71C1" w:rsidRPr="00D209B8" w:rsidRDefault="007D71C1" w:rsidP="00D209B8">
      <w:pPr>
        <w:pStyle w:val="ListParagraph"/>
        <w:numPr>
          <w:ilvl w:val="1"/>
          <w:numId w:val="21"/>
        </w:numPr>
        <w:spacing w:after="120"/>
        <w:ind w:left="993" w:right="567" w:firstLine="0"/>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Валидна застрахователна полица за застраховане на сградите, предмет на обезпечението по подточки 5.1) и 5.2)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следващия параграф и по която ко-бенефициент на застрахователно обезщетение следва да бъде Довереника. За яснота, в случай на застрахователно събитие застрахователят изплаща дължимото обезщетение на Довереника до размера на непогасената част от облигационната емисия, намалена със салдото по ескроу-сметката, изчислявано въз основа на предоставено удостоверение от ЦД за размера на непогасената главница от емисията и удостоверение от Банката по есктроу сметката за салдото по ескроу сметката. Застрахователят може да изплати обезщетението директно на застрахования/застрахованите само след получено писмено съгласие от Довереника. </w:t>
      </w:r>
    </w:p>
    <w:p w14:paraId="7CF98812" w14:textId="77777777" w:rsidR="007D71C1" w:rsidRPr="00D209B8" w:rsidRDefault="007D71C1"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Застрахователната полица покрива най-малкото следните рискове: пожар и последиците от гасенето му, мълния, експлозия и имплозия, удар от летателни апарати или от падащи от тях части и предмети; Буря, ураган, увреждане от падащи клони и дървета, проливен дъжд, наводнение от природно бедствие, увреждане от тежест при естествено натрупване на сняг или лед, действие на подпочвени води, свличане и срутване на земни пластове, градушка, падане на лавина; Авария на водопроводни, канализационни, отоплителни и климатични инсталации, късо съединение и токов удар, удар от пътно превозно средство или животно; Земетресение; Вандализъм, вкл. злоумишлен пожар и злоумишлена експлозия.</w:t>
      </w:r>
    </w:p>
    <w:p w14:paraId="0BE618A6" w14:textId="77777777" w:rsidR="007D71C1" w:rsidRPr="00D209B8" w:rsidRDefault="007D71C1"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На 11.12.2019 г., "АЙ ТИ ЕФ Груп" АД като застраховащ, е сключил валидна застрахователната полица на сградите обект на обезпечение на настоящата емисия облигации за посочените в горния параграф рискове със Застрахователно акционерно дружество "Алианц България" АД за обща застрахователна сума от 990 529 (деветстотин и деветдесет хиляди петстотин и двадесет и девет) евро. </w:t>
      </w:r>
    </w:p>
    <w:p w14:paraId="154C4065" w14:textId="77777777" w:rsidR="006721AE" w:rsidRPr="00D209B8" w:rsidRDefault="007D71C1"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Лицата, предоставили обезпечението, се задължават да подновяват полицата при изтичане на срока и да заплащат всички застрахователни премии и други разходи във връзка със застраховката в срок и пълен размер, съгласно условията на застраховката, както и да предоставят на Довереника оригинал на застрахователната полица</w:t>
      </w:r>
      <w:r w:rsidR="006721AE" w:rsidRPr="00D209B8">
        <w:rPr>
          <w:rFonts w:asciiTheme="minorHAnsi" w:hAnsiTheme="minorHAnsi"/>
          <w:sz w:val="20"/>
          <w:szCs w:val="20"/>
          <w:lang w:val="bg-BG"/>
        </w:rPr>
        <w:t>;</w:t>
      </w:r>
    </w:p>
    <w:p w14:paraId="294F1CFD" w14:textId="77777777" w:rsidR="006721AE" w:rsidRPr="00D209B8" w:rsidRDefault="006721AE" w:rsidP="00D209B8">
      <w:pPr>
        <w:pStyle w:val="ListParagraph"/>
        <w:spacing w:after="120"/>
        <w:ind w:left="0" w:right="566"/>
        <w:contextualSpacing w:val="0"/>
        <w:jc w:val="both"/>
        <w:rPr>
          <w:rFonts w:asciiTheme="minorHAnsi" w:hAnsiTheme="minorHAnsi"/>
          <w:sz w:val="20"/>
          <w:szCs w:val="20"/>
          <w:lang w:val="bg-BG"/>
        </w:rPr>
      </w:pPr>
      <w:r w:rsidRPr="00D209B8">
        <w:rPr>
          <w:rFonts w:asciiTheme="minorHAnsi" w:hAnsiTheme="minorHAnsi"/>
          <w:sz w:val="20"/>
          <w:szCs w:val="20"/>
          <w:lang w:val="bg-BG"/>
        </w:rPr>
        <w:t xml:space="preserve">Обхватът на обезпечението съгласно Предложението за записване на корпоративните облигации от 11.11.2019г. и Договора за изпълнение на функцията „Довереник на облигационерите“ от 12.11.2019 г. е в размер на 125% от размера на остатъчната главница на облигационния заем минус наличната сума по ескроу сметката, открита в „Уникредит Булбанк“ специално за целите на облигационния заем. </w:t>
      </w:r>
    </w:p>
    <w:p w14:paraId="5B17D586" w14:textId="204C98F1" w:rsidR="006721AE" w:rsidRPr="008768A6" w:rsidRDefault="006721AE" w:rsidP="00D209B8">
      <w:pPr>
        <w:pStyle w:val="ListParagraph"/>
        <w:spacing w:after="120"/>
        <w:ind w:left="0" w:right="566"/>
        <w:contextualSpacing w:val="0"/>
        <w:jc w:val="both"/>
        <w:rPr>
          <w:rFonts w:asciiTheme="minorHAnsi" w:hAnsiTheme="minorHAnsi"/>
          <w:sz w:val="20"/>
          <w:szCs w:val="20"/>
          <w:lang w:val="bg-BG"/>
        </w:rPr>
      </w:pPr>
      <w:r w:rsidRPr="008768A6">
        <w:rPr>
          <w:rFonts w:asciiTheme="minorHAnsi" w:hAnsiTheme="minorHAnsi"/>
          <w:sz w:val="20"/>
          <w:szCs w:val="20"/>
          <w:lang w:val="bg-BG"/>
        </w:rPr>
        <w:t xml:space="preserve">Към </w:t>
      </w:r>
      <w:r w:rsidR="005C2C47">
        <w:rPr>
          <w:rFonts w:asciiTheme="minorHAnsi" w:hAnsiTheme="minorHAnsi"/>
          <w:sz w:val="20"/>
          <w:szCs w:val="20"/>
          <w:lang w:val="bg-BG"/>
        </w:rPr>
        <w:t>31</w:t>
      </w:r>
      <w:r w:rsidRPr="008768A6">
        <w:rPr>
          <w:rFonts w:asciiTheme="minorHAnsi" w:hAnsiTheme="minorHAnsi"/>
          <w:sz w:val="20"/>
          <w:szCs w:val="20"/>
          <w:lang w:val="bg-BG"/>
        </w:rPr>
        <w:t>.</w:t>
      </w:r>
      <w:r w:rsidR="005C2C47">
        <w:rPr>
          <w:rFonts w:asciiTheme="minorHAnsi" w:hAnsiTheme="minorHAnsi"/>
          <w:sz w:val="20"/>
          <w:szCs w:val="20"/>
          <w:lang w:val="bg-BG"/>
        </w:rPr>
        <w:t>12</w:t>
      </w:r>
      <w:r w:rsidRPr="008768A6">
        <w:rPr>
          <w:rFonts w:asciiTheme="minorHAnsi" w:hAnsiTheme="minorHAnsi"/>
          <w:sz w:val="20"/>
          <w:szCs w:val="20"/>
          <w:lang w:val="bg-BG"/>
        </w:rPr>
        <w:t>.202</w:t>
      </w:r>
      <w:r w:rsidR="008967C1" w:rsidRPr="008768A6">
        <w:rPr>
          <w:rFonts w:asciiTheme="minorHAnsi" w:hAnsiTheme="minorHAnsi"/>
          <w:sz w:val="20"/>
          <w:szCs w:val="20"/>
          <w:lang w:val="bg-BG"/>
        </w:rPr>
        <w:t>2</w:t>
      </w:r>
      <w:r w:rsidRPr="008768A6">
        <w:rPr>
          <w:rFonts w:asciiTheme="minorHAnsi" w:hAnsiTheme="minorHAnsi"/>
          <w:sz w:val="20"/>
          <w:szCs w:val="20"/>
          <w:lang w:val="bg-BG"/>
        </w:rPr>
        <w:t xml:space="preserve"> г. Емитентът е усвоил изцяло набраните 5 млн. лв. по емисията и няма налична по ескроу сметката сума. </w:t>
      </w:r>
    </w:p>
    <w:p w14:paraId="3C6757B0" w14:textId="1FBEE2A8" w:rsidR="006721AE" w:rsidRPr="008768A6" w:rsidRDefault="00D209B8" w:rsidP="00D209B8">
      <w:pPr>
        <w:pStyle w:val="ListParagraph"/>
        <w:spacing w:after="120"/>
        <w:ind w:left="0" w:right="566"/>
        <w:contextualSpacing w:val="0"/>
        <w:jc w:val="both"/>
        <w:rPr>
          <w:rFonts w:asciiTheme="minorHAnsi" w:hAnsiTheme="minorHAnsi"/>
          <w:sz w:val="20"/>
          <w:szCs w:val="20"/>
          <w:lang w:val="bg-BG"/>
        </w:rPr>
      </w:pPr>
      <w:r w:rsidRPr="008768A6">
        <w:rPr>
          <w:rFonts w:asciiTheme="minorHAnsi" w:hAnsiTheme="minorHAnsi"/>
          <w:sz w:val="20"/>
          <w:szCs w:val="20"/>
          <w:lang w:val="bg-BG"/>
        </w:rPr>
        <w:t xml:space="preserve">Към </w:t>
      </w:r>
      <w:r w:rsidR="005C2C47">
        <w:rPr>
          <w:rFonts w:asciiTheme="minorHAnsi" w:hAnsiTheme="minorHAnsi"/>
          <w:sz w:val="20"/>
          <w:szCs w:val="20"/>
          <w:lang w:val="bg-BG"/>
        </w:rPr>
        <w:t>31.12</w:t>
      </w:r>
      <w:r w:rsidRPr="008768A6">
        <w:rPr>
          <w:rFonts w:asciiTheme="minorHAnsi" w:hAnsiTheme="minorHAnsi"/>
          <w:sz w:val="20"/>
          <w:szCs w:val="20"/>
          <w:lang w:val="bg-BG"/>
        </w:rPr>
        <w:t>.202</w:t>
      </w:r>
      <w:r w:rsidR="008967C1" w:rsidRPr="008768A6">
        <w:rPr>
          <w:rFonts w:asciiTheme="minorHAnsi" w:hAnsiTheme="minorHAnsi"/>
          <w:sz w:val="20"/>
          <w:szCs w:val="20"/>
          <w:lang w:val="bg-BG"/>
        </w:rPr>
        <w:t>2</w:t>
      </w:r>
      <w:r w:rsidRPr="008768A6">
        <w:rPr>
          <w:rFonts w:asciiTheme="minorHAnsi" w:hAnsiTheme="minorHAnsi"/>
          <w:sz w:val="20"/>
          <w:szCs w:val="20"/>
          <w:lang w:val="bg-BG"/>
        </w:rPr>
        <w:t xml:space="preserve"> г. всички обезпечения по облигационния заем са надлежно учредени и вписани за общата сума от </w:t>
      </w:r>
      <w:r w:rsidR="005C2C47">
        <w:rPr>
          <w:rFonts w:asciiTheme="minorHAnsi" w:hAnsiTheme="minorHAnsi"/>
          <w:sz w:val="20"/>
          <w:szCs w:val="20"/>
          <w:lang w:val="bg-BG"/>
        </w:rPr>
        <w:t>5 759 365</w:t>
      </w:r>
      <w:r w:rsidRPr="008768A6">
        <w:rPr>
          <w:rFonts w:asciiTheme="minorHAnsi" w:hAnsiTheme="minorHAnsi"/>
          <w:sz w:val="20"/>
          <w:szCs w:val="20"/>
          <w:lang w:val="bg-BG"/>
        </w:rPr>
        <w:t xml:space="preserve"> лв. , което представлява </w:t>
      </w:r>
      <w:r w:rsidR="005C2C47">
        <w:rPr>
          <w:rFonts w:asciiTheme="minorHAnsi" w:hAnsiTheme="minorHAnsi"/>
          <w:sz w:val="20"/>
          <w:szCs w:val="20"/>
          <w:lang w:val="bg-BG"/>
        </w:rPr>
        <w:t>144</w:t>
      </w:r>
      <w:r w:rsidRPr="008768A6">
        <w:rPr>
          <w:rFonts w:asciiTheme="minorHAnsi" w:hAnsiTheme="minorHAnsi"/>
          <w:sz w:val="20"/>
          <w:szCs w:val="20"/>
          <w:lang w:val="bg-BG"/>
        </w:rPr>
        <w:t>% от усвоената главница по облигационния заем</w:t>
      </w:r>
      <w:r w:rsidR="003D72C8">
        <w:rPr>
          <w:rFonts w:asciiTheme="minorHAnsi" w:hAnsiTheme="minorHAnsi"/>
          <w:sz w:val="20"/>
          <w:szCs w:val="20"/>
          <w:lang w:val="bg-BG"/>
        </w:rPr>
        <w:t>.</w:t>
      </w:r>
    </w:p>
    <w:p w14:paraId="639BC4E4" w14:textId="744D34BD" w:rsidR="006721AE" w:rsidRPr="00D209B8" w:rsidRDefault="006721AE" w:rsidP="00D209B8">
      <w:pPr>
        <w:pStyle w:val="ListParagraph"/>
        <w:spacing w:after="120"/>
        <w:ind w:left="0" w:right="566"/>
        <w:contextualSpacing w:val="0"/>
        <w:jc w:val="both"/>
        <w:rPr>
          <w:rFonts w:asciiTheme="minorHAnsi" w:hAnsiTheme="minorHAnsi"/>
          <w:sz w:val="20"/>
          <w:szCs w:val="20"/>
          <w:lang w:val="bg-BG"/>
        </w:rPr>
      </w:pPr>
      <w:r w:rsidRPr="005C2C47">
        <w:rPr>
          <w:rFonts w:asciiTheme="minorHAnsi" w:hAnsiTheme="minorHAnsi"/>
          <w:sz w:val="20"/>
          <w:szCs w:val="20"/>
          <w:lang w:val="bg-BG"/>
        </w:rPr>
        <w:t>През изтеклия период</w:t>
      </w:r>
      <w:r w:rsidR="00B50D65" w:rsidRPr="005C2C47">
        <w:rPr>
          <w:rFonts w:asciiTheme="minorHAnsi" w:hAnsiTheme="minorHAnsi"/>
          <w:sz w:val="20"/>
          <w:szCs w:val="20"/>
          <w:lang w:val="bg-BG"/>
        </w:rPr>
        <w:t xml:space="preserve"> от 01.</w:t>
      </w:r>
      <w:r w:rsidR="00D74C91" w:rsidRPr="005C2C47">
        <w:rPr>
          <w:rFonts w:asciiTheme="minorHAnsi" w:hAnsiTheme="minorHAnsi"/>
          <w:sz w:val="20"/>
          <w:szCs w:val="20"/>
          <w:lang w:val="bg-BG"/>
        </w:rPr>
        <w:t>10</w:t>
      </w:r>
      <w:r w:rsidR="00B50D65" w:rsidRPr="005C2C47">
        <w:rPr>
          <w:rFonts w:asciiTheme="minorHAnsi" w:hAnsiTheme="minorHAnsi"/>
          <w:sz w:val="20"/>
          <w:szCs w:val="20"/>
          <w:lang w:val="bg-BG"/>
        </w:rPr>
        <w:t>.202</w:t>
      </w:r>
      <w:r w:rsidR="00121C8A" w:rsidRPr="005C2C47">
        <w:rPr>
          <w:rFonts w:asciiTheme="minorHAnsi" w:hAnsiTheme="minorHAnsi"/>
          <w:sz w:val="20"/>
          <w:szCs w:val="20"/>
          <w:lang w:val="bg-BG"/>
        </w:rPr>
        <w:t>2</w:t>
      </w:r>
      <w:r w:rsidR="00B50D65" w:rsidRPr="005C2C47">
        <w:rPr>
          <w:rFonts w:asciiTheme="minorHAnsi" w:hAnsiTheme="minorHAnsi"/>
          <w:sz w:val="20"/>
          <w:szCs w:val="20"/>
          <w:lang w:val="bg-BG"/>
        </w:rPr>
        <w:t xml:space="preserve"> г. до 3</w:t>
      </w:r>
      <w:r w:rsidR="00D74C91" w:rsidRPr="005C2C47">
        <w:rPr>
          <w:rFonts w:asciiTheme="minorHAnsi" w:hAnsiTheme="minorHAnsi"/>
          <w:sz w:val="20"/>
          <w:szCs w:val="20"/>
          <w:lang w:val="bg-BG"/>
        </w:rPr>
        <w:t>1</w:t>
      </w:r>
      <w:r w:rsidR="00B50D65" w:rsidRPr="005C2C47">
        <w:rPr>
          <w:rFonts w:asciiTheme="minorHAnsi" w:hAnsiTheme="minorHAnsi"/>
          <w:sz w:val="20"/>
          <w:szCs w:val="20"/>
          <w:lang w:val="bg-BG"/>
        </w:rPr>
        <w:t>.</w:t>
      </w:r>
      <w:r w:rsidR="00D74C91" w:rsidRPr="005C2C47">
        <w:rPr>
          <w:rFonts w:asciiTheme="minorHAnsi" w:hAnsiTheme="minorHAnsi"/>
          <w:sz w:val="20"/>
          <w:szCs w:val="20"/>
          <w:lang w:val="bg-BG"/>
        </w:rPr>
        <w:t>12</w:t>
      </w:r>
      <w:r w:rsidR="00B50D65" w:rsidRPr="005C2C47">
        <w:rPr>
          <w:rFonts w:asciiTheme="minorHAnsi" w:hAnsiTheme="minorHAnsi"/>
          <w:sz w:val="20"/>
          <w:szCs w:val="20"/>
          <w:lang w:val="bg-BG"/>
        </w:rPr>
        <w:t>.202</w:t>
      </w:r>
      <w:r w:rsidR="00121C8A" w:rsidRPr="005C2C47">
        <w:rPr>
          <w:rFonts w:asciiTheme="minorHAnsi" w:hAnsiTheme="minorHAnsi"/>
          <w:sz w:val="20"/>
          <w:szCs w:val="20"/>
          <w:lang w:val="bg-BG"/>
        </w:rPr>
        <w:t>2</w:t>
      </w:r>
      <w:r w:rsidR="00B50D65" w:rsidRPr="005C2C47">
        <w:rPr>
          <w:rFonts w:asciiTheme="minorHAnsi" w:hAnsiTheme="minorHAnsi"/>
          <w:sz w:val="20"/>
          <w:szCs w:val="20"/>
          <w:lang w:val="bg-BG"/>
        </w:rPr>
        <w:t xml:space="preserve"> г.</w:t>
      </w:r>
      <w:r w:rsidRPr="005C2C47">
        <w:rPr>
          <w:rFonts w:asciiTheme="minorHAnsi" w:hAnsiTheme="minorHAnsi"/>
          <w:sz w:val="20"/>
          <w:szCs w:val="20"/>
          <w:lang w:val="bg-BG"/>
        </w:rPr>
        <w:t xml:space="preserve"> са настъпили следните изменения по учреденото обезпечение:</w:t>
      </w:r>
    </w:p>
    <w:p w14:paraId="7F46707F" w14:textId="282269B3" w:rsidR="006721AE" w:rsidRPr="00A77CDB" w:rsidRDefault="00A77CDB" w:rsidP="00A77CDB">
      <w:pPr>
        <w:pStyle w:val="ListParagraph"/>
        <w:numPr>
          <w:ilvl w:val="0"/>
          <w:numId w:val="29"/>
        </w:numPr>
        <w:spacing w:after="120"/>
        <w:ind w:right="566"/>
        <w:contextualSpacing w:val="0"/>
        <w:jc w:val="both"/>
        <w:rPr>
          <w:rFonts w:asciiTheme="minorHAnsi" w:hAnsiTheme="minorHAnsi"/>
          <w:sz w:val="20"/>
          <w:szCs w:val="20"/>
          <w:lang w:val="bg-BG"/>
        </w:rPr>
      </w:pPr>
      <w:r>
        <w:rPr>
          <w:rFonts w:asciiTheme="minorHAnsi" w:hAnsiTheme="minorHAnsi"/>
          <w:sz w:val="20"/>
          <w:szCs w:val="20"/>
          <w:lang w:val="bg-BG"/>
        </w:rPr>
        <w:t xml:space="preserve">За периода </w:t>
      </w:r>
      <w:r w:rsidR="008768A6">
        <w:rPr>
          <w:rFonts w:asciiTheme="minorHAnsi" w:hAnsiTheme="minorHAnsi"/>
          <w:sz w:val="20"/>
          <w:szCs w:val="20"/>
          <w:lang w:val="bg-BG"/>
        </w:rPr>
        <w:t>01.</w:t>
      </w:r>
      <w:r w:rsidR="004D56CF">
        <w:rPr>
          <w:rFonts w:asciiTheme="minorHAnsi" w:hAnsiTheme="minorHAnsi"/>
          <w:sz w:val="20"/>
          <w:szCs w:val="20"/>
          <w:lang w:val="bg-BG"/>
        </w:rPr>
        <w:t>10</w:t>
      </w:r>
      <w:r w:rsidR="008768A6">
        <w:rPr>
          <w:rFonts w:asciiTheme="minorHAnsi" w:hAnsiTheme="minorHAnsi"/>
          <w:sz w:val="20"/>
          <w:szCs w:val="20"/>
          <w:lang w:val="bg-BG"/>
        </w:rPr>
        <w:t>.</w:t>
      </w:r>
      <w:r>
        <w:rPr>
          <w:rFonts w:asciiTheme="minorHAnsi" w:hAnsiTheme="minorHAnsi"/>
          <w:sz w:val="20"/>
          <w:szCs w:val="20"/>
          <w:lang w:val="bg-BG"/>
        </w:rPr>
        <w:t xml:space="preserve"> – </w:t>
      </w:r>
      <w:r w:rsidR="008768A6">
        <w:rPr>
          <w:rFonts w:asciiTheme="minorHAnsi" w:hAnsiTheme="minorHAnsi"/>
          <w:sz w:val="20"/>
          <w:szCs w:val="20"/>
          <w:lang w:val="bg-BG"/>
        </w:rPr>
        <w:t>3</w:t>
      </w:r>
      <w:r w:rsidR="004D56CF">
        <w:rPr>
          <w:rFonts w:asciiTheme="minorHAnsi" w:hAnsiTheme="minorHAnsi"/>
          <w:sz w:val="20"/>
          <w:szCs w:val="20"/>
          <w:lang w:val="bg-BG"/>
        </w:rPr>
        <w:t>1</w:t>
      </w:r>
      <w:r w:rsidR="008768A6">
        <w:rPr>
          <w:rFonts w:asciiTheme="minorHAnsi" w:hAnsiTheme="minorHAnsi"/>
          <w:sz w:val="20"/>
          <w:szCs w:val="20"/>
          <w:lang w:val="bg-BG"/>
        </w:rPr>
        <w:t>.</w:t>
      </w:r>
      <w:r w:rsidR="004D56CF">
        <w:rPr>
          <w:rFonts w:asciiTheme="minorHAnsi" w:hAnsiTheme="minorHAnsi"/>
          <w:sz w:val="20"/>
          <w:szCs w:val="20"/>
          <w:lang w:val="bg-BG"/>
        </w:rPr>
        <w:t>12</w:t>
      </w:r>
      <w:r w:rsidR="00C335E7">
        <w:rPr>
          <w:rFonts w:asciiTheme="minorHAnsi" w:hAnsiTheme="minorHAnsi"/>
          <w:sz w:val="20"/>
          <w:szCs w:val="20"/>
          <w:lang w:val="bg-BG"/>
        </w:rPr>
        <w:t>.</w:t>
      </w:r>
      <w:r>
        <w:rPr>
          <w:rFonts w:asciiTheme="minorHAnsi" w:hAnsiTheme="minorHAnsi"/>
          <w:sz w:val="20"/>
          <w:szCs w:val="20"/>
          <w:lang w:val="bg-BG"/>
        </w:rPr>
        <w:t>202</w:t>
      </w:r>
      <w:r w:rsidR="008768A6">
        <w:rPr>
          <w:rFonts w:asciiTheme="minorHAnsi" w:hAnsiTheme="minorHAnsi"/>
          <w:sz w:val="20"/>
          <w:szCs w:val="20"/>
          <w:lang w:val="bg-BG"/>
        </w:rPr>
        <w:t>2</w:t>
      </w:r>
      <w:r>
        <w:rPr>
          <w:rFonts w:asciiTheme="minorHAnsi" w:hAnsiTheme="minorHAnsi"/>
          <w:sz w:val="20"/>
          <w:szCs w:val="20"/>
          <w:lang w:val="bg-BG"/>
        </w:rPr>
        <w:t xml:space="preserve"> г. </w:t>
      </w:r>
      <w:r w:rsidR="004D56CF">
        <w:rPr>
          <w:rFonts w:asciiTheme="minorHAnsi" w:hAnsiTheme="minorHAnsi"/>
          <w:sz w:val="20"/>
          <w:szCs w:val="20"/>
          <w:lang w:val="bg-BG"/>
        </w:rPr>
        <w:t>е</w:t>
      </w:r>
      <w:r w:rsidR="006721AE" w:rsidRPr="00A77CDB">
        <w:rPr>
          <w:rFonts w:asciiTheme="minorHAnsi" w:hAnsiTheme="minorHAnsi"/>
          <w:sz w:val="20"/>
          <w:szCs w:val="20"/>
          <w:lang w:val="bg-BG"/>
        </w:rPr>
        <w:t xml:space="preserve"> направен Анекс</w:t>
      </w:r>
      <w:r>
        <w:rPr>
          <w:rFonts w:asciiTheme="minorHAnsi" w:hAnsiTheme="minorHAnsi"/>
          <w:sz w:val="20"/>
          <w:szCs w:val="20"/>
          <w:lang w:val="bg-BG"/>
        </w:rPr>
        <w:t>и</w:t>
      </w:r>
      <w:r w:rsidR="006721AE" w:rsidRPr="00A77CDB">
        <w:rPr>
          <w:rFonts w:asciiTheme="minorHAnsi" w:hAnsiTheme="minorHAnsi"/>
          <w:sz w:val="20"/>
          <w:szCs w:val="20"/>
          <w:lang w:val="bg-BG"/>
        </w:rPr>
        <w:t xml:space="preserve"> </w:t>
      </w:r>
      <w:r w:rsidR="00F54472">
        <w:rPr>
          <w:rFonts w:asciiTheme="minorHAnsi" w:hAnsiTheme="minorHAnsi"/>
          <w:sz w:val="20"/>
          <w:szCs w:val="20"/>
          <w:lang w:val="bg-BG"/>
        </w:rPr>
        <w:t>4</w:t>
      </w:r>
      <w:r w:rsidR="004D56CF">
        <w:rPr>
          <w:rFonts w:asciiTheme="minorHAnsi" w:hAnsiTheme="minorHAnsi"/>
          <w:sz w:val="20"/>
          <w:szCs w:val="20"/>
          <w:lang w:val="bg-BG"/>
        </w:rPr>
        <w:t>3</w:t>
      </w:r>
      <w:r w:rsidR="006721AE" w:rsidRPr="00A77CDB">
        <w:rPr>
          <w:rFonts w:asciiTheme="minorHAnsi" w:hAnsiTheme="minorHAnsi"/>
          <w:sz w:val="20"/>
          <w:szCs w:val="20"/>
          <w:lang w:val="bg-BG"/>
        </w:rPr>
        <w:t xml:space="preserve"> към Договор за особен залог върху съвкупност от вземания от 25.11.2019 г. със страни „А</w:t>
      </w:r>
      <w:r>
        <w:rPr>
          <w:rFonts w:asciiTheme="minorHAnsi" w:hAnsiTheme="minorHAnsi"/>
          <w:sz w:val="20"/>
          <w:szCs w:val="20"/>
          <w:lang w:val="bg-BG"/>
        </w:rPr>
        <w:t>й</w:t>
      </w:r>
      <w:r w:rsidR="006721AE" w:rsidRPr="00A77CDB">
        <w:rPr>
          <w:rFonts w:asciiTheme="minorHAnsi" w:hAnsiTheme="minorHAnsi"/>
          <w:sz w:val="20"/>
          <w:szCs w:val="20"/>
          <w:lang w:val="bg-BG"/>
        </w:rPr>
        <w:t xml:space="preserve"> Ти Еф Груп" АД като залогодател и "ЕЛАНА Трейдинг" като заложения кредитор съгласно Договора за изпълнение на функцията „Довереника на облигационерите“, който договор е първоначално вписан в Централния регистър на особените залози (ЦРОЗ) на 28.11.2019 г. Анек</w:t>
      </w:r>
      <w:r w:rsidR="004D56CF">
        <w:rPr>
          <w:rFonts w:asciiTheme="minorHAnsi" w:hAnsiTheme="minorHAnsi"/>
          <w:sz w:val="20"/>
          <w:szCs w:val="20"/>
          <w:lang w:val="bg-BG"/>
        </w:rPr>
        <w:t>сът</w:t>
      </w:r>
      <w:r w:rsidR="006721AE" w:rsidRPr="00A77CDB">
        <w:rPr>
          <w:rFonts w:asciiTheme="minorHAnsi" w:hAnsiTheme="minorHAnsi"/>
          <w:sz w:val="20"/>
          <w:szCs w:val="20"/>
          <w:lang w:val="bg-BG"/>
        </w:rPr>
        <w:t xml:space="preserve"> на Договора </w:t>
      </w:r>
      <w:r w:rsidR="004D56CF">
        <w:rPr>
          <w:rFonts w:asciiTheme="minorHAnsi" w:hAnsiTheme="minorHAnsi"/>
          <w:sz w:val="20"/>
          <w:szCs w:val="20"/>
          <w:lang w:val="bg-BG"/>
        </w:rPr>
        <w:t>е</w:t>
      </w:r>
      <w:r w:rsidR="006721AE" w:rsidRPr="00A77CDB">
        <w:rPr>
          <w:rFonts w:asciiTheme="minorHAnsi" w:hAnsiTheme="minorHAnsi"/>
          <w:sz w:val="20"/>
          <w:szCs w:val="20"/>
          <w:lang w:val="bg-BG"/>
        </w:rPr>
        <w:t xml:space="preserve"> направен с цел актуализация на прилежащо </w:t>
      </w:r>
      <w:r w:rsidR="006721AE" w:rsidRPr="00A77CDB">
        <w:rPr>
          <w:rFonts w:asciiTheme="minorHAnsi" w:hAnsiTheme="minorHAnsi"/>
          <w:sz w:val="20"/>
          <w:szCs w:val="20"/>
          <w:lang w:val="bg-BG"/>
        </w:rPr>
        <w:lastRenderedPageBreak/>
        <w:t xml:space="preserve">към Договора Приложение №1, представляващо списък на индивидуализираните вземания, представляващи заложеното имущество и са вписани в ЦРОЗ. </w:t>
      </w:r>
    </w:p>
    <w:p w14:paraId="4C56BBEF" w14:textId="77777777" w:rsidR="006C41F0" w:rsidRPr="001931E6" w:rsidRDefault="006C41F0" w:rsidP="001931E6">
      <w:pPr>
        <w:pStyle w:val="ListParagraph"/>
        <w:numPr>
          <w:ilvl w:val="0"/>
          <w:numId w:val="29"/>
        </w:numPr>
        <w:spacing w:after="120"/>
        <w:ind w:right="566"/>
        <w:contextualSpacing w:val="0"/>
        <w:jc w:val="both"/>
        <w:rPr>
          <w:rFonts w:asciiTheme="minorHAnsi" w:hAnsiTheme="minorHAnsi"/>
          <w:sz w:val="20"/>
          <w:szCs w:val="20"/>
          <w:lang w:val="bg-BG"/>
        </w:rPr>
      </w:pPr>
      <w:r w:rsidRPr="001931E6">
        <w:rPr>
          <w:rFonts w:asciiTheme="minorHAnsi" w:hAnsiTheme="minorHAnsi"/>
          <w:sz w:val="20"/>
          <w:szCs w:val="20"/>
          <w:lang w:val="bg-BG"/>
        </w:rPr>
        <w:t xml:space="preserve">През отчетния период е направена проверка </w:t>
      </w:r>
      <w:r w:rsidRPr="007A52D8">
        <w:rPr>
          <w:rFonts w:asciiTheme="minorHAnsi" w:hAnsiTheme="minorHAnsi"/>
          <w:sz w:val="20"/>
          <w:szCs w:val="20"/>
          <w:lang w:val="bg-BG"/>
        </w:rPr>
        <w:t xml:space="preserve">на </w:t>
      </w:r>
      <w:r w:rsidR="00C9257A" w:rsidRPr="007A52D8">
        <w:rPr>
          <w:rFonts w:asciiTheme="minorHAnsi" w:hAnsiTheme="minorHAnsi"/>
          <w:sz w:val="20"/>
          <w:szCs w:val="20"/>
          <w:lang w:val="bg-BG"/>
        </w:rPr>
        <w:t>2</w:t>
      </w:r>
      <w:r w:rsidRPr="007A52D8">
        <w:rPr>
          <w:rFonts w:asciiTheme="minorHAnsi" w:hAnsiTheme="minorHAnsi"/>
          <w:sz w:val="20"/>
          <w:szCs w:val="20"/>
          <w:lang w:val="bg-BG"/>
        </w:rPr>
        <w:t>%</w:t>
      </w:r>
      <w:r w:rsidRPr="001931E6">
        <w:rPr>
          <w:rFonts w:asciiTheme="minorHAnsi" w:hAnsiTheme="minorHAnsi"/>
          <w:sz w:val="20"/>
          <w:szCs w:val="20"/>
          <w:lang w:val="bg-BG"/>
        </w:rPr>
        <w:t xml:space="preserve"> от заложените договори за кредит, избрани на случаен принцип. Не са установени пропуски или несъответствия между представената на Довереника информация и актуалната информация за кредитите, до която Довереникът има достъп в реално време.</w:t>
      </w:r>
    </w:p>
    <w:p w14:paraId="3674AD25" w14:textId="62AB23F5" w:rsidR="00286741" w:rsidRPr="001931E6" w:rsidRDefault="0041484B" w:rsidP="001931E6">
      <w:pPr>
        <w:pStyle w:val="ListParagraph"/>
        <w:numPr>
          <w:ilvl w:val="0"/>
          <w:numId w:val="29"/>
        </w:numPr>
        <w:spacing w:after="120"/>
        <w:ind w:right="566"/>
        <w:contextualSpacing w:val="0"/>
        <w:jc w:val="both"/>
        <w:rPr>
          <w:rFonts w:asciiTheme="minorHAnsi" w:hAnsiTheme="minorHAnsi"/>
          <w:sz w:val="20"/>
          <w:szCs w:val="20"/>
          <w:lang w:val="bg-BG"/>
        </w:rPr>
      </w:pPr>
      <w:r w:rsidRPr="001931E6">
        <w:rPr>
          <w:rFonts w:asciiTheme="minorHAnsi" w:hAnsiTheme="minorHAnsi"/>
          <w:sz w:val="20"/>
          <w:szCs w:val="20"/>
          <w:lang w:val="bg-BG"/>
        </w:rPr>
        <w:t>През изтеклия период от 01.</w:t>
      </w:r>
      <w:r w:rsidR="004D56CF">
        <w:rPr>
          <w:rFonts w:asciiTheme="minorHAnsi" w:hAnsiTheme="minorHAnsi"/>
          <w:sz w:val="20"/>
          <w:szCs w:val="20"/>
          <w:lang w:val="bg-BG"/>
        </w:rPr>
        <w:t>10</w:t>
      </w:r>
      <w:r w:rsidRPr="001931E6">
        <w:rPr>
          <w:rFonts w:asciiTheme="minorHAnsi" w:hAnsiTheme="minorHAnsi"/>
          <w:sz w:val="20"/>
          <w:szCs w:val="20"/>
          <w:lang w:val="bg-BG"/>
        </w:rPr>
        <w:t>.202</w:t>
      </w:r>
      <w:r w:rsidR="00121C8A">
        <w:rPr>
          <w:rFonts w:asciiTheme="minorHAnsi" w:hAnsiTheme="minorHAnsi"/>
          <w:sz w:val="20"/>
          <w:szCs w:val="20"/>
          <w:lang w:val="bg-BG"/>
        </w:rPr>
        <w:t>2</w:t>
      </w:r>
      <w:r w:rsidRPr="001931E6">
        <w:rPr>
          <w:rFonts w:asciiTheme="minorHAnsi" w:hAnsiTheme="minorHAnsi"/>
          <w:sz w:val="20"/>
          <w:szCs w:val="20"/>
          <w:lang w:val="bg-BG"/>
        </w:rPr>
        <w:t xml:space="preserve"> г. до </w:t>
      </w:r>
      <w:r w:rsidR="004D56CF">
        <w:rPr>
          <w:rFonts w:asciiTheme="minorHAnsi" w:hAnsiTheme="minorHAnsi"/>
          <w:sz w:val="20"/>
          <w:szCs w:val="20"/>
          <w:lang w:val="bg-BG"/>
        </w:rPr>
        <w:t>31.12</w:t>
      </w:r>
      <w:r w:rsidRPr="001931E6">
        <w:rPr>
          <w:rFonts w:asciiTheme="minorHAnsi" w:hAnsiTheme="minorHAnsi"/>
          <w:sz w:val="20"/>
          <w:szCs w:val="20"/>
          <w:lang w:val="bg-BG"/>
        </w:rPr>
        <w:t>.202</w:t>
      </w:r>
      <w:r w:rsidR="00121C8A">
        <w:rPr>
          <w:rFonts w:asciiTheme="minorHAnsi" w:hAnsiTheme="minorHAnsi"/>
          <w:sz w:val="20"/>
          <w:szCs w:val="20"/>
          <w:lang w:val="bg-BG"/>
        </w:rPr>
        <w:t>2</w:t>
      </w:r>
      <w:r w:rsidRPr="001931E6">
        <w:rPr>
          <w:rFonts w:asciiTheme="minorHAnsi" w:hAnsiTheme="minorHAnsi"/>
          <w:sz w:val="20"/>
          <w:szCs w:val="20"/>
          <w:lang w:val="bg-BG"/>
        </w:rPr>
        <w:t xml:space="preserve"> г., както и към датата на настоящия доклад, </w:t>
      </w:r>
      <w:r w:rsidR="002C24B5" w:rsidRPr="001931E6">
        <w:rPr>
          <w:rFonts w:asciiTheme="minorHAnsi" w:hAnsiTheme="minorHAnsi"/>
          <w:sz w:val="20"/>
          <w:szCs w:val="20"/>
          <w:lang w:val="bg-BG"/>
        </w:rPr>
        <w:t>предоставеното от „Ай Ти Еф Груп“ АД обезпечение покрива напълно заложените изисквания в условията на облигационната емисия</w:t>
      </w:r>
      <w:r w:rsidRPr="001931E6">
        <w:rPr>
          <w:rFonts w:asciiTheme="minorHAnsi" w:hAnsiTheme="minorHAnsi"/>
          <w:sz w:val="20"/>
          <w:szCs w:val="20"/>
          <w:lang w:val="bg-BG"/>
        </w:rPr>
        <w:t>.</w:t>
      </w:r>
    </w:p>
    <w:p w14:paraId="35233ECE" w14:textId="77777777" w:rsidR="005A1AA4" w:rsidRDefault="005A1AA4" w:rsidP="001931E6">
      <w:pPr>
        <w:pStyle w:val="bs2"/>
        <w:numPr>
          <w:ilvl w:val="0"/>
          <w:numId w:val="7"/>
        </w:numPr>
        <w:spacing w:before="240" w:after="240"/>
        <w:ind w:left="714" w:hanging="357"/>
        <w:rPr>
          <w:rFonts w:asciiTheme="minorHAnsi" w:hAnsiTheme="minorHAnsi"/>
          <w:sz w:val="22"/>
        </w:rPr>
      </w:pPr>
      <w:r w:rsidRPr="001931E6">
        <w:rPr>
          <w:rFonts w:asciiTheme="minorHAnsi" w:hAnsiTheme="minorHAnsi"/>
          <w:sz w:val="22"/>
        </w:rPr>
        <w:t>Финансово състояние на емитента</w:t>
      </w:r>
    </w:p>
    <w:p w14:paraId="242D40ED" w14:textId="77777777" w:rsidR="001931E6" w:rsidRPr="001931E6" w:rsidRDefault="001931E6" w:rsidP="001931E6">
      <w:pPr>
        <w:pStyle w:val="bs2"/>
        <w:numPr>
          <w:ilvl w:val="1"/>
          <w:numId w:val="7"/>
        </w:numPr>
        <w:spacing w:before="240" w:after="240"/>
        <w:ind w:firstLine="59"/>
        <w:rPr>
          <w:rFonts w:asciiTheme="minorHAnsi" w:hAnsiTheme="minorHAnsi"/>
        </w:rPr>
      </w:pPr>
      <w:r w:rsidRPr="001931E6">
        <w:rPr>
          <w:rFonts w:asciiTheme="minorHAnsi" w:hAnsiTheme="minorHAnsi"/>
        </w:rPr>
        <w:t>Отчет за доходите</w:t>
      </w:r>
    </w:p>
    <w:p w14:paraId="772080A3" w14:textId="0E4C16B3" w:rsidR="00D850F9" w:rsidRPr="00F061CA" w:rsidRDefault="00D74C91" w:rsidP="001931E6">
      <w:pPr>
        <w:ind w:right="566"/>
        <w:jc w:val="right"/>
        <w:rPr>
          <w:rFonts w:asciiTheme="minorHAnsi" w:hAnsiTheme="minorHAnsi"/>
          <w:sz w:val="16"/>
        </w:rPr>
      </w:pPr>
      <w:r w:rsidRPr="00D74C91">
        <w:rPr>
          <w:noProof/>
        </w:rPr>
        <w:drawing>
          <wp:inline distT="0" distB="0" distL="0" distR="0" wp14:anchorId="220AA654" wp14:editId="52C17D98">
            <wp:extent cx="6120130" cy="18643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864360"/>
                    </a:xfrm>
                    <a:prstGeom prst="rect">
                      <a:avLst/>
                    </a:prstGeom>
                    <a:noFill/>
                    <a:ln>
                      <a:noFill/>
                    </a:ln>
                  </pic:spPr>
                </pic:pic>
              </a:graphicData>
            </a:graphic>
          </wp:inline>
        </w:drawing>
      </w:r>
      <w:r w:rsidR="007C176B" w:rsidRPr="007C176B">
        <w:t xml:space="preserve"> </w:t>
      </w:r>
      <w:r w:rsidR="00F061CA" w:rsidRPr="00F061CA">
        <w:rPr>
          <w:rFonts w:asciiTheme="minorHAnsi" w:hAnsiTheme="minorHAnsi"/>
          <w:sz w:val="16"/>
        </w:rPr>
        <w:t>Източник : Ай Ти Еф Груп АД</w:t>
      </w:r>
    </w:p>
    <w:p w14:paraId="34F3E46D" w14:textId="72738B8C" w:rsidR="000E0D36" w:rsidRPr="00170244" w:rsidRDefault="00D74C91" w:rsidP="00E62A83">
      <w:pPr>
        <w:pStyle w:val="ListParagraph"/>
        <w:spacing w:before="240" w:after="120"/>
        <w:ind w:left="0" w:right="567"/>
        <w:contextualSpacing w:val="0"/>
        <w:jc w:val="both"/>
        <w:rPr>
          <w:rFonts w:asciiTheme="minorHAnsi" w:hAnsiTheme="minorHAnsi"/>
          <w:sz w:val="20"/>
          <w:szCs w:val="20"/>
          <w:lang w:val="bg-BG"/>
        </w:rPr>
      </w:pPr>
      <w:r>
        <w:rPr>
          <w:rFonts w:asciiTheme="minorHAnsi" w:hAnsiTheme="minorHAnsi"/>
          <w:sz w:val="20"/>
          <w:szCs w:val="20"/>
          <w:lang w:val="bg-BG"/>
        </w:rPr>
        <w:t>За изминалата</w:t>
      </w:r>
      <w:r w:rsidR="00557451">
        <w:rPr>
          <w:rFonts w:asciiTheme="minorHAnsi" w:hAnsiTheme="minorHAnsi"/>
          <w:sz w:val="20"/>
          <w:szCs w:val="20"/>
          <w:lang w:val="bg-BG"/>
        </w:rPr>
        <w:t xml:space="preserve"> </w:t>
      </w:r>
      <w:r w:rsidR="00855B74" w:rsidRPr="00FA0376">
        <w:rPr>
          <w:rFonts w:asciiTheme="minorHAnsi" w:hAnsiTheme="minorHAnsi"/>
          <w:sz w:val="20"/>
          <w:szCs w:val="20"/>
          <w:lang w:val="bg-BG"/>
        </w:rPr>
        <w:t>202</w:t>
      </w:r>
      <w:r w:rsidR="00557451">
        <w:rPr>
          <w:rFonts w:asciiTheme="minorHAnsi" w:hAnsiTheme="minorHAnsi"/>
          <w:sz w:val="20"/>
          <w:szCs w:val="20"/>
          <w:lang w:val="bg-BG"/>
        </w:rPr>
        <w:t>2</w:t>
      </w:r>
      <w:r w:rsidR="00855B74" w:rsidRPr="00FA0376">
        <w:rPr>
          <w:rFonts w:asciiTheme="minorHAnsi" w:hAnsiTheme="minorHAnsi"/>
          <w:sz w:val="20"/>
          <w:szCs w:val="20"/>
          <w:lang w:val="bg-BG"/>
        </w:rPr>
        <w:t xml:space="preserve"> г. „Ай Ти Еф Груп“ АД </w:t>
      </w:r>
      <w:r w:rsidR="002A53B6">
        <w:rPr>
          <w:rFonts w:asciiTheme="minorHAnsi" w:hAnsiTheme="minorHAnsi"/>
          <w:sz w:val="20"/>
          <w:szCs w:val="20"/>
          <w:lang w:val="bg-BG"/>
        </w:rPr>
        <w:t xml:space="preserve">отчита </w:t>
      </w:r>
      <w:r w:rsidR="00855B74" w:rsidRPr="00FA0376">
        <w:rPr>
          <w:rFonts w:asciiTheme="minorHAnsi" w:hAnsiTheme="minorHAnsi"/>
          <w:sz w:val="20"/>
          <w:szCs w:val="20"/>
          <w:lang w:val="bg-BG"/>
        </w:rPr>
        <w:t xml:space="preserve">приходи от финансови активи под формата на потребителски заеми в размер на </w:t>
      </w:r>
      <w:r>
        <w:rPr>
          <w:rFonts w:asciiTheme="minorHAnsi" w:hAnsiTheme="minorHAnsi"/>
          <w:sz w:val="20"/>
          <w:szCs w:val="20"/>
          <w:lang w:val="bg-BG"/>
        </w:rPr>
        <w:t xml:space="preserve">10 </w:t>
      </w:r>
      <w:r w:rsidR="00557451">
        <w:rPr>
          <w:rFonts w:asciiTheme="minorHAnsi" w:hAnsiTheme="minorHAnsi"/>
          <w:sz w:val="20"/>
          <w:szCs w:val="20"/>
          <w:lang w:val="bg-BG"/>
        </w:rPr>
        <w:t>м</w:t>
      </w:r>
      <w:r w:rsidR="00855B74" w:rsidRPr="00FA0376">
        <w:rPr>
          <w:rFonts w:asciiTheme="minorHAnsi" w:hAnsiTheme="minorHAnsi"/>
          <w:sz w:val="20"/>
          <w:szCs w:val="20"/>
          <w:lang w:val="bg-BG"/>
        </w:rPr>
        <w:t>л</w:t>
      </w:r>
      <w:r w:rsidR="00557451">
        <w:rPr>
          <w:rFonts w:asciiTheme="minorHAnsi" w:hAnsiTheme="minorHAnsi"/>
          <w:sz w:val="20"/>
          <w:szCs w:val="20"/>
          <w:lang w:val="bg-BG"/>
        </w:rPr>
        <w:t>н</w:t>
      </w:r>
      <w:r w:rsidR="005A469C" w:rsidRPr="00FA0376">
        <w:rPr>
          <w:rFonts w:asciiTheme="minorHAnsi" w:hAnsiTheme="minorHAnsi"/>
          <w:sz w:val="20"/>
          <w:szCs w:val="20"/>
          <w:lang w:val="bg-BG"/>
        </w:rPr>
        <w:t>.</w:t>
      </w:r>
      <w:r w:rsidR="00855B74" w:rsidRPr="00FA0376">
        <w:rPr>
          <w:rFonts w:asciiTheme="minorHAnsi" w:hAnsiTheme="minorHAnsi"/>
          <w:sz w:val="20"/>
          <w:szCs w:val="20"/>
          <w:lang w:val="bg-BG"/>
        </w:rPr>
        <w:t xml:space="preserve"> лв.</w:t>
      </w:r>
      <w:r w:rsidR="00557451">
        <w:rPr>
          <w:rFonts w:asciiTheme="minorHAnsi" w:hAnsiTheme="minorHAnsi"/>
          <w:sz w:val="20"/>
          <w:szCs w:val="20"/>
          <w:lang w:val="bg-BG"/>
        </w:rPr>
        <w:t>, което представлява значително увеличение на годишна база от</w:t>
      </w:r>
      <w:r w:rsidR="00855B74" w:rsidRPr="00FA0376">
        <w:rPr>
          <w:rFonts w:asciiTheme="minorHAnsi" w:hAnsiTheme="minorHAnsi"/>
          <w:sz w:val="20"/>
          <w:szCs w:val="20"/>
          <w:lang w:val="bg-BG"/>
        </w:rPr>
        <w:t xml:space="preserve"> </w:t>
      </w:r>
      <w:r>
        <w:rPr>
          <w:rFonts w:asciiTheme="minorHAnsi" w:hAnsiTheme="minorHAnsi"/>
          <w:sz w:val="20"/>
          <w:szCs w:val="20"/>
          <w:lang w:val="bg-BG"/>
        </w:rPr>
        <w:t>68</w:t>
      </w:r>
      <w:r w:rsidR="00855B74" w:rsidRPr="00FA0376">
        <w:rPr>
          <w:rFonts w:asciiTheme="minorHAnsi" w:hAnsiTheme="minorHAnsi"/>
          <w:sz w:val="20"/>
          <w:szCs w:val="20"/>
          <w:lang w:val="bg-BG"/>
        </w:rPr>
        <w:t xml:space="preserve">%. </w:t>
      </w:r>
      <w:r w:rsidR="007A6A73">
        <w:rPr>
          <w:rFonts w:asciiTheme="minorHAnsi" w:hAnsiTheme="minorHAnsi"/>
          <w:sz w:val="20"/>
          <w:szCs w:val="20"/>
          <w:lang w:val="bg-BG"/>
        </w:rPr>
        <w:t xml:space="preserve">Темповете на нарастване на основния бизнес на компанията се увеличават </w:t>
      </w:r>
      <w:r>
        <w:rPr>
          <w:rFonts w:asciiTheme="minorHAnsi" w:hAnsiTheme="minorHAnsi"/>
          <w:sz w:val="20"/>
          <w:szCs w:val="20"/>
          <w:lang w:val="bg-BG"/>
        </w:rPr>
        <w:t>с течение на годината</w:t>
      </w:r>
      <w:r w:rsidR="00897D69">
        <w:rPr>
          <w:rFonts w:asciiTheme="minorHAnsi" w:hAnsiTheme="minorHAnsi"/>
          <w:sz w:val="20"/>
          <w:szCs w:val="20"/>
          <w:lang w:val="bg-BG"/>
        </w:rPr>
        <w:t xml:space="preserve">. </w:t>
      </w:r>
      <w:r w:rsidR="00557451">
        <w:rPr>
          <w:rFonts w:asciiTheme="minorHAnsi" w:hAnsiTheme="minorHAnsi"/>
          <w:sz w:val="20"/>
          <w:szCs w:val="20"/>
          <w:lang w:val="bg-BG"/>
        </w:rPr>
        <w:t xml:space="preserve">Покачват се, както приходите от лихви и такси, така и платените неустойки, които представляват </w:t>
      </w:r>
      <w:r w:rsidR="00C06A18">
        <w:rPr>
          <w:rFonts w:asciiTheme="minorHAnsi" w:hAnsiTheme="minorHAnsi"/>
          <w:sz w:val="20"/>
          <w:szCs w:val="20"/>
          <w:lang w:val="bg-BG"/>
        </w:rPr>
        <w:t xml:space="preserve">67% </w:t>
      </w:r>
      <w:r w:rsidR="00557451">
        <w:rPr>
          <w:rFonts w:asciiTheme="minorHAnsi" w:hAnsiTheme="minorHAnsi"/>
          <w:sz w:val="20"/>
          <w:szCs w:val="20"/>
          <w:lang w:val="bg-BG"/>
        </w:rPr>
        <w:t>от реализираните парични постъпления на компанията.</w:t>
      </w:r>
      <w:r w:rsidR="00C06A18">
        <w:rPr>
          <w:rFonts w:asciiTheme="minorHAnsi" w:hAnsiTheme="minorHAnsi"/>
          <w:sz w:val="20"/>
          <w:szCs w:val="20"/>
          <w:lang w:val="bg-BG"/>
        </w:rPr>
        <w:t xml:space="preserve"> Делът на неустойките от общите приходи намалява от 7</w:t>
      </w:r>
      <w:r w:rsidR="00897D69">
        <w:rPr>
          <w:rFonts w:asciiTheme="minorHAnsi" w:hAnsiTheme="minorHAnsi"/>
          <w:sz w:val="20"/>
          <w:szCs w:val="20"/>
          <w:lang w:val="bg-BG"/>
        </w:rPr>
        <w:t>1</w:t>
      </w:r>
      <w:r w:rsidR="00C06A18">
        <w:rPr>
          <w:rFonts w:asciiTheme="minorHAnsi" w:hAnsiTheme="minorHAnsi"/>
          <w:sz w:val="20"/>
          <w:szCs w:val="20"/>
          <w:lang w:val="bg-BG"/>
        </w:rPr>
        <w:t>% на 6</w:t>
      </w:r>
      <w:r w:rsidR="00170244">
        <w:rPr>
          <w:rFonts w:asciiTheme="minorHAnsi" w:hAnsiTheme="minorHAnsi"/>
          <w:sz w:val="20"/>
          <w:szCs w:val="20"/>
        </w:rPr>
        <w:t>6</w:t>
      </w:r>
      <w:r w:rsidR="00C06A18">
        <w:rPr>
          <w:rFonts w:asciiTheme="minorHAnsi" w:hAnsiTheme="minorHAnsi"/>
          <w:sz w:val="20"/>
          <w:szCs w:val="20"/>
          <w:lang w:val="bg-BG"/>
        </w:rPr>
        <w:t>%</w:t>
      </w:r>
      <w:r w:rsidR="00170244">
        <w:rPr>
          <w:rFonts w:asciiTheme="minorHAnsi" w:hAnsiTheme="minorHAnsi"/>
          <w:sz w:val="20"/>
          <w:szCs w:val="20"/>
          <w:lang w:val="bg-BG"/>
        </w:rPr>
        <w:t>, като те включват допълнителните разходи за клиенти</w:t>
      </w:r>
      <w:r w:rsidR="00AC737D">
        <w:rPr>
          <w:rFonts w:asciiTheme="minorHAnsi" w:hAnsiTheme="minorHAnsi"/>
          <w:sz w:val="20"/>
          <w:szCs w:val="20"/>
          <w:lang w:val="bg-BG"/>
        </w:rPr>
        <w:t>те, които те имат за кредити</w:t>
      </w:r>
      <w:r w:rsidR="002B3E55">
        <w:rPr>
          <w:rFonts w:asciiTheme="minorHAnsi" w:hAnsiTheme="minorHAnsi"/>
          <w:sz w:val="20"/>
          <w:szCs w:val="20"/>
          <w:lang w:val="bg-BG"/>
        </w:rPr>
        <w:t>те</w:t>
      </w:r>
      <w:r w:rsidR="00AC737D">
        <w:rPr>
          <w:rFonts w:asciiTheme="minorHAnsi" w:hAnsiTheme="minorHAnsi"/>
          <w:sz w:val="20"/>
          <w:szCs w:val="20"/>
          <w:lang w:val="bg-BG"/>
        </w:rPr>
        <w:t xml:space="preserve"> </w:t>
      </w:r>
      <w:r w:rsidR="002B3E55">
        <w:rPr>
          <w:rFonts w:asciiTheme="minorHAnsi" w:hAnsiTheme="minorHAnsi"/>
          <w:sz w:val="20"/>
          <w:szCs w:val="20"/>
          <w:lang w:val="bg-BG"/>
        </w:rPr>
        <w:t>с повишен риск за компанията</w:t>
      </w:r>
      <w:r w:rsidR="00AC737D">
        <w:rPr>
          <w:rFonts w:asciiTheme="minorHAnsi" w:hAnsiTheme="minorHAnsi"/>
          <w:sz w:val="20"/>
          <w:szCs w:val="20"/>
          <w:lang w:val="bg-BG"/>
        </w:rPr>
        <w:t>.</w:t>
      </w:r>
    </w:p>
    <w:p w14:paraId="17B02130" w14:textId="578143D3" w:rsidR="005F3E4E" w:rsidRDefault="00A3166F" w:rsidP="001931E6">
      <w:pPr>
        <w:pStyle w:val="ListParagraph"/>
        <w:spacing w:after="120"/>
        <w:ind w:left="0" w:right="566"/>
        <w:contextualSpacing w:val="0"/>
        <w:jc w:val="both"/>
        <w:rPr>
          <w:rFonts w:asciiTheme="minorHAnsi" w:hAnsiTheme="minorHAnsi"/>
          <w:sz w:val="20"/>
          <w:szCs w:val="20"/>
          <w:lang w:val="bg-BG"/>
        </w:rPr>
      </w:pPr>
      <w:r w:rsidRPr="00FA0376">
        <w:rPr>
          <w:rFonts w:asciiTheme="minorHAnsi" w:hAnsiTheme="minorHAnsi"/>
          <w:sz w:val="20"/>
          <w:szCs w:val="20"/>
          <w:lang w:val="bg-BG"/>
        </w:rPr>
        <w:t>Пре</w:t>
      </w:r>
      <w:r w:rsidR="00FA0376" w:rsidRPr="00FA0376">
        <w:rPr>
          <w:rFonts w:asciiTheme="minorHAnsi" w:hAnsiTheme="minorHAnsi"/>
          <w:sz w:val="20"/>
          <w:szCs w:val="20"/>
          <w:lang w:val="bg-BG"/>
        </w:rPr>
        <w:t>з</w:t>
      </w:r>
      <w:r w:rsidRPr="00FA0376">
        <w:rPr>
          <w:rFonts w:asciiTheme="minorHAnsi" w:hAnsiTheme="minorHAnsi"/>
          <w:sz w:val="20"/>
          <w:szCs w:val="20"/>
          <w:lang w:val="bg-BG"/>
        </w:rPr>
        <w:t xml:space="preserve"> периода </w:t>
      </w:r>
      <w:r w:rsidR="00897D69">
        <w:rPr>
          <w:rFonts w:asciiTheme="minorHAnsi" w:hAnsiTheme="minorHAnsi"/>
          <w:sz w:val="20"/>
          <w:szCs w:val="20"/>
          <w:lang w:val="bg-BG"/>
        </w:rPr>
        <w:t xml:space="preserve">са признати </w:t>
      </w:r>
      <w:r w:rsidRPr="00FA0376">
        <w:rPr>
          <w:rFonts w:asciiTheme="minorHAnsi" w:hAnsiTheme="minorHAnsi"/>
          <w:sz w:val="20"/>
          <w:szCs w:val="20"/>
          <w:lang w:val="bg-BG"/>
        </w:rPr>
        <w:t xml:space="preserve">разходи за обезценка на предоставените от Дружеството заеми </w:t>
      </w:r>
      <w:r w:rsidR="00897D69">
        <w:rPr>
          <w:rFonts w:asciiTheme="minorHAnsi" w:hAnsiTheme="minorHAnsi"/>
          <w:sz w:val="20"/>
          <w:szCs w:val="20"/>
          <w:lang w:val="bg-BG"/>
        </w:rPr>
        <w:t xml:space="preserve">в размер на </w:t>
      </w:r>
      <w:r w:rsidR="00AC737D">
        <w:rPr>
          <w:rFonts w:asciiTheme="minorHAnsi" w:hAnsiTheme="minorHAnsi"/>
          <w:sz w:val="20"/>
          <w:szCs w:val="20"/>
          <w:lang w:val="bg-BG"/>
        </w:rPr>
        <w:t>2</w:t>
      </w:r>
      <w:r w:rsidR="00897D69">
        <w:rPr>
          <w:rFonts w:asciiTheme="minorHAnsi" w:hAnsiTheme="minorHAnsi"/>
          <w:sz w:val="20"/>
          <w:szCs w:val="20"/>
          <w:lang w:val="bg-BG"/>
        </w:rPr>
        <w:t>.</w:t>
      </w:r>
      <w:r w:rsidR="00AC737D">
        <w:rPr>
          <w:rFonts w:asciiTheme="minorHAnsi" w:hAnsiTheme="minorHAnsi"/>
          <w:sz w:val="20"/>
          <w:szCs w:val="20"/>
          <w:lang w:val="bg-BG"/>
        </w:rPr>
        <w:t>2</w:t>
      </w:r>
      <w:r w:rsidRPr="00FA0376">
        <w:rPr>
          <w:rFonts w:asciiTheme="minorHAnsi" w:hAnsiTheme="minorHAnsi"/>
          <w:sz w:val="20"/>
          <w:szCs w:val="20"/>
          <w:lang w:val="bg-BG"/>
        </w:rPr>
        <w:t xml:space="preserve"> </w:t>
      </w:r>
      <w:r w:rsidR="00C06A18">
        <w:rPr>
          <w:rFonts w:asciiTheme="minorHAnsi" w:hAnsiTheme="minorHAnsi"/>
          <w:sz w:val="20"/>
          <w:szCs w:val="20"/>
          <w:lang w:val="bg-BG"/>
        </w:rPr>
        <w:t>млн</w:t>
      </w:r>
      <w:r w:rsidRPr="00FA0376">
        <w:rPr>
          <w:rFonts w:asciiTheme="minorHAnsi" w:hAnsiTheme="minorHAnsi"/>
          <w:sz w:val="20"/>
          <w:szCs w:val="20"/>
          <w:lang w:val="bg-BG"/>
        </w:rPr>
        <w:t xml:space="preserve">. лв. </w:t>
      </w:r>
      <w:r w:rsidR="00897D69">
        <w:rPr>
          <w:rFonts w:asciiTheme="minorHAnsi" w:hAnsiTheme="minorHAnsi"/>
          <w:sz w:val="20"/>
          <w:szCs w:val="20"/>
          <w:lang w:val="bg-BG"/>
        </w:rPr>
        <w:t xml:space="preserve">спрямо </w:t>
      </w:r>
      <w:r w:rsidR="00AC737D">
        <w:rPr>
          <w:rFonts w:asciiTheme="minorHAnsi" w:hAnsiTheme="minorHAnsi"/>
          <w:sz w:val="20"/>
          <w:szCs w:val="20"/>
          <w:lang w:val="bg-BG"/>
        </w:rPr>
        <w:t xml:space="preserve">431 </w:t>
      </w:r>
      <w:r w:rsidR="00897D69">
        <w:rPr>
          <w:rFonts w:asciiTheme="minorHAnsi" w:hAnsiTheme="minorHAnsi"/>
          <w:sz w:val="20"/>
          <w:szCs w:val="20"/>
          <w:lang w:val="bg-BG"/>
        </w:rPr>
        <w:t>хил. лв. г</w:t>
      </w:r>
      <w:r w:rsidRPr="00FA0376">
        <w:rPr>
          <w:rFonts w:asciiTheme="minorHAnsi" w:hAnsiTheme="minorHAnsi"/>
          <w:sz w:val="20"/>
          <w:szCs w:val="20"/>
          <w:lang w:val="bg-BG"/>
        </w:rPr>
        <w:t>одина</w:t>
      </w:r>
      <w:r w:rsidR="00C06A18">
        <w:rPr>
          <w:rFonts w:asciiTheme="minorHAnsi" w:hAnsiTheme="minorHAnsi"/>
          <w:sz w:val="20"/>
          <w:szCs w:val="20"/>
          <w:lang w:val="bg-BG"/>
        </w:rPr>
        <w:t xml:space="preserve"> по-рано</w:t>
      </w:r>
      <w:r w:rsidR="00221DE8">
        <w:rPr>
          <w:rFonts w:asciiTheme="minorHAnsi" w:hAnsiTheme="minorHAnsi"/>
          <w:sz w:val="20"/>
          <w:szCs w:val="20"/>
          <w:lang w:val="bg-BG"/>
        </w:rPr>
        <w:t xml:space="preserve">. Това </w:t>
      </w:r>
      <w:r w:rsidR="00897D69">
        <w:rPr>
          <w:rFonts w:asciiTheme="minorHAnsi" w:hAnsiTheme="minorHAnsi"/>
          <w:sz w:val="20"/>
          <w:szCs w:val="20"/>
          <w:lang w:val="bg-BG"/>
        </w:rPr>
        <w:t xml:space="preserve">показва влошаване на качеството на портфейла от кредити, но също така </w:t>
      </w:r>
      <w:r w:rsidR="00221DE8">
        <w:rPr>
          <w:rFonts w:asciiTheme="minorHAnsi" w:hAnsiTheme="minorHAnsi"/>
          <w:sz w:val="20"/>
          <w:szCs w:val="20"/>
          <w:lang w:val="bg-BG"/>
        </w:rPr>
        <w:t>се дължи</w:t>
      </w:r>
      <w:r w:rsidR="00AB429D">
        <w:rPr>
          <w:rFonts w:asciiTheme="minorHAnsi" w:hAnsiTheme="minorHAnsi"/>
          <w:sz w:val="20"/>
          <w:szCs w:val="20"/>
          <w:lang w:val="bg-BG"/>
        </w:rPr>
        <w:t xml:space="preserve"> </w:t>
      </w:r>
      <w:r w:rsidR="00221DE8">
        <w:rPr>
          <w:rFonts w:asciiTheme="minorHAnsi" w:hAnsiTheme="minorHAnsi"/>
          <w:sz w:val="20"/>
          <w:szCs w:val="20"/>
          <w:lang w:val="bg-BG"/>
        </w:rPr>
        <w:t xml:space="preserve">на </w:t>
      </w:r>
      <w:r w:rsidR="00AB429D">
        <w:rPr>
          <w:rFonts w:asciiTheme="minorHAnsi" w:hAnsiTheme="minorHAnsi"/>
          <w:sz w:val="20"/>
          <w:szCs w:val="20"/>
          <w:lang w:val="bg-BG"/>
        </w:rPr>
        <w:t xml:space="preserve">нарастването на активите под формата на отпуснати кредити с </w:t>
      </w:r>
      <w:r w:rsidR="00AC737D">
        <w:rPr>
          <w:rFonts w:asciiTheme="minorHAnsi" w:hAnsiTheme="minorHAnsi"/>
          <w:sz w:val="20"/>
          <w:szCs w:val="20"/>
          <w:lang w:val="bg-BG"/>
        </w:rPr>
        <w:t>близо 6</w:t>
      </w:r>
      <w:r w:rsidR="00897D69">
        <w:rPr>
          <w:rFonts w:asciiTheme="minorHAnsi" w:hAnsiTheme="minorHAnsi"/>
          <w:sz w:val="20"/>
          <w:szCs w:val="20"/>
          <w:lang w:val="bg-BG"/>
        </w:rPr>
        <w:t>0</w:t>
      </w:r>
      <w:r w:rsidR="00AB429D">
        <w:rPr>
          <w:rFonts w:asciiTheme="minorHAnsi" w:hAnsiTheme="minorHAnsi"/>
          <w:sz w:val="20"/>
          <w:szCs w:val="20"/>
          <w:lang w:val="bg-BG"/>
        </w:rPr>
        <w:t>%</w:t>
      </w:r>
      <w:r w:rsidR="00897D69">
        <w:rPr>
          <w:rFonts w:asciiTheme="minorHAnsi" w:hAnsiTheme="minorHAnsi"/>
          <w:sz w:val="20"/>
          <w:szCs w:val="20"/>
          <w:lang w:val="bg-BG"/>
        </w:rPr>
        <w:t xml:space="preserve"> </w:t>
      </w:r>
      <w:r w:rsidR="00AC737D">
        <w:rPr>
          <w:rFonts w:asciiTheme="minorHAnsi" w:hAnsiTheme="minorHAnsi"/>
          <w:sz w:val="20"/>
          <w:szCs w:val="20"/>
          <w:lang w:val="bg-BG"/>
        </w:rPr>
        <w:t>през годината</w:t>
      </w:r>
      <w:r w:rsidR="00531B94">
        <w:rPr>
          <w:rFonts w:asciiTheme="minorHAnsi" w:hAnsiTheme="minorHAnsi"/>
          <w:sz w:val="20"/>
          <w:szCs w:val="20"/>
          <w:lang w:val="bg-BG"/>
        </w:rPr>
        <w:t>.</w:t>
      </w:r>
      <w:r w:rsidR="00AB429D">
        <w:rPr>
          <w:rFonts w:asciiTheme="minorHAnsi" w:hAnsiTheme="minorHAnsi"/>
          <w:sz w:val="20"/>
          <w:szCs w:val="20"/>
          <w:lang w:val="bg-BG"/>
        </w:rPr>
        <w:t xml:space="preserve"> </w:t>
      </w:r>
      <w:r w:rsidR="00CC4790">
        <w:rPr>
          <w:rFonts w:asciiTheme="minorHAnsi" w:hAnsiTheme="minorHAnsi"/>
          <w:sz w:val="20"/>
          <w:szCs w:val="20"/>
          <w:lang w:val="bg-BG"/>
        </w:rPr>
        <w:t>Сред о</w:t>
      </w:r>
      <w:r w:rsidR="00E62A83" w:rsidRPr="00E62A83">
        <w:rPr>
          <w:rFonts w:asciiTheme="minorHAnsi" w:hAnsiTheme="minorHAnsi"/>
          <w:sz w:val="20"/>
          <w:szCs w:val="20"/>
          <w:lang w:val="bg-BG"/>
        </w:rPr>
        <w:t xml:space="preserve">станалите разходи на Дружеството </w:t>
      </w:r>
      <w:r w:rsidR="00CC4790">
        <w:rPr>
          <w:rFonts w:asciiTheme="minorHAnsi" w:hAnsiTheme="minorHAnsi"/>
          <w:sz w:val="20"/>
          <w:szCs w:val="20"/>
          <w:lang w:val="bg-BG"/>
        </w:rPr>
        <w:t xml:space="preserve">се наблюдава </w:t>
      </w:r>
      <w:r w:rsidR="005F3E4E">
        <w:rPr>
          <w:rFonts w:asciiTheme="minorHAnsi" w:hAnsiTheme="minorHAnsi"/>
          <w:sz w:val="20"/>
          <w:szCs w:val="20"/>
          <w:lang w:val="bg-BG"/>
        </w:rPr>
        <w:t>удвояване</w:t>
      </w:r>
      <w:r w:rsidR="00E62A83" w:rsidRPr="00E62A83">
        <w:rPr>
          <w:rFonts w:asciiTheme="minorHAnsi" w:hAnsiTheme="minorHAnsi"/>
          <w:sz w:val="20"/>
          <w:szCs w:val="20"/>
          <w:lang w:val="bg-BG"/>
        </w:rPr>
        <w:t xml:space="preserve"> </w:t>
      </w:r>
      <w:r w:rsidR="00CC4790">
        <w:rPr>
          <w:rFonts w:asciiTheme="minorHAnsi" w:hAnsiTheme="minorHAnsi"/>
          <w:sz w:val="20"/>
          <w:szCs w:val="20"/>
          <w:lang w:val="bg-BG"/>
        </w:rPr>
        <w:t xml:space="preserve">на </w:t>
      </w:r>
      <w:r w:rsidR="00531B94">
        <w:rPr>
          <w:rFonts w:asciiTheme="minorHAnsi" w:hAnsiTheme="minorHAnsi"/>
          <w:sz w:val="20"/>
          <w:szCs w:val="20"/>
          <w:lang w:val="bg-BG"/>
        </w:rPr>
        <w:t>разходите за материали</w:t>
      </w:r>
      <w:r w:rsidR="00876145">
        <w:rPr>
          <w:rFonts w:asciiTheme="minorHAnsi" w:hAnsiTheme="minorHAnsi"/>
          <w:sz w:val="20"/>
          <w:szCs w:val="20"/>
          <w:lang w:val="bg-BG"/>
        </w:rPr>
        <w:t xml:space="preserve"> и външни услуги</w:t>
      </w:r>
      <w:r w:rsidR="00531B94">
        <w:rPr>
          <w:rFonts w:asciiTheme="minorHAnsi" w:hAnsiTheme="minorHAnsi"/>
          <w:sz w:val="20"/>
          <w:szCs w:val="20"/>
          <w:lang w:val="bg-BG"/>
        </w:rPr>
        <w:t xml:space="preserve">. </w:t>
      </w:r>
      <w:r w:rsidR="005F3E4E">
        <w:rPr>
          <w:rFonts w:asciiTheme="minorHAnsi" w:hAnsiTheme="minorHAnsi"/>
          <w:sz w:val="20"/>
          <w:szCs w:val="20"/>
          <w:lang w:val="bg-BG"/>
        </w:rPr>
        <w:t>Р</w:t>
      </w:r>
      <w:r w:rsidR="00CC4790">
        <w:rPr>
          <w:rFonts w:asciiTheme="minorHAnsi" w:hAnsiTheme="minorHAnsi"/>
          <w:sz w:val="20"/>
          <w:szCs w:val="20"/>
          <w:lang w:val="bg-BG"/>
        </w:rPr>
        <w:t>азходите за</w:t>
      </w:r>
      <w:r w:rsidR="00E62A83" w:rsidRPr="00E62A83">
        <w:rPr>
          <w:rFonts w:asciiTheme="minorHAnsi" w:hAnsiTheme="minorHAnsi"/>
          <w:sz w:val="20"/>
          <w:szCs w:val="20"/>
          <w:lang w:val="bg-BG"/>
        </w:rPr>
        <w:t xml:space="preserve"> </w:t>
      </w:r>
      <w:r w:rsidR="00CC4790">
        <w:rPr>
          <w:rFonts w:asciiTheme="minorHAnsi" w:hAnsiTheme="minorHAnsi"/>
          <w:sz w:val="20"/>
          <w:szCs w:val="20"/>
          <w:lang w:val="bg-BG"/>
        </w:rPr>
        <w:t>персонал, което е най-голямото перо в отчета</w:t>
      </w:r>
      <w:r w:rsidR="00531B94">
        <w:rPr>
          <w:rFonts w:asciiTheme="minorHAnsi" w:hAnsiTheme="minorHAnsi"/>
          <w:sz w:val="20"/>
          <w:szCs w:val="20"/>
          <w:lang w:val="bg-BG"/>
        </w:rPr>
        <w:t xml:space="preserve">, се променят </w:t>
      </w:r>
      <w:r w:rsidR="005F3E4E">
        <w:rPr>
          <w:rFonts w:asciiTheme="minorHAnsi" w:hAnsiTheme="minorHAnsi"/>
          <w:sz w:val="20"/>
          <w:szCs w:val="20"/>
          <w:lang w:val="bg-BG"/>
        </w:rPr>
        <w:t xml:space="preserve">само с </w:t>
      </w:r>
      <w:r w:rsidR="00AC737D">
        <w:rPr>
          <w:rFonts w:asciiTheme="minorHAnsi" w:hAnsiTheme="minorHAnsi"/>
          <w:sz w:val="20"/>
          <w:szCs w:val="20"/>
          <w:lang w:val="bg-BG"/>
        </w:rPr>
        <w:t>8</w:t>
      </w:r>
      <w:r w:rsidR="005F3E4E">
        <w:rPr>
          <w:rFonts w:asciiTheme="minorHAnsi" w:hAnsiTheme="minorHAnsi"/>
          <w:sz w:val="20"/>
          <w:szCs w:val="20"/>
          <w:lang w:val="bg-BG"/>
        </w:rPr>
        <w:t>%</w:t>
      </w:r>
      <w:r w:rsidR="00AC737D">
        <w:rPr>
          <w:rFonts w:asciiTheme="minorHAnsi" w:hAnsiTheme="minorHAnsi"/>
          <w:sz w:val="20"/>
          <w:szCs w:val="20"/>
          <w:lang w:val="bg-BG"/>
        </w:rPr>
        <w:t xml:space="preserve">, като броят на служителите не се увеличава. </w:t>
      </w:r>
    </w:p>
    <w:p w14:paraId="1189A51F" w14:textId="77777777" w:rsidR="005F3E4E" w:rsidRDefault="005F3E4E" w:rsidP="001931E6">
      <w:pPr>
        <w:pStyle w:val="ListParagraph"/>
        <w:spacing w:after="120"/>
        <w:ind w:left="0" w:right="566"/>
        <w:contextualSpacing w:val="0"/>
        <w:jc w:val="both"/>
        <w:rPr>
          <w:rFonts w:asciiTheme="minorHAnsi" w:hAnsiTheme="minorHAnsi"/>
          <w:sz w:val="20"/>
          <w:szCs w:val="20"/>
          <w:lang w:val="bg-BG"/>
        </w:rPr>
      </w:pPr>
    </w:p>
    <w:p w14:paraId="061E4841" w14:textId="0F279706" w:rsidR="009703C8" w:rsidRDefault="00CC4790" w:rsidP="001931E6">
      <w:pPr>
        <w:pStyle w:val="ListParagraph"/>
        <w:spacing w:after="120"/>
        <w:ind w:left="0" w:right="566"/>
        <w:contextualSpacing w:val="0"/>
        <w:jc w:val="both"/>
        <w:rPr>
          <w:rFonts w:asciiTheme="minorHAnsi" w:hAnsiTheme="minorHAnsi"/>
          <w:sz w:val="20"/>
          <w:szCs w:val="20"/>
          <w:lang w:val="bg-BG"/>
        </w:rPr>
      </w:pPr>
      <w:r>
        <w:rPr>
          <w:rFonts w:asciiTheme="minorHAnsi" w:hAnsiTheme="minorHAnsi"/>
          <w:sz w:val="20"/>
          <w:szCs w:val="20"/>
          <w:lang w:val="bg-BG"/>
        </w:rPr>
        <w:t xml:space="preserve">Разходите за лихви </w:t>
      </w:r>
      <w:r w:rsidR="00531B94">
        <w:rPr>
          <w:rFonts w:asciiTheme="minorHAnsi" w:hAnsiTheme="minorHAnsi"/>
          <w:sz w:val="20"/>
          <w:szCs w:val="20"/>
          <w:lang w:val="bg-BG"/>
        </w:rPr>
        <w:t xml:space="preserve">се увеличават </w:t>
      </w:r>
      <w:r>
        <w:rPr>
          <w:rFonts w:asciiTheme="minorHAnsi" w:hAnsiTheme="minorHAnsi"/>
          <w:sz w:val="20"/>
          <w:szCs w:val="20"/>
          <w:lang w:val="bg-BG"/>
        </w:rPr>
        <w:t>с</w:t>
      </w:r>
      <w:r w:rsidR="002B3E55">
        <w:rPr>
          <w:rFonts w:asciiTheme="minorHAnsi" w:hAnsiTheme="minorHAnsi"/>
          <w:sz w:val="20"/>
          <w:szCs w:val="20"/>
          <w:lang w:val="bg-BG"/>
        </w:rPr>
        <w:t>ъс</w:t>
      </w:r>
      <w:r>
        <w:rPr>
          <w:rFonts w:asciiTheme="minorHAnsi" w:hAnsiTheme="minorHAnsi"/>
          <w:sz w:val="20"/>
          <w:szCs w:val="20"/>
          <w:lang w:val="bg-BG"/>
        </w:rPr>
        <w:t xml:space="preserve"> </w:t>
      </w:r>
      <w:r w:rsidR="002B3E55">
        <w:rPr>
          <w:rFonts w:asciiTheme="minorHAnsi" w:hAnsiTheme="minorHAnsi"/>
          <w:sz w:val="20"/>
          <w:szCs w:val="20"/>
          <w:lang w:val="bg-BG"/>
        </w:rPr>
        <w:t>7</w:t>
      </w:r>
      <w:r w:rsidR="005F3E4E">
        <w:rPr>
          <w:rFonts w:asciiTheme="minorHAnsi" w:hAnsiTheme="minorHAnsi"/>
          <w:sz w:val="20"/>
          <w:szCs w:val="20"/>
          <w:lang w:val="bg-BG"/>
        </w:rPr>
        <w:t>3</w:t>
      </w:r>
      <w:r>
        <w:rPr>
          <w:rFonts w:asciiTheme="minorHAnsi" w:hAnsiTheme="minorHAnsi"/>
          <w:sz w:val="20"/>
          <w:szCs w:val="20"/>
          <w:lang w:val="bg-BG"/>
        </w:rPr>
        <w:t>% за годината</w:t>
      </w:r>
      <w:r w:rsidR="00531B94">
        <w:rPr>
          <w:rFonts w:asciiTheme="minorHAnsi" w:hAnsiTheme="minorHAnsi"/>
          <w:sz w:val="20"/>
          <w:szCs w:val="20"/>
          <w:lang w:val="bg-BG"/>
        </w:rPr>
        <w:t>, което отразява</w:t>
      </w:r>
      <w:r w:rsidR="00B61322">
        <w:rPr>
          <w:rFonts w:asciiTheme="minorHAnsi" w:hAnsiTheme="minorHAnsi"/>
          <w:sz w:val="20"/>
          <w:szCs w:val="20"/>
          <w:lang w:val="bg-BG"/>
        </w:rPr>
        <w:t xml:space="preserve"> и повишаването на задълженията на компанията</w:t>
      </w:r>
      <w:r>
        <w:rPr>
          <w:rFonts w:asciiTheme="minorHAnsi" w:hAnsiTheme="minorHAnsi"/>
          <w:sz w:val="20"/>
          <w:szCs w:val="20"/>
          <w:lang w:val="bg-BG"/>
        </w:rPr>
        <w:t>.</w:t>
      </w:r>
      <w:r w:rsidR="005F3E4E">
        <w:rPr>
          <w:rFonts w:asciiTheme="minorHAnsi" w:hAnsiTheme="minorHAnsi"/>
          <w:sz w:val="20"/>
          <w:szCs w:val="20"/>
          <w:lang w:val="bg-BG"/>
        </w:rPr>
        <w:t xml:space="preserve"> </w:t>
      </w:r>
      <w:r w:rsidR="00B61322">
        <w:rPr>
          <w:rFonts w:asciiTheme="minorHAnsi" w:hAnsiTheme="minorHAnsi"/>
          <w:sz w:val="20"/>
          <w:szCs w:val="20"/>
          <w:lang w:val="bg-BG"/>
        </w:rPr>
        <w:t>П</w:t>
      </w:r>
      <w:r w:rsidR="009703C8" w:rsidRPr="00E62A83">
        <w:rPr>
          <w:rFonts w:asciiTheme="minorHAnsi" w:hAnsiTheme="minorHAnsi"/>
          <w:sz w:val="20"/>
          <w:szCs w:val="20"/>
          <w:lang w:val="bg-BG"/>
        </w:rPr>
        <w:t>ечалба</w:t>
      </w:r>
      <w:r>
        <w:rPr>
          <w:rFonts w:asciiTheme="minorHAnsi" w:hAnsiTheme="minorHAnsi"/>
          <w:sz w:val="20"/>
          <w:szCs w:val="20"/>
          <w:lang w:val="bg-BG"/>
        </w:rPr>
        <w:t>та</w:t>
      </w:r>
      <w:r w:rsidR="009703C8" w:rsidRPr="00E62A83">
        <w:rPr>
          <w:rFonts w:asciiTheme="minorHAnsi" w:hAnsiTheme="minorHAnsi"/>
          <w:sz w:val="20"/>
          <w:szCs w:val="20"/>
          <w:lang w:val="bg-BG"/>
        </w:rPr>
        <w:t xml:space="preserve"> на „Ай Ти Еф Груп“ </w:t>
      </w:r>
      <w:r w:rsidR="00B970CA">
        <w:rPr>
          <w:rFonts w:asciiTheme="minorHAnsi" w:hAnsiTheme="minorHAnsi"/>
          <w:sz w:val="20"/>
          <w:szCs w:val="20"/>
          <w:lang w:val="bg-BG"/>
        </w:rPr>
        <w:t>расте</w:t>
      </w:r>
      <w:r w:rsidR="00B61322">
        <w:rPr>
          <w:rFonts w:asciiTheme="minorHAnsi" w:hAnsiTheme="minorHAnsi"/>
          <w:sz w:val="20"/>
          <w:szCs w:val="20"/>
          <w:lang w:val="bg-BG"/>
        </w:rPr>
        <w:t xml:space="preserve"> съществено, заради </w:t>
      </w:r>
      <w:r w:rsidR="00B970CA">
        <w:rPr>
          <w:rFonts w:asciiTheme="minorHAnsi" w:hAnsiTheme="minorHAnsi"/>
          <w:sz w:val="20"/>
          <w:szCs w:val="20"/>
          <w:lang w:val="bg-BG"/>
        </w:rPr>
        <w:t xml:space="preserve">увеличените </w:t>
      </w:r>
      <w:r w:rsidR="00B61322">
        <w:rPr>
          <w:rFonts w:asciiTheme="minorHAnsi" w:hAnsiTheme="minorHAnsi"/>
          <w:sz w:val="20"/>
          <w:szCs w:val="20"/>
          <w:lang w:val="bg-BG"/>
        </w:rPr>
        <w:t>активи и финансови приходи.</w:t>
      </w:r>
      <w:r w:rsidR="009703C8" w:rsidRPr="00E62A83">
        <w:rPr>
          <w:rFonts w:asciiTheme="minorHAnsi" w:hAnsiTheme="minorHAnsi"/>
          <w:sz w:val="20"/>
          <w:szCs w:val="20"/>
          <w:lang w:val="bg-BG"/>
        </w:rPr>
        <w:t xml:space="preserve"> </w:t>
      </w:r>
      <w:r w:rsidR="00B61322">
        <w:rPr>
          <w:rFonts w:asciiTheme="minorHAnsi" w:hAnsiTheme="minorHAnsi"/>
          <w:sz w:val="20"/>
          <w:szCs w:val="20"/>
          <w:lang w:val="bg-BG"/>
        </w:rPr>
        <w:t xml:space="preserve">Резултатът </w:t>
      </w:r>
      <w:r w:rsidR="00B970CA">
        <w:rPr>
          <w:rFonts w:asciiTheme="minorHAnsi" w:hAnsiTheme="minorHAnsi"/>
          <w:sz w:val="20"/>
          <w:szCs w:val="20"/>
          <w:lang w:val="bg-BG"/>
        </w:rPr>
        <w:t xml:space="preserve">за </w:t>
      </w:r>
      <w:r w:rsidR="005F3E4E">
        <w:rPr>
          <w:rFonts w:asciiTheme="minorHAnsi" w:hAnsiTheme="minorHAnsi"/>
          <w:sz w:val="20"/>
          <w:szCs w:val="20"/>
          <w:lang w:val="bg-BG"/>
        </w:rPr>
        <w:t>деветмесечието</w:t>
      </w:r>
      <w:r w:rsidR="00B970CA">
        <w:rPr>
          <w:rFonts w:asciiTheme="minorHAnsi" w:hAnsiTheme="minorHAnsi"/>
          <w:sz w:val="20"/>
          <w:szCs w:val="20"/>
          <w:lang w:val="bg-BG"/>
        </w:rPr>
        <w:t xml:space="preserve"> </w:t>
      </w:r>
      <w:r w:rsidR="00B61322">
        <w:rPr>
          <w:rFonts w:asciiTheme="minorHAnsi" w:hAnsiTheme="minorHAnsi"/>
          <w:sz w:val="20"/>
          <w:szCs w:val="20"/>
          <w:lang w:val="bg-BG"/>
        </w:rPr>
        <w:t xml:space="preserve">е </w:t>
      </w:r>
      <w:r w:rsidR="002B3E55">
        <w:rPr>
          <w:rFonts w:asciiTheme="minorHAnsi" w:hAnsiTheme="minorHAnsi"/>
          <w:sz w:val="20"/>
          <w:szCs w:val="20"/>
          <w:lang w:val="bg-BG"/>
        </w:rPr>
        <w:t>с близо 4</w:t>
      </w:r>
      <w:r w:rsidR="005F3E4E">
        <w:rPr>
          <w:rFonts w:asciiTheme="minorHAnsi" w:hAnsiTheme="minorHAnsi"/>
          <w:sz w:val="20"/>
          <w:szCs w:val="20"/>
          <w:lang w:val="bg-BG"/>
        </w:rPr>
        <w:t>0</w:t>
      </w:r>
      <w:r w:rsidR="00B970CA">
        <w:rPr>
          <w:rFonts w:asciiTheme="minorHAnsi" w:hAnsiTheme="minorHAnsi"/>
          <w:sz w:val="20"/>
          <w:szCs w:val="20"/>
          <w:lang w:val="bg-BG"/>
        </w:rPr>
        <w:t>0</w:t>
      </w:r>
      <w:r w:rsidR="009703C8" w:rsidRPr="00E62A83">
        <w:rPr>
          <w:rFonts w:asciiTheme="minorHAnsi" w:hAnsiTheme="minorHAnsi"/>
          <w:sz w:val="20"/>
          <w:szCs w:val="20"/>
          <w:lang w:val="bg-BG"/>
        </w:rPr>
        <w:t xml:space="preserve">% </w:t>
      </w:r>
      <w:r w:rsidR="00B61322">
        <w:rPr>
          <w:rFonts w:asciiTheme="minorHAnsi" w:hAnsiTheme="minorHAnsi"/>
          <w:sz w:val="20"/>
          <w:szCs w:val="20"/>
          <w:lang w:val="bg-BG"/>
        </w:rPr>
        <w:t xml:space="preserve">повече </w:t>
      </w:r>
      <w:r w:rsidR="009703C8" w:rsidRPr="00E62A83">
        <w:rPr>
          <w:rFonts w:asciiTheme="minorHAnsi" w:hAnsiTheme="minorHAnsi"/>
          <w:sz w:val="20"/>
          <w:szCs w:val="20"/>
          <w:lang w:val="bg-BG"/>
        </w:rPr>
        <w:t xml:space="preserve">спрямо същия период на миналата година </w:t>
      </w:r>
      <w:r w:rsidR="00B61322">
        <w:rPr>
          <w:rFonts w:asciiTheme="minorHAnsi" w:hAnsiTheme="minorHAnsi"/>
          <w:sz w:val="20"/>
          <w:szCs w:val="20"/>
          <w:lang w:val="bg-BG"/>
        </w:rPr>
        <w:t xml:space="preserve">и </w:t>
      </w:r>
      <w:r w:rsidR="00E62A83" w:rsidRPr="00E62A83">
        <w:rPr>
          <w:rFonts w:asciiTheme="minorHAnsi" w:hAnsiTheme="minorHAnsi"/>
          <w:sz w:val="20"/>
          <w:szCs w:val="20"/>
          <w:lang w:val="bg-BG"/>
        </w:rPr>
        <w:t>до</w:t>
      </w:r>
      <w:r w:rsidR="00B61322">
        <w:rPr>
          <w:rFonts w:asciiTheme="minorHAnsi" w:hAnsiTheme="minorHAnsi"/>
          <w:sz w:val="20"/>
          <w:szCs w:val="20"/>
          <w:lang w:val="bg-BG"/>
        </w:rPr>
        <w:t>стига</w:t>
      </w:r>
      <w:r w:rsidR="009703C8" w:rsidRPr="00E62A83">
        <w:rPr>
          <w:rFonts w:asciiTheme="minorHAnsi" w:hAnsiTheme="minorHAnsi"/>
          <w:sz w:val="20"/>
          <w:szCs w:val="20"/>
          <w:lang w:val="bg-BG"/>
        </w:rPr>
        <w:t xml:space="preserve"> </w:t>
      </w:r>
      <w:r w:rsidR="005F3E4E">
        <w:rPr>
          <w:rFonts w:asciiTheme="minorHAnsi" w:hAnsiTheme="minorHAnsi"/>
          <w:sz w:val="20"/>
          <w:szCs w:val="20"/>
          <w:lang w:val="bg-BG"/>
        </w:rPr>
        <w:t>1.</w:t>
      </w:r>
      <w:r w:rsidR="002B3E55">
        <w:rPr>
          <w:rFonts w:asciiTheme="minorHAnsi" w:hAnsiTheme="minorHAnsi"/>
          <w:sz w:val="20"/>
          <w:szCs w:val="20"/>
          <w:lang w:val="bg-BG"/>
        </w:rPr>
        <w:t>122</w:t>
      </w:r>
      <w:r w:rsidR="00B61322">
        <w:rPr>
          <w:rFonts w:asciiTheme="minorHAnsi" w:hAnsiTheme="minorHAnsi"/>
          <w:sz w:val="20"/>
          <w:szCs w:val="20"/>
          <w:lang w:val="bg-BG"/>
        </w:rPr>
        <w:t xml:space="preserve"> </w:t>
      </w:r>
      <w:r w:rsidR="005F3E4E">
        <w:rPr>
          <w:rFonts w:asciiTheme="minorHAnsi" w:hAnsiTheme="minorHAnsi"/>
          <w:sz w:val="20"/>
          <w:szCs w:val="20"/>
          <w:lang w:val="bg-BG"/>
        </w:rPr>
        <w:t>м</w:t>
      </w:r>
      <w:r w:rsidR="009703C8" w:rsidRPr="00E62A83">
        <w:rPr>
          <w:rFonts w:asciiTheme="minorHAnsi" w:hAnsiTheme="minorHAnsi"/>
          <w:sz w:val="20"/>
          <w:szCs w:val="20"/>
          <w:lang w:val="bg-BG"/>
        </w:rPr>
        <w:t>л</w:t>
      </w:r>
      <w:r w:rsidR="005F3E4E">
        <w:rPr>
          <w:rFonts w:asciiTheme="minorHAnsi" w:hAnsiTheme="minorHAnsi"/>
          <w:sz w:val="20"/>
          <w:szCs w:val="20"/>
          <w:lang w:val="bg-BG"/>
        </w:rPr>
        <w:t>н</w:t>
      </w:r>
      <w:r w:rsidR="00E62A83" w:rsidRPr="00E62A83">
        <w:rPr>
          <w:rFonts w:asciiTheme="minorHAnsi" w:hAnsiTheme="minorHAnsi"/>
          <w:sz w:val="20"/>
          <w:szCs w:val="20"/>
          <w:lang w:val="bg-BG"/>
        </w:rPr>
        <w:t>.</w:t>
      </w:r>
      <w:r w:rsidR="009703C8" w:rsidRPr="00E62A83">
        <w:rPr>
          <w:rFonts w:asciiTheme="minorHAnsi" w:hAnsiTheme="minorHAnsi"/>
          <w:sz w:val="20"/>
          <w:szCs w:val="20"/>
          <w:lang w:val="bg-BG"/>
        </w:rPr>
        <w:t xml:space="preserve"> лв.</w:t>
      </w:r>
      <w:r>
        <w:rPr>
          <w:rFonts w:asciiTheme="minorHAnsi" w:hAnsiTheme="minorHAnsi"/>
          <w:sz w:val="20"/>
          <w:szCs w:val="20"/>
          <w:lang w:val="bg-BG"/>
        </w:rPr>
        <w:t xml:space="preserve"> преди облагане с данъци.</w:t>
      </w:r>
    </w:p>
    <w:p w14:paraId="1C725D91" w14:textId="77777777" w:rsidR="00A90250" w:rsidRPr="00192CB3" w:rsidRDefault="00EB26F8" w:rsidP="00041EDA">
      <w:pPr>
        <w:pStyle w:val="bs2"/>
        <w:numPr>
          <w:ilvl w:val="1"/>
          <w:numId w:val="7"/>
        </w:numPr>
        <w:spacing w:before="240" w:after="120"/>
        <w:ind w:left="794" w:firstLine="57"/>
        <w:rPr>
          <w:rFonts w:asciiTheme="minorHAnsi" w:hAnsiTheme="minorHAnsi"/>
        </w:rPr>
      </w:pPr>
      <w:r w:rsidRPr="00192CB3">
        <w:rPr>
          <w:rFonts w:asciiTheme="minorHAnsi" w:hAnsiTheme="minorHAnsi"/>
        </w:rPr>
        <w:lastRenderedPageBreak/>
        <w:t>Баланс</w:t>
      </w:r>
    </w:p>
    <w:p w14:paraId="6A7C51E6" w14:textId="50C00E32" w:rsidR="00382353" w:rsidRDefault="00FC23B1" w:rsidP="00382353">
      <w:pPr>
        <w:tabs>
          <w:tab w:val="left" w:pos="5628"/>
          <w:tab w:val="left" w:pos="9090"/>
        </w:tabs>
        <w:jc w:val="both"/>
        <w:rPr>
          <w:rFonts w:asciiTheme="minorHAnsi" w:hAnsiTheme="minorHAnsi"/>
          <w:sz w:val="16"/>
        </w:rPr>
      </w:pPr>
      <w:r>
        <w:rPr>
          <w:rFonts w:asciiTheme="minorHAnsi" w:hAnsiTheme="minorHAnsi"/>
          <w:sz w:val="16"/>
        </w:rPr>
        <w:tab/>
      </w:r>
      <w:r w:rsidR="002B3E55" w:rsidRPr="002B3E55">
        <w:rPr>
          <w:noProof/>
        </w:rPr>
        <w:drawing>
          <wp:inline distT="0" distB="0" distL="0" distR="0" wp14:anchorId="70241425" wp14:editId="64B9781F">
            <wp:extent cx="6118194" cy="589986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6849" cy="5917857"/>
                    </a:xfrm>
                    <a:prstGeom prst="rect">
                      <a:avLst/>
                    </a:prstGeom>
                    <a:noFill/>
                    <a:ln>
                      <a:noFill/>
                    </a:ln>
                  </pic:spPr>
                </pic:pic>
              </a:graphicData>
            </a:graphic>
          </wp:inline>
        </w:drawing>
      </w:r>
    </w:p>
    <w:p w14:paraId="3E5ED6AC" w14:textId="77777777" w:rsidR="00451DC2" w:rsidRPr="00F061CA" w:rsidRDefault="00451DC2" w:rsidP="00382353">
      <w:pPr>
        <w:tabs>
          <w:tab w:val="left" w:pos="5628"/>
          <w:tab w:val="left" w:pos="9090"/>
        </w:tabs>
        <w:ind w:right="638"/>
        <w:jc w:val="right"/>
        <w:rPr>
          <w:rFonts w:asciiTheme="minorHAnsi" w:hAnsiTheme="minorHAnsi"/>
          <w:sz w:val="16"/>
        </w:rPr>
      </w:pPr>
      <w:r w:rsidRPr="00F061CA">
        <w:rPr>
          <w:rFonts w:asciiTheme="minorHAnsi" w:hAnsiTheme="minorHAnsi"/>
          <w:sz w:val="16"/>
        </w:rPr>
        <w:t>Източник : Ай Ти Еф Груп АД</w:t>
      </w:r>
    </w:p>
    <w:p w14:paraId="575E5076" w14:textId="77777777" w:rsidR="00E56D30" w:rsidRDefault="00E56D30" w:rsidP="00DD31DF">
      <w:pPr>
        <w:jc w:val="both"/>
        <w:rPr>
          <w:rFonts w:asciiTheme="minorHAnsi" w:hAnsiTheme="minorHAnsi"/>
          <w:sz w:val="22"/>
        </w:rPr>
      </w:pPr>
    </w:p>
    <w:p w14:paraId="58419FC0" w14:textId="74C52469" w:rsidR="00740CE6" w:rsidRDefault="00965686" w:rsidP="00B8569D">
      <w:pPr>
        <w:spacing w:after="120"/>
        <w:ind w:right="567"/>
        <w:jc w:val="both"/>
        <w:rPr>
          <w:rFonts w:asciiTheme="minorHAnsi" w:hAnsiTheme="minorHAnsi"/>
          <w:sz w:val="20"/>
        </w:rPr>
      </w:pPr>
      <w:r>
        <w:rPr>
          <w:rFonts w:asciiTheme="minorHAnsi" w:hAnsiTheme="minorHAnsi"/>
          <w:sz w:val="20"/>
        </w:rPr>
        <w:t xml:space="preserve">През </w:t>
      </w:r>
      <w:r w:rsidR="00795C06" w:rsidRPr="00192CB3">
        <w:rPr>
          <w:rFonts w:asciiTheme="minorHAnsi" w:hAnsiTheme="minorHAnsi"/>
          <w:sz w:val="20"/>
        </w:rPr>
        <w:t>202</w:t>
      </w:r>
      <w:r w:rsidR="00246C64">
        <w:rPr>
          <w:rFonts w:asciiTheme="minorHAnsi" w:hAnsiTheme="minorHAnsi"/>
          <w:sz w:val="20"/>
        </w:rPr>
        <w:t>2</w:t>
      </w:r>
      <w:r w:rsidR="00795C06" w:rsidRPr="00192CB3">
        <w:rPr>
          <w:rFonts w:asciiTheme="minorHAnsi" w:hAnsiTheme="minorHAnsi"/>
          <w:sz w:val="20"/>
        </w:rPr>
        <w:t xml:space="preserve"> г. активите на „Ай Ти Еф Груп“ </w:t>
      </w:r>
      <w:r w:rsidR="00740CE6">
        <w:rPr>
          <w:rFonts w:asciiTheme="minorHAnsi" w:hAnsiTheme="minorHAnsi"/>
          <w:sz w:val="20"/>
        </w:rPr>
        <w:t>се покачват</w:t>
      </w:r>
      <w:r w:rsidR="002B3E55">
        <w:rPr>
          <w:rFonts w:asciiTheme="minorHAnsi" w:hAnsiTheme="minorHAnsi"/>
          <w:sz w:val="20"/>
        </w:rPr>
        <w:t xml:space="preserve"> значително</w:t>
      </w:r>
      <w:r w:rsidR="00795C06" w:rsidRPr="00192CB3">
        <w:rPr>
          <w:rFonts w:asciiTheme="minorHAnsi" w:hAnsiTheme="minorHAnsi"/>
          <w:sz w:val="20"/>
        </w:rPr>
        <w:t xml:space="preserve"> </w:t>
      </w:r>
      <w:r w:rsidR="00740CE6">
        <w:rPr>
          <w:rFonts w:asciiTheme="minorHAnsi" w:hAnsiTheme="minorHAnsi"/>
          <w:sz w:val="20"/>
        </w:rPr>
        <w:t xml:space="preserve">и вече </w:t>
      </w:r>
      <w:r>
        <w:rPr>
          <w:rFonts w:asciiTheme="minorHAnsi" w:hAnsiTheme="minorHAnsi"/>
          <w:sz w:val="20"/>
        </w:rPr>
        <w:t>надхвърлят</w:t>
      </w:r>
      <w:r w:rsidR="00740CE6">
        <w:rPr>
          <w:rFonts w:asciiTheme="minorHAnsi" w:hAnsiTheme="minorHAnsi"/>
          <w:sz w:val="20"/>
        </w:rPr>
        <w:t xml:space="preserve"> </w:t>
      </w:r>
      <w:r w:rsidR="002B3E55">
        <w:rPr>
          <w:rFonts w:asciiTheme="minorHAnsi" w:hAnsiTheme="minorHAnsi"/>
          <w:sz w:val="20"/>
        </w:rPr>
        <w:t>21.6</w:t>
      </w:r>
      <w:r w:rsidR="00936CD9">
        <w:rPr>
          <w:rFonts w:asciiTheme="minorHAnsi" w:hAnsiTheme="minorHAnsi"/>
          <w:sz w:val="20"/>
        </w:rPr>
        <w:t xml:space="preserve"> </w:t>
      </w:r>
      <w:r w:rsidR="002B3E55">
        <w:rPr>
          <w:rFonts w:asciiTheme="minorHAnsi" w:hAnsiTheme="minorHAnsi"/>
          <w:sz w:val="20"/>
        </w:rPr>
        <w:t>м</w:t>
      </w:r>
      <w:r w:rsidR="00795C06" w:rsidRPr="00192CB3">
        <w:rPr>
          <w:rFonts w:asciiTheme="minorHAnsi" w:hAnsiTheme="minorHAnsi"/>
          <w:sz w:val="20"/>
        </w:rPr>
        <w:t>л</w:t>
      </w:r>
      <w:r w:rsidR="002B3E55">
        <w:rPr>
          <w:rFonts w:asciiTheme="minorHAnsi" w:hAnsiTheme="minorHAnsi"/>
          <w:sz w:val="20"/>
        </w:rPr>
        <w:t>н</w:t>
      </w:r>
      <w:r w:rsidR="00795C06" w:rsidRPr="00192CB3">
        <w:rPr>
          <w:rFonts w:asciiTheme="minorHAnsi" w:hAnsiTheme="minorHAnsi"/>
          <w:sz w:val="20"/>
        </w:rPr>
        <w:t>. лв.</w:t>
      </w:r>
      <w:r w:rsidR="00740CE6">
        <w:rPr>
          <w:rFonts w:asciiTheme="minorHAnsi" w:hAnsiTheme="minorHAnsi"/>
          <w:sz w:val="20"/>
        </w:rPr>
        <w:t xml:space="preserve">, което е с </w:t>
      </w:r>
      <w:r w:rsidR="002B3E55">
        <w:rPr>
          <w:rFonts w:asciiTheme="minorHAnsi" w:hAnsiTheme="minorHAnsi"/>
          <w:sz w:val="20"/>
        </w:rPr>
        <w:t>62</w:t>
      </w:r>
      <w:r w:rsidR="00795C06" w:rsidRPr="00192CB3">
        <w:rPr>
          <w:rFonts w:asciiTheme="minorHAnsi" w:hAnsiTheme="minorHAnsi"/>
          <w:sz w:val="20"/>
        </w:rPr>
        <w:t>% по</w:t>
      </w:r>
      <w:r w:rsidR="00936CD9">
        <w:rPr>
          <w:rFonts w:asciiTheme="minorHAnsi" w:hAnsiTheme="minorHAnsi"/>
          <w:sz w:val="20"/>
        </w:rPr>
        <w:t>вече</w:t>
      </w:r>
      <w:r w:rsidR="00795C06" w:rsidRPr="00192CB3">
        <w:rPr>
          <w:rFonts w:asciiTheme="minorHAnsi" w:hAnsiTheme="minorHAnsi"/>
          <w:sz w:val="20"/>
        </w:rPr>
        <w:t xml:space="preserve"> спрямо </w:t>
      </w:r>
      <w:r w:rsidR="002B3E55">
        <w:rPr>
          <w:rFonts w:asciiTheme="minorHAnsi" w:hAnsiTheme="minorHAnsi"/>
          <w:sz w:val="20"/>
        </w:rPr>
        <w:t>предходната</w:t>
      </w:r>
      <w:r w:rsidR="00795C06" w:rsidRPr="00192CB3">
        <w:rPr>
          <w:rFonts w:asciiTheme="minorHAnsi" w:hAnsiTheme="minorHAnsi"/>
          <w:sz w:val="20"/>
        </w:rPr>
        <w:t xml:space="preserve">. </w:t>
      </w:r>
      <w:r>
        <w:rPr>
          <w:rFonts w:asciiTheme="minorHAnsi" w:hAnsiTheme="minorHAnsi"/>
          <w:sz w:val="20"/>
        </w:rPr>
        <w:t xml:space="preserve">Този значителен растеж се дължи на развитието на </w:t>
      </w:r>
      <w:r w:rsidR="00740CE6">
        <w:rPr>
          <w:rFonts w:asciiTheme="minorHAnsi" w:hAnsiTheme="minorHAnsi"/>
          <w:sz w:val="20"/>
        </w:rPr>
        <w:t xml:space="preserve">основната дейност на компанията, като вземанията по </w:t>
      </w:r>
      <w:r>
        <w:rPr>
          <w:rFonts w:asciiTheme="minorHAnsi" w:hAnsiTheme="minorHAnsi"/>
          <w:sz w:val="20"/>
        </w:rPr>
        <w:t>предоставени</w:t>
      </w:r>
      <w:r w:rsidR="00740CE6">
        <w:rPr>
          <w:rFonts w:asciiTheme="minorHAnsi" w:hAnsiTheme="minorHAnsi"/>
          <w:sz w:val="20"/>
        </w:rPr>
        <w:t xml:space="preserve"> кредити се повишават с </w:t>
      </w:r>
      <w:r w:rsidR="002B3E55">
        <w:rPr>
          <w:rFonts w:asciiTheme="minorHAnsi" w:hAnsiTheme="minorHAnsi"/>
          <w:sz w:val="20"/>
        </w:rPr>
        <w:t>53</w:t>
      </w:r>
      <w:r w:rsidR="00740CE6">
        <w:rPr>
          <w:rFonts w:asciiTheme="minorHAnsi" w:hAnsiTheme="minorHAnsi"/>
          <w:sz w:val="20"/>
        </w:rPr>
        <w:t xml:space="preserve">%, </w:t>
      </w:r>
      <w:r w:rsidR="002B3E55">
        <w:rPr>
          <w:rFonts w:asciiTheme="minorHAnsi" w:hAnsiTheme="minorHAnsi"/>
          <w:sz w:val="20"/>
        </w:rPr>
        <w:t>общо</w:t>
      </w:r>
      <w:r w:rsidR="00740CE6">
        <w:rPr>
          <w:rFonts w:asciiTheme="minorHAnsi" w:hAnsiTheme="minorHAnsi"/>
          <w:sz w:val="20"/>
        </w:rPr>
        <w:t xml:space="preserve"> активи</w:t>
      </w:r>
      <w:r w:rsidR="002B3E55">
        <w:rPr>
          <w:rFonts w:asciiTheme="minorHAnsi" w:hAnsiTheme="minorHAnsi"/>
          <w:sz w:val="20"/>
        </w:rPr>
        <w:t>те</w:t>
      </w:r>
      <w:r w:rsidR="00740CE6">
        <w:rPr>
          <w:rFonts w:asciiTheme="minorHAnsi" w:hAnsiTheme="minorHAnsi"/>
          <w:sz w:val="20"/>
        </w:rPr>
        <w:t xml:space="preserve"> с </w:t>
      </w:r>
      <w:r w:rsidR="002B3E55">
        <w:rPr>
          <w:rFonts w:asciiTheme="minorHAnsi" w:hAnsiTheme="minorHAnsi"/>
          <w:sz w:val="20"/>
        </w:rPr>
        <w:t>62</w:t>
      </w:r>
      <w:r w:rsidR="00740CE6">
        <w:rPr>
          <w:rFonts w:asciiTheme="minorHAnsi" w:hAnsiTheme="minorHAnsi"/>
          <w:sz w:val="20"/>
        </w:rPr>
        <w:t xml:space="preserve">%. </w:t>
      </w:r>
    </w:p>
    <w:p w14:paraId="689A5D44" w14:textId="77777777" w:rsidR="00795C06" w:rsidRPr="00192CB3" w:rsidRDefault="00795C06" w:rsidP="00B8569D">
      <w:pPr>
        <w:spacing w:after="120"/>
        <w:ind w:right="567"/>
        <w:jc w:val="both"/>
        <w:rPr>
          <w:rFonts w:asciiTheme="minorHAnsi" w:hAnsiTheme="minorHAnsi"/>
          <w:sz w:val="20"/>
        </w:rPr>
      </w:pPr>
    </w:p>
    <w:p w14:paraId="3A4233F3" w14:textId="77777777" w:rsidR="002D1F8B" w:rsidRDefault="002D1F8B" w:rsidP="002D1F8B">
      <w:pPr>
        <w:pStyle w:val="ListParagraph"/>
        <w:spacing w:after="120"/>
        <w:ind w:left="0" w:right="566"/>
        <w:contextualSpacing w:val="0"/>
        <w:jc w:val="both"/>
        <w:rPr>
          <w:rFonts w:asciiTheme="minorHAnsi" w:hAnsiTheme="minorHAnsi"/>
          <w:sz w:val="20"/>
          <w:szCs w:val="20"/>
          <w:lang w:val="bg-BG"/>
        </w:rPr>
      </w:pPr>
      <w:r>
        <w:rPr>
          <w:rFonts w:asciiTheme="minorHAnsi" w:hAnsiTheme="minorHAnsi"/>
          <w:sz w:val="20"/>
          <w:szCs w:val="20"/>
          <w:lang w:val="bg-BG"/>
        </w:rPr>
        <w:t xml:space="preserve">Задълженията на компанията се увеличават, включително и от заеми. Най-високо нарастване на задълженията идва от привлечените средства за финансиране чрез Р2Р платформи, като стойността им надхвърля 5.3 млн. лв. към края на 2022 г. Собственият капитал </w:t>
      </w:r>
      <w:r w:rsidRPr="00E62A83">
        <w:rPr>
          <w:rFonts w:asciiTheme="minorHAnsi" w:hAnsiTheme="minorHAnsi"/>
          <w:sz w:val="20"/>
          <w:szCs w:val="20"/>
          <w:lang w:val="bg-BG"/>
        </w:rPr>
        <w:t>на „Ай Ти Еф Груп“</w:t>
      </w:r>
      <w:r>
        <w:rPr>
          <w:rFonts w:asciiTheme="minorHAnsi" w:hAnsiTheme="minorHAnsi"/>
          <w:sz w:val="20"/>
          <w:szCs w:val="20"/>
          <w:lang w:val="bg-BG"/>
        </w:rPr>
        <w:t xml:space="preserve"> се увеличава от 3 млн. </w:t>
      </w:r>
      <w:r>
        <w:rPr>
          <w:rFonts w:asciiTheme="minorHAnsi" w:hAnsiTheme="minorHAnsi"/>
          <w:sz w:val="20"/>
          <w:szCs w:val="20"/>
          <w:lang w:val="bg-BG"/>
        </w:rPr>
        <w:lastRenderedPageBreak/>
        <w:t>лв. на 8.1 млн. лв. след проведено успешно набиране на капитал и реализирания финансов резултат през годината.</w:t>
      </w:r>
    </w:p>
    <w:p w14:paraId="04F8F5B7" w14:textId="4D033F5C" w:rsidR="00795C06" w:rsidRDefault="002D1F8B" w:rsidP="00192CB3">
      <w:pPr>
        <w:ind w:right="566"/>
        <w:jc w:val="both"/>
        <w:rPr>
          <w:rFonts w:asciiTheme="minorHAnsi" w:hAnsiTheme="minorHAnsi"/>
          <w:sz w:val="20"/>
        </w:rPr>
      </w:pPr>
      <w:r>
        <w:rPr>
          <w:rFonts w:asciiTheme="minorHAnsi" w:hAnsiTheme="minorHAnsi"/>
          <w:sz w:val="20"/>
        </w:rPr>
        <w:t>Компанията</w:t>
      </w:r>
      <w:r w:rsidR="00B07E5B">
        <w:rPr>
          <w:rFonts w:asciiTheme="minorHAnsi" w:hAnsiTheme="minorHAnsi"/>
          <w:sz w:val="20"/>
        </w:rPr>
        <w:t xml:space="preserve"> </w:t>
      </w:r>
      <w:r>
        <w:rPr>
          <w:rFonts w:asciiTheme="minorHAnsi" w:hAnsiTheme="minorHAnsi"/>
          <w:sz w:val="20"/>
        </w:rPr>
        <w:t xml:space="preserve">покри две </w:t>
      </w:r>
      <w:r w:rsidR="00246C64">
        <w:rPr>
          <w:rFonts w:asciiTheme="minorHAnsi" w:hAnsiTheme="minorHAnsi"/>
          <w:sz w:val="20"/>
        </w:rPr>
        <w:t>главничн</w:t>
      </w:r>
      <w:r>
        <w:rPr>
          <w:rFonts w:asciiTheme="minorHAnsi" w:hAnsiTheme="minorHAnsi"/>
          <w:sz w:val="20"/>
        </w:rPr>
        <w:t>и</w:t>
      </w:r>
      <w:r w:rsidR="00246C64">
        <w:rPr>
          <w:rFonts w:asciiTheme="minorHAnsi" w:hAnsiTheme="minorHAnsi"/>
          <w:sz w:val="20"/>
        </w:rPr>
        <w:t xml:space="preserve"> плащан</w:t>
      </w:r>
      <w:r>
        <w:rPr>
          <w:rFonts w:asciiTheme="minorHAnsi" w:hAnsiTheme="minorHAnsi"/>
          <w:sz w:val="20"/>
        </w:rPr>
        <w:t>ия</w:t>
      </w:r>
      <w:r w:rsidR="00246C64">
        <w:rPr>
          <w:rFonts w:asciiTheme="minorHAnsi" w:hAnsiTheme="minorHAnsi"/>
          <w:sz w:val="20"/>
        </w:rPr>
        <w:t xml:space="preserve"> в размер на 500 000 лв. </w:t>
      </w:r>
      <w:r>
        <w:rPr>
          <w:rFonts w:asciiTheme="minorHAnsi" w:hAnsiTheme="minorHAnsi"/>
          <w:sz w:val="20"/>
        </w:rPr>
        <w:t xml:space="preserve">всяко </w:t>
      </w:r>
      <w:r w:rsidR="00246C64">
        <w:rPr>
          <w:rFonts w:asciiTheme="minorHAnsi" w:hAnsiTheme="minorHAnsi"/>
          <w:sz w:val="20"/>
        </w:rPr>
        <w:t>през май</w:t>
      </w:r>
      <w:r w:rsidR="00B07E5B">
        <w:rPr>
          <w:rFonts w:asciiTheme="minorHAnsi" w:hAnsiTheme="minorHAnsi"/>
          <w:sz w:val="20"/>
        </w:rPr>
        <w:t xml:space="preserve"> </w:t>
      </w:r>
      <w:r>
        <w:rPr>
          <w:rFonts w:asciiTheme="minorHAnsi" w:hAnsiTheme="minorHAnsi"/>
          <w:sz w:val="20"/>
        </w:rPr>
        <w:t xml:space="preserve">и ноември. </w:t>
      </w:r>
    </w:p>
    <w:p w14:paraId="5DF71232" w14:textId="77777777" w:rsidR="00382353" w:rsidRDefault="00382353" w:rsidP="00192CB3">
      <w:pPr>
        <w:ind w:right="566"/>
        <w:jc w:val="both"/>
        <w:rPr>
          <w:rFonts w:asciiTheme="minorHAnsi" w:hAnsiTheme="minorHAnsi"/>
          <w:sz w:val="20"/>
        </w:rPr>
      </w:pPr>
    </w:p>
    <w:p w14:paraId="6A81E227" w14:textId="188B8529" w:rsidR="00382353" w:rsidRPr="00192CB3" w:rsidRDefault="002D1F8B" w:rsidP="00192CB3">
      <w:pPr>
        <w:ind w:right="566"/>
        <w:jc w:val="both"/>
        <w:rPr>
          <w:rFonts w:asciiTheme="minorHAnsi" w:hAnsiTheme="minorHAnsi"/>
          <w:sz w:val="20"/>
        </w:rPr>
      </w:pPr>
      <w:r w:rsidRPr="002D1F8B">
        <w:rPr>
          <w:noProof/>
        </w:rPr>
        <w:drawing>
          <wp:inline distT="0" distB="0" distL="0" distR="0" wp14:anchorId="2512115D" wp14:editId="0CBF0E12">
            <wp:extent cx="5303520" cy="2011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2011680"/>
                    </a:xfrm>
                    <a:prstGeom prst="rect">
                      <a:avLst/>
                    </a:prstGeom>
                    <a:noFill/>
                    <a:ln>
                      <a:noFill/>
                    </a:ln>
                  </pic:spPr>
                </pic:pic>
              </a:graphicData>
            </a:graphic>
          </wp:inline>
        </w:drawing>
      </w:r>
    </w:p>
    <w:p w14:paraId="13CDD1C8" w14:textId="73796777" w:rsidR="00451DC2" w:rsidRDefault="00451DC2" w:rsidP="00DD31DF">
      <w:pPr>
        <w:jc w:val="both"/>
        <w:rPr>
          <w:rFonts w:asciiTheme="minorHAnsi" w:hAnsiTheme="minorHAnsi"/>
          <w:sz w:val="22"/>
        </w:rPr>
      </w:pPr>
    </w:p>
    <w:p w14:paraId="59F59070" w14:textId="77777777" w:rsidR="00B6316D" w:rsidRPr="001931E6" w:rsidRDefault="00B6316D" w:rsidP="001931E6">
      <w:pPr>
        <w:pStyle w:val="bs2"/>
        <w:numPr>
          <w:ilvl w:val="0"/>
          <w:numId w:val="7"/>
        </w:numPr>
        <w:spacing w:before="240" w:after="240"/>
        <w:ind w:left="714" w:hanging="357"/>
        <w:rPr>
          <w:rFonts w:asciiTheme="minorHAnsi" w:hAnsiTheme="minorHAnsi"/>
          <w:sz w:val="22"/>
        </w:rPr>
      </w:pPr>
      <w:r w:rsidRPr="001931E6">
        <w:rPr>
          <w:rFonts w:asciiTheme="minorHAnsi" w:hAnsiTheme="minorHAnsi"/>
          <w:sz w:val="22"/>
        </w:rPr>
        <w:t>Обстоятелства по чл. 100г, ал. 3 от ЗППЦК</w:t>
      </w:r>
    </w:p>
    <w:p w14:paraId="3CB30E07" w14:textId="77777777" w:rsidR="00B6316D" w:rsidRPr="00A77CDB" w:rsidRDefault="00B6316D" w:rsidP="00A77CDB">
      <w:pPr>
        <w:spacing w:after="120"/>
        <w:ind w:right="566"/>
        <w:jc w:val="both"/>
        <w:rPr>
          <w:rFonts w:asciiTheme="minorHAnsi" w:hAnsiTheme="minorHAnsi"/>
          <w:sz w:val="20"/>
        </w:rPr>
      </w:pPr>
      <w:r w:rsidRPr="00A77CDB">
        <w:rPr>
          <w:rFonts w:asciiTheme="minorHAnsi" w:hAnsiTheme="minorHAnsi"/>
          <w:sz w:val="20"/>
        </w:rPr>
        <w:t>Не са налице обстоятелства по чл. 100г, ал. 3 от ЗППЦК.</w:t>
      </w:r>
    </w:p>
    <w:p w14:paraId="3C2DE741"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DA48A0" w:rsidRPr="00A77CDB">
        <w:rPr>
          <w:rFonts w:asciiTheme="minorHAnsi" w:hAnsiTheme="minorHAnsi"/>
          <w:sz w:val="20"/>
        </w:rPr>
        <w:t>ЕЛАНА трейдинг</w:t>
      </w:r>
      <w:r w:rsidRPr="00A77CDB">
        <w:rPr>
          <w:rFonts w:asciiTheme="minorHAnsi" w:hAnsiTheme="minorHAnsi"/>
          <w:sz w:val="20"/>
        </w:rPr>
        <w:t>” АД е извършила анализ на финансовото състоянието на “</w:t>
      </w:r>
      <w:r w:rsidR="00DA48A0" w:rsidRPr="00A77CDB">
        <w:rPr>
          <w:rFonts w:asciiTheme="minorHAnsi" w:hAnsiTheme="minorHAnsi"/>
          <w:sz w:val="20"/>
        </w:rPr>
        <w:t>Ай Ти Еф Груп</w:t>
      </w:r>
      <w:r w:rsidRPr="00A77CDB">
        <w:rPr>
          <w:rFonts w:asciiTheme="minorHAnsi" w:hAnsiTheme="minorHAnsi"/>
          <w:sz w:val="20"/>
        </w:rPr>
        <w:t xml:space="preserve">” </w:t>
      </w:r>
      <w:r w:rsidR="00DA48A0" w:rsidRPr="00A77CDB">
        <w:rPr>
          <w:rFonts w:asciiTheme="minorHAnsi" w:hAnsiTheme="minorHAnsi"/>
          <w:sz w:val="20"/>
        </w:rPr>
        <w:t>АД</w:t>
      </w:r>
      <w:r w:rsidRPr="00A77CDB">
        <w:rPr>
          <w:rFonts w:asciiTheme="minorHAnsi" w:hAnsiTheme="minorHAnsi"/>
          <w:sz w:val="20"/>
        </w:rPr>
        <w:t>;</w:t>
      </w:r>
    </w:p>
    <w:p w14:paraId="480D71BE"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DA48A0" w:rsidRPr="00A77CDB">
        <w:rPr>
          <w:rFonts w:asciiTheme="minorHAnsi" w:hAnsiTheme="minorHAnsi"/>
          <w:sz w:val="20"/>
        </w:rPr>
        <w:t>ЕЛАНА трейдинг</w:t>
      </w:r>
      <w:r w:rsidRPr="00A77CDB">
        <w:rPr>
          <w:rFonts w:asciiTheme="minorHAnsi" w:hAnsiTheme="minorHAnsi"/>
          <w:sz w:val="20"/>
        </w:rPr>
        <w:t>” АД не е поемател на емисията облигации или довереник по облигации</w:t>
      </w:r>
      <w:r w:rsidR="004D0228" w:rsidRPr="00A77CDB">
        <w:rPr>
          <w:rFonts w:asciiTheme="minorHAnsi" w:hAnsiTheme="minorHAnsi"/>
          <w:sz w:val="20"/>
        </w:rPr>
        <w:t xml:space="preserve"> </w:t>
      </w:r>
      <w:r w:rsidRPr="00A77CDB">
        <w:rPr>
          <w:rFonts w:asciiTheme="minorHAnsi" w:hAnsiTheme="minorHAnsi"/>
          <w:sz w:val="20"/>
        </w:rPr>
        <w:t xml:space="preserve">от друг клас, издадени от </w:t>
      </w:r>
      <w:r w:rsidR="004D0228" w:rsidRPr="00A77CDB">
        <w:rPr>
          <w:rFonts w:asciiTheme="minorHAnsi" w:hAnsiTheme="minorHAnsi"/>
          <w:sz w:val="20"/>
        </w:rPr>
        <w:t>“Ай Ти Еф Груп” АД;</w:t>
      </w:r>
    </w:p>
    <w:p w14:paraId="46D16AA7"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7343AE" w:rsidRPr="00A77CDB">
        <w:rPr>
          <w:rFonts w:asciiTheme="minorHAnsi" w:hAnsiTheme="minorHAnsi"/>
          <w:sz w:val="20"/>
        </w:rPr>
        <w:t>ЕЛАНА трейдинг</w:t>
      </w:r>
      <w:r w:rsidRPr="00A77CDB">
        <w:rPr>
          <w:rFonts w:asciiTheme="minorHAnsi" w:hAnsiTheme="minorHAnsi"/>
          <w:sz w:val="20"/>
        </w:rPr>
        <w:t>” АД н</w:t>
      </w:r>
      <w:r w:rsidR="00770BD9" w:rsidRPr="00A77CDB">
        <w:rPr>
          <w:rFonts w:asciiTheme="minorHAnsi" w:hAnsiTheme="minorHAnsi"/>
          <w:sz w:val="20"/>
        </w:rPr>
        <w:t>е контролира пряко или непряко “Ай Ти Еф Груп” АД</w:t>
      </w:r>
      <w:r w:rsidRPr="00A77CDB">
        <w:rPr>
          <w:rFonts w:asciiTheme="minorHAnsi" w:hAnsiTheme="minorHAnsi"/>
          <w:sz w:val="20"/>
        </w:rPr>
        <w:t>;</w:t>
      </w:r>
    </w:p>
    <w:p w14:paraId="6AF56055"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w:t>
      </w:r>
      <w:r w:rsidR="007343AE" w:rsidRPr="00A77CDB">
        <w:rPr>
          <w:rFonts w:asciiTheme="minorHAnsi" w:hAnsiTheme="minorHAnsi"/>
          <w:sz w:val="20"/>
        </w:rPr>
        <w:t>ЕЛАНА трейдинг</w:t>
      </w:r>
      <w:r w:rsidRPr="00A77CDB">
        <w:rPr>
          <w:rFonts w:asciiTheme="minorHAnsi" w:hAnsiTheme="minorHAnsi"/>
          <w:sz w:val="20"/>
        </w:rPr>
        <w:t xml:space="preserve">” АД не е контролирана пряко или непряко от </w:t>
      </w:r>
      <w:r w:rsidR="00770BD9" w:rsidRPr="00A77CDB">
        <w:rPr>
          <w:rFonts w:asciiTheme="minorHAnsi" w:hAnsiTheme="minorHAnsi"/>
          <w:sz w:val="20"/>
        </w:rPr>
        <w:t>“Ай Ти Еф Груп” АД</w:t>
      </w:r>
      <w:r w:rsidRPr="00A77CDB">
        <w:rPr>
          <w:rFonts w:asciiTheme="minorHAnsi" w:hAnsiTheme="minorHAnsi"/>
          <w:sz w:val="20"/>
        </w:rPr>
        <w:t>;</w:t>
      </w:r>
    </w:p>
    <w:p w14:paraId="627D8AA6" w14:textId="77777777" w:rsidR="00DC17B6" w:rsidRPr="00A77CDB" w:rsidRDefault="00770BD9" w:rsidP="00A77CDB">
      <w:pPr>
        <w:spacing w:after="120"/>
        <w:ind w:right="566"/>
        <w:jc w:val="both"/>
        <w:rPr>
          <w:rFonts w:asciiTheme="minorHAnsi" w:hAnsiTheme="minorHAnsi"/>
          <w:sz w:val="20"/>
        </w:rPr>
      </w:pPr>
      <w:r w:rsidRPr="00A77CDB">
        <w:rPr>
          <w:rFonts w:asciiTheme="minorHAnsi" w:hAnsiTheme="minorHAnsi"/>
          <w:sz w:val="20"/>
        </w:rPr>
        <w:t>Н</w:t>
      </w:r>
      <w:r w:rsidR="00DC17B6" w:rsidRPr="00A77CDB">
        <w:rPr>
          <w:rFonts w:asciiTheme="minorHAnsi" w:hAnsiTheme="minorHAnsi"/>
          <w:sz w:val="20"/>
        </w:rPr>
        <w:t>е са налице обстоятелствата по чл. 100г, ал.2, т. 3 от ЗППЦК</w:t>
      </w:r>
      <w:r w:rsidRPr="00A77CDB">
        <w:rPr>
          <w:rFonts w:asciiTheme="minorHAnsi" w:hAnsiTheme="minorHAnsi"/>
          <w:sz w:val="20"/>
        </w:rPr>
        <w:t>;</w:t>
      </w:r>
    </w:p>
    <w:p w14:paraId="053CE032" w14:textId="77777777" w:rsidR="00DC17B6"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 xml:space="preserve">Не е налице конфликт на интереса на </w:t>
      </w:r>
      <w:r w:rsidR="007343AE" w:rsidRPr="00A77CDB">
        <w:rPr>
          <w:rFonts w:asciiTheme="minorHAnsi" w:hAnsiTheme="minorHAnsi"/>
          <w:sz w:val="20"/>
        </w:rPr>
        <w:t xml:space="preserve">„ЕЛАНА трейдинг“ </w:t>
      </w:r>
      <w:r w:rsidRPr="00A77CDB">
        <w:rPr>
          <w:rFonts w:asciiTheme="minorHAnsi" w:hAnsiTheme="minorHAnsi"/>
          <w:sz w:val="20"/>
        </w:rPr>
        <w:t>и на лицата, които я контролират, и интереса на</w:t>
      </w:r>
      <w:r w:rsidR="007343AE" w:rsidRPr="00A77CDB">
        <w:rPr>
          <w:rFonts w:asciiTheme="minorHAnsi" w:hAnsiTheme="minorHAnsi"/>
          <w:sz w:val="20"/>
        </w:rPr>
        <w:t xml:space="preserve"> </w:t>
      </w:r>
      <w:r w:rsidRPr="00A77CDB">
        <w:rPr>
          <w:rFonts w:asciiTheme="minorHAnsi" w:hAnsiTheme="minorHAnsi"/>
          <w:sz w:val="20"/>
        </w:rPr>
        <w:t>облигационерите.</w:t>
      </w:r>
    </w:p>
    <w:p w14:paraId="0B718222" w14:textId="77777777" w:rsidR="005B7761" w:rsidRPr="00A77CDB" w:rsidRDefault="00DC17B6" w:rsidP="00A77CDB">
      <w:pPr>
        <w:spacing w:after="120"/>
        <w:ind w:right="566"/>
        <w:jc w:val="both"/>
        <w:rPr>
          <w:rFonts w:asciiTheme="minorHAnsi" w:hAnsiTheme="minorHAnsi"/>
          <w:sz w:val="20"/>
        </w:rPr>
      </w:pPr>
      <w:r w:rsidRPr="00A77CDB">
        <w:rPr>
          <w:rFonts w:asciiTheme="minorHAnsi" w:hAnsiTheme="minorHAnsi"/>
          <w:sz w:val="20"/>
        </w:rPr>
        <w:t>Този доклад се дава само за целите на емисия ISIN BG21000</w:t>
      </w:r>
      <w:r w:rsidR="007343AE" w:rsidRPr="00A77CDB">
        <w:rPr>
          <w:rFonts w:asciiTheme="minorHAnsi" w:hAnsiTheme="minorHAnsi"/>
          <w:sz w:val="20"/>
        </w:rPr>
        <w:t>1</w:t>
      </w:r>
      <w:r w:rsidR="00F764D5" w:rsidRPr="00A77CDB">
        <w:rPr>
          <w:rFonts w:asciiTheme="minorHAnsi" w:hAnsiTheme="minorHAnsi"/>
          <w:sz w:val="20"/>
        </w:rPr>
        <w:t>7198</w:t>
      </w:r>
      <w:r w:rsidRPr="00A77CDB">
        <w:rPr>
          <w:rFonts w:asciiTheme="minorHAnsi" w:hAnsiTheme="minorHAnsi"/>
          <w:sz w:val="20"/>
        </w:rPr>
        <w:t xml:space="preserve"> и само с цел анализиране</w:t>
      </w:r>
      <w:r w:rsidR="007343AE" w:rsidRPr="00A77CDB">
        <w:rPr>
          <w:rFonts w:asciiTheme="minorHAnsi" w:hAnsiTheme="minorHAnsi"/>
          <w:sz w:val="20"/>
        </w:rPr>
        <w:t xml:space="preserve"> </w:t>
      </w:r>
      <w:r w:rsidRPr="00A77CDB">
        <w:rPr>
          <w:rFonts w:asciiTheme="minorHAnsi" w:hAnsiTheme="minorHAnsi"/>
          <w:sz w:val="20"/>
        </w:rPr>
        <w:t xml:space="preserve">способността на </w:t>
      </w:r>
      <w:r w:rsidR="00770BD9" w:rsidRPr="00A77CDB">
        <w:rPr>
          <w:rFonts w:asciiTheme="minorHAnsi" w:hAnsiTheme="minorHAnsi"/>
          <w:sz w:val="20"/>
        </w:rPr>
        <w:t>Е</w:t>
      </w:r>
      <w:r w:rsidRPr="00A77CDB">
        <w:rPr>
          <w:rFonts w:asciiTheme="minorHAnsi" w:hAnsiTheme="minorHAnsi"/>
          <w:sz w:val="20"/>
        </w:rPr>
        <w:t>митента да изпълнява задълженията си към облигационерите по конкретната емисия.</w:t>
      </w:r>
      <w:r w:rsidR="007343AE" w:rsidRPr="00A77CDB">
        <w:rPr>
          <w:rFonts w:asciiTheme="minorHAnsi" w:hAnsiTheme="minorHAnsi"/>
          <w:sz w:val="20"/>
        </w:rPr>
        <w:t xml:space="preserve"> </w:t>
      </w:r>
      <w:r w:rsidRPr="00A77CDB">
        <w:rPr>
          <w:rFonts w:asciiTheme="minorHAnsi" w:hAnsiTheme="minorHAnsi"/>
          <w:sz w:val="20"/>
        </w:rPr>
        <w:t>Заключенията в него подлежат на самостоятелно тълкуване от лицата, до които този доклад е достигнал</w:t>
      </w:r>
      <w:r w:rsidR="007343AE" w:rsidRPr="00A77CDB">
        <w:rPr>
          <w:rFonts w:asciiTheme="minorHAnsi" w:hAnsiTheme="minorHAnsi"/>
          <w:sz w:val="20"/>
        </w:rPr>
        <w:t xml:space="preserve"> </w:t>
      </w:r>
      <w:r w:rsidRPr="00A77CDB">
        <w:rPr>
          <w:rFonts w:asciiTheme="minorHAnsi" w:hAnsiTheme="minorHAnsi"/>
          <w:sz w:val="20"/>
        </w:rPr>
        <w:t xml:space="preserve">и </w:t>
      </w:r>
      <w:r w:rsidR="007343AE" w:rsidRPr="00A77CDB">
        <w:rPr>
          <w:rFonts w:asciiTheme="minorHAnsi" w:hAnsiTheme="minorHAnsi"/>
          <w:sz w:val="20"/>
        </w:rPr>
        <w:t>Д</w:t>
      </w:r>
      <w:r w:rsidRPr="00A77CDB">
        <w:rPr>
          <w:rFonts w:asciiTheme="minorHAnsi" w:hAnsiTheme="minorHAnsi"/>
          <w:sz w:val="20"/>
        </w:rPr>
        <w:t xml:space="preserve">овереник </w:t>
      </w:r>
      <w:r w:rsidR="007343AE" w:rsidRPr="00A77CDB">
        <w:rPr>
          <w:rFonts w:asciiTheme="minorHAnsi" w:hAnsiTheme="minorHAnsi"/>
          <w:sz w:val="20"/>
        </w:rPr>
        <w:t xml:space="preserve">на облигационерите </w:t>
      </w:r>
      <w:r w:rsidRPr="00A77CDB">
        <w:rPr>
          <w:rFonts w:asciiTheme="minorHAnsi" w:hAnsiTheme="minorHAnsi"/>
          <w:sz w:val="20"/>
        </w:rPr>
        <w:t>не поема отговорност, нито дава съвет за инвестиционни или други решения</w:t>
      </w:r>
      <w:r w:rsidR="007343AE" w:rsidRPr="00A77CDB">
        <w:rPr>
          <w:rFonts w:asciiTheme="minorHAnsi" w:hAnsiTheme="minorHAnsi"/>
          <w:sz w:val="20"/>
        </w:rPr>
        <w:t xml:space="preserve"> </w:t>
      </w:r>
      <w:r w:rsidRPr="00A77CDB">
        <w:rPr>
          <w:rFonts w:asciiTheme="minorHAnsi" w:hAnsiTheme="minorHAnsi"/>
          <w:sz w:val="20"/>
        </w:rPr>
        <w:t>относно емитента или облигациите на лицата, до които е достигнал този доклад. Заключенията в</w:t>
      </w:r>
      <w:r w:rsidR="007343AE" w:rsidRPr="00A77CDB">
        <w:rPr>
          <w:rFonts w:asciiTheme="minorHAnsi" w:hAnsiTheme="minorHAnsi"/>
          <w:sz w:val="20"/>
        </w:rPr>
        <w:t xml:space="preserve"> </w:t>
      </w:r>
      <w:r w:rsidRPr="00A77CDB">
        <w:rPr>
          <w:rFonts w:asciiTheme="minorHAnsi" w:hAnsiTheme="minorHAnsi"/>
          <w:sz w:val="20"/>
        </w:rPr>
        <w:t>доклада са направени единствено на база информацията и финансовите отчети на емитента,</w:t>
      </w:r>
      <w:r w:rsidR="007343AE" w:rsidRPr="00A77CDB">
        <w:rPr>
          <w:rFonts w:asciiTheme="minorHAnsi" w:hAnsiTheme="minorHAnsi"/>
          <w:sz w:val="20"/>
        </w:rPr>
        <w:t xml:space="preserve"> </w:t>
      </w:r>
      <w:r w:rsidR="00770BD9" w:rsidRPr="00A77CDB">
        <w:rPr>
          <w:rFonts w:asciiTheme="minorHAnsi" w:hAnsiTheme="minorHAnsi"/>
          <w:sz w:val="20"/>
        </w:rPr>
        <w:t>представени от Е</w:t>
      </w:r>
      <w:r w:rsidRPr="00A77CDB">
        <w:rPr>
          <w:rFonts w:asciiTheme="minorHAnsi" w:hAnsiTheme="minorHAnsi"/>
          <w:sz w:val="20"/>
        </w:rPr>
        <w:t>митента при условията на чл. 100е от ЗППЦК</w:t>
      </w:r>
      <w:r w:rsidR="00770BD9" w:rsidRPr="00A77CDB">
        <w:rPr>
          <w:rFonts w:asciiTheme="minorHAnsi" w:hAnsiTheme="minorHAnsi"/>
          <w:sz w:val="20"/>
        </w:rPr>
        <w:t>,</w:t>
      </w:r>
      <w:r w:rsidRPr="00A77CDB">
        <w:rPr>
          <w:rFonts w:asciiTheme="minorHAnsi" w:hAnsiTheme="minorHAnsi"/>
          <w:sz w:val="20"/>
        </w:rPr>
        <w:t xml:space="preserve"> като </w:t>
      </w:r>
      <w:r w:rsidR="007343AE" w:rsidRPr="00A77CDB">
        <w:rPr>
          <w:rFonts w:asciiTheme="minorHAnsi" w:hAnsiTheme="minorHAnsi"/>
          <w:sz w:val="20"/>
        </w:rPr>
        <w:t>Д</w:t>
      </w:r>
      <w:r w:rsidRPr="00A77CDB">
        <w:rPr>
          <w:rFonts w:asciiTheme="minorHAnsi" w:hAnsiTheme="minorHAnsi"/>
          <w:sz w:val="20"/>
        </w:rPr>
        <w:t>овереник</w:t>
      </w:r>
      <w:r w:rsidR="007343AE" w:rsidRPr="00A77CDB">
        <w:rPr>
          <w:rFonts w:asciiTheme="minorHAnsi" w:hAnsiTheme="minorHAnsi"/>
          <w:sz w:val="20"/>
        </w:rPr>
        <w:t xml:space="preserve"> на облигационерите</w:t>
      </w:r>
      <w:r w:rsidRPr="00A77CDB">
        <w:rPr>
          <w:rFonts w:asciiTheme="minorHAnsi" w:hAnsiTheme="minorHAnsi"/>
          <w:sz w:val="20"/>
        </w:rPr>
        <w:t xml:space="preserve"> не поема</w:t>
      </w:r>
      <w:r w:rsidR="00770BD9" w:rsidRPr="00A77CDB">
        <w:rPr>
          <w:rFonts w:asciiTheme="minorHAnsi" w:hAnsiTheme="minorHAnsi"/>
          <w:sz w:val="20"/>
        </w:rPr>
        <w:t xml:space="preserve"> </w:t>
      </w:r>
      <w:r w:rsidRPr="00A77CDB">
        <w:rPr>
          <w:rFonts w:asciiTheme="minorHAnsi" w:hAnsiTheme="minorHAnsi"/>
          <w:sz w:val="20"/>
        </w:rPr>
        <w:t>отговорност за верността и пълнотата на тази информация, нито поема отговорност за непредоставяне</w:t>
      </w:r>
      <w:r w:rsidR="00770BD9" w:rsidRPr="00A77CDB">
        <w:rPr>
          <w:rFonts w:asciiTheme="minorHAnsi" w:hAnsiTheme="minorHAnsi"/>
          <w:sz w:val="20"/>
        </w:rPr>
        <w:t xml:space="preserve"> </w:t>
      </w:r>
      <w:r w:rsidRPr="00A77CDB">
        <w:rPr>
          <w:rFonts w:asciiTheme="minorHAnsi" w:hAnsiTheme="minorHAnsi"/>
          <w:sz w:val="20"/>
        </w:rPr>
        <w:t>на релевантна информация, коя</w:t>
      </w:r>
      <w:r w:rsidR="00770BD9" w:rsidRPr="00A77CDB">
        <w:rPr>
          <w:rFonts w:asciiTheme="minorHAnsi" w:hAnsiTheme="minorHAnsi"/>
          <w:sz w:val="20"/>
        </w:rPr>
        <w:t>то не й е била предоставена от Е</w:t>
      </w:r>
      <w:r w:rsidRPr="00A77CDB">
        <w:rPr>
          <w:rFonts w:asciiTheme="minorHAnsi" w:hAnsiTheme="minorHAnsi"/>
          <w:sz w:val="20"/>
        </w:rPr>
        <w:t>митента в изпълнение на задълженията</w:t>
      </w:r>
      <w:r w:rsidR="00770BD9" w:rsidRPr="00A77CDB">
        <w:rPr>
          <w:rFonts w:asciiTheme="minorHAnsi" w:hAnsiTheme="minorHAnsi"/>
          <w:sz w:val="20"/>
        </w:rPr>
        <w:t xml:space="preserve"> </w:t>
      </w:r>
      <w:r w:rsidRPr="00A77CDB">
        <w:rPr>
          <w:rFonts w:asciiTheme="minorHAnsi" w:hAnsiTheme="minorHAnsi"/>
          <w:sz w:val="20"/>
        </w:rPr>
        <w:t>му по чл. 100е от ЗППЦК</w:t>
      </w:r>
      <w:r w:rsidR="00770BD9" w:rsidRPr="00A77CDB">
        <w:rPr>
          <w:rFonts w:asciiTheme="minorHAnsi" w:hAnsiTheme="minorHAnsi"/>
          <w:sz w:val="20"/>
        </w:rPr>
        <w:t>.</w:t>
      </w:r>
    </w:p>
    <w:p w14:paraId="1C9A0D06" w14:textId="2CA5F547" w:rsidR="002F2238" w:rsidRDefault="002F2238" w:rsidP="00D64977">
      <w:pPr>
        <w:jc w:val="both"/>
        <w:rPr>
          <w:rStyle w:val="fontstyle01"/>
          <w:rFonts w:asciiTheme="minorHAnsi" w:hAnsiTheme="minorHAnsi"/>
          <w:b w:val="0"/>
          <w:sz w:val="20"/>
        </w:rPr>
      </w:pPr>
    </w:p>
    <w:sectPr w:rsidR="002F2238" w:rsidSect="00E74B42">
      <w:headerReference w:type="even" r:id="rId13"/>
      <w:headerReference w:type="default" r:id="rId14"/>
      <w:footerReference w:type="default" r:id="rId15"/>
      <w:pgSz w:w="11906" w:h="16838" w:code="9"/>
      <w:pgMar w:top="1418" w:right="1134" w:bottom="1418"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1CB9" w14:textId="77777777" w:rsidR="00610D46" w:rsidRDefault="00610D46">
      <w:r>
        <w:separator/>
      </w:r>
    </w:p>
  </w:endnote>
  <w:endnote w:type="continuationSeparator" w:id="0">
    <w:p w14:paraId="701C3C2C" w14:textId="77777777" w:rsidR="00610D46" w:rsidRDefault="0061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63D0" w14:textId="77777777" w:rsidR="008967C1" w:rsidRPr="001F78ED" w:rsidRDefault="008967C1" w:rsidP="00B6766A">
    <w:pPr>
      <w:pStyle w:val="Footer"/>
    </w:pPr>
  </w:p>
  <w:p w14:paraId="0394D42B" w14:textId="77777777" w:rsidR="008967C1" w:rsidRPr="008D1DAB" w:rsidRDefault="008967C1" w:rsidP="001F78ED">
    <w:pPr>
      <w:pStyle w:val="Footer"/>
      <w:framePr w:w="539" w:h="533" w:hRule="exact" w:wrap="notBeside" w:vAnchor="page" w:hAnchor="page" w:x="10264" w:y="16217"/>
      <w:jc w:val="right"/>
      <w:rPr>
        <w:rStyle w:val="PageNumber"/>
        <w:rFonts w:ascii="Arial" w:hAnsi="Arial" w:cs="Arial"/>
        <w:sz w:val="14"/>
        <w:szCs w:val="14"/>
      </w:rPr>
    </w:pPr>
    <w:r w:rsidRPr="001F78ED">
      <w:rPr>
        <w:rStyle w:val="PageNumber"/>
        <w:rFonts w:ascii="Arial" w:hAnsi="Arial" w:cs="Arial"/>
        <w:sz w:val="16"/>
        <w:szCs w:val="16"/>
        <w:lang w:val="ru-RU"/>
      </w:rPr>
      <w:t xml:space="preserve"> </w:t>
    </w:r>
    <w:r w:rsidRPr="001F78ED">
      <w:rPr>
        <w:rStyle w:val="PageNumber"/>
        <w:rFonts w:ascii="Arial" w:hAnsi="Arial" w:cs="Arial"/>
        <w:sz w:val="14"/>
        <w:szCs w:val="14"/>
        <w:lang w:val="ru-RU"/>
      </w:rPr>
      <w:t xml:space="preserve"> </w:t>
    </w:r>
    <w:bookmarkStart w:id="0" w:name="OLE_LINK1"/>
    <w:r w:rsidRPr="008D1DAB">
      <w:rPr>
        <w:rStyle w:val="PageNumber"/>
        <w:rFonts w:ascii="Arial" w:hAnsi="Arial" w:cs="Arial"/>
        <w:sz w:val="14"/>
        <w:szCs w:val="14"/>
      </w:rPr>
      <w:fldChar w:fldCharType="begin"/>
    </w:r>
    <w:r w:rsidRPr="008D1DAB">
      <w:rPr>
        <w:rStyle w:val="PageNumber"/>
        <w:rFonts w:ascii="Arial" w:hAnsi="Arial" w:cs="Arial"/>
        <w:sz w:val="14"/>
        <w:szCs w:val="14"/>
      </w:rPr>
      <w:instrText xml:space="preserve">PAGE  </w:instrText>
    </w:r>
    <w:r w:rsidRPr="008D1DAB">
      <w:rPr>
        <w:rStyle w:val="PageNumber"/>
        <w:rFonts w:ascii="Arial" w:hAnsi="Arial" w:cs="Arial"/>
        <w:sz w:val="14"/>
        <w:szCs w:val="14"/>
      </w:rPr>
      <w:fldChar w:fldCharType="separate"/>
    </w:r>
    <w:r w:rsidR="00B07E5B">
      <w:rPr>
        <w:rStyle w:val="PageNumber"/>
        <w:rFonts w:ascii="Arial" w:hAnsi="Arial" w:cs="Arial"/>
        <w:noProof/>
        <w:sz w:val="14"/>
        <w:szCs w:val="14"/>
      </w:rPr>
      <w:t>15</w:t>
    </w:r>
    <w:r w:rsidRPr="008D1DAB">
      <w:rPr>
        <w:rStyle w:val="PageNumber"/>
        <w:rFonts w:ascii="Arial" w:hAnsi="Arial" w:cs="Arial"/>
        <w:sz w:val="14"/>
        <w:szCs w:val="14"/>
      </w:rPr>
      <w:fldChar w:fldCharType="end"/>
    </w:r>
  </w:p>
  <w:bookmarkEnd w:id="0"/>
  <w:p w14:paraId="7F9C3289" w14:textId="77777777" w:rsidR="008967C1" w:rsidRPr="00DA164E" w:rsidRDefault="008967C1" w:rsidP="003052FB">
    <w:pPr>
      <w:pStyle w:val="Footer"/>
      <w:tabs>
        <w:tab w:val="clear" w:pos="4536"/>
        <w:tab w:val="clear" w:pos="9072"/>
      </w:tabs>
      <w:ind w:left="5040" w:right="360"/>
      <w:jc w:val="both"/>
      <w:rPr>
        <w:rFonts w:ascii="Arial" w:hAnsi="Arial" w:cs="Arial"/>
        <w:b/>
        <w:i/>
        <w:color w:val="595959"/>
        <w:sz w:val="17"/>
        <w:szCs w:val="17"/>
        <w:lang w:val="ru-RU"/>
      </w:rPr>
    </w:pPr>
    <w:r>
      <w:rPr>
        <w:rFonts w:ascii="Arial" w:hAnsi="Arial" w:cs="Arial"/>
        <w:b/>
        <w:i/>
        <w:color w:val="595959"/>
        <w:sz w:val="17"/>
        <w:szCs w:val="17"/>
        <w:lang w:val="ru-RU"/>
      </w:rPr>
      <w:t>ЕЛАНА</w:t>
    </w:r>
    <w:r w:rsidRPr="00DA164E">
      <w:rPr>
        <w:rFonts w:ascii="Arial" w:hAnsi="Arial" w:cs="Arial"/>
        <w:b/>
        <w:i/>
        <w:color w:val="595959"/>
        <w:sz w:val="17"/>
        <w:szCs w:val="17"/>
        <w:lang w:val="ru-RU"/>
      </w:rPr>
      <w:t xml:space="preserve"> </w:t>
    </w:r>
    <w:r>
      <w:rPr>
        <w:rFonts w:ascii="Arial" w:hAnsi="Arial" w:cs="Arial"/>
        <w:b/>
        <w:i/>
        <w:color w:val="595959"/>
        <w:sz w:val="17"/>
        <w:szCs w:val="17"/>
        <w:lang w:val="ru-RU"/>
      </w:rPr>
      <w:t>Трейдинг</w:t>
    </w:r>
  </w:p>
  <w:p w14:paraId="264BA576" w14:textId="77777777" w:rsidR="008967C1" w:rsidRDefault="008967C1" w:rsidP="003052FB">
    <w:pPr>
      <w:pStyle w:val="Footer"/>
      <w:tabs>
        <w:tab w:val="clear" w:pos="4536"/>
        <w:tab w:val="clear" w:pos="9072"/>
      </w:tabs>
      <w:ind w:left="5040" w:right="-3037"/>
      <w:jc w:val="both"/>
      <w:rPr>
        <w:rFonts w:ascii="Arial" w:hAnsi="Arial" w:cs="Arial"/>
        <w:i/>
        <w:color w:val="595959"/>
        <w:sz w:val="17"/>
        <w:szCs w:val="17"/>
      </w:rPr>
    </w:pPr>
    <w:r w:rsidRPr="00DA164E">
      <w:rPr>
        <w:rFonts w:ascii="Arial" w:hAnsi="Arial" w:cs="Arial"/>
        <w:i/>
        <w:color w:val="595959"/>
        <w:sz w:val="17"/>
        <w:szCs w:val="17"/>
        <w:lang w:val="ru-RU"/>
      </w:rPr>
      <w:t>Со</w:t>
    </w:r>
    <w:r>
      <w:rPr>
        <w:rFonts w:ascii="Arial" w:hAnsi="Arial" w:cs="Arial"/>
        <w:i/>
        <w:color w:val="595959"/>
        <w:sz w:val="17"/>
        <w:szCs w:val="17"/>
        <w:lang w:val="ru-RU"/>
      </w:rPr>
      <w:t xml:space="preserve">фия </w:t>
    </w:r>
    <w:r w:rsidRPr="000F6BE3">
      <w:rPr>
        <w:rFonts w:ascii="Arial" w:hAnsi="Arial" w:cs="Arial"/>
        <w:i/>
        <w:color w:val="595959"/>
        <w:sz w:val="17"/>
        <w:szCs w:val="17"/>
      </w:rPr>
      <w:t>1797</w:t>
    </w:r>
    <w:r>
      <w:rPr>
        <w:rFonts w:ascii="Arial" w:hAnsi="Arial" w:cs="Arial"/>
        <w:i/>
        <w:color w:val="595959"/>
        <w:sz w:val="17"/>
        <w:szCs w:val="17"/>
        <w:lang w:val="ru-RU"/>
      </w:rPr>
      <w:t xml:space="preserve">, </w:t>
    </w:r>
    <w:r>
      <w:rPr>
        <w:rFonts w:ascii="Arial" w:hAnsi="Arial" w:cs="Arial"/>
        <w:i/>
        <w:color w:val="595959"/>
        <w:sz w:val="17"/>
        <w:szCs w:val="17"/>
      </w:rPr>
      <w:t xml:space="preserve">ул. Лъчезар Станчев 5, </w:t>
    </w:r>
  </w:p>
  <w:p w14:paraId="3F1764BA" w14:textId="77777777" w:rsidR="008967C1" w:rsidRPr="006E0C88" w:rsidRDefault="008967C1" w:rsidP="003052FB">
    <w:pPr>
      <w:pStyle w:val="Footer"/>
      <w:tabs>
        <w:tab w:val="clear" w:pos="4536"/>
        <w:tab w:val="clear" w:pos="9072"/>
      </w:tabs>
      <w:ind w:left="5040" w:right="-3037"/>
      <w:jc w:val="both"/>
      <w:rPr>
        <w:rFonts w:ascii="Arial" w:hAnsi="Arial" w:cs="Arial"/>
        <w:i/>
        <w:color w:val="595959"/>
        <w:sz w:val="17"/>
        <w:szCs w:val="17"/>
        <w:lang w:val="ru-RU"/>
      </w:rPr>
    </w:pPr>
    <w:r>
      <w:rPr>
        <w:rFonts w:ascii="Arial" w:hAnsi="Arial" w:cs="Arial"/>
        <w:i/>
        <w:color w:val="595959"/>
        <w:sz w:val="17"/>
        <w:szCs w:val="17"/>
      </w:rPr>
      <w:t>Софарма Бизнес Тауърс,кула Б</w:t>
    </w:r>
  </w:p>
  <w:p w14:paraId="7F800AA2" w14:textId="77777777" w:rsidR="008967C1" w:rsidRPr="00DA164E" w:rsidRDefault="008967C1" w:rsidP="003052FB">
    <w:pPr>
      <w:pStyle w:val="Footer"/>
      <w:tabs>
        <w:tab w:val="clear" w:pos="4536"/>
        <w:tab w:val="clear" w:pos="9072"/>
      </w:tabs>
      <w:ind w:left="5040" w:right="-3037"/>
      <w:jc w:val="both"/>
      <w:rPr>
        <w:rFonts w:ascii="Arial" w:hAnsi="Arial" w:cs="Arial"/>
        <w:i/>
        <w:color w:val="595959"/>
        <w:sz w:val="17"/>
        <w:szCs w:val="17"/>
        <w:lang w:val="ru-RU"/>
      </w:rPr>
    </w:pPr>
    <w:r w:rsidRPr="00DA164E">
      <w:rPr>
        <w:rFonts w:ascii="Arial" w:hAnsi="Arial" w:cs="Arial"/>
        <w:i/>
        <w:color w:val="595959"/>
        <w:sz w:val="17"/>
        <w:szCs w:val="17"/>
        <w:lang w:val="ru-RU"/>
      </w:rPr>
      <w:t xml:space="preserve">тел: +359 2 81 000 </w:t>
    </w:r>
    <w:r w:rsidRPr="000F6BE3">
      <w:rPr>
        <w:rFonts w:ascii="Arial" w:hAnsi="Arial" w:cs="Arial"/>
        <w:i/>
        <w:color w:val="595959"/>
        <w:sz w:val="17"/>
        <w:szCs w:val="17"/>
      </w:rPr>
      <w:t>2</w:t>
    </w:r>
    <w:r>
      <w:rPr>
        <w:rFonts w:ascii="Arial" w:hAnsi="Arial" w:cs="Arial"/>
        <w:i/>
        <w:color w:val="595959"/>
        <w:sz w:val="17"/>
        <w:szCs w:val="17"/>
        <w:lang w:val="ru-RU"/>
      </w:rPr>
      <w:t>0</w:t>
    </w:r>
  </w:p>
  <w:p w14:paraId="6E24EB99" w14:textId="77777777" w:rsidR="008967C1" w:rsidRPr="001F78ED" w:rsidRDefault="008967C1" w:rsidP="001F78ED">
    <w:pPr>
      <w:pStyle w:val="Footer"/>
      <w:rPr>
        <w:rFonts w:ascii="Arial" w:hAnsi="Arial" w:cs="Arial"/>
        <w:b/>
        <w:i/>
        <w:color w:val="333333"/>
        <w:sz w:val="18"/>
        <w:szCs w:val="18"/>
        <w:lang w:val="ru-RU"/>
      </w:rPr>
    </w:pPr>
    <w:r>
      <w:rPr>
        <w:rFonts w:ascii="Arial" w:hAnsi="Arial" w:cs="Arial"/>
        <w:i/>
        <w:noProof/>
        <w:color w:val="595959"/>
        <w:sz w:val="17"/>
        <w:szCs w:val="17"/>
        <w:lang w:val="en-US" w:eastAsia="en-US"/>
      </w:rPr>
      <mc:AlternateContent>
        <mc:Choice Requires="wps">
          <w:drawing>
            <wp:anchor distT="0" distB="0" distL="114300" distR="114300" simplePos="0" relativeHeight="251657728" behindDoc="0" locked="0" layoutInCell="1" allowOverlap="1" wp14:anchorId="0DB4096F" wp14:editId="4EDAAA03">
              <wp:simplePos x="0" y="0"/>
              <wp:positionH relativeFrom="column">
                <wp:posOffset>788670</wp:posOffset>
              </wp:positionH>
              <wp:positionV relativeFrom="paragraph">
                <wp:posOffset>95885</wp:posOffset>
              </wp:positionV>
              <wp:extent cx="2339975" cy="1905"/>
              <wp:effectExtent l="7620" t="10160" r="5080" b="6985"/>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39975" cy="1905"/>
                      </a:xfrm>
                      <a:custGeom>
                        <a:avLst/>
                        <a:gdLst>
                          <a:gd name="T0" fmla="*/ 0 w 3777"/>
                          <a:gd name="T1" fmla="*/ 3 h 3"/>
                          <a:gd name="T2" fmla="*/ 3777 w 3777"/>
                          <a:gd name="T3" fmla="*/ 0 h 3"/>
                        </a:gdLst>
                        <a:ahLst/>
                        <a:cxnLst>
                          <a:cxn ang="0">
                            <a:pos x="T0" y="T1"/>
                          </a:cxn>
                          <a:cxn ang="0">
                            <a:pos x="T2" y="T3"/>
                          </a:cxn>
                        </a:cxnLst>
                        <a:rect l="0" t="0" r="r" b="b"/>
                        <a:pathLst>
                          <a:path w="3777" h="3">
                            <a:moveTo>
                              <a:pt x="0" y="3"/>
                            </a:moveTo>
                            <a:lnTo>
                              <a:pt x="3777" y="0"/>
                            </a:lnTo>
                          </a:path>
                        </a:pathLst>
                      </a:custGeom>
                      <a:noFill/>
                      <a:ln w="9525">
                        <a:solidFill>
                          <a:srgbClr val="C7002E"/>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F4DC" id="Freeform 12" o:spid="_x0000_s1026" style="position:absolute;margin-left:62.1pt;margin-top:7.55pt;width:18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" path="m,3l3777,e" filled="f" strokecolor="#c7002e">
              <v:path arrowok="t" o:connecttype="custom" o:connectlocs="0,1905;2339975,0" o:connectangles="0,0"/>
            </v:shape>
          </w:pict>
        </mc:Fallback>
      </mc:AlternateContent>
    </w:r>
    <w:hyperlink r:id="rId1" w:history="1">
      <w:r w:rsidRPr="001F78ED">
        <w:rPr>
          <w:rStyle w:val="Hyperlink"/>
          <w:rFonts w:ascii="Arial" w:hAnsi="Arial" w:cs="Arial"/>
          <w:b/>
          <w:i/>
          <w:color w:val="595959"/>
          <w:sz w:val="17"/>
          <w:szCs w:val="17"/>
          <w:u w:val="none"/>
          <w:lang w:val="en-US"/>
        </w:rPr>
        <w:t>www</w:t>
      </w:r>
      <w:r w:rsidRPr="001F78ED">
        <w:rPr>
          <w:rStyle w:val="Hyperlink"/>
          <w:rFonts w:ascii="Arial" w:hAnsi="Arial" w:cs="Arial"/>
          <w:b/>
          <w:i/>
          <w:color w:val="595959"/>
          <w:sz w:val="17"/>
          <w:szCs w:val="17"/>
          <w:u w:val="none"/>
        </w:rPr>
        <w:t>.</w:t>
      </w:r>
      <w:r w:rsidRPr="001F78ED">
        <w:rPr>
          <w:rStyle w:val="Hyperlink"/>
          <w:rFonts w:ascii="Arial" w:hAnsi="Arial" w:cs="Arial"/>
          <w:b/>
          <w:i/>
          <w:color w:val="595959"/>
          <w:sz w:val="17"/>
          <w:szCs w:val="17"/>
          <w:u w:val="none"/>
          <w:lang w:val="en-US"/>
        </w:rPr>
        <w:t>elana</w:t>
      </w:r>
      <w:r w:rsidRPr="001F78ED">
        <w:rPr>
          <w:rStyle w:val="Hyperlink"/>
          <w:rFonts w:ascii="Arial" w:hAnsi="Arial" w:cs="Arial"/>
          <w:b/>
          <w:i/>
          <w:color w:val="595959"/>
          <w:sz w:val="17"/>
          <w:szCs w:val="17"/>
          <w:u w:val="none"/>
        </w:rPr>
        <w:t>.</w:t>
      </w:r>
      <w:r w:rsidRPr="001F78ED">
        <w:rPr>
          <w:rStyle w:val="Hyperlink"/>
          <w:rFonts w:ascii="Arial" w:hAnsi="Arial" w:cs="Arial"/>
          <w:b/>
          <w:i/>
          <w:color w:val="595959"/>
          <w:sz w:val="17"/>
          <w:szCs w:val="17"/>
          <w:u w:val="none"/>
          <w:lang w:val="en-US"/>
        </w:rPr>
        <w:t>net</w:t>
      </w:r>
    </w:hyperlink>
    <w:r w:rsidRPr="001F78ED">
      <w:rPr>
        <w:rFonts w:ascii="Arial" w:hAnsi="Arial" w:cs="Arial"/>
        <w:i/>
        <w:color w:val="595959"/>
        <w:sz w:val="17"/>
        <w:szCs w:val="17"/>
      </w:rPr>
      <w:tab/>
    </w:r>
    <w:r w:rsidRPr="001F78ED">
      <w:rPr>
        <w:rFonts w:ascii="Arial" w:hAnsi="Arial" w:cs="Arial"/>
        <w:i/>
        <w:color w:val="595959"/>
        <w:sz w:val="17"/>
        <w:szCs w:val="17"/>
        <w:lang w:val="ru-RU"/>
      </w:rPr>
      <w:t xml:space="preserve">                                                                                </w:t>
    </w:r>
    <w:r>
      <w:rPr>
        <w:rFonts w:ascii="Arial" w:hAnsi="Arial" w:cs="Arial"/>
        <w:i/>
        <w:color w:val="595959"/>
        <w:sz w:val="17"/>
        <w:szCs w:val="17"/>
        <w:lang w:val="en-US"/>
      </w:rPr>
      <w:t xml:space="preserve">  </w:t>
    </w:r>
    <w:hyperlink r:id="rId2" w:history="1">
      <w:r w:rsidRPr="00C3011F">
        <w:rPr>
          <w:rStyle w:val="Hyperlink"/>
          <w:rFonts w:ascii="Arial" w:hAnsi="Arial" w:cs="Arial"/>
          <w:i/>
          <w:color w:val="595959"/>
          <w:sz w:val="17"/>
          <w:szCs w:val="17"/>
          <w:u w:val="none"/>
          <w:lang w:val="en-US"/>
        </w:rPr>
        <w:t>trading</w:t>
      </w:r>
      <w:r w:rsidRPr="00C3011F">
        <w:rPr>
          <w:rStyle w:val="Hyperlink"/>
          <w:rFonts w:ascii="Arial" w:hAnsi="Arial" w:cs="Arial"/>
          <w:i/>
          <w:color w:val="595959"/>
          <w:sz w:val="17"/>
          <w:szCs w:val="17"/>
          <w:u w:val="none"/>
        </w:rPr>
        <w:t>@</w:t>
      </w:r>
      <w:r w:rsidRPr="00C3011F">
        <w:rPr>
          <w:rStyle w:val="Hyperlink"/>
          <w:rFonts w:ascii="Arial" w:hAnsi="Arial" w:cs="Arial"/>
          <w:i/>
          <w:color w:val="595959"/>
          <w:sz w:val="17"/>
          <w:szCs w:val="17"/>
          <w:u w:val="none"/>
          <w:lang w:val="en-US"/>
        </w:rPr>
        <w:t>elana</w:t>
      </w:r>
      <w:r w:rsidRPr="00C3011F">
        <w:rPr>
          <w:rStyle w:val="Hyperlink"/>
          <w:rFonts w:ascii="Arial" w:hAnsi="Arial" w:cs="Arial"/>
          <w:i/>
          <w:color w:val="595959"/>
          <w:sz w:val="17"/>
          <w:szCs w:val="17"/>
          <w:u w:val="none"/>
        </w:rPr>
        <w:t>.</w:t>
      </w:r>
      <w:r w:rsidRPr="00C3011F">
        <w:rPr>
          <w:rStyle w:val="Hyperlink"/>
          <w:rFonts w:ascii="Arial" w:hAnsi="Arial" w:cs="Arial"/>
          <w:i/>
          <w:color w:val="595959"/>
          <w:sz w:val="17"/>
          <w:szCs w:val="17"/>
          <w:u w:val="none"/>
          <w:lang w:val="en-US"/>
        </w:rPr>
        <w:t>net</w:t>
      </w:r>
    </w:hyperlink>
    <w:r w:rsidRPr="00C3011F">
      <w:rPr>
        <w:rFonts w:ascii="Arial" w:hAnsi="Arial" w:cs="Arial"/>
        <w:i/>
        <w:color w:val="595959"/>
        <w:sz w:val="17"/>
        <w:szCs w:val="17"/>
        <w:lang w:val="ru-RU"/>
      </w:rPr>
      <w:t xml:space="preserve">, </w:t>
    </w:r>
    <w:hyperlink r:id="rId3" w:history="1">
      <w:r>
        <w:rPr>
          <w:rStyle w:val="Hyperlink"/>
          <w:rFonts w:ascii="Arial" w:hAnsi="Arial" w:cs="Arial"/>
          <w:i/>
          <w:color w:val="595959"/>
          <w:sz w:val="17"/>
          <w:szCs w:val="17"/>
          <w:u w:val="none"/>
          <w:lang w:val="en-US"/>
        </w:rPr>
        <w:t>Bloomberg:</w:t>
      </w:r>
    </w:hyperlink>
    <w:r>
      <w:rPr>
        <w:rFonts w:ascii="Arial" w:hAnsi="Arial" w:cs="Arial"/>
        <w:i/>
        <w:color w:val="595959"/>
        <w:sz w:val="17"/>
        <w:szCs w:val="17"/>
        <w:lang w:val="en-US"/>
      </w:rPr>
      <w:t xml:space="preserve"> ELAN 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6FBE" w14:textId="77777777" w:rsidR="00610D46" w:rsidRDefault="00610D46">
      <w:r>
        <w:separator/>
      </w:r>
    </w:p>
  </w:footnote>
  <w:footnote w:type="continuationSeparator" w:id="0">
    <w:p w14:paraId="25912CC9" w14:textId="77777777" w:rsidR="00610D46" w:rsidRDefault="0061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DE2B" w14:textId="77777777" w:rsidR="008967C1" w:rsidRDefault="008967C1" w:rsidP="006249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7FECC" w14:textId="77777777" w:rsidR="008967C1" w:rsidRDefault="008967C1" w:rsidP="000B3B1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C102" w14:textId="77777777" w:rsidR="008967C1" w:rsidRPr="001F78ED" w:rsidRDefault="008967C1" w:rsidP="001F78ED">
    <w:pPr>
      <w:pStyle w:val="Header"/>
      <w:ind w:right="360"/>
      <w:rPr>
        <w:lang w:val="en-US"/>
      </w:rPr>
    </w:pPr>
    <w:r w:rsidRPr="0087291E">
      <w:rPr>
        <w:noProof/>
        <w:lang w:val="en-US" w:eastAsia="en-US"/>
      </w:rPr>
      <w:drawing>
        <wp:anchor distT="36576" distB="36576" distL="36576" distR="36576" simplePos="0" relativeHeight="251659776" behindDoc="0" locked="0" layoutInCell="1" allowOverlap="1" wp14:anchorId="6FEEA987" wp14:editId="31EA89C5">
          <wp:simplePos x="0" y="0"/>
          <wp:positionH relativeFrom="column">
            <wp:posOffset>0</wp:posOffset>
          </wp:positionH>
          <wp:positionV relativeFrom="paragraph">
            <wp:posOffset>-226060</wp:posOffset>
          </wp:positionV>
          <wp:extent cx="2202815" cy="648335"/>
          <wp:effectExtent l="0" t="0" r="6985" b="0"/>
          <wp:wrapNone/>
          <wp:docPr id="10" name="Picture 10" descr="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LE"/>
                  <pic:cNvPicPr preferRelativeResize="0">
                    <a:picLocks noChangeArrowheads="1"/>
                  </pic:cNvPicPr>
                </pic:nvPicPr>
                <pic:blipFill>
                  <a:blip r:embed="rId1">
                    <a:extLst>
                      <a:ext uri="{28A0092B-C50C-407E-A947-70E740481C1C}">
                        <a14:useLocalDpi xmlns:a14="http://schemas.microsoft.com/office/drawing/2010/main" val="0"/>
                      </a:ext>
                    </a:extLst>
                  </a:blip>
                  <a:srcRect l="406" r="406"/>
                  <a:stretch>
                    <a:fillRect/>
                  </a:stretch>
                </pic:blipFill>
                <pic:spPr bwMode="auto">
                  <a:xfrm>
                    <a:off x="0" y="0"/>
                    <a:ext cx="2202815" cy="648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in;height:3in" o:bullet="t"/>
    </w:pict>
  </w:numPicBullet>
  <w:numPicBullet w:numPicBulletId="1">
    <w:pict>
      <v:shape id="_x0000_i1162" type="#_x0000_t75" style="width:3in;height:3in" o:bullet="t"/>
    </w:pict>
  </w:numPicBullet>
  <w:numPicBullet w:numPicBulletId="2">
    <w:pict>
      <v:shape id="_x0000_i1163" type="#_x0000_t75" style="width:3in;height:3in" o:bullet="t"/>
    </w:pict>
  </w:numPicBullet>
  <w:abstractNum w:abstractNumId="0" w15:restartNumberingAfterBreak="0">
    <w:nsid w:val="009574FB"/>
    <w:multiLevelType w:val="hybridMultilevel"/>
    <w:tmpl w:val="4D8A35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3EA6365"/>
    <w:multiLevelType w:val="hybridMultilevel"/>
    <w:tmpl w:val="ADD659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623C61"/>
    <w:multiLevelType w:val="multilevel"/>
    <w:tmpl w:val="58FC4506"/>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7742E"/>
    <w:multiLevelType w:val="hybridMultilevel"/>
    <w:tmpl w:val="96AE3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7E749D"/>
    <w:multiLevelType w:val="hybridMultilevel"/>
    <w:tmpl w:val="167E3D3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226A52"/>
    <w:multiLevelType w:val="hybridMultilevel"/>
    <w:tmpl w:val="513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483"/>
    <w:multiLevelType w:val="hybridMultilevel"/>
    <w:tmpl w:val="0F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3CD5"/>
    <w:multiLevelType w:val="hybridMultilevel"/>
    <w:tmpl w:val="DCA083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1AD92533"/>
    <w:multiLevelType w:val="hybridMultilevel"/>
    <w:tmpl w:val="B58065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FE2BF3"/>
    <w:multiLevelType w:val="hybridMultilevel"/>
    <w:tmpl w:val="AF560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3209A5"/>
    <w:multiLevelType w:val="hybridMultilevel"/>
    <w:tmpl w:val="796EF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308250D"/>
    <w:multiLevelType w:val="multilevel"/>
    <w:tmpl w:val="1F464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ED341E"/>
    <w:multiLevelType w:val="hybridMultilevel"/>
    <w:tmpl w:val="5FB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E748A"/>
    <w:multiLevelType w:val="hybridMultilevel"/>
    <w:tmpl w:val="677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A33F3"/>
    <w:multiLevelType w:val="hybridMultilevel"/>
    <w:tmpl w:val="A9048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2910717"/>
    <w:multiLevelType w:val="hybridMultilevel"/>
    <w:tmpl w:val="2B06DD9E"/>
    <w:lvl w:ilvl="0" w:tplc="19DC8948">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5A04C72"/>
    <w:multiLevelType w:val="hybridMultilevel"/>
    <w:tmpl w:val="08840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66C4E08"/>
    <w:multiLevelType w:val="hybridMultilevel"/>
    <w:tmpl w:val="BAC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6402E"/>
    <w:multiLevelType w:val="multilevel"/>
    <w:tmpl w:val="167E3D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036AA7"/>
    <w:multiLevelType w:val="multilevel"/>
    <w:tmpl w:val="CBEEF2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03A98"/>
    <w:multiLevelType w:val="hybridMultilevel"/>
    <w:tmpl w:val="1B5609C8"/>
    <w:lvl w:ilvl="0" w:tplc="F7844A46">
      <w:start w:val="1"/>
      <w:numFmt w:val="bullet"/>
      <w:lvlText w:val=""/>
      <w:lvlJc w:val="left"/>
      <w:pPr>
        <w:tabs>
          <w:tab w:val="num" w:pos="1080"/>
        </w:tabs>
        <w:ind w:left="1080" w:hanging="360"/>
      </w:pPr>
      <w:rPr>
        <w:rFonts w:ascii="Symbol" w:hAnsi="Symbol" w:hint="default"/>
        <w:color w:val="663300"/>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5C711B"/>
    <w:multiLevelType w:val="hybridMultilevel"/>
    <w:tmpl w:val="F2A4FE74"/>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9135A"/>
    <w:multiLevelType w:val="hybridMultilevel"/>
    <w:tmpl w:val="E7625106"/>
    <w:lvl w:ilvl="0" w:tplc="DB10A3C2">
      <w:start w:val="1"/>
      <w:numFmt w:val="decimal"/>
      <w:lvlText w:val="%1."/>
      <w:lvlJc w:val="left"/>
      <w:pPr>
        <w:ind w:left="720" w:hanging="360"/>
      </w:pPr>
      <w:rPr>
        <w:rFonts w:hint="default"/>
      </w:rPr>
    </w:lvl>
    <w:lvl w:ilvl="1" w:tplc="0402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63EEC"/>
    <w:multiLevelType w:val="multilevel"/>
    <w:tmpl w:val="A8A089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CD7A25"/>
    <w:multiLevelType w:val="hybridMultilevel"/>
    <w:tmpl w:val="F1889420"/>
    <w:lvl w:ilvl="0" w:tplc="E8CEA60C">
      <w:start w:val="1"/>
      <w:numFmt w:val="bullet"/>
      <w:lvlText w:val=""/>
      <w:lvlJc w:val="left"/>
      <w:pPr>
        <w:tabs>
          <w:tab w:val="num" w:pos="1080"/>
        </w:tabs>
        <w:ind w:left="1080" w:hanging="360"/>
      </w:pPr>
      <w:rPr>
        <w:rFonts w:ascii="Symbol" w:hAnsi="Symbol" w:hint="default"/>
        <w:color w:val="A50021"/>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B839AB"/>
    <w:multiLevelType w:val="hybridMultilevel"/>
    <w:tmpl w:val="2E885C5E"/>
    <w:lvl w:ilvl="0" w:tplc="094AB440">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15:restartNumberingAfterBreak="0">
    <w:nsid w:val="70A70267"/>
    <w:multiLevelType w:val="multilevel"/>
    <w:tmpl w:val="C3FAFD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916704"/>
    <w:multiLevelType w:val="multilevel"/>
    <w:tmpl w:val="A20C3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A75860"/>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585345"/>
    <w:multiLevelType w:val="multilevel"/>
    <w:tmpl w:val="F1889420"/>
    <w:lvl w:ilvl="0">
      <w:start w:val="1"/>
      <w:numFmt w:val="bullet"/>
      <w:lvlText w:val=""/>
      <w:lvlJc w:val="left"/>
      <w:pPr>
        <w:tabs>
          <w:tab w:val="num" w:pos="1080"/>
        </w:tabs>
        <w:ind w:left="1080" w:hanging="360"/>
      </w:pPr>
      <w:rPr>
        <w:rFonts w:ascii="Symbol" w:hAnsi="Symbol" w:hint="default"/>
        <w:color w:val="A500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
  </w:num>
  <w:num w:numId="3">
    <w:abstractNumId w:val="18"/>
  </w:num>
  <w:num w:numId="4">
    <w:abstractNumId w:val="24"/>
  </w:num>
  <w:num w:numId="5">
    <w:abstractNumId w:val="29"/>
  </w:num>
  <w:num w:numId="6">
    <w:abstractNumId w:val="20"/>
  </w:num>
  <w:num w:numId="7">
    <w:abstractNumId w:val="28"/>
  </w:num>
  <w:num w:numId="8">
    <w:abstractNumId w:val="13"/>
  </w:num>
  <w:num w:numId="9">
    <w:abstractNumId w:val="21"/>
  </w:num>
  <w:num w:numId="10">
    <w:abstractNumId w:val="17"/>
  </w:num>
  <w:num w:numId="11">
    <w:abstractNumId w:val="12"/>
  </w:num>
  <w:num w:numId="12">
    <w:abstractNumId w:val="5"/>
  </w:num>
  <w:num w:numId="13">
    <w:abstractNumId w:val="6"/>
  </w:num>
  <w:num w:numId="14">
    <w:abstractNumId w:val="27"/>
  </w:num>
  <w:num w:numId="15">
    <w:abstractNumId w:val="25"/>
  </w:num>
  <w:num w:numId="16">
    <w:abstractNumId w:val="10"/>
  </w:num>
  <w:num w:numId="17">
    <w:abstractNumId w:val="11"/>
  </w:num>
  <w:num w:numId="18">
    <w:abstractNumId w:val="15"/>
  </w:num>
  <w:num w:numId="19">
    <w:abstractNumId w:val="8"/>
  </w:num>
  <w:num w:numId="20">
    <w:abstractNumId w:val="1"/>
  </w:num>
  <w:num w:numId="21">
    <w:abstractNumId w:val="23"/>
  </w:num>
  <w:num w:numId="22">
    <w:abstractNumId w:val="26"/>
  </w:num>
  <w:num w:numId="23">
    <w:abstractNumId w:val="0"/>
  </w:num>
  <w:num w:numId="24">
    <w:abstractNumId w:val="16"/>
  </w:num>
  <w:num w:numId="25">
    <w:abstractNumId w:val="2"/>
  </w:num>
  <w:num w:numId="26">
    <w:abstractNumId w:val="3"/>
  </w:num>
  <w:num w:numId="27">
    <w:abstractNumId w:val="14"/>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a50021,#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98"/>
    <w:rsid w:val="00006F8F"/>
    <w:rsid w:val="00010AFD"/>
    <w:rsid w:val="00013A94"/>
    <w:rsid w:val="00032E2D"/>
    <w:rsid w:val="00041EDA"/>
    <w:rsid w:val="000436C1"/>
    <w:rsid w:val="00053F11"/>
    <w:rsid w:val="00056007"/>
    <w:rsid w:val="00064B20"/>
    <w:rsid w:val="00066B89"/>
    <w:rsid w:val="000719BB"/>
    <w:rsid w:val="000765D4"/>
    <w:rsid w:val="000831BA"/>
    <w:rsid w:val="000842C6"/>
    <w:rsid w:val="00085397"/>
    <w:rsid w:val="0009337F"/>
    <w:rsid w:val="00096132"/>
    <w:rsid w:val="000A12DB"/>
    <w:rsid w:val="000A2704"/>
    <w:rsid w:val="000A6EDF"/>
    <w:rsid w:val="000B3B1A"/>
    <w:rsid w:val="000B3EAC"/>
    <w:rsid w:val="000C1EA2"/>
    <w:rsid w:val="000C572B"/>
    <w:rsid w:val="000D36F4"/>
    <w:rsid w:val="000D58EF"/>
    <w:rsid w:val="000E00A5"/>
    <w:rsid w:val="000E0D36"/>
    <w:rsid w:val="000F01EA"/>
    <w:rsid w:val="000F6BE3"/>
    <w:rsid w:val="001068F0"/>
    <w:rsid w:val="00110484"/>
    <w:rsid w:val="00121C8A"/>
    <w:rsid w:val="00124D9B"/>
    <w:rsid w:val="00130314"/>
    <w:rsid w:val="00144C66"/>
    <w:rsid w:val="001460D3"/>
    <w:rsid w:val="00146D1F"/>
    <w:rsid w:val="0015717B"/>
    <w:rsid w:val="00170244"/>
    <w:rsid w:val="0017391A"/>
    <w:rsid w:val="00183315"/>
    <w:rsid w:val="00192CB3"/>
    <w:rsid w:val="001930C3"/>
    <w:rsid w:val="001931E6"/>
    <w:rsid w:val="00193A97"/>
    <w:rsid w:val="0019614A"/>
    <w:rsid w:val="001A3C7A"/>
    <w:rsid w:val="001A3D4E"/>
    <w:rsid w:val="001B2F3A"/>
    <w:rsid w:val="001B30F6"/>
    <w:rsid w:val="001C5048"/>
    <w:rsid w:val="001D372D"/>
    <w:rsid w:val="001E0B44"/>
    <w:rsid w:val="001E2D79"/>
    <w:rsid w:val="001F1245"/>
    <w:rsid w:val="001F60E9"/>
    <w:rsid w:val="001F78ED"/>
    <w:rsid w:val="00204BE9"/>
    <w:rsid w:val="002103E0"/>
    <w:rsid w:val="00212C95"/>
    <w:rsid w:val="00221DE8"/>
    <w:rsid w:val="0022327F"/>
    <w:rsid w:val="002248DB"/>
    <w:rsid w:val="00225022"/>
    <w:rsid w:val="00230107"/>
    <w:rsid w:val="002321A5"/>
    <w:rsid w:val="002322A0"/>
    <w:rsid w:val="00233C71"/>
    <w:rsid w:val="00241828"/>
    <w:rsid w:val="002429BA"/>
    <w:rsid w:val="00245DAA"/>
    <w:rsid w:val="00245F6A"/>
    <w:rsid w:val="00246C64"/>
    <w:rsid w:val="00250E4B"/>
    <w:rsid w:val="00252273"/>
    <w:rsid w:val="00252C91"/>
    <w:rsid w:val="00260818"/>
    <w:rsid w:val="00263742"/>
    <w:rsid w:val="00267FAC"/>
    <w:rsid w:val="00270C12"/>
    <w:rsid w:val="00285084"/>
    <w:rsid w:val="0028537A"/>
    <w:rsid w:val="00286741"/>
    <w:rsid w:val="002A3A4E"/>
    <w:rsid w:val="002A53B6"/>
    <w:rsid w:val="002B3E55"/>
    <w:rsid w:val="002B7727"/>
    <w:rsid w:val="002C24B5"/>
    <w:rsid w:val="002D1F8B"/>
    <w:rsid w:val="002D3551"/>
    <w:rsid w:val="002D4C0F"/>
    <w:rsid w:val="002D546D"/>
    <w:rsid w:val="002F139A"/>
    <w:rsid w:val="002F2238"/>
    <w:rsid w:val="00301290"/>
    <w:rsid w:val="003052FB"/>
    <w:rsid w:val="00320E13"/>
    <w:rsid w:val="0032733C"/>
    <w:rsid w:val="00340BF6"/>
    <w:rsid w:val="00342A15"/>
    <w:rsid w:val="00346B8B"/>
    <w:rsid w:val="00355A4F"/>
    <w:rsid w:val="00360BB4"/>
    <w:rsid w:val="003669F7"/>
    <w:rsid w:val="003711A9"/>
    <w:rsid w:val="0037322D"/>
    <w:rsid w:val="00374458"/>
    <w:rsid w:val="0037646B"/>
    <w:rsid w:val="003818D3"/>
    <w:rsid w:val="00382353"/>
    <w:rsid w:val="00386960"/>
    <w:rsid w:val="00397502"/>
    <w:rsid w:val="003A29C8"/>
    <w:rsid w:val="003A44D5"/>
    <w:rsid w:val="003B31E2"/>
    <w:rsid w:val="003B4235"/>
    <w:rsid w:val="003C537F"/>
    <w:rsid w:val="003C73C5"/>
    <w:rsid w:val="003D475B"/>
    <w:rsid w:val="003D5852"/>
    <w:rsid w:val="003D6A7C"/>
    <w:rsid w:val="003D72C8"/>
    <w:rsid w:val="003E1E24"/>
    <w:rsid w:val="003F4A28"/>
    <w:rsid w:val="00402C33"/>
    <w:rsid w:val="004052C1"/>
    <w:rsid w:val="004064CE"/>
    <w:rsid w:val="00406F9B"/>
    <w:rsid w:val="004147E1"/>
    <w:rsid w:val="0041484B"/>
    <w:rsid w:val="00414899"/>
    <w:rsid w:val="00416218"/>
    <w:rsid w:val="00432E76"/>
    <w:rsid w:val="00437EDD"/>
    <w:rsid w:val="00443AEB"/>
    <w:rsid w:val="004471CF"/>
    <w:rsid w:val="004509D4"/>
    <w:rsid w:val="00451DC2"/>
    <w:rsid w:val="00452D36"/>
    <w:rsid w:val="00453644"/>
    <w:rsid w:val="00455A22"/>
    <w:rsid w:val="00455F56"/>
    <w:rsid w:val="00456C29"/>
    <w:rsid w:val="00467E79"/>
    <w:rsid w:val="00473AF7"/>
    <w:rsid w:val="0048719E"/>
    <w:rsid w:val="004947B7"/>
    <w:rsid w:val="004954C3"/>
    <w:rsid w:val="00496977"/>
    <w:rsid w:val="00496E0F"/>
    <w:rsid w:val="004A1C54"/>
    <w:rsid w:val="004A2C5D"/>
    <w:rsid w:val="004A5156"/>
    <w:rsid w:val="004B6B50"/>
    <w:rsid w:val="004C0AD3"/>
    <w:rsid w:val="004C3251"/>
    <w:rsid w:val="004D0228"/>
    <w:rsid w:val="004D12EF"/>
    <w:rsid w:val="004D56CF"/>
    <w:rsid w:val="00502DEA"/>
    <w:rsid w:val="00504132"/>
    <w:rsid w:val="00505419"/>
    <w:rsid w:val="00514F1B"/>
    <w:rsid w:val="00524AF2"/>
    <w:rsid w:val="00531B94"/>
    <w:rsid w:val="00537F6E"/>
    <w:rsid w:val="00540769"/>
    <w:rsid w:val="00541BFA"/>
    <w:rsid w:val="00541FCC"/>
    <w:rsid w:val="005539AF"/>
    <w:rsid w:val="00557451"/>
    <w:rsid w:val="00566350"/>
    <w:rsid w:val="00571DB2"/>
    <w:rsid w:val="00574132"/>
    <w:rsid w:val="00574CDA"/>
    <w:rsid w:val="00582AA3"/>
    <w:rsid w:val="005934B8"/>
    <w:rsid w:val="005A1AA4"/>
    <w:rsid w:val="005A469C"/>
    <w:rsid w:val="005B0898"/>
    <w:rsid w:val="005B3443"/>
    <w:rsid w:val="005B6751"/>
    <w:rsid w:val="005B7761"/>
    <w:rsid w:val="005C2C47"/>
    <w:rsid w:val="005E5C88"/>
    <w:rsid w:val="005E66C5"/>
    <w:rsid w:val="005F0FC9"/>
    <w:rsid w:val="005F2AC9"/>
    <w:rsid w:val="005F2E4C"/>
    <w:rsid w:val="005F3E4E"/>
    <w:rsid w:val="00610D46"/>
    <w:rsid w:val="00620B03"/>
    <w:rsid w:val="006249EC"/>
    <w:rsid w:val="0063116F"/>
    <w:rsid w:val="00642DDE"/>
    <w:rsid w:val="00654F9D"/>
    <w:rsid w:val="00655469"/>
    <w:rsid w:val="006635DD"/>
    <w:rsid w:val="006721AE"/>
    <w:rsid w:val="00676E53"/>
    <w:rsid w:val="0068549D"/>
    <w:rsid w:val="006863D2"/>
    <w:rsid w:val="006944E2"/>
    <w:rsid w:val="006966B2"/>
    <w:rsid w:val="006A08D3"/>
    <w:rsid w:val="006A1196"/>
    <w:rsid w:val="006A4242"/>
    <w:rsid w:val="006B304E"/>
    <w:rsid w:val="006B378D"/>
    <w:rsid w:val="006B4BB2"/>
    <w:rsid w:val="006C41F0"/>
    <w:rsid w:val="006C5948"/>
    <w:rsid w:val="006C6CE8"/>
    <w:rsid w:val="006D11D3"/>
    <w:rsid w:val="006D1774"/>
    <w:rsid w:val="006D434B"/>
    <w:rsid w:val="006E4227"/>
    <w:rsid w:val="006F5DF2"/>
    <w:rsid w:val="007002B3"/>
    <w:rsid w:val="007078D5"/>
    <w:rsid w:val="00724F1E"/>
    <w:rsid w:val="007343AE"/>
    <w:rsid w:val="00734BFE"/>
    <w:rsid w:val="00740AA8"/>
    <w:rsid w:val="00740CE6"/>
    <w:rsid w:val="00743EDC"/>
    <w:rsid w:val="007470A3"/>
    <w:rsid w:val="00770BD9"/>
    <w:rsid w:val="00770EEF"/>
    <w:rsid w:val="00772B84"/>
    <w:rsid w:val="00777951"/>
    <w:rsid w:val="00780F23"/>
    <w:rsid w:val="00795C06"/>
    <w:rsid w:val="00797C74"/>
    <w:rsid w:val="007A00C4"/>
    <w:rsid w:val="007A270E"/>
    <w:rsid w:val="007A43EA"/>
    <w:rsid w:val="007A52D8"/>
    <w:rsid w:val="007A6A73"/>
    <w:rsid w:val="007A76EF"/>
    <w:rsid w:val="007B0934"/>
    <w:rsid w:val="007B34D2"/>
    <w:rsid w:val="007C176B"/>
    <w:rsid w:val="007C7C2B"/>
    <w:rsid w:val="007D23F2"/>
    <w:rsid w:val="007D5EDF"/>
    <w:rsid w:val="007D71C1"/>
    <w:rsid w:val="007E16BD"/>
    <w:rsid w:val="007E2715"/>
    <w:rsid w:val="00812428"/>
    <w:rsid w:val="00823B79"/>
    <w:rsid w:val="00825FF1"/>
    <w:rsid w:val="008370CB"/>
    <w:rsid w:val="008429B1"/>
    <w:rsid w:val="0085051F"/>
    <w:rsid w:val="0085053D"/>
    <w:rsid w:val="00855B74"/>
    <w:rsid w:val="00856B2A"/>
    <w:rsid w:val="00860211"/>
    <w:rsid w:val="008616E7"/>
    <w:rsid w:val="0087291E"/>
    <w:rsid w:val="00876145"/>
    <w:rsid w:val="008768A6"/>
    <w:rsid w:val="00883CE8"/>
    <w:rsid w:val="008967C1"/>
    <w:rsid w:val="00897D69"/>
    <w:rsid w:val="008A419D"/>
    <w:rsid w:val="008A7CB1"/>
    <w:rsid w:val="008B3ABE"/>
    <w:rsid w:val="008B6926"/>
    <w:rsid w:val="008C660E"/>
    <w:rsid w:val="008D0B34"/>
    <w:rsid w:val="008E588D"/>
    <w:rsid w:val="008E71EE"/>
    <w:rsid w:val="008F6C8A"/>
    <w:rsid w:val="0090365B"/>
    <w:rsid w:val="009061E4"/>
    <w:rsid w:val="00906E9E"/>
    <w:rsid w:val="00913E02"/>
    <w:rsid w:val="00913EE9"/>
    <w:rsid w:val="00925825"/>
    <w:rsid w:val="00936CD9"/>
    <w:rsid w:val="00940BB3"/>
    <w:rsid w:val="009558E5"/>
    <w:rsid w:val="00962AF3"/>
    <w:rsid w:val="00965686"/>
    <w:rsid w:val="00970258"/>
    <w:rsid w:val="009703C8"/>
    <w:rsid w:val="009802C1"/>
    <w:rsid w:val="009A49E8"/>
    <w:rsid w:val="009A521A"/>
    <w:rsid w:val="009B775C"/>
    <w:rsid w:val="009D0DDA"/>
    <w:rsid w:val="009D2CFF"/>
    <w:rsid w:val="009D38AD"/>
    <w:rsid w:val="009F4B2B"/>
    <w:rsid w:val="009F5299"/>
    <w:rsid w:val="00A0349E"/>
    <w:rsid w:val="00A21543"/>
    <w:rsid w:val="00A27694"/>
    <w:rsid w:val="00A3166F"/>
    <w:rsid w:val="00A371C0"/>
    <w:rsid w:val="00A53E57"/>
    <w:rsid w:val="00A77CDB"/>
    <w:rsid w:val="00A80CC9"/>
    <w:rsid w:val="00A857AE"/>
    <w:rsid w:val="00A87477"/>
    <w:rsid w:val="00A90250"/>
    <w:rsid w:val="00A919CB"/>
    <w:rsid w:val="00A92B7F"/>
    <w:rsid w:val="00A9381E"/>
    <w:rsid w:val="00AA1DB3"/>
    <w:rsid w:val="00AB429D"/>
    <w:rsid w:val="00AB64D3"/>
    <w:rsid w:val="00AB67EF"/>
    <w:rsid w:val="00AC2EE4"/>
    <w:rsid w:val="00AC5231"/>
    <w:rsid w:val="00AC6F87"/>
    <w:rsid w:val="00AC737D"/>
    <w:rsid w:val="00AC7B63"/>
    <w:rsid w:val="00AD373A"/>
    <w:rsid w:val="00AE4895"/>
    <w:rsid w:val="00AE4A54"/>
    <w:rsid w:val="00AF5470"/>
    <w:rsid w:val="00B04415"/>
    <w:rsid w:val="00B07E5B"/>
    <w:rsid w:val="00B11992"/>
    <w:rsid w:val="00B15FD7"/>
    <w:rsid w:val="00B16674"/>
    <w:rsid w:val="00B258B2"/>
    <w:rsid w:val="00B33D84"/>
    <w:rsid w:val="00B3429E"/>
    <w:rsid w:val="00B50AEF"/>
    <w:rsid w:val="00B50D65"/>
    <w:rsid w:val="00B550E3"/>
    <w:rsid w:val="00B61322"/>
    <w:rsid w:val="00B6316D"/>
    <w:rsid w:val="00B64113"/>
    <w:rsid w:val="00B6766A"/>
    <w:rsid w:val="00B7029A"/>
    <w:rsid w:val="00B765D3"/>
    <w:rsid w:val="00B767FA"/>
    <w:rsid w:val="00B806F2"/>
    <w:rsid w:val="00B80C16"/>
    <w:rsid w:val="00B8569D"/>
    <w:rsid w:val="00B902C7"/>
    <w:rsid w:val="00B905D0"/>
    <w:rsid w:val="00B91440"/>
    <w:rsid w:val="00B95085"/>
    <w:rsid w:val="00B970CA"/>
    <w:rsid w:val="00B973EA"/>
    <w:rsid w:val="00B97528"/>
    <w:rsid w:val="00BA5398"/>
    <w:rsid w:val="00BC017A"/>
    <w:rsid w:val="00BC1A2B"/>
    <w:rsid w:val="00BF110A"/>
    <w:rsid w:val="00C06A18"/>
    <w:rsid w:val="00C079B7"/>
    <w:rsid w:val="00C10FA4"/>
    <w:rsid w:val="00C1396A"/>
    <w:rsid w:val="00C14561"/>
    <w:rsid w:val="00C14F22"/>
    <w:rsid w:val="00C3011F"/>
    <w:rsid w:val="00C314B6"/>
    <w:rsid w:val="00C335E7"/>
    <w:rsid w:val="00C3555D"/>
    <w:rsid w:val="00C41054"/>
    <w:rsid w:val="00C43ECE"/>
    <w:rsid w:val="00C5353E"/>
    <w:rsid w:val="00C54312"/>
    <w:rsid w:val="00C55822"/>
    <w:rsid w:val="00C66E7F"/>
    <w:rsid w:val="00C74EC9"/>
    <w:rsid w:val="00C76F94"/>
    <w:rsid w:val="00C811A1"/>
    <w:rsid w:val="00C81AD7"/>
    <w:rsid w:val="00C9257A"/>
    <w:rsid w:val="00C93E15"/>
    <w:rsid w:val="00C96BE3"/>
    <w:rsid w:val="00CB03EA"/>
    <w:rsid w:val="00CB0BBB"/>
    <w:rsid w:val="00CB1771"/>
    <w:rsid w:val="00CB6DE8"/>
    <w:rsid w:val="00CC4790"/>
    <w:rsid w:val="00CC75F4"/>
    <w:rsid w:val="00CD3007"/>
    <w:rsid w:val="00CF0DF8"/>
    <w:rsid w:val="00CF5922"/>
    <w:rsid w:val="00D01412"/>
    <w:rsid w:val="00D02F51"/>
    <w:rsid w:val="00D14386"/>
    <w:rsid w:val="00D152AD"/>
    <w:rsid w:val="00D209B8"/>
    <w:rsid w:val="00D31DCA"/>
    <w:rsid w:val="00D327BC"/>
    <w:rsid w:val="00D3724C"/>
    <w:rsid w:val="00D43D35"/>
    <w:rsid w:val="00D64977"/>
    <w:rsid w:val="00D74C1B"/>
    <w:rsid w:val="00D74C91"/>
    <w:rsid w:val="00D80391"/>
    <w:rsid w:val="00D8474A"/>
    <w:rsid w:val="00D850F9"/>
    <w:rsid w:val="00D94013"/>
    <w:rsid w:val="00D94C57"/>
    <w:rsid w:val="00D971C2"/>
    <w:rsid w:val="00DA0BF5"/>
    <w:rsid w:val="00DA48A0"/>
    <w:rsid w:val="00DA73E2"/>
    <w:rsid w:val="00DB0E58"/>
    <w:rsid w:val="00DB4027"/>
    <w:rsid w:val="00DC0BCF"/>
    <w:rsid w:val="00DC17B6"/>
    <w:rsid w:val="00DC72BB"/>
    <w:rsid w:val="00DD1B33"/>
    <w:rsid w:val="00DD1BB4"/>
    <w:rsid w:val="00DD31DF"/>
    <w:rsid w:val="00DD5400"/>
    <w:rsid w:val="00DF01C4"/>
    <w:rsid w:val="00DF094E"/>
    <w:rsid w:val="00DF25AD"/>
    <w:rsid w:val="00DF721D"/>
    <w:rsid w:val="00E01B94"/>
    <w:rsid w:val="00E01EC5"/>
    <w:rsid w:val="00E05CA7"/>
    <w:rsid w:val="00E16FC7"/>
    <w:rsid w:val="00E27B0E"/>
    <w:rsid w:val="00E30462"/>
    <w:rsid w:val="00E34164"/>
    <w:rsid w:val="00E34F18"/>
    <w:rsid w:val="00E403D9"/>
    <w:rsid w:val="00E43E26"/>
    <w:rsid w:val="00E51113"/>
    <w:rsid w:val="00E5113D"/>
    <w:rsid w:val="00E545E3"/>
    <w:rsid w:val="00E56D30"/>
    <w:rsid w:val="00E62A83"/>
    <w:rsid w:val="00E71F18"/>
    <w:rsid w:val="00E74B42"/>
    <w:rsid w:val="00E81347"/>
    <w:rsid w:val="00E852CF"/>
    <w:rsid w:val="00E86722"/>
    <w:rsid w:val="00E86D90"/>
    <w:rsid w:val="00E97EA3"/>
    <w:rsid w:val="00EA082A"/>
    <w:rsid w:val="00EA0C92"/>
    <w:rsid w:val="00EB26F8"/>
    <w:rsid w:val="00EB5E78"/>
    <w:rsid w:val="00EC4384"/>
    <w:rsid w:val="00EC4C32"/>
    <w:rsid w:val="00ED351B"/>
    <w:rsid w:val="00EF1A6F"/>
    <w:rsid w:val="00EF6B7C"/>
    <w:rsid w:val="00EF721F"/>
    <w:rsid w:val="00EF727B"/>
    <w:rsid w:val="00F061CA"/>
    <w:rsid w:val="00F1164E"/>
    <w:rsid w:val="00F22F03"/>
    <w:rsid w:val="00F25DC9"/>
    <w:rsid w:val="00F3194B"/>
    <w:rsid w:val="00F372E8"/>
    <w:rsid w:val="00F40747"/>
    <w:rsid w:val="00F433C6"/>
    <w:rsid w:val="00F54472"/>
    <w:rsid w:val="00F622DF"/>
    <w:rsid w:val="00F66BFC"/>
    <w:rsid w:val="00F70B2B"/>
    <w:rsid w:val="00F74E81"/>
    <w:rsid w:val="00F764D5"/>
    <w:rsid w:val="00F97929"/>
    <w:rsid w:val="00FA00CC"/>
    <w:rsid w:val="00FA0376"/>
    <w:rsid w:val="00FA4B2E"/>
    <w:rsid w:val="00FA5AB4"/>
    <w:rsid w:val="00FB20FA"/>
    <w:rsid w:val="00FC04E5"/>
    <w:rsid w:val="00FC07F5"/>
    <w:rsid w:val="00FC23B1"/>
    <w:rsid w:val="00FC4081"/>
    <w:rsid w:val="00FD793B"/>
    <w:rsid w:val="00FE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0021,#630"/>
    </o:shapedefaults>
    <o:shapelayout v:ext="edit">
      <o:idmap v:ext="edit" data="1"/>
    </o:shapelayout>
  </w:shapeDefaults>
  <w:decimalSymbol w:val="."/>
  <w:listSeparator w:val=";"/>
  <w14:docId w14:val="158A68A3"/>
  <w15:chartTrackingRefBased/>
  <w15:docId w15:val="{DDC418B4-8B99-4A61-ADA9-F0B45DE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bg-BG" w:eastAsia="bg-BG"/>
    </w:rPr>
  </w:style>
  <w:style w:type="paragraph" w:styleId="Heading2">
    <w:name w:val="heading 2"/>
    <w:basedOn w:val="Normal"/>
    <w:next w:val="Normal"/>
    <w:link w:val="Heading2Char"/>
    <w:semiHidden/>
    <w:unhideWhenUsed/>
    <w:qFormat/>
    <w:rsid w:val="00582A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0898"/>
    <w:pPr>
      <w:tabs>
        <w:tab w:val="center" w:pos="4536"/>
        <w:tab w:val="right" w:pos="9072"/>
      </w:tabs>
    </w:pPr>
  </w:style>
  <w:style w:type="paragraph" w:styleId="Footer">
    <w:name w:val="footer"/>
    <w:basedOn w:val="Normal"/>
    <w:rsid w:val="005B0898"/>
    <w:pPr>
      <w:tabs>
        <w:tab w:val="center" w:pos="4536"/>
        <w:tab w:val="right" w:pos="9072"/>
      </w:tabs>
    </w:pPr>
  </w:style>
  <w:style w:type="paragraph" w:styleId="NormalWeb">
    <w:name w:val="Normal (Web)"/>
    <w:basedOn w:val="Normal"/>
    <w:uiPriority w:val="99"/>
    <w:rsid w:val="00541FCC"/>
    <w:pPr>
      <w:spacing w:before="100" w:beforeAutospacing="1" w:after="100" w:afterAutospacing="1"/>
      <w:jc w:val="both"/>
    </w:pPr>
    <w:rPr>
      <w:rFonts w:ascii="Verdana" w:hAnsi="Verdana"/>
      <w:color w:val="000000"/>
      <w:sz w:val="17"/>
      <w:szCs w:val="17"/>
    </w:rPr>
  </w:style>
  <w:style w:type="character" w:styleId="Strong">
    <w:name w:val="Strong"/>
    <w:qFormat/>
    <w:rsid w:val="00541FCC"/>
    <w:rPr>
      <w:b/>
      <w:bCs/>
    </w:rPr>
  </w:style>
  <w:style w:type="character" w:styleId="PageNumber">
    <w:name w:val="page number"/>
    <w:basedOn w:val="DefaultParagraphFont"/>
    <w:rsid w:val="000B3B1A"/>
  </w:style>
  <w:style w:type="character" w:styleId="Hyperlink">
    <w:name w:val="Hyperlink"/>
    <w:rsid w:val="00455A22"/>
    <w:rPr>
      <w:color w:val="0000FF"/>
      <w:u w:val="single"/>
    </w:rPr>
  </w:style>
  <w:style w:type="paragraph" w:styleId="BalloonText">
    <w:name w:val="Balloon Text"/>
    <w:basedOn w:val="Normal"/>
    <w:link w:val="BalloonTextChar"/>
    <w:rsid w:val="00CF5922"/>
    <w:rPr>
      <w:rFonts w:ascii="Segoe UI" w:hAnsi="Segoe UI" w:cs="Segoe UI"/>
      <w:sz w:val="18"/>
      <w:szCs w:val="18"/>
    </w:rPr>
  </w:style>
  <w:style w:type="character" w:customStyle="1" w:styleId="BalloonTextChar">
    <w:name w:val="Balloon Text Char"/>
    <w:link w:val="BalloonText"/>
    <w:rsid w:val="00CF5922"/>
    <w:rPr>
      <w:rFonts w:ascii="Segoe UI" w:hAnsi="Segoe UI" w:cs="Segoe UI"/>
      <w:sz w:val="18"/>
      <w:szCs w:val="18"/>
    </w:rPr>
  </w:style>
  <w:style w:type="character" w:customStyle="1" w:styleId="fontstyle01">
    <w:name w:val="fontstyle01"/>
    <w:rsid w:val="00B6316D"/>
    <w:rPr>
      <w:rFonts w:ascii="Arial-BoldMT" w:hAnsi="Arial-BoldMT" w:hint="default"/>
      <w:b/>
      <w:bCs/>
      <w:i w:val="0"/>
      <w:iCs w:val="0"/>
      <w:color w:val="000000"/>
      <w:sz w:val="36"/>
      <w:szCs w:val="36"/>
    </w:rPr>
  </w:style>
  <w:style w:type="character" w:customStyle="1" w:styleId="fontstyle11">
    <w:name w:val="fontstyle11"/>
    <w:rsid w:val="00B6316D"/>
    <w:rPr>
      <w:rFonts w:ascii="ArialMT" w:hAnsi="ArialMT" w:hint="default"/>
      <w:b w:val="0"/>
      <w:bCs w:val="0"/>
      <w:i w:val="0"/>
      <w:iCs w:val="0"/>
      <w:color w:val="000000"/>
      <w:sz w:val="28"/>
      <w:szCs w:val="28"/>
    </w:rPr>
  </w:style>
  <w:style w:type="paragraph" w:styleId="ListParagraph">
    <w:name w:val="List Paragraph"/>
    <w:basedOn w:val="Normal"/>
    <w:uiPriority w:val="34"/>
    <w:qFormat/>
    <w:rsid w:val="00B6316D"/>
    <w:pPr>
      <w:spacing w:after="160" w:line="259" w:lineRule="auto"/>
      <w:ind w:left="720"/>
      <w:contextualSpacing/>
    </w:pPr>
    <w:rPr>
      <w:rFonts w:ascii="Calibri" w:eastAsia="Calibri" w:hAnsi="Calibri"/>
      <w:sz w:val="22"/>
      <w:szCs w:val="22"/>
      <w:lang w:val="en-US" w:eastAsia="en-US"/>
    </w:rPr>
  </w:style>
  <w:style w:type="table" w:styleId="PlainTable5">
    <w:name w:val="Plain Table 5"/>
    <w:basedOn w:val="TableNormal"/>
    <w:uiPriority w:val="45"/>
    <w:rsid w:val="00B6316D"/>
    <w:rPr>
      <w:rFonts w:ascii="Calibri" w:eastAsia="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50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2">
    <w:name w:val="bs2"/>
    <w:basedOn w:val="Heading2"/>
    <w:qFormat/>
    <w:rsid w:val="00582AA3"/>
    <w:pPr>
      <w:keepLines w:val="0"/>
      <w:spacing w:before="60" w:after="60" w:line="260" w:lineRule="exact"/>
      <w:jc w:val="both"/>
    </w:pPr>
    <w:rPr>
      <w:rFonts w:ascii="Verdana" w:eastAsia="Times New Roman" w:hAnsi="Verdana" w:cs="Arial"/>
      <w:b/>
      <w:bCs/>
      <w:iCs/>
      <w:smallCaps/>
      <w:color w:val="auto"/>
      <w:sz w:val="20"/>
      <w:szCs w:val="20"/>
    </w:rPr>
  </w:style>
  <w:style w:type="character" w:customStyle="1" w:styleId="Heading2Char">
    <w:name w:val="Heading 2 Char"/>
    <w:basedOn w:val="DefaultParagraphFont"/>
    <w:link w:val="Heading2"/>
    <w:uiPriority w:val="9"/>
    <w:rsid w:val="00582AA3"/>
    <w:rPr>
      <w:rFonts w:asciiTheme="majorHAnsi" w:eastAsiaTheme="majorEastAsia" w:hAnsiTheme="majorHAnsi" w:cstheme="majorBidi"/>
      <w:color w:val="2E74B5" w:themeColor="accent1" w:themeShade="BF"/>
      <w:sz w:val="26"/>
      <w:szCs w:val="26"/>
      <w:lang w:val="bg-BG" w:eastAsia="bg-BG"/>
    </w:rPr>
  </w:style>
  <w:style w:type="character" w:styleId="CommentReference">
    <w:name w:val="annotation reference"/>
    <w:basedOn w:val="DefaultParagraphFont"/>
    <w:rsid w:val="004064CE"/>
    <w:rPr>
      <w:sz w:val="16"/>
      <w:szCs w:val="16"/>
    </w:rPr>
  </w:style>
  <w:style w:type="paragraph" w:styleId="CommentText">
    <w:name w:val="annotation text"/>
    <w:basedOn w:val="Normal"/>
    <w:link w:val="CommentTextChar"/>
    <w:rsid w:val="004064CE"/>
    <w:rPr>
      <w:sz w:val="20"/>
      <w:szCs w:val="20"/>
    </w:rPr>
  </w:style>
  <w:style w:type="character" w:customStyle="1" w:styleId="CommentTextChar">
    <w:name w:val="Comment Text Char"/>
    <w:basedOn w:val="DefaultParagraphFont"/>
    <w:link w:val="CommentText"/>
    <w:rsid w:val="004064CE"/>
    <w:rPr>
      <w:lang w:val="bg-BG" w:eastAsia="bg-BG"/>
    </w:rPr>
  </w:style>
  <w:style w:type="paragraph" w:styleId="CommentSubject">
    <w:name w:val="annotation subject"/>
    <w:basedOn w:val="CommentText"/>
    <w:next w:val="CommentText"/>
    <w:link w:val="CommentSubjectChar"/>
    <w:rsid w:val="004064CE"/>
    <w:rPr>
      <w:b/>
      <w:bCs/>
    </w:rPr>
  </w:style>
  <w:style w:type="character" w:customStyle="1" w:styleId="CommentSubjectChar">
    <w:name w:val="Comment Subject Char"/>
    <w:basedOn w:val="CommentTextChar"/>
    <w:link w:val="CommentSubject"/>
    <w:rsid w:val="004064CE"/>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936">
      <w:bodyDiv w:val="1"/>
      <w:marLeft w:val="0"/>
      <w:marRight w:val="0"/>
      <w:marTop w:val="0"/>
      <w:marBottom w:val="0"/>
      <w:divBdr>
        <w:top w:val="none" w:sz="0" w:space="0" w:color="auto"/>
        <w:left w:val="none" w:sz="0" w:space="0" w:color="auto"/>
        <w:bottom w:val="none" w:sz="0" w:space="0" w:color="auto"/>
        <w:right w:val="none" w:sz="0" w:space="0" w:color="auto"/>
      </w:divBdr>
    </w:div>
    <w:div w:id="163472432">
      <w:bodyDiv w:val="1"/>
      <w:marLeft w:val="0"/>
      <w:marRight w:val="0"/>
      <w:marTop w:val="0"/>
      <w:marBottom w:val="0"/>
      <w:divBdr>
        <w:top w:val="none" w:sz="0" w:space="0" w:color="auto"/>
        <w:left w:val="none" w:sz="0" w:space="0" w:color="auto"/>
        <w:bottom w:val="none" w:sz="0" w:space="0" w:color="auto"/>
        <w:right w:val="none" w:sz="0" w:space="0" w:color="auto"/>
      </w:divBdr>
    </w:div>
    <w:div w:id="599417392">
      <w:bodyDiv w:val="1"/>
      <w:marLeft w:val="0"/>
      <w:marRight w:val="0"/>
      <w:marTop w:val="0"/>
      <w:marBottom w:val="0"/>
      <w:divBdr>
        <w:top w:val="none" w:sz="0" w:space="0" w:color="auto"/>
        <w:left w:val="none" w:sz="0" w:space="0" w:color="auto"/>
        <w:bottom w:val="none" w:sz="0" w:space="0" w:color="auto"/>
        <w:right w:val="none" w:sz="0" w:space="0" w:color="auto"/>
      </w:divBdr>
    </w:div>
    <w:div w:id="617180328">
      <w:bodyDiv w:val="1"/>
      <w:marLeft w:val="0"/>
      <w:marRight w:val="0"/>
      <w:marTop w:val="0"/>
      <w:marBottom w:val="0"/>
      <w:divBdr>
        <w:top w:val="none" w:sz="0" w:space="0" w:color="auto"/>
        <w:left w:val="none" w:sz="0" w:space="0" w:color="auto"/>
        <w:bottom w:val="none" w:sz="0" w:space="0" w:color="auto"/>
        <w:right w:val="none" w:sz="0" w:space="0" w:color="auto"/>
      </w:divBdr>
    </w:div>
    <w:div w:id="827285142">
      <w:bodyDiv w:val="1"/>
      <w:marLeft w:val="0"/>
      <w:marRight w:val="0"/>
      <w:marTop w:val="0"/>
      <w:marBottom w:val="0"/>
      <w:divBdr>
        <w:top w:val="none" w:sz="0" w:space="0" w:color="auto"/>
        <w:left w:val="none" w:sz="0" w:space="0" w:color="auto"/>
        <w:bottom w:val="none" w:sz="0" w:space="0" w:color="auto"/>
        <w:right w:val="none" w:sz="0" w:space="0" w:color="auto"/>
      </w:divBdr>
    </w:div>
    <w:div w:id="857893022">
      <w:bodyDiv w:val="1"/>
      <w:marLeft w:val="0"/>
      <w:marRight w:val="0"/>
      <w:marTop w:val="0"/>
      <w:marBottom w:val="0"/>
      <w:divBdr>
        <w:top w:val="none" w:sz="0" w:space="0" w:color="auto"/>
        <w:left w:val="none" w:sz="0" w:space="0" w:color="auto"/>
        <w:bottom w:val="none" w:sz="0" w:space="0" w:color="auto"/>
        <w:right w:val="none" w:sz="0" w:space="0" w:color="auto"/>
      </w:divBdr>
    </w:div>
    <w:div w:id="994183142">
      <w:bodyDiv w:val="1"/>
      <w:marLeft w:val="0"/>
      <w:marRight w:val="0"/>
      <w:marTop w:val="0"/>
      <w:marBottom w:val="0"/>
      <w:divBdr>
        <w:top w:val="none" w:sz="0" w:space="0" w:color="auto"/>
        <w:left w:val="none" w:sz="0" w:space="0" w:color="auto"/>
        <w:bottom w:val="none" w:sz="0" w:space="0" w:color="auto"/>
        <w:right w:val="none" w:sz="0" w:space="0" w:color="auto"/>
      </w:divBdr>
    </w:div>
    <w:div w:id="1075277079">
      <w:bodyDiv w:val="1"/>
      <w:marLeft w:val="0"/>
      <w:marRight w:val="0"/>
      <w:marTop w:val="0"/>
      <w:marBottom w:val="0"/>
      <w:divBdr>
        <w:top w:val="none" w:sz="0" w:space="0" w:color="auto"/>
        <w:left w:val="none" w:sz="0" w:space="0" w:color="auto"/>
        <w:bottom w:val="none" w:sz="0" w:space="0" w:color="auto"/>
        <w:right w:val="none" w:sz="0" w:space="0" w:color="auto"/>
      </w:divBdr>
    </w:div>
    <w:div w:id="1137455761">
      <w:bodyDiv w:val="1"/>
      <w:marLeft w:val="0"/>
      <w:marRight w:val="0"/>
      <w:marTop w:val="0"/>
      <w:marBottom w:val="0"/>
      <w:divBdr>
        <w:top w:val="none" w:sz="0" w:space="0" w:color="auto"/>
        <w:left w:val="none" w:sz="0" w:space="0" w:color="auto"/>
        <w:bottom w:val="none" w:sz="0" w:space="0" w:color="auto"/>
        <w:right w:val="none" w:sz="0" w:space="0" w:color="auto"/>
      </w:divBdr>
    </w:div>
    <w:div w:id="1222716970">
      <w:bodyDiv w:val="1"/>
      <w:marLeft w:val="0"/>
      <w:marRight w:val="0"/>
      <w:marTop w:val="0"/>
      <w:marBottom w:val="0"/>
      <w:divBdr>
        <w:top w:val="none" w:sz="0" w:space="0" w:color="auto"/>
        <w:left w:val="none" w:sz="0" w:space="0" w:color="auto"/>
        <w:bottom w:val="none" w:sz="0" w:space="0" w:color="auto"/>
        <w:right w:val="none" w:sz="0" w:space="0" w:color="auto"/>
      </w:divBdr>
    </w:div>
    <w:div w:id="1296251149">
      <w:bodyDiv w:val="1"/>
      <w:marLeft w:val="0"/>
      <w:marRight w:val="0"/>
      <w:marTop w:val="0"/>
      <w:marBottom w:val="0"/>
      <w:divBdr>
        <w:top w:val="none" w:sz="0" w:space="0" w:color="auto"/>
        <w:left w:val="none" w:sz="0" w:space="0" w:color="auto"/>
        <w:bottom w:val="none" w:sz="0" w:space="0" w:color="auto"/>
        <w:right w:val="none" w:sz="0" w:space="0" w:color="auto"/>
      </w:divBdr>
    </w:div>
    <w:div w:id="1344939312">
      <w:bodyDiv w:val="1"/>
      <w:marLeft w:val="0"/>
      <w:marRight w:val="0"/>
      <w:marTop w:val="0"/>
      <w:marBottom w:val="0"/>
      <w:divBdr>
        <w:top w:val="none" w:sz="0" w:space="0" w:color="auto"/>
        <w:left w:val="none" w:sz="0" w:space="0" w:color="auto"/>
        <w:bottom w:val="none" w:sz="0" w:space="0" w:color="auto"/>
        <w:right w:val="none" w:sz="0" w:space="0" w:color="auto"/>
      </w:divBdr>
    </w:div>
    <w:div w:id="1379428783">
      <w:bodyDiv w:val="1"/>
      <w:marLeft w:val="0"/>
      <w:marRight w:val="0"/>
      <w:marTop w:val="0"/>
      <w:marBottom w:val="0"/>
      <w:divBdr>
        <w:top w:val="none" w:sz="0" w:space="0" w:color="auto"/>
        <w:left w:val="none" w:sz="0" w:space="0" w:color="auto"/>
        <w:bottom w:val="none" w:sz="0" w:space="0" w:color="auto"/>
        <w:right w:val="none" w:sz="0" w:space="0" w:color="auto"/>
      </w:divBdr>
    </w:div>
    <w:div w:id="1524712406">
      <w:bodyDiv w:val="1"/>
      <w:marLeft w:val="0"/>
      <w:marRight w:val="0"/>
      <w:marTop w:val="0"/>
      <w:marBottom w:val="0"/>
      <w:divBdr>
        <w:top w:val="none" w:sz="0" w:space="0" w:color="auto"/>
        <w:left w:val="none" w:sz="0" w:space="0" w:color="auto"/>
        <w:bottom w:val="none" w:sz="0" w:space="0" w:color="auto"/>
        <w:right w:val="none" w:sz="0" w:space="0" w:color="auto"/>
      </w:divBdr>
    </w:div>
    <w:div w:id="1703094877">
      <w:bodyDiv w:val="1"/>
      <w:marLeft w:val="0"/>
      <w:marRight w:val="0"/>
      <w:marTop w:val="0"/>
      <w:marBottom w:val="0"/>
      <w:divBdr>
        <w:top w:val="none" w:sz="0" w:space="0" w:color="auto"/>
        <w:left w:val="none" w:sz="0" w:space="0" w:color="auto"/>
        <w:bottom w:val="none" w:sz="0" w:space="0" w:color="auto"/>
        <w:right w:val="none" w:sz="0" w:space="0" w:color="auto"/>
      </w:divBdr>
    </w:div>
    <w:div w:id="1933126107">
      <w:bodyDiv w:val="1"/>
      <w:marLeft w:val="0"/>
      <w:marRight w:val="0"/>
      <w:marTop w:val="0"/>
      <w:marBottom w:val="0"/>
      <w:divBdr>
        <w:top w:val="none" w:sz="0" w:space="0" w:color="auto"/>
        <w:left w:val="none" w:sz="0" w:space="0" w:color="auto"/>
        <w:bottom w:val="none" w:sz="0" w:space="0" w:color="auto"/>
        <w:right w:val="none" w:sz="0" w:space="0" w:color="auto"/>
      </w:divBdr>
    </w:div>
    <w:div w:id="2020546373">
      <w:bodyDiv w:val="1"/>
      <w:marLeft w:val="0"/>
      <w:marRight w:val="0"/>
      <w:marTop w:val="0"/>
      <w:marBottom w:val="0"/>
      <w:divBdr>
        <w:top w:val="none" w:sz="0" w:space="0" w:color="auto"/>
        <w:left w:val="none" w:sz="0" w:space="0" w:color="auto"/>
        <w:bottom w:val="none" w:sz="0" w:space="0" w:color="auto"/>
        <w:right w:val="none" w:sz="0" w:space="0" w:color="auto"/>
      </w:divBdr>
    </w:div>
    <w:div w:id="20965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vestment@elana.net" TargetMode="External"/><Relationship Id="rId2" Type="http://schemas.openxmlformats.org/officeDocument/2006/relationships/hyperlink" Target="mailto:trading@elana.net" TargetMode="External"/><Relationship Id="rId1" Type="http://schemas.openxmlformats.org/officeDocument/2006/relationships/hyperlink" Target="http://www.elan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8DA8-79C7-4D50-B446-47961FA9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15</Pages>
  <Words>5990</Words>
  <Characters>33315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Изх</vt:lpstr>
    </vt:vector>
  </TitlesOfParts>
  <Company>- ETH0 -</Company>
  <LinksUpToDate>false</LinksUpToDate>
  <CharactersWithSpaces>39227</CharactersWithSpaces>
  <SharedDoc>false</SharedDoc>
  <HLinks>
    <vt:vector size="18" baseType="variant">
      <vt:variant>
        <vt:i4>262191</vt:i4>
      </vt:variant>
      <vt:variant>
        <vt:i4>11</vt:i4>
      </vt:variant>
      <vt:variant>
        <vt:i4>0</vt:i4>
      </vt:variant>
      <vt:variant>
        <vt:i4>5</vt:i4>
      </vt:variant>
      <vt:variant>
        <vt:lpwstr>mailto:investment@elana.net</vt:lpwstr>
      </vt:variant>
      <vt:variant>
        <vt:lpwstr/>
      </vt:variant>
      <vt:variant>
        <vt:i4>393275</vt:i4>
      </vt:variant>
      <vt:variant>
        <vt:i4>8</vt:i4>
      </vt:variant>
      <vt:variant>
        <vt:i4>0</vt:i4>
      </vt:variant>
      <vt:variant>
        <vt:i4>5</vt:i4>
      </vt:variant>
      <vt:variant>
        <vt:lpwstr>mailto:trading@elana.net</vt:lpwstr>
      </vt:variant>
      <vt:variant>
        <vt:lpwstr/>
      </vt:variant>
      <vt:variant>
        <vt:i4>5505049</vt:i4>
      </vt:variant>
      <vt:variant>
        <vt:i4>5</vt:i4>
      </vt:variant>
      <vt:variant>
        <vt:i4>0</vt:i4>
      </vt:variant>
      <vt:variant>
        <vt:i4>5</vt:i4>
      </vt:variant>
      <vt:variant>
        <vt:lpwstr>http://www.elana.net/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subject/>
  <dc:creator>X</dc:creator>
  <cp:keywords/>
  <dc:description/>
  <cp:lastModifiedBy>Miglena Zibilyanova</cp:lastModifiedBy>
  <cp:revision>15</cp:revision>
  <cp:lastPrinted>2019-08-29T06:31:00Z</cp:lastPrinted>
  <dcterms:created xsi:type="dcterms:W3CDTF">2023-02-21T10:48:00Z</dcterms:created>
  <dcterms:modified xsi:type="dcterms:W3CDTF">2023-02-27T11:51:00Z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102328</vt:lpwstr>
  </property>
  <property fmtid="{D5CDD505-2E9C-101B-9397-08002B2CF9AE}" pid="3" name="NXPowerLiteSettings">
    <vt:lpwstr>C74006B004C800</vt:lpwstr>
  </property>
  <property fmtid="{D5CDD505-2E9C-101B-9397-08002B2CF9AE}" pid="4" name="NXPowerLiteVersion">
    <vt:lpwstr>S9.1.2</vt:lpwstr>
  </property>
  <property fmtid="{D5CDD505-2E9C-101B-9397-08002B2CF9AE}" pid="5" name="NXTAG2">
    <vt:lpwstr>00080088000000000000010262610207f74006b004c800</vt:lpwstr>
  </property>
</Properties>
</file>