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3C7C2" w14:textId="77777777" w:rsidR="00B6316D" w:rsidRPr="008C660E" w:rsidRDefault="00B6316D" w:rsidP="00B6316D">
      <w:pPr>
        <w:ind w:left="4111"/>
        <w:rPr>
          <w:rStyle w:val="fontstyle01"/>
          <w:rFonts w:asciiTheme="minorHAnsi" w:hAnsiTheme="minorHAnsi"/>
          <w:sz w:val="24"/>
        </w:rPr>
      </w:pPr>
      <w:r w:rsidRPr="008C660E">
        <w:rPr>
          <w:rStyle w:val="fontstyle01"/>
          <w:rFonts w:asciiTheme="minorHAnsi" w:hAnsiTheme="minorHAnsi"/>
          <w:sz w:val="24"/>
        </w:rPr>
        <w:t>ДО</w:t>
      </w:r>
    </w:p>
    <w:p w14:paraId="2FC34D0C" w14:textId="77777777" w:rsidR="00B6316D" w:rsidRPr="008C660E" w:rsidRDefault="00B6316D" w:rsidP="00B6316D">
      <w:pPr>
        <w:ind w:left="4111"/>
        <w:rPr>
          <w:rStyle w:val="fontstyle01"/>
          <w:rFonts w:asciiTheme="minorHAnsi" w:hAnsiTheme="minorHAnsi"/>
          <w:sz w:val="24"/>
        </w:rPr>
      </w:pPr>
      <w:r w:rsidRPr="008C660E">
        <w:rPr>
          <w:rStyle w:val="fontstyle01"/>
          <w:rFonts w:asciiTheme="minorHAnsi" w:hAnsiTheme="minorHAnsi"/>
          <w:sz w:val="24"/>
        </w:rPr>
        <w:t>ОБЛИГАЦИОНЕРИТЕ</w:t>
      </w:r>
    </w:p>
    <w:p w14:paraId="726F8AAA" w14:textId="77777777" w:rsidR="00B6316D" w:rsidRPr="008C660E" w:rsidRDefault="00B6316D" w:rsidP="00B6316D">
      <w:pPr>
        <w:ind w:left="4111"/>
        <w:rPr>
          <w:rStyle w:val="fontstyle01"/>
          <w:rFonts w:asciiTheme="minorHAnsi" w:hAnsiTheme="minorHAnsi"/>
          <w:sz w:val="24"/>
        </w:rPr>
      </w:pPr>
      <w:r w:rsidRPr="008C660E">
        <w:rPr>
          <w:rStyle w:val="fontstyle01"/>
          <w:rFonts w:asciiTheme="minorHAnsi" w:hAnsiTheme="minorHAnsi"/>
          <w:sz w:val="24"/>
        </w:rPr>
        <w:t>ПО ОБЛИГАЦИОННА ЕМИСИЯ</w:t>
      </w:r>
    </w:p>
    <w:p w14:paraId="3C279CA3" w14:textId="77777777" w:rsidR="00B6316D" w:rsidRPr="0087291E" w:rsidRDefault="00B6316D" w:rsidP="00B6316D">
      <w:pPr>
        <w:ind w:left="4111"/>
        <w:rPr>
          <w:rStyle w:val="fontstyle01"/>
          <w:rFonts w:asciiTheme="minorHAnsi" w:hAnsiTheme="minorHAnsi"/>
          <w:sz w:val="24"/>
          <w:lang w:val="en-US"/>
        </w:rPr>
      </w:pPr>
      <w:r w:rsidRPr="008C660E">
        <w:rPr>
          <w:rStyle w:val="fontstyle01"/>
          <w:rFonts w:asciiTheme="minorHAnsi" w:hAnsiTheme="minorHAnsi"/>
          <w:sz w:val="24"/>
        </w:rPr>
        <w:t xml:space="preserve">С ISIN КОД: </w:t>
      </w:r>
      <w:r w:rsidR="0087291E">
        <w:rPr>
          <w:rStyle w:val="fontstyle01"/>
          <w:rFonts w:asciiTheme="minorHAnsi" w:hAnsiTheme="minorHAnsi"/>
          <w:sz w:val="24"/>
          <w:lang w:val="en-US"/>
        </w:rPr>
        <w:t>BG2100017198</w:t>
      </w:r>
    </w:p>
    <w:p w14:paraId="56B0DCE0" w14:textId="77777777" w:rsidR="00B6316D" w:rsidRDefault="00B6316D" w:rsidP="00B6316D">
      <w:pPr>
        <w:ind w:left="4111"/>
        <w:rPr>
          <w:rStyle w:val="fontstyle01"/>
          <w:rFonts w:asciiTheme="minorHAnsi" w:hAnsiTheme="minorHAnsi"/>
          <w:sz w:val="24"/>
        </w:rPr>
      </w:pPr>
      <w:r w:rsidRPr="008C660E">
        <w:rPr>
          <w:rStyle w:val="fontstyle01"/>
          <w:rFonts w:asciiTheme="minorHAnsi" w:hAnsiTheme="minorHAnsi"/>
          <w:sz w:val="24"/>
        </w:rPr>
        <w:t>ЕМИТИРАНА ОТ „</w:t>
      </w:r>
      <w:r w:rsidR="0087291E">
        <w:rPr>
          <w:rStyle w:val="fontstyle01"/>
          <w:rFonts w:asciiTheme="minorHAnsi" w:hAnsiTheme="minorHAnsi"/>
          <w:sz w:val="24"/>
        </w:rPr>
        <w:t>АЙ ТИ ЕФ ГРУП</w:t>
      </w:r>
      <w:r w:rsidRPr="008C660E">
        <w:rPr>
          <w:rStyle w:val="fontstyle01"/>
          <w:rFonts w:asciiTheme="minorHAnsi" w:hAnsiTheme="minorHAnsi"/>
          <w:sz w:val="24"/>
        </w:rPr>
        <w:t>“ АД</w:t>
      </w:r>
    </w:p>
    <w:p w14:paraId="5A165809" w14:textId="77777777" w:rsidR="0087291E" w:rsidRDefault="0087291E" w:rsidP="00B6316D">
      <w:pPr>
        <w:ind w:left="4111"/>
        <w:rPr>
          <w:rStyle w:val="fontstyle01"/>
          <w:rFonts w:asciiTheme="minorHAnsi" w:hAnsiTheme="minorHAnsi"/>
          <w:sz w:val="24"/>
        </w:rPr>
      </w:pPr>
    </w:p>
    <w:p w14:paraId="263C493B" w14:textId="77777777" w:rsidR="0087291E" w:rsidRDefault="0087291E" w:rsidP="00B6316D">
      <w:pPr>
        <w:ind w:left="4111"/>
        <w:rPr>
          <w:rStyle w:val="fontstyle01"/>
          <w:rFonts w:asciiTheme="minorHAnsi" w:hAnsiTheme="minorHAnsi"/>
          <w:sz w:val="24"/>
        </w:rPr>
      </w:pPr>
      <w:r>
        <w:rPr>
          <w:rStyle w:val="fontstyle01"/>
          <w:rFonts w:asciiTheme="minorHAnsi" w:hAnsiTheme="minorHAnsi"/>
          <w:sz w:val="24"/>
        </w:rPr>
        <w:t>ДО</w:t>
      </w:r>
    </w:p>
    <w:p w14:paraId="71D22EDA" w14:textId="77777777" w:rsidR="0087291E" w:rsidRDefault="0087291E" w:rsidP="00B6316D">
      <w:pPr>
        <w:ind w:left="4111"/>
        <w:rPr>
          <w:rStyle w:val="fontstyle01"/>
          <w:rFonts w:asciiTheme="minorHAnsi" w:hAnsiTheme="minorHAnsi"/>
          <w:sz w:val="24"/>
        </w:rPr>
      </w:pPr>
      <w:r>
        <w:rPr>
          <w:rStyle w:val="fontstyle01"/>
          <w:rFonts w:asciiTheme="minorHAnsi" w:hAnsiTheme="minorHAnsi"/>
          <w:sz w:val="24"/>
        </w:rPr>
        <w:t>ЗАМЕСТНИК-ПРЕДСЕДАТЕЛЯ,</w:t>
      </w:r>
    </w:p>
    <w:p w14:paraId="275C59E8" w14:textId="77777777" w:rsidR="0087291E" w:rsidRDefault="0087291E" w:rsidP="00B6316D">
      <w:pPr>
        <w:ind w:left="4111"/>
        <w:rPr>
          <w:rStyle w:val="fontstyle01"/>
          <w:rFonts w:asciiTheme="minorHAnsi" w:hAnsiTheme="minorHAnsi"/>
          <w:sz w:val="24"/>
        </w:rPr>
      </w:pPr>
      <w:r>
        <w:rPr>
          <w:rStyle w:val="fontstyle01"/>
          <w:rFonts w:asciiTheme="minorHAnsi" w:hAnsiTheme="minorHAnsi"/>
          <w:sz w:val="24"/>
        </w:rPr>
        <w:t>РЪКОВОДЕЩ УПРАВЛЕНИЕ</w:t>
      </w:r>
    </w:p>
    <w:p w14:paraId="1CF1E4BD" w14:textId="77777777" w:rsidR="0087291E" w:rsidRDefault="0087291E" w:rsidP="00B6316D">
      <w:pPr>
        <w:ind w:left="4111"/>
        <w:rPr>
          <w:rStyle w:val="fontstyle01"/>
          <w:rFonts w:asciiTheme="minorHAnsi" w:hAnsiTheme="minorHAnsi"/>
          <w:sz w:val="24"/>
        </w:rPr>
      </w:pPr>
      <w:r>
        <w:rPr>
          <w:rStyle w:val="fontstyle01"/>
          <w:rFonts w:asciiTheme="minorHAnsi" w:hAnsiTheme="minorHAnsi"/>
          <w:sz w:val="24"/>
        </w:rPr>
        <w:t>НАДЗОР НА ИНВЕСТИЦИОННА ДЕ</w:t>
      </w:r>
      <w:r w:rsidR="0019614A">
        <w:rPr>
          <w:rStyle w:val="fontstyle01"/>
          <w:rFonts w:asciiTheme="minorHAnsi" w:hAnsiTheme="minorHAnsi"/>
          <w:sz w:val="24"/>
        </w:rPr>
        <w:t>Й</w:t>
      </w:r>
      <w:r>
        <w:rPr>
          <w:rStyle w:val="fontstyle01"/>
          <w:rFonts w:asciiTheme="minorHAnsi" w:hAnsiTheme="minorHAnsi"/>
          <w:sz w:val="24"/>
        </w:rPr>
        <w:t xml:space="preserve">НОСТ НА </w:t>
      </w:r>
    </w:p>
    <w:p w14:paraId="06E0D6C5" w14:textId="77777777" w:rsidR="0087291E" w:rsidRDefault="0087291E" w:rsidP="00B6316D">
      <w:pPr>
        <w:ind w:left="4111"/>
        <w:rPr>
          <w:rStyle w:val="fontstyle01"/>
          <w:rFonts w:asciiTheme="minorHAnsi" w:hAnsiTheme="minorHAnsi"/>
          <w:sz w:val="24"/>
        </w:rPr>
      </w:pPr>
      <w:r>
        <w:rPr>
          <w:rStyle w:val="fontstyle01"/>
          <w:rFonts w:asciiTheme="minorHAnsi" w:hAnsiTheme="minorHAnsi"/>
          <w:sz w:val="24"/>
        </w:rPr>
        <w:t>КОМИСИЯТА ЗА ФИНАНСОВ НАДЗОР</w:t>
      </w:r>
    </w:p>
    <w:p w14:paraId="7A9BE834" w14:textId="77777777" w:rsidR="0087291E" w:rsidRDefault="0087291E" w:rsidP="00B6316D">
      <w:pPr>
        <w:ind w:left="4111"/>
        <w:rPr>
          <w:rStyle w:val="fontstyle01"/>
          <w:rFonts w:asciiTheme="minorHAnsi" w:hAnsiTheme="minorHAnsi"/>
          <w:sz w:val="24"/>
        </w:rPr>
      </w:pPr>
    </w:p>
    <w:p w14:paraId="4A280C46" w14:textId="77777777" w:rsidR="0087291E" w:rsidRDefault="0087291E" w:rsidP="00B6316D">
      <w:pPr>
        <w:ind w:left="4111"/>
        <w:rPr>
          <w:rStyle w:val="fontstyle01"/>
          <w:rFonts w:asciiTheme="minorHAnsi" w:hAnsiTheme="minorHAnsi"/>
          <w:sz w:val="24"/>
        </w:rPr>
      </w:pPr>
      <w:r>
        <w:rPr>
          <w:rStyle w:val="fontstyle01"/>
          <w:rFonts w:asciiTheme="minorHAnsi" w:hAnsiTheme="minorHAnsi"/>
          <w:sz w:val="24"/>
        </w:rPr>
        <w:t xml:space="preserve">ДО </w:t>
      </w:r>
    </w:p>
    <w:p w14:paraId="7D6BBD28" w14:textId="77777777" w:rsidR="0087291E" w:rsidRDefault="0087291E" w:rsidP="00B6316D">
      <w:pPr>
        <w:ind w:left="4111"/>
        <w:rPr>
          <w:rStyle w:val="fontstyle01"/>
          <w:rFonts w:asciiTheme="minorHAnsi" w:hAnsiTheme="minorHAnsi"/>
          <w:sz w:val="24"/>
        </w:rPr>
      </w:pPr>
      <w:r>
        <w:rPr>
          <w:rStyle w:val="fontstyle01"/>
          <w:rFonts w:asciiTheme="minorHAnsi" w:hAnsiTheme="minorHAnsi"/>
          <w:sz w:val="24"/>
        </w:rPr>
        <w:t>СЪВЕТА НА ДИРЕКТОРИТЕ НА</w:t>
      </w:r>
    </w:p>
    <w:p w14:paraId="29449EAB" w14:textId="77777777" w:rsidR="0087291E" w:rsidRPr="008C660E" w:rsidRDefault="0087291E" w:rsidP="00B6316D">
      <w:pPr>
        <w:ind w:left="4111"/>
        <w:rPr>
          <w:rStyle w:val="fontstyle01"/>
          <w:rFonts w:asciiTheme="minorHAnsi" w:hAnsiTheme="minorHAnsi"/>
          <w:sz w:val="24"/>
        </w:rPr>
      </w:pPr>
      <w:r>
        <w:rPr>
          <w:rStyle w:val="fontstyle01"/>
          <w:rFonts w:asciiTheme="minorHAnsi" w:hAnsiTheme="minorHAnsi"/>
          <w:sz w:val="24"/>
        </w:rPr>
        <w:t>БЪЛГАРСКА ФОНДОВА БОРСА АД</w:t>
      </w:r>
    </w:p>
    <w:p w14:paraId="4887D8C4" w14:textId="77777777" w:rsidR="00B6316D" w:rsidRPr="008C660E" w:rsidRDefault="00B6316D" w:rsidP="00B6316D">
      <w:pPr>
        <w:rPr>
          <w:rStyle w:val="fontstyle01"/>
          <w:rFonts w:asciiTheme="minorHAnsi" w:hAnsiTheme="minorHAnsi"/>
          <w:b w:val="0"/>
          <w:sz w:val="32"/>
        </w:rPr>
      </w:pPr>
    </w:p>
    <w:p w14:paraId="1E93BE75" w14:textId="77777777" w:rsidR="00386960" w:rsidRPr="008C660E" w:rsidRDefault="00386960" w:rsidP="00B6316D">
      <w:pPr>
        <w:rPr>
          <w:rStyle w:val="fontstyle01"/>
          <w:rFonts w:asciiTheme="minorHAnsi" w:hAnsiTheme="minorHAnsi"/>
          <w:b w:val="0"/>
          <w:sz w:val="32"/>
        </w:rPr>
      </w:pPr>
    </w:p>
    <w:p w14:paraId="24FE4D85" w14:textId="77777777" w:rsidR="00B6316D" w:rsidRPr="009061E4" w:rsidRDefault="00B6316D" w:rsidP="00B6316D">
      <w:pPr>
        <w:spacing w:line="276" w:lineRule="auto"/>
        <w:ind w:left="1276" w:hanging="1276"/>
        <w:rPr>
          <w:rStyle w:val="fontstyle01"/>
          <w:rFonts w:asciiTheme="minorHAnsi" w:hAnsiTheme="minorHAnsi"/>
          <w:b w:val="0"/>
          <w:sz w:val="32"/>
        </w:rPr>
      </w:pPr>
      <w:r w:rsidRPr="000D58EF">
        <w:rPr>
          <w:rStyle w:val="fontstyle01"/>
          <w:rFonts w:asciiTheme="minorHAnsi" w:hAnsiTheme="minorHAnsi"/>
          <w:sz w:val="28"/>
        </w:rPr>
        <w:t xml:space="preserve">Относно: </w:t>
      </w:r>
      <w:r w:rsidR="009061E4">
        <w:rPr>
          <w:rStyle w:val="fontstyle01"/>
          <w:rFonts w:asciiTheme="minorHAnsi" w:hAnsiTheme="minorHAnsi"/>
          <w:sz w:val="28"/>
        </w:rPr>
        <w:tab/>
      </w:r>
      <w:r w:rsidR="00A87477" w:rsidRPr="009061E4">
        <w:rPr>
          <w:rStyle w:val="fontstyle01"/>
          <w:rFonts w:asciiTheme="minorHAnsi" w:hAnsiTheme="minorHAnsi"/>
          <w:b w:val="0"/>
          <w:sz w:val="24"/>
        </w:rPr>
        <w:t>Доклад по чл. 100ж, ал. 1, т. 3 от Закона за публичното предлагане на ценни книжа, съставен от „Елана трейдинг“ АД в качеството на Довереник на облигационерите</w:t>
      </w:r>
    </w:p>
    <w:p w14:paraId="4AF0B7F0" w14:textId="77777777" w:rsidR="00386960" w:rsidRDefault="00386960" w:rsidP="00B6316D">
      <w:pPr>
        <w:rPr>
          <w:rStyle w:val="fontstyle01"/>
          <w:rFonts w:asciiTheme="minorHAnsi" w:hAnsiTheme="minorHAnsi"/>
          <w:sz w:val="24"/>
        </w:rPr>
      </w:pPr>
    </w:p>
    <w:p w14:paraId="0FCD5D1D" w14:textId="77777777" w:rsidR="00A87477" w:rsidRPr="008C660E" w:rsidRDefault="00A87477" w:rsidP="00B6316D">
      <w:pPr>
        <w:rPr>
          <w:rStyle w:val="fontstyle01"/>
          <w:rFonts w:asciiTheme="minorHAnsi" w:hAnsiTheme="minorHAnsi"/>
          <w:sz w:val="24"/>
        </w:rPr>
      </w:pPr>
    </w:p>
    <w:p w14:paraId="5479DCBA" w14:textId="77777777" w:rsidR="00B6316D" w:rsidRPr="008C660E" w:rsidRDefault="00386960" w:rsidP="00B6316D">
      <w:pPr>
        <w:rPr>
          <w:rStyle w:val="fontstyle01"/>
          <w:rFonts w:asciiTheme="minorHAnsi" w:hAnsiTheme="minorHAnsi"/>
          <w:sz w:val="24"/>
        </w:rPr>
      </w:pPr>
      <w:r w:rsidRPr="008C660E">
        <w:rPr>
          <w:rStyle w:val="fontstyle01"/>
          <w:rFonts w:asciiTheme="minorHAnsi" w:hAnsiTheme="minorHAnsi"/>
          <w:sz w:val="24"/>
        </w:rPr>
        <w:t>УВАЖАЕМИ ДАМИ И ГОСПОДА</w:t>
      </w:r>
      <w:r w:rsidR="00B6316D" w:rsidRPr="008C660E">
        <w:rPr>
          <w:rStyle w:val="fontstyle01"/>
          <w:rFonts w:asciiTheme="minorHAnsi" w:hAnsiTheme="minorHAnsi"/>
          <w:sz w:val="24"/>
        </w:rPr>
        <w:t>,</w:t>
      </w:r>
    </w:p>
    <w:p w14:paraId="6215B870" w14:textId="77777777" w:rsidR="00B6316D" w:rsidRPr="008C660E" w:rsidRDefault="00B6316D" w:rsidP="00B6316D">
      <w:pPr>
        <w:rPr>
          <w:rStyle w:val="fontstyle01"/>
          <w:rFonts w:asciiTheme="minorHAnsi" w:hAnsiTheme="minorHAnsi"/>
          <w:b w:val="0"/>
          <w:sz w:val="32"/>
        </w:rPr>
      </w:pPr>
    </w:p>
    <w:p w14:paraId="76519DF7" w14:textId="77777777" w:rsidR="00B6316D" w:rsidRPr="008C660E" w:rsidRDefault="00B6316D" w:rsidP="00F1164E">
      <w:pPr>
        <w:jc w:val="both"/>
        <w:rPr>
          <w:rStyle w:val="fontstyle01"/>
          <w:rFonts w:asciiTheme="minorHAnsi" w:hAnsiTheme="minorHAnsi"/>
          <w:b w:val="0"/>
          <w:sz w:val="24"/>
        </w:rPr>
      </w:pPr>
      <w:r w:rsidRPr="008C660E">
        <w:rPr>
          <w:rStyle w:val="fontstyle01"/>
          <w:rFonts w:asciiTheme="minorHAnsi" w:hAnsiTheme="minorHAnsi"/>
          <w:b w:val="0"/>
          <w:sz w:val="24"/>
        </w:rPr>
        <w:t>В качеството си на Довереник на облигационерите по емисия корпоративни облигации, издадена от „</w:t>
      </w:r>
      <w:r w:rsidR="006635DD">
        <w:rPr>
          <w:rStyle w:val="fontstyle01"/>
          <w:rFonts w:asciiTheme="minorHAnsi" w:hAnsiTheme="minorHAnsi"/>
          <w:b w:val="0"/>
          <w:sz w:val="24"/>
        </w:rPr>
        <w:t>Ай Ти Еф Груп</w:t>
      </w:r>
      <w:r w:rsidRPr="008C660E">
        <w:rPr>
          <w:rStyle w:val="fontstyle01"/>
          <w:rFonts w:asciiTheme="minorHAnsi" w:hAnsiTheme="minorHAnsi"/>
          <w:b w:val="0"/>
          <w:sz w:val="24"/>
        </w:rPr>
        <w:t>“ АД</w:t>
      </w:r>
      <w:r w:rsidR="00A87477">
        <w:rPr>
          <w:rStyle w:val="fontstyle01"/>
          <w:rFonts w:asciiTheme="minorHAnsi" w:hAnsiTheme="minorHAnsi"/>
          <w:b w:val="0"/>
          <w:sz w:val="24"/>
        </w:rPr>
        <w:t xml:space="preserve"> (</w:t>
      </w:r>
      <w:r w:rsidR="00A87477">
        <w:rPr>
          <w:rStyle w:val="fontstyle01"/>
          <w:rFonts w:asciiTheme="minorHAnsi" w:hAnsiTheme="minorHAnsi"/>
          <w:b w:val="0"/>
          <w:sz w:val="24"/>
          <w:lang w:val="en-US"/>
        </w:rPr>
        <w:t>ISIN</w:t>
      </w:r>
      <w:r w:rsidR="00A87477" w:rsidRPr="000F6BE3">
        <w:rPr>
          <w:rStyle w:val="fontstyle01"/>
          <w:rFonts w:asciiTheme="minorHAnsi" w:hAnsiTheme="minorHAnsi"/>
          <w:b w:val="0"/>
          <w:sz w:val="24"/>
        </w:rPr>
        <w:t xml:space="preserve"> </w:t>
      </w:r>
      <w:r w:rsidR="00DD1B33">
        <w:rPr>
          <w:rStyle w:val="fontstyle01"/>
          <w:rFonts w:asciiTheme="minorHAnsi" w:hAnsiTheme="minorHAnsi"/>
          <w:b w:val="0"/>
          <w:sz w:val="24"/>
          <w:lang w:val="en-US"/>
        </w:rPr>
        <w:t>BG</w:t>
      </w:r>
      <w:r w:rsidR="00A87477">
        <w:rPr>
          <w:rStyle w:val="fontstyle01"/>
          <w:rFonts w:asciiTheme="minorHAnsi" w:hAnsiTheme="minorHAnsi"/>
          <w:b w:val="0"/>
          <w:sz w:val="24"/>
        </w:rPr>
        <w:t xml:space="preserve"> 21000171</w:t>
      </w:r>
      <w:r w:rsidR="00B80C16">
        <w:rPr>
          <w:rStyle w:val="fontstyle01"/>
          <w:rFonts w:asciiTheme="minorHAnsi" w:hAnsiTheme="minorHAnsi"/>
          <w:b w:val="0"/>
          <w:sz w:val="24"/>
        </w:rPr>
        <w:t>9</w:t>
      </w:r>
      <w:r w:rsidR="00A87477">
        <w:rPr>
          <w:rStyle w:val="fontstyle01"/>
          <w:rFonts w:asciiTheme="minorHAnsi" w:hAnsiTheme="minorHAnsi"/>
          <w:b w:val="0"/>
          <w:sz w:val="24"/>
        </w:rPr>
        <w:t xml:space="preserve">8, Борсов код </w:t>
      </w:r>
      <w:r w:rsidR="00A87477">
        <w:rPr>
          <w:rStyle w:val="fontstyle01"/>
          <w:rFonts w:asciiTheme="minorHAnsi" w:hAnsiTheme="minorHAnsi"/>
          <w:b w:val="0"/>
          <w:sz w:val="24"/>
          <w:lang w:val="en-US"/>
        </w:rPr>
        <w:t>ITFA</w:t>
      </w:r>
      <w:r w:rsidR="00A87477" w:rsidRPr="000F6BE3">
        <w:rPr>
          <w:rStyle w:val="fontstyle01"/>
          <w:rFonts w:asciiTheme="minorHAnsi" w:hAnsiTheme="minorHAnsi"/>
          <w:b w:val="0"/>
          <w:sz w:val="24"/>
        </w:rPr>
        <w:t>)</w:t>
      </w:r>
      <w:r w:rsidRPr="008C660E">
        <w:rPr>
          <w:rStyle w:val="fontstyle01"/>
          <w:rFonts w:asciiTheme="minorHAnsi" w:hAnsiTheme="minorHAnsi"/>
          <w:b w:val="0"/>
          <w:sz w:val="24"/>
        </w:rPr>
        <w:t xml:space="preserve">, </w:t>
      </w:r>
      <w:r w:rsidR="00386960" w:rsidRPr="008C660E">
        <w:rPr>
          <w:rStyle w:val="fontstyle01"/>
          <w:rFonts w:asciiTheme="minorHAnsi" w:hAnsiTheme="minorHAnsi"/>
          <w:b w:val="0"/>
          <w:sz w:val="24"/>
        </w:rPr>
        <w:t xml:space="preserve">ИП „Елана Трейдинг“ </w:t>
      </w:r>
      <w:r w:rsidRPr="008C660E">
        <w:rPr>
          <w:rStyle w:val="fontstyle01"/>
          <w:rFonts w:asciiTheme="minorHAnsi" w:hAnsiTheme="minorHAnsi"/>
          <w:b w:val="0"/>
          <w:sz w:val="24"/>
        </w:rPr>
        <w:t xml:space="preserve">представя на Вашето внимание </w:t>
      </w:r>
      <w:r w:rsidR="00386960" w:rsidRPr="008C660E">
        <w:rPr>
          <w:rStyle w:val="fontstyle01"/>
          <w:rFonts w:asciiTheme="minorHAnsi" w:hAnsiTheme="minorHAnsi"/>
          <w:b w:val="0"/>
          <w:sz w:val="24"/>
        </w:rPr>
        <w:t>Д</w:t>
      </w:r>
      <w:r w:rsidR="00A87477">
        <w:rPr>
          <w:rStyle w:val="fontstyle01"/>
          <w:rFonts w:asciiTheme="minorHAnsi" w:hAnsiTheme="minorHAnsi"/>
          <w:b w:val="0"/>
          <w:sz w:val="24"/>
        </w:rPr>
        <w:t>оклад по чл. 100ж, ал. 1, т. 3 от Закона за публичното предлагане</w:t>
      </w:r>
      <w:r w:rsidR="0019614A">
        <w:rPr>
          <w:rStyle w:val="fontstyle01"/>
          <w:rFonts w:asciiTheme="minorHAnsi" w:hAnsiTheme="minorHAnsi"/>
          <w:b w:val="0"/>
          <w:sz w:val="24"/>
        </w:rPr>
        <w:t xml:space="preserve"> на ценни книжа</w:t>
      </w:r>
      <w:r w:rsidR="00A87477">
        <w:rPr>
          <w:rStyle w:val="fontstyle01"/>
          <w:rFonts w:asciiTheme="minorHAnsi" w:hAnsiTheme="minorHAnsi"/>
          <w:b w:val="0"/>
          <w:sz w:val="24"/>
        </w:rPr>
        <w:t>.</w:t>
      </w:r>
    </w:p>
    <w:p w14:paraId="3426018B" w14:textId="25D7654C" w:rsidR="00B6316D" w:rsidRPr="008C660E" w:rsidRDefault="007E16BD" w:rsidP="00B6316D">
      <w:pPr>
        <w:rPr>
          <w:rStyle w:val="fontstyle01"/>
          <w:rFonts w:asciiTheme="minorHAnsi" w:hAnsiTheme="minorHAnsi"/>
          <w:b w:val="0"/>
          <w:sz w:val="32"/>
        </w:rPr>
      </w:pPr>
      <w:r>
        <w:rPr>
          <w:rFonts w:asciiTheme="minorHAnsi" w:hAnsiTheme="minorHAnsi"/>
          <w:bCs/>
          <w:noProof/>
          <w:color w:val="000000"/>
          <w:szCs w:val="36"/>
        </w:rPr>
        <w:drawing>
          <wp:anchor distT="0" distB="0" distL="114300" distR="114300" simplePos="0" relativeHeight="251658240" behindDoc="1" locked="0" layoutInCell="1" allowOverlap="1" wp14:anchorId="02E7A480" wp14:editId="7BBD5087">
            <wp:simplePos x="0" y="0"/>
            <wp:positionH relativeFrom="column">
              <wp:posOffset>3608070</wp:posOffset>
            </wp:positionH>
            <wp:positionV relativeFrom="paragraph">
              <wp:posOffset>153670</wp:posOffset>
            </wp:positionV>
            <wp:extent cx="1725930" cy="118173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930" cy="1181735"/>
                    </a:xfrm>
                    <a:prstGeom prst="rect">
                      <a:avLst/>
                    </a:prstGeom>
                  </pic:spPr>
                </pic:pic>
              </a:graphicData>
            </a:graphic>
            <wp14:sizeRelH relativeFrom="page">
              <wp14:pctWidth>0</wp14:pctWidth>
            </wp14:sizeRelH>
            <wp14:sizeRelV relativeFrom="page">
              <wp14:pctHeight>0</wp14:pctHeight>
            </wp14:sizeRelV>
          </wp:anchor>
        </w:drawing>
      </w:r>
    </w:p>
    <w:p w14:paraId="3116123B" w14:textId="52230DDB" w:rsidR="00B6316D" w:rsidRPr="008C660E" w:rsidRDefault="00B6316D" w:rsidP="00B6316D">
      <w:pPr>
        <w:rPr>
          <w:rStyle w:val="fontstyle01"/>
          <w:rFonts w:asciiTheme="minorHAnsi" w:hAnsiTheme="minorHAnsi"/>
          <w:b w:val="0"/>
          <w:sz w:val="32"/>
        </w:rPr>
      </w:pPr>
    </w:p>
    <w:p w14:paraId="36C62804" w14:textId="73B277F0" w:rsidR="00B6316D" w:rsidRPr="009061E4" w:rsidRDefault="00B6316D" w:rsidP="00B6316D">
      <w:pPr>
        <w:spacing w:line="276" w:lineRule="auto"/>
        <w:rPr>
          <w:rStyle w:val="fontstyle01"/>
          <w:rFonts w:asciiTheme="minorHAnsi" w:hAnsiTheme="minorHAnsi"/>
          <w:b w:val="0"/>
          <w:sz w:val="24"/>
        </w:rPr>
      </w:pPr>
      <w:r w:rsidRPr="008C660E">
        <w:rPr>
          <w:rStyle w:val="fontstyle01"/>
          <w:rFonts w:asciiTheme="minorHAnsi" w:hAnsiTheme="minorHAnsi"/>
          <w:sz w:val="24"/>
        </w:rPr>
        <w:tab/>
      </w:r>
      <w:r w:rsidR="007E16BD" w:rsidRPr="007E16BD">
        <w:rPr>
          <w:rStyle w:val="fontstyle01"/>
          <w:rFonts w:asciiTheme="minorHAnsi" w:hAnsiTheme="minorHAnsi"/>
          <w:b w:val="0"/>
          <w:sz w:val="24"/>
          <w:lang w:val="en-US"/>
        </w:rPr>
        <w:t>2</w:t>
      </w:r>
      <w:r w:rsidR="00D209B8">
        <w:rPr>
          <w:rStyle w:val="fontstyle01"/>
          <w:rFonts w:asciiTheme="minorHAnsi" w:hAnsiTheme="minorHAnsi"/>
          <w:b w:val="0"/>
          <w:sz w:val="24"/>
        </w:rPr>
        <w:t>7</w:t>
      </w:r>
      <w:r w:rsidRPr="007E16BD">
        <w:rPr>
          <w:rStyle w:val="fontstyle01"/>
          <w:rFonts w:asciiTheme="minorHAnsi" w:hAnsiTheme="minorHAnsi"/>
          <w:b w:val="0"/>
          <w:sz w:val="24"/>
        </w:rPr>
        <w:t>.</w:t>
      </w:r>
      <w:r w:rsidR="00A87477" w:rsidRPr="007E16BD">
        <w:rPr>
          <w:rStyle w:val="fontstyle01"/>
          <w:rFonts w:asciiTheme="minorHAnsi" w:hAnsiTheme="minorHAnsi"/>
          <w:b w:val="0"/>
          <w:sz w:val="24"/>
        </w:rPr>
        <w:t>08</w:t>
      </w:r>
      <w:r w:rsidRPr="007E16BD">
        <w:rPr>
          <w:rStyle w:val="fontstyle01"/>
          <w:rFonts w:asciiTheme="minorHAnsi" w:hAnsiTheme="minorHAnsi"/>
          <w:b w:val="0"/>
          <w:sz w:val="24"/>
        </w:rPr>
        <w:t>.20</w:t>
      </w:r>
      <w:r w:rsidR="00E86D90" w:rsidRPr="007E16BD">
        <w:rPr>
          <w:rStyle w:val="fontstyle01"/>
          <w:rFonts w:asciiTheme="minorHAnsi" w:hAnsiTheme="minorHAnsi"/>
          <w:b w:val="0"/>
          <w:sz w:val="24"/>
        </w:rPr>
        <w:t>2</w:t>
      </w:r>
      <w:r w:rsidR="007E16BD" w:rsidRPr="007E16BD">
        <w:rPr>
          <w:rStyle w:val="fontstyle01"/>
          <w:rFonts w:asciiTheme="minorHAnsi" w:hAnsiTheme="minorHAnsi"/>
          <w:b w:val="0"/>
          <w:sz w:val="24"/>
          <w:lang w:val="en-US"/>
        </w:rPr>
        <w:t>1</w:t>
      </w:r>
      <w:r w:rsidRPr="007E16BD">
        <w:rPr>
          <w:rStyle w:val="fontstyle01"/>
          <w:rFonts w:asciiTheme="minorHAnsi" w:hAnsiTheme="minorHAnsi"/>
          <w:b w:val="0"/>
          <w:sz w:val="24"/>
        </w:rPr>
        <w:t xml:space="preserve"> г.</w:t>
      </w:r>
      <w:r w:rsidRPr="007E16BD">
        <w:rPr>
          <w:rStyle w:val="fontstyle01"/>
          <w:rFonts w:asciiTheme="minorHAnsi" w:hAnsiTheme="minorHAnsi"/>
          <w:b w:val="0"/>
          <w:sz w:val="24"/>
        </w:rPr>
        <w:tab/>
      </w:r>
      <w:r w:rsidRPr="007E16BD">
        <w:rPr>
          <w:rStyle w:val="fontstyle01"/>
          <w:rFonts w:asciiTheme="minorHAnsi" w:hAnsiTheme="minorHAnsi"/>
          <w:b w:val="0"/>
          <w:sz w:val="24"/>
        </w:rPr>
        <w:tab/>
      </w:r>
      <w:r w:rsidRPr="007E16BD">
        <w:rPr>
          <w:rStyle w:val="fontstyle01"/>
          <w:rFonts w:asciiTheme="minorHAnsi" w:hAnsiTheme="minorHAnsi"/>
          <w:b w:val="0"/>
          <w:sz w:val="24"/>
        </w:rPr>
        <w:tab/>
      </w:r>
      <w:r w:rsidRPr="007E16BD">
        <w:rPr>
          <w:rStyle w:val="fontstyle01"/>
          <w:rFonts w:asciiTheme="minorHAnsi" w:hAnsiTheme="minorHAnsi"/>
          <w:b w:val="0"/>
          <w:sz w:val="24"/>
        </w:rPr>
        <w:tab/>
      </w:r>
      <w:r w:rsidRPr="007E16BD">
        <w:rPr>
          <w:rStyle w:val="fontstyle01"/>
          <w:rFonts w:asciiTheme="minorHAnsi" w:hAnsiTheme="minorHAnsi"/>
          <w:b w:val="0"/>
          <w:sz w:val="24"/>
        </w:rPr>
        <w:tab/>
        <w:t>С уважение:</w:t>
      </w:r>
    </w:p>
    <w:p w14:paraId="6AF9FF56" w14:textId="2B0818DC" w:rsidR="00301290" w:rsidRPr="008C660E" w:rsidRDefault="00B6316D" w:rsidP="00B6316D">
      <w:pPr>
        <w:spacing w:line="276" w:lineRule="auto"/>
        <w:rPr>
          <w:rStyle w:val="fontstyle01"/>
          <w:rFonts w:asciiTheme="minorHAnsi" w:hAnsiTheme="minorHAnsi"/>
          <w:sz w:val="24"/>
        </w:rPr>
      </w:pPr>
      <w:r w:rsidRPr="009061E4">
        <w:rPr>
          <w:rStyle w:val="fontstyle01"/>
          <w:rFonts w:asciiTheme="minorHAnsi" w:hAnsiTheme="minorHAnsi"/>
          <w:b w:val="0"/>
          <w:sz w:val="24"/>
        </w:rPr>
        <w:tab/>
        <w:t>гр. София</w:t>
      </w:r>
      <w:r w:rsidRPr="008C660E">
        <w:rPr>
          <w:rStyle w:val="fontstyle01"/>
          <w:rFonts w:asciiTheme="minorHAnsi" w:hAnsiTheme="minorHAnsi"/>
          <w:sz w:val="24"/>
        </w:rPr>
        <w:tab/>
      </w:r>
    </w:p>
    <w:p w14:paraId="13C576F0" w14:textId="77777777" w:rsidR="00B6316D" w:rsidRDefault="00301290" w:rsidP="00263742">
      <w:pPr>
        <w:spacing w:line="276" w:lineRule="auto"/>
        <w:rPr>
          <w:rFonts w:asciiTheme="minorHAnsi" w:hAnsiTheme="minorHAnsi" w:cs="Arial"/>
        </w:rPr>
      </w:pPr>
      <w:r w:rsidRPr="008C660E">
        <w:rPr>
          <w:rStyle w:val="fontstyle01"/>
          <w:rFonts w:asciiTheme="minorHAnsi" w:hAnsiTheme="minorHAnsi"/>
          <w:sz w:val="28"/>
        </w:rPr>
        <w:tab/>
      </w:r>
      <w:r w:rsidRPr="008C660E">
        <w:rPr>
          <w:rStyle w:val="fontstyle01"/>
          <w:rFonts w:asciiTheme="minorHAnsi" w:hAnsiTheme="minorHAnsi"/>
          <w:sz w:val="28"/>
        </w:rPr>
        <w:tab/>
      </w:r>
      <w:r w:rsidRPr="008C660E">
        <w:rPr>
          <w:rStyle w:val="fontstyle01"/>
          <w:rFonts w:asciiTheme="minorHAnsi" w:hAnsiTheme="minorHAnsi"/>
          <w:sz w:val="28"/>
        </w:rPr>
        <w:tab/>
      </w:r>
      <w:r w:rsidR="00B6316D" w:rsidRPr="008C660E">
        <w:rPr>
          <w:rStyle w:val="fontstyle01"/>
          <w:rFonts w:asciiTheme="minorHAnsi" w:hAnsiTheme="minorHAnsi"/>
          <w:sz w:val="28"/>
        </w:rPr>
        <w:tab/>
      </w:r>
      <w:r w:rsidR="00B6316D" w:rsidRPr="008C660E">
        <w:rPr>
          <w:rStyle w:val="fontstyle01"/>
          <w:rFonts w:asciiTheme="minorHAnsi" w:hAnsiTheme="minorHAnsi"/>
          <w:sz w:val="28"/>
        </w:rPr>
        <w:tab/>
      </w:r>
      <w:r w:rsidR="00B6316D" w:rsidRPr="008C660E">
        <w:rPr>
          <w:rStyle w:val="fontstyle01"/>
          <w:rFonts w:asciiTheme="minorHAnsi" w:hAnsiTheme="minorHAnsi"/>
          <w:sz w:val="28"/>
        </w:rPr>
        <w:tab/>
      </w:r>
      <w:r w:rsidR="00B6316D" w:rsidRPr="008C660E">
        <w:rPr>
          <w:rStyle w:val="fontstyle01"/>
          <w:rFonts w:asciiTheme="minorHAnsi" w:hAnsiTheme="minorHAnsi"/>
          <w:sz w:val="28"/>
        </w:rPr>
        <w:tab/>
      </w:r>
      <w:r w:rsidR="00B6316D" w:rsidRPr="008C660E">
        <w:rPr>
          <w:rStyle w:val="fontstyle01"/>
          <w:rFonts w:asciiTheme="minorHAnsi" w:hAnsiTheme="minorHAnsi"/>
          <w:sz w:val="28"/>
        </w:rPr>
        <w:tab/>
      </w:r>
      <w:r w:rsidR="009061E4">
        <w:rPr>
          <w:rFonts w:asciiTheme="minorHAnsi" w:hAnsiTheme="minorHAnsi" w:cs="Arial"/>
        </w:rPr>
        <w:t>Радослава Масларска,</w:t>
      </w:r>
    </w:p>
    <w:p w14:paraId="19708FDC" w14:textId="73E9B977" w:rsidR="009061E4" w:rsidRPr="00416218" w:rsidRDefault="009061E4" w:rsidP="009061E4">
      <w:pPr>
        <w:spacing w:line="276" w:lineRule="auto"/>
        <w:ind w:left="4956" w:firstLine="708"/>
        <w:rPr>
          <w:rFonts w:asciiTheme="minorHAnsi" w:hAnsiTheme="minorHAnsi" w:cs="Arial"/>
        </w:rPr>
      </w:pPr>
      <w:r>
        <w:rPr>
          <w:rFonts w:asciiTheme="minorHAnsi" w:hAnsiTheme="minorHAnsi" w:cs="Arial"/>
        </w:rPr>
        <w:t>Председател на СД</w:t>
      </w:r>
    </w:p>
    <w:p w14:paraId="0E4BA705" w14:textId="0235BFFD" w:rsidR="00B6316D" w:rsidRDefault="00B6316D" w:rsidP="00263742">
      <w:pPr>
        <w:spacing w:line="276" w:lineRule="auto"/>
        <w:ind w:left="4956" w:firstLine="708"/>
        <w:jc w:val="both"/>
        <w:rPr>
          <w:rFonts w:asciiTheme="minorHAnsi" w:hAnsiTheme="minorHAnsi" w:cs="Arial"/>
        </w:rPr>
      </w:pPr>
      <w:r w:rsidRPr="008C660E">
        <w:rPr>
          <w:rFonts w:asciiTheme="minorHAnsi" w:hAnsiTheme="minorHAnsi" w:cs="Arial"/>
        </w:rPr>
        <w:t>“</w:t>
      </w:r>
      <w:r w:rsidR="00110484" w:rsidRPr="008C660E">
        <w:rPr>
          <w:rFonts w:asciiTheme="minorHAnsi" w:hAnsiTheme="minorHAnsi" w:cs="Arial"/>
        </w:rPr>
        <w:t>ЕЛАНА</w:t>
      </w:r>
      <w:r w:rsidR="00263742">
        <w:rPr>
          <w:rFonts w:asciiTheme="minorHAnsi" w:hAnsiTheme="minorHAnsi" w:cs="Arial"/>
        </w:rPr>
        <w:t xml:space="preserve"> Трейдинг” АД</w:t>
      </w:r>
    </w:p>
    <w:p w14:paraId="075311DC" w14:textId="4F6B2389" w:rsidR="009061E4" w:rsidRDefault="009061E4" w:rsidP="00263742">
      <w:pPr>
        <w:spacing w:line="276" w:lineRule="auto"/>
        <w:ind w:left="4956" w:firstLine="708"/>
        <w:jc w:val="both"/>
        <w:rPr>
          <w:rFonts w:asciiTheme="minorHAnsi" w:hAnsiTheme="minorHAnsi" w:cs="Arial"/>
        </w:rPr>
      </w:pPr>
    </w:p>
    <w:p w14:paraId="18E0CA64" w14:textId="46DA58BB" w:rsidR="009061E4" w:rsidRDefault="009061E4" w:rsidP="00263742">
      <w:pPr>
        <w:spacing w:line="276" w:lineRule="auto"/>
        <w:ind w:left="4956" w:firstLine="708"/>
        <w:jc w:val="both"/>
        <w:rPr>
          <w:rFonts w:asciiTheme="minorHAnsi" w:hAnsiTheme="minorHAnsi" w:cs="Arial"/>
        </w:rPr>
      </w:pPr>
    </w:p>
    <w:p w14:paraId="02C10AEA" w14:textId="418AD586" w:rsidR="009061E4" w:rsidRDefault="007E16BD" w:rsidP="00263742">
      <w:pPr>
        <w:spacing w:line="276" w:lineRule="auto"/>
        <w:ind w:left="4956" w:firstLine="708"/>
        <w:jc w:val="both"/>
        <w:rPr>
          <w:rFonts w:asciiTheme="minorHAnsi" w:hAnsiTheme="minorHAnsi" w:cs="Arial"/>
        </w:rPr>
      </w:pPr>
      <w:r>
        <w:rPr>
          <w:rFonts w:asciiTheme="minorHAnsi" w:hAnsiTheme="minorHAnsi" w:cs="Arial"/>
          <w:noProof/>
        </w:rPr>
        <w:drawing>
          <wp:anchor distT="0" distB="0" distL="114300" distR="114300" simplePos="0" relativeHeight="251659264" behindDoc="0" locked="0" layoutInCell="1" allowOverlap="1" wp14:anchorId="02E0DF3F" wp14:editId="7F203B3C">
            <wp:simplePos x="0" y="0"/>
            <wp:positionH relativeFrom="column">
              <wp:posOffset>3547110</wp:posOffset>
            </wp:positionH>
            <wp:positionV relativeFrom="paragraph">
              <wp:posOffset>148590</wp:posOffset>
            </wp:positionV>
            <wp:extent cx="1575435" cy="97155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одпис-М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5435" cy="971550"/>
                    </a:xfrm>
                    <a:prstGeom prst="rect">
                      <a:avLst/>
                    </a:prstGeom>
                  </pic:spPr>
                </pic:pic>
              </a:graphicData>
            </a:graphic>
            <wp14:sizeRelH relativeFrom="page">
              <wp14:pctWidth>0</wp14:pctWidth>
            </wp14:sizeRelH>
            <wp14:sizeRelV relativeFrom="page">
              <wp14:pctHeight>0</wp14:pctHeight>
            </wp14:sizeRelV>
          </wp:anchor>
        </w:drawing>
      </w:r>
      <w:r w:rsidR="009061E4">
        <w:rPr>
          <w:rFonts w:asciiTheme="minorHAnsi" w:hAnsiTheme="minorHAnsi" w:cs="Arial"/>
        </w:rPr>
        <w:t>Момчил Тиков</w:t>
      </w:r>
    </w:p>
    <w:p w14:paraId="42CC6968" w14:textId="516CD811" w:rsidR="009061E4" w:rsidRDefault="009061E4" w:rsidP="00263742">
      <w:pPr>
        <w:spacing w:line="276" w:lineRule="auto"/>
        <w:ind w:left="4956" w:firstLine="708"/>
        <w:jc w:val="both"/>
        <w:rPr>
          <w:rFonts w:asciiTheme="minorHAnsi" w:hAnsiTheme="minorHAnsi" w:cs="Arial"/>
        </w:rPr>
      </w:pPr>
      <w:r>
        <w:rPr>
          <w:rFonts w:asciiTheme="minorHAnsi" w:hAnsiTheme="minorHAnsi" w:cs="Arial"/>
        </w:rPr>
        <w:t xml:space="preserve">Изпълнителен директор </w:t>
      </w:r>
    </w:p>
    <w:p w14:paraId="36F48FAE" w14:textId="087122AE" w:rsidR="009061E4" w:rsidRDefault="009061E4" w:rsidP="00096132">
      <w:pPr>
        <w:spacing w:line="276" w:lineRule="auto"/>
        <w:ind w:left="4956" w:firstLine="708"/>
        <w:jc w:val="both"/>
        <w:rPr>
          <w:rFonts w:asciiTheme="minorHAnsi" w:hAnsiTheme="minorHAnsi" w:cs="Arial"/>
        </w:rPr>
      </w:pPr>
      <w:r>
        <w:rPr>
          <w:rFonts w:asciiTheme="minorHAnsi" w:hAnsiTheme="minorHAnsi" w:cs="Arial"/>
        </w:rPr>
        <w:t>„Елана трейдинг“ АД</w:t>
      </w:r>
      <w:r>
        <w:rPr>
          <w:rFonts w:asciiTheme="minorHAnsi" w:hAnsiTheme="minorHAnsi" w:cs="Arial"/>
        </w:rPr>
        <w:br w:type="page"/>
      </w:r>
    </w:p>
    <w:p w14:paraId="5F38C8F8" w14:textId="77777777" w:rsidR="00B6316D" w:rsidRPr="008C660E" w:rsidRDefault="00B6316D" w:rsidP="00B6316D">
      <w:pPr>
        <w:spacing w:line="276" w:lineRule="auto"/>
        <w:ind w:firstLine="720"/>
        <w:jc w:val="both"/>
        <w:rPr>
          <w:rFonts w:asciiTheme="minorHAnsi" w:hAnsiTheme="minorHAnsi" w:cs="Arial"/>
        </w:rPr>
      </w:pPr>
    </w:p>
    <w:p w14:paraId="2082CC3B" w14:textId="77777777" w:rsidR="00B6316D" w:rsidRPr="008C660E" w:rsidRDefault="00F3194B" w:rsidP="00F3194B">
      <w:pPr>
        <w:tabs>
          <w:tab w:val="left" w:pos="3468"/>
          <w:tab w:val="center" w:pos="4819"/>
        </w:tabs>
        <w:rPr>
          <w:rFonts w:asciiTheme="minorHAnsi" w:hAnsiTheme="minorHAnsi"/>
          <w:b/>
          <w:bCs/>
          <w:color w:val="000000"/>
          <w:sz w:val="36"/>
          <w:szCs w:val="36"/>
        </w:rPr>
      </w:pPr>
      <w:r>
        <w:rPr>
          <w:rStyle w:val="fontstyle01"/>
          <w:rFonts w:asciiTheme="minorHAnsi" w:hAnsiTheme="minorHAnsi"/>
        </w:rPr>
        <w:tab/>
      </w:r>
      <w:r>
        <w:rPr>
          <w:rStyle w:val="fontstyle01"/>
          <w:rFonts w:asciiTheme="minorHAnsi" w:hAnsiTheme="minorHAnsi"/>
        </w:rPr>
        <w:tab/>
      </w:r>
      <w:r w:rsidR="00B6316D" w:rsidRPr="008C660E">
        <w:rPr>
          <w:rStyle w:val="fontstyle01"/>
          <w:rFonts w:asciiTheme="minorHAnsi" w:hAnsiTheme="minorHAnsi"/>
        </w:rPr>
        <w:t>ДОКЛАД</w:t>
      </w:r>
    </w:p>
    <w:p w14:paraId="54E1A9C1" w14:textId="77777777" w:rsidR="001A3C7A" w:rsidRPr="000F6BE3" w:rsidRDefault="00B6316D" w:rsidP="00B6316D">
      <w:pPr>
        <w:jc w:val="center"/>
        <w:rPr>
          <w:rStyle w:val="fontstyle11"/>
          <w:rFonts w:asciiTheme="minorHAnsi" w:hAnsiTheme="minorHAnsi"/>
          <w:sz w:val="24"/>
          <w:szCs w:val="24"/>
        </w:rPr>
      </w:pPr>
      <w:r w:rsidRPr="009061E4">
        <w:rPr>
          <w:rStyle w:val="fontstyle11"/>
          <w:rFonts w:asciiTheme="minorHAnsi" w:hAnsiTheme="minorHAnsi"/>
          <w:sz w:val="24"/>
          <w:szCs w:val="24"/>
        </w:rPr>
        <w:t xml:space="preserve">на </w:t>
      </w:r>
      <w:r w:rsidR="00110484" w:rsidRPr="009061E4">
        <w:rPr>
          <w:rStyle w:val="fontstyle11"/>
          <w:rFonts w:asciiTheme="minorHAnsi" w:hAnsiTheme="minorHAnsi"/>
          <w:sz w:val="24"/>
          <w:szCs w:val="24"/>
        </w:rPr>
        <w:t>ЕЛАНА</w:t>
      </w:r>
      <w:r w:rsidRPr="009061E4">
        <w:rPr>
          <w:rStyle w:val="fontstyle11"/>
          <w:rFonts w:asciiTheme="minorHAnsi" w:hAnsiTheme="minorHAnsi"/>
          <w:sz w:val="24"/>
          <w:szCs w:val="24"/>
        </w:rPr>
        <w:t xml:space="preserve"> Трейдинг АД</w:t>
      </w:r>
      <w:r w:rsidR="009061E4" w:rsidRPr="000F6BE3">
        <w:rPr>
          <w:rStyle w:val="fontstyle11"/>
          <w:rFonts w:asciiTheme="minorHAnsi" w:hAnsiTheme="minorHAnsi"/>
          <w:sz w:val="24"/>
          <w:szCs w:val="24"/>
        </w:rPr>
        <w:t xml:space="preserve"> </w:t>
      </w:r>
    </w:p>
    <w:p w14:paraId="703A4566" w14:textId="77777777" w:rsidR="009061E4" w:rsidRPr="001A3C7A" w:rsidRDefault="00B6316D" w:rsidP="00B6316D">
      <w:pPr>
        <w:jc w:val="center"/>
        <w:rPr>
          <w:rStyle w:val="fontstyle11"/>
          <w:rFonts w:asciiTheme="minorHAnsi" w:hAnsiTheme="minorHAnsi"/>
          <w:sz w:val="24"/>
          <w:szCs w:val="24"/>
        </w:rPr>
      </w:pPr>
      <w:r w:rsidRPr="009061E4">
        <w:rPr>
          <w:rStyle w:val="fontstyle11"/>
          <w:rFonts w:asciiTheme="minorHAnsi" w:hAnsiTheme="minorHAnsi"/>
          <w:sz w:val="24"/>
          <w:szCs w:val="24"/>
        </w:rPr>
        <w:t xml:space="preserve">в качеството на Довереник на облигационерите </w:t>
      </w:r>
      <w:r w:rsidR="001A3C7A">
        <w:rPr>
          <w:rStyle w:val="fontstyle11"/>
          <w:rFonts w:asciiTheme="minorHAnsi" w:hAnsiTheme="minorHAnsi"/>
          <w:sz w:val="24"/>
          <w:szCs w:val="24"/>
        </w:rPr>
        <w:t>на</w:t>
      </w:r>
    </w:p>
    <w:p w14:paraId="068556AA" w14:textId="77777777" w:rsidR="00B6316D" w:rsidRPr="000F6BE3" w:rsidRDefault="009061E4" w:rsidP="00B6316D">
      <w:pPr>
        <w:jc w:val="center"/>
        <w:rPr>
          <w:rStyle w:val="fontstyle01"/>
          <w:rFonts w:asciiTheme="minorHAnsi" w:hAnsiTheme="minorHAnsi"/>
          <w:sz w:val="24"/>
          <w:szCs w:val="24"/>
        </w:rPr>
      </w:pPr>
      <w:r w:rsidRPr="000F6BE3">
        <w:rPr>
          <w:rStyle w:val="fontstyle11"/>
          <w:rFonts w:asciiTheme="minorHAnsi" w:hAnsiTheme="minorHAnsi"/>
          <w:sz w:val="24"/>
          <w:szCs w:val="24"/>
        </w:rPr>
        <w:t xml:space="preserve"> </w:t>
      </w:r>
      <w:r w:rsidR="00B6316D" w:rsidRPr="001A3C7A">
        <w:rPr>
          <w:rStyle w:val="fontstyle01"/>
          <w:rFonts w:asciiTheme="minorHAnsi" w:hAnsiTheme="minorHAnsi"/>
          <w:sz w:val="24"/>
          <w:szCs w:val="24"/>
        </w:rPr>
        <w:t>„</w:t>
      </w:r>
      <w:r w:rsidRPr="001A3C7A">
        <w:rPr>
          <w:rStyle w:val="fontstyle01"/>
          <w:rFonts w:asciiTheme="minorHAnsi" w:hAnsiTheme="minorHAnsi"/>
          <w:sz w:val="24"/>
          <w:szCs w:val="24"/>
        </w:rPr>
        <w:t>Ай Ти Еф Груп</w:t>
      </w:r>
      <w:r w:rsidR="00B6316D" w:rsidRPr="001A3C7A">
        <w:rPr>
          <w:rStyle w:val="fontstyle01"/>
          <w:rFonts w:asciiTheme="minorHAnsi" w:hAnsiTheme="minorHAnsi"/>
          <w:sz w:val="24"/>
          <w:szCs w:val="24"/>
        </w:rPr>
        <w:t>“ АД</w:t>
      </w:r>
      <w:r w:rsidRPr="000F6BE3">
        <w:rPr>
          <w:rStyle w:val="fontstyle01"/>
          <w:rFonts w:asciiTheme="minorHAnsi" w:hAnsiTheme="minorHAnsi"/>
          <w:sz w:val="24"/>
          <w:szCs w:val="24"/>
        </w:rPr>
        <w:t xml:space="preserve"> </w:t>
      </w:r>
    </w:p>
    <w:p w14:paraId="445A6DEE" w14:textId="781B80D7" w:rsidR="00B6316D" w:rsidRPr="009061E4" w:rsidRDefault="00B6316D" w:rsidP="00B6316D">
      <w:pPr>
        <w:jc w:val="center"/>
        <w:rPr>
          <w:rStyle w:val="fontstyle01"/>
          <w:rFonts w:asciiTheme="minorHAnsi" w:hAnsiTheme="minorHAnsi"/>
          <w:b w:val="0"/>
          <w:sz w:val="24"/>
          <w:szCs w:val="24"/>
        </w:rPr>
      </w:pPr>
      <w:r w:rsidRPr="009061E4">
        <w:rPr>
          <w:rStyle w:val="fontstyle01"/>
          <w:rFonts w:asciiTheme="minorHAnsi" w:hAnsiTheme="minorHAnsi"/>
          <w:b w:val="0"/>
          <w:sz w:val="24"/>
          <w:szCs w:val="24"/>
        </w:rPr>
        <w:t xml:space="preserve">Период: </w:t>
      </w:r>
      <w:r w:rsidR="009061E4" w:rsidRPr="009061E4">
        <w:rPr>
          <w:rStyle w:val="fontstyle01"/>
          <w:rFonts w:asciiTheme="minorHAnsi" w:hAnsiTheme="minorHAnsi"/>
          <w:b w:val="0"/>
          <w:sz w:val="24"/>
          <w:szCs w:val="24"/>
        </w:rPr>
        <w:t>01</w:t>
      </w:r>
      <w:r w:rsidRPr="009061E4">
        <w:rPr>
          <w:rStyle w:val="fontstyle01"/>
          <w:rFonts w:asciiTheme="minorHAnsi" w:hAnsiTheme="minorHAnsi"/>
          <w:b w:val="0"/>
          <w:sz w:val="24"/>
          <w:szCs w:val="24"/>
        </w:rPr>
        <w:t>.</w:t>
      </w:r>
      <w:r w:rsidR="009061E4" w:rsidRPr="009061E4">
        <w:rPr>
          <w:rStyle w:val="fontstyle01"/>
          <w:rFonts w:asciiTheme="minorHAnsi" w:hAnsiTheme="minorHAnsi"/>
          <w:b w:val="0"/>
          <w:sz w:val="24"/>
          <w:szCs w:val="24"/>
        </w:rPr>
        <w:t>0</w:t>
      </w:r>
      <w:r w:rsidR="00A77CDB">
        <w:rPr>
          <w:rStyle w:val="fontstyle01"/>
          <w:rFonts w:asciiTheme="minorHAnsi" w:hAnsiTheme="minorHAnsi"/>
          <w:b w:val="0"/>
          <w:sz w:val="24"/>
          <w:szCs w:val="24"/>
        </w:rPr>
        <w:t>4</w:t>
      </w:r>
      <w:r w:rsidRPr="009061E4">
        <w:rPr>
          <w:rStyle w:val="fontstyle01"/>
          <w:rFonts w:asciiTheme="minorHAnsi" w:hAnsiTheme="minorHAnsi"/>
          <w:b w:val="0"/>
          <w:sz w:val="24"/>
          <w:szCs w:val="24"/>
        </w:rPr>
        <w:t>.</w:t>
      </w:r>
      <w:r w:rsidR="009061E4" w:rsidRPr="009061E4">
        <w:rPr>
          <w:rStyle w:val="fontstyle01"/>
          <w:rFonts w:asciiTheme="minorHAnsi" w:hAnsiTheme="minorHAnsi"/>
          <w:b w:val="0"/>
          <w:sz w:val="24"/>
          <w:szCs w:val="24"/>
        </w:rPr>
        <w:t>202</w:t>
      </w:r>
      <w:r w:rsidR="007E16BD">
        <w:rPr>
          <w:rStyle w:val="fontstyle01"/>
          <w:rFonts w:asciiTheme="minorHAnsi" w:hAnsiTheme="minorHAnsi"/>
          <w:b w:val="0"/>
          <w:sz w:val="24"/>
          <w:szCs w:val="24"/>
          <w:lang w:val="en-US"/>
        </w:rPr>
        <w:t>1</w:t>
      </w:r>
      <w:r w:rsidRPr="009061E4">
        <w:rPr>
          <w:rStyle w:val="fontstyle01"/>
          <w:rFonts w:asciiTheme="minorHAnsi" w:hAnsiTheme="minorHAnsi"/>
          <w:b w:val="0"/>
          <w:sz w:val="24"/>
          <w:szCs w:val="24"/>
        </w:rPr>
        <w:t xml:space="preserve"> </w:t>
      </w:r>
      <w:r w:rsidR="000C572B">
        <w:rPr>
          <w:rStyle w:val="fontstyle01"/>
          <w:rFonts w:asciiTheme="minorHAnsi" w:hAnsiTheme="minorHAnsi"/>
          <w:b w:val="0"/>
          <w:sz w:val="24"/>
          <w:szCs w:val="24"/>
        </w:rPr>
        <w:t xml:space="preserve">г. </w:t>
      </w:r>
      <w:r w:rsidRPr="009061E4">
        <w:rPr>
          <w:rStyle w:val="fontstyle01"/>
          <w:rFonts w:asciiTheme="minorHAnsi" w:hAnsiTheme="minorHAnsi"/>
          <w:b w:val="0"/>
          <w:sz w:val="24"/>
          <w:szCs w:val="24"/>
        </w:rPr>
        <w:t xml:space="preserve">– </w:t>
      </w:r>
      <w:r w:rsidR="009061E4" w:rsidRPr="009061E4">
        <w:rPr>
          <w:rStyle w:val="fontstyle01"/>
          <w:rFonts w:asciiTheme="minorHAnsi" w:hAnsiTheme="minorHAnsi"/>
          <w:b w:val="0"/>
          <w:sz w:val="24"/>
          <w:szCs w:val="24"/>
        </w:rPr>
        <w:t>30</w:t>
      </w:r>
      <w:r w:rsidRPr="009061E4">
        <w:rPr>
          <w:rStyle w:val="fontstyle01"/>
          <w:rFonts w:asciiTheme="minorHAnsi" w:hAnsiTheme="minorHAnsi"/>
          <w:b w:val="0"/>
          <w:sz w:val="24"/>
          <w:szCs w:val="24"/>
        </w:rPr>
        <w:t>.</w:t>
      </w:r>
      <w:r w:rsidR="009061E4" w:rsidRPr="009061E4">
        <w:rPr>
          <w:rStyle w:val="fontstyle01"/>
          <w:rFonts w:asciiTheme="minorHAnsi" w:hAnsiTheme="minorHAnsi"/>
          <w:b w:val="0"/>
          <w:sz w:val="24"/>
          <w:szCs w:val="24"/>
        </w:rPr>
        <w:t>06</w:t>
      </w:r>
      <w:r w:rsidRPr="009061E4">
        <w:rPr>
          <w:rStyle w:val="fontstyle01"/>
          <w:rFonts w:asciiTheme="minorHAnsi" w:hAnsiTheme="minorHAnsi"/>
          <w:b w:val="0"/>
          <w:sz w:val="24"/>
          <w:szCs w:val="24"/>
        </w:rPr>
        <w:t>.</w:t>
      </w:r>
      <w:r w:rsidR="009061E4" w:rsidRPr="009061E4">
        <w:rPr>
          <w:rStyle w:val="fontstyle01"/>
          <w:rFonts w:asciiTheme="minorHAnsi" w:hAnsiTheme="minorHAnsi"/>
          <w:b w:val="0"/>
          <w:sz w:val="24"/>
          <w:szCs w:val="24"/>
        </w:rPr>
        <w:t>202</w:t>
      </w:r>
      <w:r w:rsidR="007E16BD">
        <w:rPr>
          <w:rStyle w:val="fontstyle01"/>
          <w:rFonts w:asciiTheme="minorHAnsi" w:hAnsiTheme="minorHAnsi"/>
          <w:b w:val="0"/>
          <w:sz w:val="24"/>
          <w:szCs w:val="24"/>
          <w:lang w:val="en-US"/>
        </w:rPr>
        <w:t>1</w:t>
      </w:r>
      <w:r w:rsidR="000C572B">
        <w:rPr>
          <w:rStyle w:val="fontstyle01"/>
          <w:rFonts w:asciiTheme="minorHAnsi" w:hAnsiTheme="minorHAnsi"/>
          <w:b w:val="0"/>
          <w:sz w:val="24"/>
          <w:szCs w:val="24"/>
        </w:rPr>
        <w:t xml:space="preserve"> г. </w:t>
      </w:r>
    </w:p>
    <w:p w14:paraId="5C3829D0" w14:textId="77777777" w:rsidR="00B6316D" w:rsidRPr="008C660E" w:rsidRDefault="00B6316D" w:rsidP="00B6316D">
      <w:pPr>
        <w:jc w:val="center"/>
        <w:rPr>
          <w:rFonts w:asciiTheme="minorHAnsi" w:hAnsiTheme="minorHAnsi"/>
        </w:rPr>
      </w:pPr>
    </w:p>
    <w:tbl>
      <w:tblPr>
        <w:tblStyle w:val="TableGrid"/>
        <w:tblpPr w:leftFromText="141" w:rightFromText="141" w:vertAnchor="text" w:tblpX="25" w:tblpY="1"/>
        <w:tblOverlap w:val="never"/>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shd w:val="clear" w:color="auto" w:fill="FFFFFF" w:themeFill="background1"/>
        <w:tblCellMar>
          <w:left w:w="0" w:type="dxa"/>
          <w:right w:w="115" w:type="dxa"/>
        </w:tblCellMar>
        <w:tblLook w:val="04A0" w:firstRow="1" w:lastRow="0" w:firstColumn="1" w:lastColumn="0" w:noHBand="0" w:noVBand="1"/>
      </w:tblPr>
      <w:tblGrid>
        <w:gridCol w:w="2411"/>
        <w:gridCol w:w="6661"/>
      </w:tblGrid>
      <w:tr w:rsidR="00582AA3" w:rsidRPr="00582AA3" w14:paraId="636947F7" w14:textId="77777777" w:rsidTr="007E16BD">
        <w:tc>
          <w:tcPr>
            <w:tcW w:w="2411" w:type="dxa"/>
            <w:tcBorders>
              <w:top w:val="single" w:sz="4" w:space="0" w:color="auto"/>
            </w:tcBorders>
            <w:shd w:val="clear" w:color="auto" w:fill="F2F2F2" w:themeFill="background1" w:themeFillShade="F2"/>
          </w:tcPr>
          <w:p w14:paraId="71A8EF0B" w14:textId="77777777" w:rsidR="00582AA3" w:rsidRPr="00582AA3" w:rsidRDefault="00582AA3" w:rsidP="007E16BD">
            <w:pPr>
              <w:spacing w:before="120" w:after="120"/>
              <w:rPr>
                <w:rFonts w:asciiTheme="minorHAnsi" w:hAnsiTheme="minorHAnsi" w:cs="Arial"/>
                <w:b/>
                <w:sz w:val="18"/>
              </w:rPr>
            </w:pPr>
            <w:r>
              <w:rPr>
                <w:rFonts w:asciiTheme="minorHAnsi" w:hAnsiTheme="minorHAnsi" w:cs="Arial"/>
                <w:b/>
                <w:sz w:val="18"/>
                <w:lang w:val="en-US"/>
              </w:rPr>
              <w:t>ISIN</w:t>
            </w:r>
            <w:r>
              <w:rPr>
                <w:rFonts w:asciiTheme="minorHAnsi" w:hAnsiTheme="minorHAnsi" w:cs="Arial"/>
                <w:b/>
                <w:sz w:val="18"/>
              </w:rPr>
              <w:t xml:space="preserve"> код на емисията</w:t>
            </w:r>
          </w:p>
        </w:tc>
        <w:tc>
          <w:tcPr>
            <w:tcW w:w="6661" w:type="dxa"/>
            <w:tcBorders>
              <w:top w:val="single" w:sz="4" w:space="0" w:color="auto"/>
            </w:tcBorders>
            <w:shd w:val="clear" w:color="auto" w:fill="F2F2F2" w:themeFill="background1" w:themeFillShade="F2"/>
          </w:tcPr>
          <w:p w14:paraId="78E77B12" w14:textId="77777777" w:rsidR="00582AA3" w:rsidRPr="000F6BE3" w:rsidRDefault="00582AA3" w:rsidP="00582AA3">
            <w:pPr>
              <w:spacing w:before="120" w:after="120"/>
              <w:jc w:val="both"/>
              <w:rPr>
                <w:rFonts w:asciiTheme="minorHAnsi" w:hAnsiTheme="minorHAnsi" w:cs="Arial"/>
                <w:sz w:val="18"/>
              </w:rPr>
            </w:pPr>
            <w:r>
              <w:rPr>
                <w:rFonts w:asciiTheme="minorHAnsi" w:hAnsiTheme="minorHAnsi" w:cs="Arial"/>
                <w:sz w:val="18"/>
                <w:lang w:val="en-US"/>
              </w:rPr>
              <w:t>BG</w:t>
            </w:r>
            <w:r w:rsidRPr="000F6BE3">
              <w:rPr>
                <w:rFonts w:asciiTheme="minorHAnsi" w:hAnsiTheme="minorHAnsi" w:cs="Arial"/>
                <w:sz w:val="18"/>
              </w:rPr>
              <w:t xml:space="preserve">2100017198, </w:t>
            </w:r>
            <w:r>
              <w:rPr>
                <w:rFonts w:asciiTheme="minorHAnsi" w:hAnsiTheme="minorHAnsi" w:cs="Arial"/>
                <w:sz w:val="18"/>
              </w:rPr>
              <w:t>Борсов код</w:t>
            </w:r>
            <w:r w:rsidR="00C76F94">
              <w:rPr>
                <w:rFonts w:asciiTheme="minorHAnsi" w:hAnsiTheme="minorHAnsi" w:cs="Arial"/>
                <w:sz w:val="18"/>
              </w:rPr>
              <w:t>:</w:t>
            </w:r>
            <w:r>
              <w:rPr>
                <w:rFonts w:asciiTheme="minorHAnsi" w:hAnsiTheme="minorHAnsi" w:cs="Arial"/>
                <w:sz w:val="18"/>
              </w:rPr>
              <w:t xml:space="preserve"> </w:t>
            </w:r>
            <w:r>
              <w:rPr>
                <w:rFonts w:asciiTheme="minorHAnsi" w:hAnsiTheme="minorHAnsi" w:cs="Arial"/>
                <w:sz w:val="18"/>
                <w:lang w:val="en-US"/>
              </w:rPr>
              <w:t>ITFA</w:t>
            </w:r>
            <w:r w:rsidRPr="000F6BE3">
              <w:rPr>
                <w:rFonts w:asciiTheme="minorHAnsi" w:hAnsiTheme="minorHAnsi" w:cs="Arial"/>
                <w:sz w:val="18"/>
              </w:rPr>
              <w:t>,</w:t>
            </w:r>
            <w:r>
              <w:rPr>
                <w:rFonts w:asciiTheme="minorHAnsi" w:hAnsiTheme="minorHAnsi" w:cs="Arial"/>
                <w:sz w:val="18"/>
              </w:rPr>
              <w:t xml:space="preserve"> </w:t>
            </w:r>
            <w:r w:rsidR="00C76F94">
              <w:rPr>
                <w:rFonts w:asciiTheme="minorHAnsi" w:hAnsiTheme="minorHAnsi" w:cs="Arial"/>
                <w:sz w:val="18"/>
                <w:lang w:val="en-US"/>
              </w:rPr>
              <w:t>CFI</w:t>
            </w:r>
            <w:r w:rsidR="00C76F94" w:rsidRPr="000F6BE3">
              <w:rPr>
                <w:rFonts w:asciiTheme="minorHAnsi" w:hAnsiTheme="minorHAnsi" w:cs="Arial"/>
                <w:sz w:val="18"/>
              </w:rPr>
              <w:t xml:space="preserve"> </w:t>
            </w:r>
            <w:r w:rsidR="00C76F94">
              <w:rPr>
                <w:rFonts w:asciiTheme="minorHAnsi" w:hAnsiTheme="minorHAnsi" w:cs="Arial"/>
                <w:sz w:val="18"/>
              </w:rPr>
              <w:t xml:space="preserve">код: </w:t>
            </w:r>
            <w:r w:rsidR="00C76F94" w:rsidRPr="00C76F94">
              <w:rPr>
                <w:rFonts w:asciiTheme="minorHAnsi" w:hAnsiTheme="minorHAnsi" w:cs="Arial"/>
                <w:sz w:val="18"/>
              </w:rPr>
              <w:t xml:space="preserve">DBFUFR </w:t>
            </w:r>
            <w:r w:rsidR="00C76F94">
              <w:rPr>
                <w:rFonts w:asciiTheme="minorHAnsi" w:hAnsiTheme="minorHAnsi" w:cs="Arial"/>
                <w:sz w:val="18"/>
              </w:rPr>
              <w:t xml:space="preserve">, </w:t>
            </w:r>
            <w:r>
              <w:rPr>
                <w:rFonts w:asciiTheme="minorHAnsi" w:hAnsiTheme="minorHAnsi" w:cs="Arial"/>
                <w:sz w:val="18"/>
                <w:lang w:val="en-US"/>
              </w:rPr>
              <w:t>LEI</w:t>
            </w:r>
            <w:r w:rsidRPr="000F6BE3">
              <w:rPr>
                <w:rFonts w:asciiTheme="minorHAnsi" w:hAnsiTheme="minorHAnsi" w:cs="Arial"/>
                <w:sz w:val="18"/>
              </w:rPr>
              <w:t xml:space="preserve"> </w:t>
            </w:r>
            <w:r>
              <w:rPr>
                <w:rFonts w:asciiTheme="minorHAnsi" w:hAnsiTheme="minorHAnsi" w:cs="Arial"/>
                <w:sz w:val="18"/>
              </w:rPr>
              <w:t>код:</w:t>
            </w:r>
            <w:r w:rsidRPr="000F6BE3">
              <w:rPr>
                <w:rFonts w:asciiTheme="minorHAnsi" w:hAnsiTheme="minorHAnsi" w:cs="Arial"/>
                <w:sz w:val="18"/>
              </w:rPr>
              <w:t xml:space="preserve"> 254900</w:t>
            </w:r>
            <w:r w:rsidRPr="00582AA3">
              <w:rPr>
                <w:rFonts w:asciiTheme="minorHAnsi" w:hAnsiTheme="minorHAnsi" w:cs="Arial"/>
                <w:sz w:val="18"/>
                <w:lang w:val="en-US"/>
              </w:rPr>
              <w:t>SP</w:t>
            </w:r>
            <w:r w:rsidRPr="000F6BE3">
              <w:rPr>
                <w:rFonts w:asciiTheme="minorHAnsi" w:hAnsiTheme="minorHAnsi" w:cs="Arial"/>
                <w:sz w:val="18"/>
              </w:rPr>
              <w:t>9</w:t>
            </w:r>
            <w:r w:rsidRPr="00582AA3">
              <w:rPr>
                <w:rFonts w:asciiTheme="minorHAnsi" w:hAnsiTheme="minorHAnsi" w:cs="Arial"/>
                <w:sz w:val="18"/>
                <w:lang w:val="en-US"/>
              </w:rPr>
              <w:t>M</w:t>
            </w:r>
            <w:r w:rsidRPr="000F6BE3">
              <w:rPr>
                <w:rFonts w:asciiTheme="minorHAnsi" w:hAnsiTheme="minorHAnsi" w:cs="Arial"/>
                <w:sz w:val="18"/>
              </w:rPr>
              <w:t>660</w:t>
            </w:r>
            <w:r w:rsidRPr="00582AA3">
              <w:rPr>
                <w:rFonts w:asciiTheme="minorHAnsi" w:hAnsiTheme="minorHAnsi" w:cs="Arial"/>
                <w:sz w:val="18"/>
                <w:lang w:val="en-US"/>
              </w:rPr>
              <w:t>ZUP</w:t>
            </w:r>
            <w:r w:rsidRPr="000F6BE3">
              <w:rPr>
                <w:rFonts w:asciiTheme="minorHAnsi" w:hAnsiTheme="minorHAnsi" w:cs="Arial"/>
                <w:sz w:val="18"/>
              </w:rPr>
              <w:t>0</w:t>
            </w:r>
            <w:r w:rsidRPr="00582AA3">
              <w:rPr>
                <w:rFonts w:asciiTheme="minorHAnsi" w:hAnsiTheme="minorHAnsi" w:cs="Arial"/>
                <w:sz w:val="18"/>
                <w:lang w:val="en-US"/>
              </w:rPr>
              <w:t>O</w:t>
            </w:r>
            <w:r w:rsidRPr="000F6BE3">
              <w:rPr>
                <w:rFonts w:asciiTheme="minorHAnsi" w:hAnsiTheme="minorHAnsi" w:cs="Arial"/>
                <w:sz w:val="18"/>
              </w:rPr>
              <w:t>21</w:t>
            </w:r>
          </w:p>
        </w:tc>
      </w:tr>
      <w:tr w:rsidR="00582AA3" w:rsidRPr="00582AA3" w14:paraId="12ED3874" w14:textId="77777777" w:rsidTr="007E16BD">
        <w:tc>
          <w:tcPr>
            <w:tcW w:w="2411" w:type="dxa"/>
            <w:shd w:val="clear" w:color="auto" w:fill="FFFFFF" w:themeFill="background1"/>
          </w:tcPr>
          <w:p w14:paraId="58FAB442" w14:textId="77777777" w:rsidR="00582AA3" w:rsidRPr="00582AA3" w:rsidRDefault="00582AA3" w:rsidP="00582AA3">
            <w:pPr>
              <w:spacing w:before="120" w:after="120"/>
              <w:rPr>
                <w:rFonts w:asciiTheme="minorHAnsi" w:hAnsiTheme="minorHAnsi" w:cs="Arial"/>
                <w:b/>
                <w:sz w:val="18"/>
              </w:rPr>
            </w:pPr>
            <w:r>
              <w:rPr>
                <w:rFonts w:asciiTheme="minorHAnsi" w:hAnsiTheme="minorHAnsi" w:cs="Arial"/>
                <w:b/>
                <w:sz w:val="18"/>
              </w:rPr>
              <w:t>Първоначален р</w:t>
            </w:r>
            <w:r w:rsidRPr="00582AA3">
              <w:rPr>
                <w:rFonts w:asciiTheme="minorHAnsi" w:hAnsiTheme="minorHAnsi" w:cs="Arial"/>
                <w:b/>
                <w:sz w:val="18"/>
              </w:rPr>
              <w:t>азмер на емисията</w:t>
            </w:r>
          </w:p>
        </w:tc>
        <w:tc>
          <w:tcPr>
            <w:tcW w:w="6661" w:type="dxa"/>
            <w:shd w:val="clear" w:color="auto" w:fill="FFFFFF" w:themeFill="background1"/>
          </w:tcPr>
          <w:p w14:paraId="24E2268A" w14:textId="77777777" w:rsidR="00582AA3" w:rsidRPr="00582AA3" w:rsidRDefault="00582AA3" w:rsidP="007E16BD">
            <w:pPr>
              <w:tabs>
                <w:tab w:val="left" w:pos="6643"/>
              </w:tabs>
              <w:spacing w:before="120" w:after="120"/>
              <w:jc w:val="both"/>
              <w:rPr>
                <w:rFonts w:asciiTheme="minorHAnsi" w:hAnsiTheme="minorHAnsi" w:cs="Arial"/>
                <w:sz w:val="18"/>
              </w:rPr>
            </w:pPr>
            <w:r w:rsidRPr="00582AA3">
              <w:rPr>
                <w:rFonts w:asciiTheme="minorHAnsi" w:hAnsiTheme="minorHAnsi" w:cs="Arial"/>
                <w:sz w:val="18"/>
              </w:rPr>
              <w:t>5 000 000 (пет милиона) лева</w:t>
            </w:r>
          </w:p>
        </w:tc>
      </w:tr>
      <w:tr w:rsidR="00582AA3" w:rsidRPr="00582AA3" w14:paraId="71C33699" w14:textId="77777777" w:rsidTr="007E16BD">
        <w:tc>
          <w:tcPr>
            <w:tcW w:w="2411" w:type="dxa"/>
            <w:shd w:val="clear" w:color="auto" w:fill="F2F2F2" w:themeFill="background1" w:themeFillShade="F2"/>
          </w:tcPr>
          <w:p w14:paraId="319B7616" w14:textId="77777777" w:rsidR="00582AA3" w:rsidRPr="00582AA3" w:rsidRDefault="0017391A" w:rsidP="007E16BD">
            <w:pPr>
              <w:spacing w:before="120" w:after="120"/>
              <w:rPr>
                <w:rFonts w:asciiTheme="minorHAnsi" w:hAnsiTheme="minorHAnsi" w:cs="Arial"/>
                <w:b/>
                <w:sz w:val="18"/>
              </w:rPr>
            </w:pPr>
            <w:r>
              <w:rPr>
                <w:rFonts w:asciiTheme="minorHAnsi" w:hAnsiTheme="minorHAnsi" w:cs="Arial"/>
                <w:b/>
                <w:sz w:val="18"/>
              </w:rPr>
              <w:t>Непогасен размер</w:t>
            </w:r>
          </w:p>
        </w:tc>
        <w:tc>
          <w:tcPr>
            <w:tcW w:w="6661" w:type="dxa"/>
            <w:shd w:val="clear" w:color="auto" w:fill="F2F2F2" w:themeFill="background1" w:themeFillShade="F2"/>
          </w:tcPr>
          <w:p w14:paraId="340DE975" w14:textId="2317FBD4" w:rsidR="00582AA3" w:rsidRDefault="0017391A" w:rsidP="007E16BD">
            <w:pPr>
              <w:spacing w:before="120" w:after="120"/>
              <w:jc w:val="both"/>
              <w:rPr>
                <w:rFonts w:asciiTheme="minorHAnsi" w:hAnsiTheme="minorHAnsi" w:cs="Arial"/>
                <w:sz w:val="18"/>
              </w:rPr>
            </w:pPr>
            <w:r>
              <w:rPr>
                <w:rFonts w:asciiTheme="minorHAnsi" w:hAnsiTheme="minorHAnsi" w:cs="Arial"/>
                <w:sz w:val="18"/>
              </w:rPr>
              <w:t>Към 30.06.202</w:t>
            </w:r>
            <w:r w:rsidR="007E16BD">
              <w:rPr>
                <w:rFonts w:asciiTheme="minorHAnsi" w:hAnsiTheme="minorHAnsi" w:cs="Arial"/>
                <w:sz w:val="18"/>
                <w:lang w:val="en-US"/>
              </w:rPr>
              <w:t>1</w:t>
            </w:r>
            <w:r>
              <w:rPr>
                <w:rFonts w:asciiTheme="minorHAnsi" w:hAnsiTheme="minorHAnsi" w:cs="Arial"/>
                <w:sz w:val="18"/>
              </w:rPr>
              <w:t xml:space="preserve"> г. – 5 000 000 лв.</w:t>
            </w:r>
          </w:p>
          <w:p w14:paraId="14C20194" w14:textId="77777777" w:rsidR="0017391A" w:rsidRPr="00582AA3" w:rsidRDefault="0017391A" w:rsidP="007E16BD">
            <w:pPr>
              <w:spacing w:before="120" w:after="120"/>
              <w:jc w:val="both"/>
              <w:rPr>
                <w:rFonts w:asciiTheme="minorHAnsi" w:hAnsiTheme="minorHAnsi" w:cs="Arial"/>
                <w:sz w:val="18"/>
              </w:rPr>
            </w:pPr>
            <w:r>
              <w:rPr>
                <w:rFonts w:asciiTheme="minorHAnsi" w:hAnsiTheme="minorHAnsi" w:cs="Arial"/>
                <w:sz w:val="18"/>
              </w:rPr>
              <w:t>Към датата на настоящия доклад – 5 000 000 лв.</w:t>
            </w:r>
          </w:p>
        </w:tc>
      </w:tr>
      <w:tr w:rsidR="00582AA3" w:rsidRPr="00582AA3" w14:paraId="7C4FEE20" w14:textId="77777777" w:rsidTr="007E16BD">
        <w:tc>
          <w:tcPr>
            <w:tcW w:w="2411" w:type="dxa"/>
            <w:shd w:val="clear" w:color="auto" w:fill="FFFFFF" w:themeFill="background1"/>
          </w:tcPr>
          <w:p w14:paraId="69126F62" w14:textId="77777777" w:rsidR="00582AA3" w:rsidRPr="00582AA3" w:rsidRDefault="00056007" w:rsidP="007E16BD">
            <w:pPr>
              <w:spacing w:before="120" w:after="120"/>
              <w:rPr>
                <w:rFonts w:asciiTheme="minorHAnsi" w:hAnsiTheme="minorHAnsi" w:cs="Arial"/>
                <w:b/>
                <w:sz w:val="18"/>
              </w:rPr>
            </w:pPr>
            <w:r>
              <w:rPr>
                <w:rFonts w:asciiTheme="minorHAnsi" w:hAnsiTheme="minorHAnsi" w:cs="Arial"/>
                <w:b/>
                <w:sz w:val="18"/>
              </w:rPr>
              <w:t>Първоначален срок</w:t>
            </w:r>
          </w:p>
        </w:tc>
        <w:tc>
          <w:tcPr>
            <w:tcW w:w="6661" w:type="dxa"/>
            <w:shd w:val="clear" w:color="auto" w:fill="FFFFFF" w:themeFill="background1"/>
          </w:tcPr>
          <w:p w14:paraId="034800B6" w14:textId="77777777" w:rsidR="00582AA3" w:rsidRPr="00582AA3" w:rsidRDefault="00056007" w:rsidP="007E16BD">
            <w:pPr>
              <w:spacing w:before="120" w:after="120"/>
              <w:jc w:val="both"/>
              <w:rPr>
                <w:rFonts w:asciiTheme="minorHAnsi" w:hAnsiTheme="minorHAnsi" w:cs="Arial"/>
                <w:sz w:val="18"/>
              </w:rPr>
            </w:pPr>
            <w:r w:rsidRPr="00582AA3">
              <w:rPr>
                <w:rFonts w:asciiTheme="minorHAnsi" w:hAnsiTheme="minorHAnsi" w:cs="Arial"/>
                <w:sz w:val="18"/>
              </w:rPr>
              <w:t>7 години (84 месеца) от датата на издаване</w:t>
            </w:r>
            <w:r>
              <w:rPr>
                <w:rFonts w:asciiTheme="minorHAnsi" w:hAnsiTheme="minorHAnsi" w:cs="Arial"/>
                <w:sz w:val="18"/>
              </w:rPr>
              <w:t xml:space="preserve"> на емисията (15.11.2019 г.)</w:t>
            </w:r>
          </w:p>
        </w:tc>
      </w:tr>
      <w:tr w:rsidR="00582AA3" w:rsidRPr="00582AA3" w14:paraId="21DA64D8" w14:textId="77777777" w:rsidTr="007E16BD">
        <w:tc>
          <w:tcPr>
            <w:tcW w:w="2411" w:type="dxa"/>
            <w:shd w:val="clear" w:color="auto" w:fill="F2F2F2" w:themeFill="background1" w:themeFillShade="F2"/>
          </w:tcPr>
          <w:p w14:paraId="216F41AF" w14:textId="77777777" w:rsidR="00582AA3" w:rsidRPr="00582AA3" w:rsidRDefault="00056007" w:rsidP="007E16BD">
            <w:pPr>
              <w:spacing w:before="120" w:after="120"/>
              <w:rPr>
                <w:rFonts w:asciiTheme="minorHAnsi" w:hAnsiTheme="minorHAnsi" w:cs="Arial"/>
                <w:b/>
                <w:sz w:val="18"/>
              </w:rPr>
            </w:pPr>
            <w:r>
              <w:rPr>
                <w:rFonts w:asciiTheme="minorHAnsi" w:hAnsiTheme="minorHAnsi" w:cs="Arial"/>
                <w:b/>
                <w:sz w:val="18"/>
              </w:rPr>
              <w:t>Лихвен процент</w:t>
            </w:r>
          </w:p>
        </w:tc>
        <w:tc>
          <w:tcPr>
            <w:tcW w:w="6661" w:type="dxa"/>
            <w:shd w:val="clear" w:color="auto" w:fill="F2F2F2" w:themeFill="background1" w:themeFillShade="F2"/>
          </w:tcPr>
          <w:p w14:paraId="44378AF3" w14:textId="77777777" w:rsidR="00582AA3" w:rsidRPr="00582AA3" w:rsidRDefault="00582AA3" w:rsidP="007E16BD">
            <w:pPr>
              <w:spacing w:before="120" w:after="120"/>
              <w:jc w:val="both"/>
              <w:rPr>
                <w:rFonts w:asciiTheme="minorHAnsi" w:hAnsiTheme="minorHAnsi" w:cs="Arial"/>
                <w:sz w:val="18"/>
              </w:rPr>
            </w:pPr>
            <w:r w:rsidRPr="00582AA3">
              <w:rPr>
                <w:rFonts w:asciiTheme="minorHAnsi" w:hAnsiTheme="minorHAnsi" w:cs="Arial"/>
                <w:sz w:val="18"/>
              </w:rPr>
              <w:t xml:space="preserve">10% фиксирана лихва </w:t>
            </w:r>
          </w:p>
        </w:tc>
      </w:tr>
      <w:tr w:rsidR="00582AA3" w:rsidRPr="00582AA3" w14:paraId="79E156BC" w14:textId="77777777" w:rsidTr="007E16BD">
        <w:tc>
          <w:tcPr>
            <w:tcW w:w="2411" w:type="dxa"/>
            <w:tcBorders>
              <w:bottom w:val="dotted" w:sz="4" w:space="0" w:color="auto"/>
            </w:tcBorders>
            <w:shd w:val="clear" w:color="auto" w:fill="FFFFFF" w:themeFill="background1"/>
          </w:tcPr>
          <w:p w14:paraId="525B80C5"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Лихвени плащания</w:t>
            </w:r>
          </w:p>
        </w:tc>
        <w:tc>
          <w:tcPr>
            <w:tcW w:w="6661" w:type="dxa"/>
            <w:tcBorders>
              <w:bottom w:val="dotted" w:sz="4" w:space="0" w:color="auto"/>
            </w:tcBorders>
            <w:shd w:val="clear" w:color="auto" w:fill="FFFFFF" w:themeFill="background1"/>
          </w:tcPr>
          <w:p w14:paraId="1B67D84A" w14:textId="77777777" w:rsidR="00582AA3" w:rsidRPr="00582AA3" w:rsidRDefault="00582AA3" w:rsidP="007E16BD">
            <w:pPr>
              <w:spacing w:before="120" w:after="120"/>
              <w:jc w:val="both"/>
              <w:rPr>
                <w:rFonts w:asciiTheme="minorHAnsi" w:hAnsiTheme="minorHAnsi" w:cs="Arial"/>
                <w:sz w:val="18"/>
              </w:rPr>
            </w:pPr>
            <w:r w:rsidRPr="00582AA3">
              <w:rPr>
                <w:rFonts w:asciiTheme="minorHAnsi" w:hAnsiTheme="minorHAnsi" w:cs="Arial"/>
                <w:sz w:val="18"/>
              </w:rPr>
              <w:t>Шестмесечни лихвени плащания</w:t>
            </w:r>
          </w:p>
        </w:tc>
      </w:tr>
      <w:tr w:rsidR="00582AA3" w:rsidRPr="00582AA3" w14:paraId="365A5E4B" w14:textId="77777777" w:rsidTr="007E16BD">
        <w:tc>
          <w:tcPr>
            <w:tcW w:w="2411" w:type="dxa"/>
            <w:tcBorders>
              <w:bottom w:val="dotted" w:sz="4" w:space="0" w:color="auto"/>
            </w:tcBorders>
            <w:shd w:val="clear" w:color="auto" w:fill="F2F2F2" w:themeFill="background1" w:themeFillShade="F2"/>
          </w:tcPr>
          <w:p w14:paraId="54C971EB" w14:textId="77777777" w:rsidR="00582AA3" w:rsidRPr="00582AA3" w:rsidRDefault="00056007" w:rsidP="00056007">
            <w:pPr>
              <w:spacing w:before="120" w:after="120"/>
              <w:rPr>
                <w:rFonts w:asciiTheme="minorHAnsi" w:hAnsiTheme="minorHAnsi" w:cs="Arial"/>
                <w:b/>
                <w:sz w:val="18"/>
              </w:rPr>
            </w:pPr>
            <w:r>
              <w:rPr>
                <w:rFonts w:asciiTheme="minorHAnsi" w:hAnsiTheme="minorHAnsi" w:cs="Arial"/>
                <w:b/>
                <w:sz w:val="18"/>
              </w:rPr>
              <w:t>Лихвена к</w:t>
            </w:r>
            <w:r w:rsidR="00582AA3" w:rsidRPr="00582AA3">
              <w:rPr>
                <w:rFonts w:asciiTheme="minorHAnsi" w:hAnsiTheme="minorHAnsi" w:cs="Arial"/>
                <w:b/>
                <w:sz w:val="18"/>
              </w:rPr>
              <w:t>онвенция</w:t>
            </w:r>
          </w:p>
        </w:tc>
        <w:tc>
          <w:tcPr>
            <w:tcW w:w="6661" w:type="dxa"/>
            <w:tcBorders>
              <w:bottom w:val="dotted" w:sz="4" w:space="0" w:color="auto"/>
            </w:tcBorders>
            <w:shd w:val="clear" w:color="auto" w:fill="F2F2F2" w:themeFill="background1" w:themeFillShade="F2"/>
          </w:tcPr>
          <w:p w14:paraId="4F241585" w14:textId="77777777" w:rsidR="00582AA3" w:rsidRPr="00582AA3" w:rsidRDefault="00582AA3" w:rsidP="007E16BD">
            <w:pPr>
              <w:spacing w:before="120" w:after="120"/>
              <w:jc w:val="both"/>
              <w:rPr>
                <w:rFonts w:asciiTheme="minorHAnsi" w:hAnsiTheme="minorHAnsi" w:cs="Arial"/>
                <w:sz w:val="18"/>
              </w:rPr>
            </w:pPr>
            <w:r w:rsidRPr="00582AA3">
              <w:rPr>
                <w:rFonts w:asciiTheme="minorHAnsi" w:hAnsiTheme="minorHAnsi" w:cs="Arial"/>
                <w:sz w:val="18"/>
              </w:rPr>
              <w:t xml:space="preserve">ISMA </w:t>
            </w:r>
            <w:proofErr w:type="spellStart"/>
            <w:r w:rsidRPr="00582AA3">
              <w:rPr>
                <w:rFonts w:asciiTheme="minorHAnsi" w:hAnsiTheme="minorHAnsi" w:cs="Arial"/>
                <w:sz w:val="18"/>
              </w:rPr>
              <w:t>Actual</w:t>
            </w:r>
            <w:proofErr w:type="spellEnd"/>
            <w:r w:rsidRPr="00582AA3">
              <w:rPr>
                <w:rFonts w:asciiTheme="minorHAnsi" w:hAnsiTheme="minorHAnsi" w:cs="Arial"/>
                <w:sz w:val="18"/>
              </w:rPr>
              <w:t>/</w:t>
            </w:r>
            <w:proofErr w:type="spellStart"/>
            <w:r w:rsidRPr="00582AA3">
              <w:rPr>
                <w:rFonts w:asciiTheme="minorHAnsi" w:hAnsiTheme="minorHAnsi" w:cs="Arial"/>
                <w:sz w:val="18"/>
              </w:rPr>
              <w:t>Actuals</w:t>
            </w:r>
            <w:proofErr w:type="spellEnd"/>
            <w:r w:rsidRPr="00582AA3">
              <w:rPr>
                <w:rFonts w:asciiTheme="minorHAnsi" w:hAnsiTheme="minorHAnsi" w:cs="Arial"/>
                <w:sz w:val="18"/>
              </w:rPr>
              <w:t xml:space="preserve"> (Реален брой дни в периода / Реален брой дни в годината)</w:t>
            </w:r>
          </w:p>
        </w:tc>
      </w:tr>
      <w:tr w:rsidR="00582AA3" w:rsidRPr="00582AA3" w14:paraId="35D71BFB" w14:textId="77777777" w:rsidTr="007E16BD">
        <w:tc>
          <w:tcPr>
            <w:tcW w:w="2411" w:type="dxa"/>
            <w:tcBorders>
              <w:bottom w:val="dotted" w:sz="4" w:space="0" w:color="auto"/>
            </w:tcBorders>
            <w:shd w:val="clear" w:color="auto" w:fill="FFFFFF" w:themeFill="background1"/>
          </w:tcPr>
          <w:p w14:paraId="43E027F5"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Гратисен период за лихвата</w:t>
            </w:r>
          </w:p>
        </w:tc>
        <w:tc>
          <w:tcPr>
            <w:tcW w:w="6661" w:type="dxa"/>
            <w:tcBorders>
              <w:bottom w:val="dotted" w:sz="4" w:space="0" w:color="auto"/>
            </w:tcBorders>
            <w:shd w:val="clear" w:color="auto" w:fill="FFFFFF" w:themeFill="background1"/>
          </w:tcPr>
          <w:p w14:paraId="0969AB23" w14:textId="77777777" w:rsidR="00582AA3" w:rsidRPr="00582AA3" w:rsidRDefault="00582AA3" w:rsidP="007E16BD">
            <w:pPr>
              <w:spacing w:before="120" w:after="120"/>
              <w:jc w:val="both"/>
              <w:rPr>
                <w:rFonts w:asciiTheme="minorHAnsi" w:hAnsiTheme="minorHAnsi" w:cs="Arial"/>
                <w:sz w:val="18"/>
              </w:rPr>
            </w:pPr>
            <w:r w:rsidRPr="00582AA3">
              <w:rPr>
                <w:rFonts w:asciiTheme="minorHAnsi" w:hAnsiTheme="minorHAnsi" w:cs="Arial"/>
                <w:sz w:val="18"/>
              </w:rPr>
              <w:t>Няма</w:t>
            </w:r>
          </w:p>
        </w:tc>
      </w:tr>
      <w:tr w:rsidR="00582AA3" w:rsidRPr="00582AA3" w14:paraId="3B1EF6C2" w14:textId="77777777" w:rsidTr="007E16BD">
        <w:tc>
          <w:tcPr>
            <w:tcW w:w="2411" w:type="dxa"/>
            <w:tcBorders>
              <w:bottom w:val="dotted" w:sz="4" w:space="0" w:color="auto"/>
            </w:tcBorders>
            <w:shd w:val="clear" w:color="auto" w:fill="F2F2F2" w:themeFill="background1" w:themeFillShade="F2"/>
          </w:tcPr>
          <w:p w14:paraId="185943DA"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Дати на лихвените плащания</w:t>
            </w:r>
          </w:p>
        </w:tc>
        <w:tc>
          <w:tcPr>
            <w:tcW w:w="6661" w:type="dxa"/>
            <w:tcBorders>
              <w:bottom w:val="dotted" w:sz="4" w:space="0" w:color="auto"/>
            </w:tcBorders>
            <w:shd w:val="clear" w:color="auto" w:fill="F2F2F2" w:themeFill="background1" w:themeFillShade="F2"/>
          </w:tcPr>
          <w:p w14:paraId="338CC99A" w14:textId="77777777" w:rsidR="00582AA3" w:rsidRPr="00582AA3" w:rsidRDefault="00582AA3" w:rsidP="007E16BD">
            <w:pPr>
              <w:tabs>
                <w:tab w:val="left" w:pos="2679"/>
              </w:tabs>
              <w:spacing w:before="120" w:after="120"/>
              <w:jc w:val="both"/>
              <w:rPr>
                <w:rFonts w:asciiTheme="minorHAnsi" w:hAnsiTheme="minorHAnsi" w:cs="Arial"/>
                <w:sz w:val="18"/>
              </w:rPr>
            </w:pPr>
            <w:r w:rsidRPr="00582AA3">
              <w:rPr>
                <w:rFonts w:asciiTheme="minorHAnsi" w:hAnsiTheme="minorHAnsi" w:cs="Arial"/>
                <w:sz w:val="18"/>
              </w:rPr>
              <w:t>15.05.2020г., 15.11.2020г., 15.05.2021г., 15.11.2021г., 15.05.2022г., 15.11.2022г., 15.05.2023г., 15.11.2023г., 15.05.2024г., 15.11.2024г., 15.05.2025г., 15.11.2025г., 15.05.2026г., 15.11.2026г.</w:t>
            </w:r>
          </w:p>
        </w:tc>
      </w:tr>
      <w:tr w:rsidR="00582AA3" w:rsidRPr="00582AA3" w14:paraId="61EC9C45" w14:textId="77777777" w:rsidTr="007E16BD">
        <w:tc>
          <w:tcPr>
            <w:tcW w:w="2411" w:type="dxa"/>
            <w:shd w:val="clear" w:color="auto" w:fill="FFFFFF" w:themeFill="background1"/>
          </w:tcPr>
          <w:p w14:paraId="2DED33D7"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Изплащане на главницата</w:t>
            </w:r>
          </w:p>
        </w:tc>
        <w:tc>
          <w:tcPr>
            <w:tcW w:w="6661" w:type="dxa"/>
            <w:shd w:val="clear" w:color="auto" w:fill="FFFFFF" w:themeFill="background1"/>
          </w:tcPr>
          <w:p w14:paraId="7FEA7DE4" w14:textId="77777777" w:rsidR="00582AA3" w:rsidRPr="00582AA3" w:rsidRDefault="00582AA3" w:rsidP="007E16BD">
            <w:pPr>
              <w:spacing w:before="120" w:after="120"/>
              <w:jc w:val="both"/>
              <w:rPr>
                <w:rFonts w:asciiTheme="minorHAnsi" w:hAnsiTheme="minorHAnsi" w:cs="Arial"/>
                <w:sz w:val="18"/>
              </w:rPr>
            </w:pPr>
            <w:r w:rsidRPr="00582AA3">
              <w:rPr>
                <w:rFonts w:asciiTheme="minorHAnsi" w:hAnsiTheme="minorHAnsi" w:cs="Arial"/>
                <w:sz w:val="18"/>
              </w:rPr>
              <w:t>На 10 /десет/ равни вноски от 500 000 лв. всяка една, представляваща 5% амортизационен коефициент на главницата, заедно с последните 10 /десет/ лихвени плащания, а именно на 15.05.2022г., 15.11.2022г., 15.05.2023г. ,15.11.2023г., 15.05.2024г., 15.11.2024г., 15.05.2025г.,15.11.2025г.,15.05.2026г.,15.11.2026г.</w:t>
            </w:r>
          </w:p>
        </w:tc>
      </w:tr>
      <w:tr w:rsidR="00C76F94" w:rsidRPr="00582AA3" w14:paraId="4F1B3FF3" w14:textId="77777777" w:rsidTr="007E16BD">
        <w:tc>
          <w:tcPr>
            <w:tcW w:w="2411" w:type="dxa"/>
            <w:shd w:val="clear" w:color="auto" w:fill="F2F2F2" w:themeFill="background1" w:themeFillShade="F2"/>
          </w:tcPr>
          <w:p w14:paraId="4D33FA6D" w14:textId="77777777" w:rsidR="00C76F94" w:rsidRPr="00582AA3" w:rsidRDefault="00C76F94" w:rsidP="00C76F94">
            <w:pPr>
              <w:spacing w:before="120" w:after="120"/>
              <w:rPr>
                <w:rFonts w:asciiTheme="minorHAnsi" w:hAnsiTheme="minorHAnsi" w:cs="Arial"/>
                <w:b/>
                <w:sz w:val="18"/>
              </w:rPr>
            </w:pPr>
            <w:r>
              <w:rPr>
                <w:rFonts w:asciiTheme="minorHAnsi" w:hAnsiTheme="minorHAnsi" w:cs="Arial"/>
                <w:b/>
                <w:sz w:val="18"/>
              </w:rPr>
              <w:t>Първоначален падеж</w:t>
            </w:r>
          </w:p>
        </w:tc>
        <w:tc>
          <w:tcPr>
            <w:tcW w:w="6661" w:type="dxa"/>
            <w:shd w:val="clear" w:color="auto" w:fill="F2F2F2" w:themeFill="background1" w:themeFillShade="F2"/>
          </w:tcPr>
          <w:p w14:paraId="5E1B0EFF" w14:textId="77777777" w:rsidR="00C76F94" w:rsidRPr="00582AA3" w:rsidRDefault="00C76F94" w:rsidP="00C76F94">
            <w:pPr>
              <w:spacing w:before="120" w:after="120"/>
              <w:jc w:val="both"/>
              <w:rPr>
                <w:rFonts w:asciiTheme="minorHAnsi" w:hAnsiTheme="minorHAnsi" w:cs="Arial"/>
                <w:sz w:val="18"/>
              </w:rPr>
            </w:pPr>
            <w:r>
              <w:rPr>
                <w:rFonts w:asciiTheme="minorHAnsi" w:hAnsiTheme="minorHAnsi" w:cs="Arial"/>
                <w:sz w:val="18"/>
              </w:rPr>
              <w:t>15.11.2026 г.</w:t>
            </w:r>
          </w:p>
        </w:tc>
      </w:tr>
      <w:tr w:rsidR="00582AA3" w:rsidRPr="00582AA3" w14:paraId="67ACD0EC" w14:textId="77777777" w:rsidTr="007E16BD">
        <w:tc>
          <w:tcPr>
            <w:tcW w:w="2411" w:type="dxa"/>
            <w:shd w:val="clear" w:color="auto" w:fill="FFFFFF" w:themeFill="background1"/>
          </w:tcPr>
          <w:p w14:paraId="63713C05"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Усвояване</w:t>
            </w:r>
          </w:p>
        </w:tc>
        <w:tc>
          <w:tcPr>
            <w:tcW w:w="6661" w:type="dxa"/>
            <w:shd w:val="clear" w:color="auto" w:fill="FFFFFF" w:themeFill="background1"/>
          </w:tcPr>
          <w:p w14:paraId="0A18777E" w14:textId="77777777" w:rsidR="00582AA3" w:rsidRPr="00582AA3" w:rsidRDefault="00582AA3" w:rsidP="007E16BD">
            <w:pPr>
              <w:spacing w:before="120" w:after="120"/>
              <w:jc w:val="both"/>
              <w:rPr>
                <w:rFonts w:asciiTheme="minorHAnsi" w:hAnsiTheme="minorHAnsi" w:cs="Arial"/>
                <w:sz w:val="18"/>
              </w:rPr>
            </w:pPr>
            <w:r w:rsidRPr="00582AA3">
              <w:rPr>
                <w:rFonts w:asciiTheme="minorHAnsi" w:hAnsiTheme="minorHAnsi" w:cs="Arial"/>
                <w:sz w:val="18"/>
              </w:rPr>
              <w:t xml:space="preserve">След приключване на подписката, паричните средства по </w:t>
            </w:r>
            <w:proofErr w:type="spellStart"/>
            <w:r w:rsidRPr="00582AA3">
              <w:rPr>
                <w:rFonts w:asciiTheme="minorHAnsi" w:hAnsiTheme="minorHAnsi" w:cs="Arial"/>
                <w:sz w:val="18"/>
              </w:rPr>
              <w:t>набирателната</w:t>
            </w:r>
            <w:proofErr w:type="spellEnd"/>
            <w:r w:rsidRPr="00582AA3">
              <w:rPr>
                <w:rFonts w:asciiTheme="minorHAnsi" w:hAnsiTheme="minorHAnsi" w:cs="Arial"/>
                <w:sz w:val="18"/>
              </w:rPr>
              <w:t xml:space="preserve"> сметка са прехвърлени в специално създадена за целта на емисията </w:t>
            </w:r>
            <w:proofErr w:type="spellStart"/>
            <w:r w:rsidRPr="00582AA3">
              <w:rPr>
                <w:rFonts w:asciiTheme="minorHAnsi" w:hAnsiTheme="minorHAnsi" w:cs="Arial"/>
                <w:sz w:val="18"/>
              </w:rPr>
              <w:t>ескроу</w:t>
            </w:r>
            <w:proofErr w:type="spellEnd"/>
            <w:r w:rsidRPr="00582AA3">
              <w:rPr>
                <w:rFonts w:asciiTheme="minorHAnsi" w:hAnsiTheme="minorHAnsi" w:cs="Arial"/>
                <w:sz w:val="18"/>
              </w:rPr>
              <w:t xml:space="preserve"> сметка при „Уникредит Булбанк“. Освобождаването на средства от нея е на база на осигуреното от Емитента обезпечение, така че в нито един момент размерът на обезпечението на усвоената сума да не пада под лимита от 125%.</w:t>
            </w:r>
          </w:p>
        </w:tc>
      </w:tr>
      <w:tr w:rsidR="00582AA3" w:rsidRPr="00582AA3" w14:paraId="402FC5B4" w14:textId="77777777" w:rsidTr="007E16BD">
        <w:tc>
          <w:tcPr>
            <w:tcW w:w="2411" w:type="dxa"/>
            <w:shd w:val="clear" w:color="auto" w:fill="F2F2F2" w:themeFill="background1" w:themeFillShade="F2"/>
          </w:tcPr>
          <w:p w14:paraId="6BD7D7C1"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Обезпечение</w:t>
            </w:r>
          </w:p>
        </w:tc>
        <w:tc>
          <w:tcPr>
            <w:tcW w:w="6661" w:type="dxa"/>
            <w:shd w:val="clear" w:color="auto" w:fill="F2F2F2" w:themeFill="background1" w:themeFillShade="F2"/>
          </w:tcPr>
          <w:p w14:paraId="527D0824" w14:textId="77777777" w:rsidR="00582AA3" w:rsidRPr="00582AA3" w:rsidRDefault="00582AA3" w:rsidP="00C76F94">
            <w:pPr>
              <w:pStyle w:val="bs2"/>
              <w:numPr>
                <w:ilvl w:val="0"/>
                <w:numId w:val="15"/>
              </w:numPr>
              <w:spacing w:after="20" w:line="240" w:lineRule="auto"/>
              <w:ind w:left="424" w:hanging="424"/>
              <w:rPr>
                <w:rFonts w:asciiTheme="minorHAnsi" w:hAnsiTheme="minorHAnsi" w:cstheme="minorHAnsi"/>
                <w:b w:val="0"/>
                <w:smallCaps w:val="0"/>
                <w:sz w:val="18"/>
                <w:szCs w:val="24"/>
              </w:rPr>
            </w:pPr>
            <w:r w:rsidRPr="00582AA3">
              <w:rPr>
                <w:rFonts w:asciiTheme="minorHAnsi" w:hAnsiTheme="minorHAnsi" w:cstheme="minorHAnsi"/>
                <w:b w:val="0"/>
                <w:smallCaps w:val="0"/>
                <w:sz w:val="18"/>
                <w:szCs w:val="24"/>
              </w:rPr>
              <w:t xml:space="preserve">Първа по ред договорна ипотека върху 780,77/17474 идеални части от урегулиран поземлен имот ХVІІ-2201, кв.63 по плана на </w:t>
            </w:r>
            <w:proofErr w:type="spellStart"/>
            <w:r w:rsidRPr="00582AA3">
              <w:rPr>
                <w:rFonts w:asciiTheme="minorHAnsi" w:hAnsiTheme="minorHAnsi" w:cstheme="minorHAnsi"/>
                <w:b w:val="0"/>
                <w:smallCaps w:val="0"/>
                <w:sz w:val="18"/>
                <w:szCs w:val="24"/>
              </w:rPr>
              <w:t>местн</w:t>
            </w:r>
            <w:proofErr w:type="spellEnd"/>
            <w:r w:rsidRPr="00582AA3">
              <w:rPr>
                <w:rFonts w:asciiTheme="minorHAnsi" w:hAnsiTheme="minorHAnsi" w:cstheme="minorHAnsi"/>
                <w:b w:val="0"/>
                <w:smallCaps w:val="0"/>
                <w:sz w:val="18"/>
                <w:szCs w:val="24"/>
              </w:rPr>
              <w:t>. „Вилна зона Симеоново север“, район Витоша, с адрес: гр. София, ул. ”Симеоновско шосе” № 198, ведно с изградената в имота жилищна сграда №32 със ЗП  163 кв. м. и РЗП 364,17 кв. м. Имотът е собственост на Светослав Юрий Ангелов – изпълнителен директор и основен акционер в „Ай Ти Еф Груп“ АД.</w:t>
            </w:r>
          </w:p>
          <w:p w14:paraId="21AE1ED4" w14:textId="77777777" w:rsidR="00582AA3" w:rsidRPr="00582AA3" w:rsidRDefault="00582AA3" w:rsidP="00582AA3">
            <w:pPr>
              <w:pStyle w:val="bs2"/>
              <w:numPr>
                <w:ilvl w:val="0"/>
                <w:numId w:val="15"/>
              </w:numPr>
              <w:spacing w:after="20" w:line="240" w:lineRule="auto"/>
              <w:rPr>
                <w:rFonts w:asciiTheme="minorHAnsi" w:hAnsiTheme="minorHAnsi" w:cstheme="minorHAnsi"/>
                <w:b w:val="0"/>
                <w:smallCaps w:val="0"/>
                <w:sz w:val="18"/>
                <w:szCs w:val="24"/>
              </w:rPr>
            </w:pPr>
            <w:r w:rsidRPr="00582AA3">
              <w:rPr>
                <w:rFonts w:asciiTheme="minorHAnsi" w:hAnsiTheme="minorHAnsi" w:cstheme="minorHAnsi"/>
                <w:b w:val="0"/>
                <w:smallCaps w:val="0"/>
                <w:sz w:val="18"/>
                <w:szCs w:val="24"/>
              </w:rPr>
              <w:t xml:space="preserve">Първа по ред договорна ипотека върху Офис №1, разположен на две нива в жилищна сграда в гр. София, район Лозенец, ул. ”Света гора” №42, с РЗП на двете нива от 131.11 кв. м., състоящ се на първо ниво /ниво терен/ от приемна, кухня-бокс, стая за почивка, баня с тоалетна и входно антре, а на </w:t>
            </w:r>
            <w:r w:rsidRPr="00582AA3">
              <w:rPr>
                <w:rFonts w:asciiTheme="minorHAnsi" w:hAnsiTheme="minorHAnsi" w:cstheme="minorHAnsi"/>
                <w:b w:val="0"/>
                <w:smallCaps w:val="0"/>
                <w:sz w:val="18"/>
                <w:szCs w:val="24"/>
              </w:rPr>
              <w:lastRenderedPageBreak/>
              <w:t>второ ниво от два кабинета, баня с тоалетна и два балкона, ведно с мазе №8 с площ от 6,06 кв. м., както и 8.16% идеални части от общите части на сградата, равняващи се на 23.63 кв. м. и толкова идеални части от правото на строеж върху мястото, представляващо УПИ ХVІІ-628, кв.133а по плана на кв. ”Лозенец – ІІІ част”. Имотът е собственост на „Гео-Импорт-Експорт“ ЕООД, дружество с едноличен собственик Георги Добринов - баща на изпълнителния директор и акционер в „Ай Ти Еф Груп“ АД Филип Добринов.</w:t>
            </w:r>
          </w:p>
          <w:p w14:paraId="2FE16503" w14:textId="77777777" w:rsidR="00582AA3" w:rsidRPr="00582AA3" w:rsidRDefault="00582AA3" w:rsidP="00582AA3">
            <w:pPr>
              <w:pStyle w:val="bs2"/>
              <w:numPr>
                <w:ilvl w:val="0"/>
                <w:numId w:val="15"/>
              </w:numPr>
              <w:spacing w:after="20" w:line="240" w:lineRule="auto"/>
              <w:rPr>
                <w:rFonts w:asciiTheme="minorHAnsi" w:hAnsiTheme="minorHAnsi" w:cstheme="minorHAnsi"/>
                <w:b w:val="0"/>
                <w:smallCaps w:val="0"/>
                <w:sz w:val="18"/>
                <w:szCs w:val="24"/>
              </w:rPr>
            </w:pPr>
            <w:r w:rsidRPr="00582AA3">
              <w:rPr>
                <w:rFonts w:asciiTheme="minorHAnsi" w:hAnsiTheme="minorHAnsi" w:cstheme="minorHAnsi"/>
                <w:b w:val="0"/>
                <w:smallCaps w:val="0"/>
                <w:sz w:val="18"/>
                <w:szCs w:val="24"/>
              </w:rPr>
              <w:t xml:space="preserve">Първи по ред особен залог върху съвкупност от вземания по договори за заеми на физически и юридически лица. Общият размер на Пула от вземания към датата на вписването на залога в ЦРОЗ се изчислява на основата на размера на непогасените суми по договорите за заеми, включени в Пула. Като обезпечение могат да служат вземания по кредити, които са класифицирани като редовни на база счетоводната политика на Емитента. В случай, че дадено вземане бъде погасено или бъде класифицирано като загуба, Емитентът е длъжен да ги замени с нови редовни вземания най-късно до 10 число на следващия месец, съответно да впише промените в Пула от вземания, вписан като обезпечение в ЦРОЗ. В случай, че предложените от Емитента вземания не отговарят на изискванията и/или техния размер не е достатъчен, за да осигури минималното покритие по емисията, Довереникът изисква от Емитента незабавно да осигури липсващото обезпечение. Размерът на заложените вземания следва във всеки един момент да бъде не по-малък от 125% от стойността на вземанията по остатъчната главница на облигационния заем минус стойността на наличната сума по </w:t>
            </w:r>
            <w:proofErr w:type="spellStart"/>
            <w:r w:rsidRPr="00582AA3">
              <w:rPr>
                <w:rFonts w:asciiTheme="minorHAnsi" w:hAnsiTheme="minorHAnsi" w:cstheme="minorHAnsi"/>
                <w:b w:val="0"/>
                <w:smallCaps w:val="0"/>
                <w:sz w:val="18"/>
                <w:szCs w:val="24"/>
              </w:rPr>
              <w:t>ескроу</w:t>
            </w:r>
            <w:proofErr w:type="spellEnd"/>
            <w:r w:rsidRPr="00582AA3">
              <w:rPr>
                <w:rFonts w:asciiTheme="minorHAnsi" w:hAnsiTheme="minorHAnsi" w:cstheme="minorHAnsi"/>
                <w:b w:val="0"/>
                <w:smallCaps w:val="0"/>
                <w:sz w:val="18"/>
                <w:szCs w:val="24"/>
              </w:rPr>
              <w:t xml:space="preserve"> сметката и минус стойността на недвижимото имущество заложено като обезпечение на настоящата емисия;</w:t>
            </w:r>
          </w:p>
          <w:p w14:paraId="74ECEE31" w14:textId="77777777" w:rsidR="00582AA3" w:rsidRPr="00582AA3" w:rsidRDefault="00582AA3" w:rsidP="00582AA3">
            <w:pPr>
              <w:pStyle w:val="bs2"/>
              <w:numPr>
                <w:ilvl w:val="0"/>
                <w:numId w:val="15"/>
              </w:numPr>
              <w:spacing w:after="20" w:line="240" w:lineRule="auto"/>
              <w:rPr>
                <w:rFonts w:asciiTheme="minorHAnsi" w:hAnsiTheme="minorHAnsi" w:cstheme="minorHAnsi"/>
                <w:b w:val="0"/>
                <w:smallCaps w:val="0"/>
                <w:sz w:val="18"/>
                <w:szCs w:val="24"/>
              </w:rPr>
            </w:pPr>
            <w:r w:rsidRPr="00582AA3">
              <w:rPr>
                <w:rFonts w:asciiTheme="minorHAnsi" w:hAnsiTheme="minorHAnsi" w:cstheme="minorHAnsi"/>
                <w:b w:val="0"/>
                <w:smallCaps w:val="0"/>
                <w:sz w:val="18"/>
                <w:szCs w:val="24"/>
              </w:rPr>
              <w:t>Първи по ред залог на всички настоящи и бъдещи вземания по платежни сметки на „Ай Ти Еф Груп“ АД в „</w:t>
            </w:r>
            <w:proofErr w:type="spellStart"/>
            <w:r w:rsidRPr="00582AA3">
              <w:rPr>
                <w:rFonts w:asciiTheme="minorHAnsi" w:hAnsiTheme="minorHAnsi" w:cstheme="minorHAnsi"/>
                <w:b w:val="0"/>
                <w:smallCaps w:val="0"/>
                <w:sz w:val="18"/>
                <w:szCs w:val="24"/>
              </w:rPr>
              <w:t>Изипей</w:t>
            </w:r>
            <w:proofErr w:type="spellEnd"/>
            <w:r w:rsidRPr="00582AA3">
              <w:rPr>
                <w:rFonts w:asciiTheme="minorHAnsi" w:hAnsiTheme="minorHAnsi" w:cstheme="minorHAnsi"/>
                <w:b w:val="0"/>
                <w:smallCaps w:val="0"/>
                <w:sz w:val="18"/>
                <w:szCs w:val="24"/>
              </w:rPr>
              <w:t>“ АД, както и всички останали настоящи и бъдещи вземания по настоящи и бъдещи платежни сметки на Емитента в платежни институции на територията на Република България.</w:t>
            </w:r>
          </w:p>
          <w:p w14:paraId="407AC04B" w14:textId="77777777" w:rsidR="00582AA3" w:rsidRPr="00582AA3" w:rsidRDefault="00582AA3" w:rsidP="00582AA3">
            <w:pPr>
              <w:pStyle w:val="bs2"/>
              <w:numPr>
                <w:ilvl w:val="0"/>
                <w:numId w:val="15"/>
              </w:numPr>
              <w:spacing w:after="20" w:line="240" w:lineRule="auto"/>
              <w:rPr>
                <w:rFonts w:asciiTheme="minorHAnsi" w:hAnsiTheme="minorHAnsi"/>
                <w:sz w:val="18"/>
                <w:szCs w:val="24"/>
              </w:rPr>
            </w:pPr>
            <w:r w:rsidRPr="00582AA3">
              <w:rPr>
                <w:rFonts w:asciiTheme="minorHAnsi" w:hAnsiTheme="minorHAnsi" w:cstheme="minorHAnsi"/>
                <w:b w:val="0"/>
                <w:smallCaps w:val="0"/>
                <w:sz w:val="18"/>
                <w:szCs w:val="24"/>
              </w:rPr>
              <w:t>Валидна застрахователна полица за застраховане на сградите, предмет на обезпечението по т. 1) и т. 2) по-горе, на застрахователна стойност, не по-малка от  посочената стойност за сградите съгласно актуалната пазарна оценка на Имотите и покриваща най-малко рисковете, посочени в т. 7.1. от настоящия Документ и по която ко-бенефициент на застрахователно обезщетение е Довереника – „ЕЛАНА трейдинг“ АД.</w:t>
            </w:r>
          </w:p>
        </w:tc>
      </w:tr>
      <w:tr w:rsidR="00582AA3" w:rsidRPr="00582AA3" w14:paraId="15E19A15" w14:textId="77777777" w:rsidTr="00C76F94">
        <w:tc>
          <w:tcPr>
            <w:tcW w:w="2411" w:type="dxa"/>
            <w:shd w:val="clear" w:color="auto" w:fill="auto"/>
          </w:tcPr>
          <w:p w14:paraId="03C056AC"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lastRenderedPageBreak/>
              <w:t xml:space="preserve">Опции за обратно изкупване от страна на Облигационерите </w:t>
            </w:r>
          </w:p>
          <w:p w14:paraId="04C9B484"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w:t>
            </w:r>
            <w:proofErr w:type="spellStart"/>
            <w:r w:rsidRPr="00582AA3">
              <w:rPr>
                <w:rFonts w:asciiTheme="minorHAnsi" w:hAnsiTheme="minorHAnsi" w:cs="Arial"/>
                <w:b/>
                <w:sz w:val="18"/>
              </w:rPr>
              <w:t>Пут</w:t>
            </w:r>
            <w:proofErr w:type="spellEnd"/>
            <w:r w:rsidRPr="00582AA3">
              <w:rPr>
                <w:rFonts w:asciiTheme="minorHAnsi" w:hAnsiTheme="minorHAnsi" w:cs="Arial"/>
                <w:b/>
                <w:sz w:val="18"/>
              </w:rPr>
              <w:t>-опция/</w:t>
            </w:r>
          </w:p>
        </w:tc>
        <w:tc>
          <w:tcPr>
            <w:tcW w:w="6661" w:type="dxa"/>
            <w:shd w:val="clear" w:color="auto" w:fill="auto"/>
          </w:tcPr>
          <w:p w14:paraId="491EEFFD" w14:textId="77777777" w:rsidR="00582AA3" w:rsidRPr="00582AA3" w:rsidRDefault="00582AA3" w:rsidP="007E16BD">
            <w:pPr>
              <w:spacing w:before="120" w:after="120"/>
              <w:jc w:val="both"/>
              <w:rPr>
                <w:rFonts w:asciiTheme="minorHAnsi" w:hAnsiTheme="minorHAnsi" w:cs="Arial"/>
                <w:sz w:val="18"/>
              </w:rPr>
            </w:pPr>
            <w:r w:rsidRPr="00582AA3">
              <w:rPr>
                <w:rFonts w:asciiTheme="minorHAnsi" w:hAnsiTheme="minorHAnsi" w:cs="Arial"/>
                <w:sz w:val="18"/>
              </w:rPr>
              <w:t xml:space="preserve">При Промяна в Контрола всеки облигационер има правото да поиска обратно изкупуване на държаните от него книжа на цена равна на 100% от </w:t>
            </w:r>
            <w:proofErr w:type="spellStart"/>
            <w:r w:rsidRPr="00582AA3">
              <w:rPr>
                <w:rFonts w:asciiTheme="minorHAnsi" w:hAnsiTheme="minorHAnsi" w:cs="Arial"/>
                <w:sz w:val="18"/>
              </w:rPr>
              <w:t>неамортизираната</w:t>
            </w:r>
            <w:proofErr w:type="spellEnd"/>
            <w:r w:rsidRPr="00582AA3">
              <w:rPr>
                <w:rFonts w:asciiTheme="minorHAnsi" w:hAnsiTheme="minorHAnsi" w:cs="Arial"/>
                <w:sz w:val="18"/>
              </w:rPr>
              <w:t xml:space="preserve"> главница плюс натрупаната и неизплатена лихва към датата на сетълмент на </w:t>
            </w:r>
            <w:proofErr w:type="spellStart"/>
            <w:r w:rsidRPr="00582AA3">
              <w:rPr>
                <w:rFonts w:asciiTheme="minorHAnsi" w:hAnsiTheme="minorHAnsi" w:cs="Arial"/>
                <w:sz w:val="18"/>
              </w:rPr>
              <w:t>Пут</w:t>
            </w:r>
            <w:proofErr w:type="spellEnd"/>
            <w:r w:rsidRPr="00582AA3">
              <w:rPr>
                <w:rFonts w:asciiTheme="minorHAnsi" w:hAnsiTheme="minorHAnsi" w:cs="Arial"/>
                <w:sz w:val="18"/>
              </w:rPr>
              <w:t xml:space="preserve"> опцията </w:t>
            </w:r>
            <w:r w:rsidRPr="00582AA3">
              <w:rPr>
                <w:rFonts w:asciiTheme="minorHAnsi" w:hAnsiTheme="minorHAnsi"/>
                <w:sz w:val="18"/>
              </w:rPr>
              <w:t>/</w:t>
            </w:r>
            <w:proofErr w:type="spellStart"/>
            <w:r w:rsidRPr="00582AA3">
              <w:rPr>
                <w:rFonts w:asciiTheme="minorHAnsi" w:hAnsiTheme="minorHAnsi"/>
                <w:sz w:val="18"/>
              </w:rPr>
              <w:t>Пут</w:t>
            </w:r>
            <w:proofErr w:type="spellEnd"/>
            <w:r w:rsidRPr="00582AA3">
              <w:rPr>
                <w:rFonts w:asciiTheme="minorHAnsi" w:hAnsiTheme="minorHAnsi"/>
                <w:sz w:val="18"/>
              </w:rPr>
              <w:t xml:space="preserve"> опция „Контрол“/</w:t>
            </w:r>
            <w:r w:rsidRPr="00582AA3">
              <w:rPr>
                <w:rFonts w:asciiTheme="minorHAnsi" w:hAnsiTheme="minorHAnsi" w:cs="Arial"/>
                <w:sz w:val="18"/>
              </w:rPr>
              <w:t>.</w:t>
            </w:r>
          </w:p>
          <w:p w14:paraId="42E9940D" w14:textId="77777777" w:rsidR="00582AA3" w:rsidRPr="00582AA3" w:rsidRDefault="00582AA3" w:rsidP="007E16BD">
            <w:pPr>
              <w:spacing w:before="120" w:after="120"/>
              <w:jc w:val="both"/>
              <w:rPr>
                <w:rFonts w:asciiTheme="minorHAnsi" w:hAnsiTheme="minorHAnsi" w:cs="Arial"/>
                <w:sz w:val="18"/>
              </w:rPr>
            </w:pPr>
            <w:r w:rsidRPr="00582AA3">
              <w:rPr>
                <w:rFonts w:asciiTheme="minorHAnsi" w:hAnsiTheme="minorHAnsi"/>
                <w:sz w:val="18"/>
              </w:rPr>
              <w:t xml:space="preserve">При </w:t>
            </w:r>
            <w:proofErr w:type="spellStart"/>
            <w:r w:rsidRPr="00582AA3">
              <w:rPr>
                <w:rFonts w:asciiTheme="minorHAnsi" w:hAnsiTheme="minorHAnsi"/>
                <w:sz w:val="18"/>
              </w:rPr>
              <w:t>неприемане</w:t>
            </w:r>
            <w:proofErr w:type="spellEnd"/>
            <w:r w:rsidRPr="00582AA3">
              <w:rPr>
                <w:rFonts w:asciiTheme="minorHAnsi" w:hAnsiTheme="minorHAnsi"/>
                <w:sz w:val="18"/>
              </w:rPr>
              <w:t xml:space="preserve"> на облигациите за търговия на регулиран пазар до 6 (шест) месеца от датата на емитирането им, всеки облигационер има право да поиска обратно изкупуване на държаните от него книжа по емисионна стойност /</w:t>
            </w:r>
            <w:proofErr w:type="spellStart"/>
            <w:r w:rsidRPr="00582AA3">
              <w:rPr>
                <w:rFonts w:asciiTheme="minorHAnsi" w:hAnsiTheme="minorHAnsi"/>
                <w:sz w:val="18"/>
              </w:rPr>
              <w:t>Пут</w:t>
            </w:r>
            <w:proofErr w:type="spellEnd"/>
            <w:r w:rsidRPr="00582AA3">
              <w:rPr>
                <w:rFonts w:asciiTheme="minorHAnsi" w:hAnsiTheme="minorHAnsi"/>
                <w:sz w:val="18"/>
              </w:rPr>
              <w:t xml:space="preserve"> опция „Листване“/.</w:t>
            </w:r>
          </w:p>
        </w:tc>
      </w:tr>
      <w:tr w:rsidR="00582AA3" w:rsidRPr="00582AA3" w14:paraId="51A71DC2" w14:textId="77777777" w:rsidTr="007E16BD">
        <w:tc>
          <w:tcPr>
            <w:tcW w:w="2411" w:type="dxa"/>
            <w:shd w:val="clear" w:color="auto" w:fill="FFFFFF" w:themeFill="background1"/>
          </w:tcPr>
          <w:p w14:paraId="0AE0C590"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 xml:space="preserve">Опция за обратно изкупуване от страна на Емитента </w:t>
            </w:r>
          </w:p>
          <w:p w14:paraId="6C07E60C" w14:textId="77777777" w:rsidR="00582AA3" w:rsidRPr="00582AA3" w:rsidRDefault="00582AA3" w:rsidP="007E16BD">
            <w:pPr>
              <w:spacing w:before="120" w:after="120"/>
              <w:rPr>
                <w:rFonts w:asciiTheme="minorHAnsi" w:hAnsiTheme="minorHAnsi" w:cs="Arial"/>
                <w:b/>
                <w:sz w:val="18"/>
              </w:rPr>
            </w:pPr>
            <w:r w:rsidRPr="00582AA3">
              <w:rPr>
                <w:rFonts w:asciiTheme="minorHAnsi" w:hAnsiTheme="minorHAnsi" w:cs="Arial"/>
                <w:b/>
                <w:sz w:val="18"/>
              </w:rPr>
              <w:t>/Кол опция/</w:t>
            </w:r>
          </w:p>
        </w:tc>
        <w:tc>
          <w:tcPr>
            <w:tcW w:w="6661" w:type="dxa"/>
            <w:shd w:val="clear" w:color="auto" w:fill="FFFFFF" w:themeFill="background1"/>
          </w:tcPr>
          <w:p w14:paraId="0611582B" w14:textId="77777777" w:rsidR="00582AA3" w:rsidRPr="00582AA3" w:rsidRDefault="00582AA3" w:rsidP="007E16BD">
            <w:pPr>
              <w:spacing w:before="120" w:after="120"/>
              <w:jc w:val="both"/>
              <w:rPr>
                <w:rFonts w:asciiTheme="minorHAnsi" w:hAnsiTheme="minorHAnsi"/>
                <w:sz w:val="18"/>
              </w:rPr>
            </w:pPr>
            <w:r w:rsidRPr="00582AA3">
              <w:rPr>
                <w:rFonts w:asciiTheme="minorHAnsi" w:hAnsiTheme="minorHAnsi"/>
                <w:sz w:val="18"/>
              </w:rPr>
              <w:t>Емитентът има право да изкупи обратно облигациите /</w:t>
            </w:r>
            <w:r w:rsidRPr="00582AA3">
              <w:rPr>
                <w:rFonts w:asciiTheme="minorHAnsi" w:hAnsiTheme="minorHAnsi"/>
                <w:i/>
                <w:sz w:val="18"/>
              </w:rPr>
              <w:t>Кол опция</w:t>
            </w:r>
            <w:r w:rsidRPr="00582AA3">
              <w:rPr>
                <w:rFonts w:asciiTheme="minorHAnsi" w:hAnsiTheme="minorHAnsi"/>
                <w:sz w:val="18"/>
              </w:rPr>
              <w:t>/ на няколко фиксирани дати, както следва:</w:t>
            </w:r>
          </w:p>
          <w:p w14:paraId="62701C32" w14:textId="77777777" w:rsidR="00582AA3" w:rsidRPr="000F6BE3" w:rsidRDefault="00582AA3" w:rsidP="00582AA3">
            <w:pPr>
              <w:pStyle w:val="ListParagraph"/>
              <w:numPr>
                <w:ilvl w:val="0"/>
                <w:numId w:val="14"/>
              </w:numPr>
              <w:spacing w:before="60" w:after="60" w:line="240" w:lineRule="auto"/>
              <w:ind w:left="714" w:hanging="357"/>
              <w:contextualSpacing w:val="0"/>
              <w:jc w:val="both"/>
              <w:rPr>
                <w:rFonts w:asciiTheme="minorHAnsi" w:hAnsiTheme="minorHAnsi"/>
                <w:sz w:val="18"/>
                <w:szCs w:val="24"/>
                <w:lang w:val="bg-BG"/>
              </w:rPr>
            </w:pPr>
            <w:r w:rsidRPr="000F6BE3">
              <w:rPr>
                <w:rFonts w:asciiTheme="minorHAnsi" w:hAnsiTheme="minorHAnsi"/>
                <w:sz w:val="18"/>
                <w:szCs w:val="24"/>
                <w:lang w:val="bg-BG"/>
              </w:rPr>
              <w:t>На датата на 10-то лихвено плащане /15 ноември 2024</w:t>
            </w:r>
            <w:r w:rsidR="000C572B">
              <w:rPr>
                <w:rFonts w:asciiTheme="minorHAnsi" w:hAnsiTheme="minorHAnsi"/>
                <w:sz w:val="18"/>
                <w:szCs w:val="24"/>
                <w:lang w:val="bg-BG"/>
              </w:rPr>
              <w:t xml:space="preserve"> г.</w:t>
            </w:r>
            <w:r w:rsidRPr="000F6BE3">
              <w:rPr>
                <w:rFonts w:asciiTheme="minorHAnsi" w:hAnsiTheme="minorHAnsi"/>
                <w:sz w:val="18"/>
                <w:szCs w:val="24"/>
                <w:lang w:val="bg-BG"/>
              </w:rPr>
              <w:t>/ на цена от 105% от остатъчната главница след изплащане на главницата и лихвата дължими към ноември 2024</w:t>
            </w:r>
            <w:r w:rsidR="000C572B">
              <w:rPr>
                <w:rFonts w:asciiTheme="minorHAnsi" w:hAnsiTheme="minorHAnsi"/>
                <w:sz w:val="18"/>
                <w:szCs w:val="24"/>
                <w:lang w:val="bg-BG"/>
              </w:rPr>
              <w:t xml:space="preserve"> г.</w:t>
            </w:r>
          </w:p>
          <w:p w14:paraId="01F69B4F" w14:textId="77777777" w:rsidR="00582AA3" w:rsidRPr="000F6BE3" w:rsidRDefault="00582AA3" w:rsidP="00582AA3">
            <w:pPr>
              <w:pStyle w:val="ListParagraph"/>
              <w:numPr>
                <w:ilvl w:val="0"/>
                <w:numId w:val="14"/>
              </w:numPr>
              <w:spacing w:before="60" w:after="60" w:line="240" w:lineRule="auto"/>
              <w:ind w:left="714" w:hanging="357"/>
              <w:contextualSpacing w:val="0"/>
              <w:jc w:val="both"/>
              <w:rPr>
                <w:rFonts w:asciiTheme="minorHAnsi" w:hAnsiTheme="minorHAnsi"/>
                <w:sz w:val="18"/>
                <w:szCs w:val="24"/>
                <w:lang w:val="bg-BG"/>
              </w:rPr>
            </w:pPr>
            <w:r w:rsidRPr="000F6BE3">
              <w:rPr>
                <w:rFonts w:asciiTheme="minorHAnsi" w:hAnsiTheme="minorHAnsi"/>
                <w:sz w:val="18"/>
                <w:szCs w:val="24"/>
                <w:lang w:val="bg-BG"/>
              </w:rPr>
              <w:t>На датата на 11-то лихвено плащане /15 май 2025</w:t>
            </w:r>
            <w:r w:rsidR="000C572B">
              <w:rPr>
                <w:rFonts w:asciiTheme="minorHAnsi" w:hAnsiTheme="minorHAnsi"/>
                <w:sz w:val="18"/>
                <w:szCs w:val="24"/>
                <w:lang w:val="bg-BG"/>
              </w:rPr>
              <w:t xml:space="preserve"> г.</w:t>
            </w:r>
            <w:r w:rsidRPr="000F6BE3">
              <w:rPr>
                <w:rFonts w:asciiTheme="minorHAnsi" w:hAnsiTheme="minorHAnsi"/>
                <w:sz w:val="18"/>
                <w:szCs w:val="24"/>
                <w:lang w:val="bg-BG"/>
              </w:rPr>
              <w:t>/ на цена от 104% от остатъчната главница след изплащане на главницата и лихвата дължими към май 2025</w:t>
            </w:r>
            <w:r w:rsidR="000C572B">
              <w:rPr>
                <w:rFonts w:asciiTheme="minorHAnsi" w:hAnsiTheme="minorHAnsi"/>
                <w:sz w:val="18"/>
                <w:szCs w:val="24"/>
                <w:lang w:val="bg-BG"/>
              </w:rPr>
              <w:t xml:space="preserve"> г.</w:t>
            </w:r>
          </w:p>
          <w:p w14:paraId="6CB0E3D0" w14:textId="77777777" w:rsidR="00582AA3" w:rsidRPr="000F6BE3" w:rsidRDefault="00582AA3" w:rsidP="00582AA3">
            <w:pPr>
              <w:pStyle w:val="ListParagraph"/>
              <w:numPr>
                <w:ilvl w:val="0"/>
                <w:numId w:val="14"/>
              </w:numPr>
              <w:spacing w:before="60" w:after="60" w:line="240" w:lineRule="auto"/>
              <w:ind w:left="714" w:hanging="357"/>
              <w:contextualSpacing w:val="0"/>
              <w:jc w:val="both"/>
              <w:rPr>
                <w:rFonts w:asciiTheme="minorHAnsi" w:hAnsiTheme="minorHAnsi"/>
                <w:sz w:val="18"/>
                <w:szCs w:val="24"/>
                <w:lang w:val="bg-BG"/>
              </w:rPr>
            </w:pPr>
            <w:r w:rsidRPr="000F6BE3">
              <w:rPr>
                <w:rFonts w:asciiTheme="minorHAnsi" w:hAnsiTheme="minorHAnsi"/>
                <w:sz w:val="18"/>
                <w:szCs w:val="24"/>
                <w:lang w:val="bg-BG"/>
              </w:rPr>
              <w:lastRenderedPageBreak/>
              <w:t>На датата на 12-то лихвено плащане /15 ноември 2025</w:t>
            </w:r>
            <w:r w:rsidR="000C572B">
              <w:rPr>
                <w:rFonts w:asciiTheme="minorHAnsi" w:hAnsiTheme="minorHAnsi"/>
                <w:sz w:val="18"/>
                <w:szCs w:val="24"/>
                <w:lang w:val="bg-BG"/>
              </w:rPr>
              <w:t xml:space="preserve"> г.</w:t>
            </w:r>
            <w:r w:rsidRPr="000F6BE3">
              <w:rPr>
                <w:rFonts w:asciiTheme="minorHAnsi" w:hAnsiTheme="minorHAnsi"/>
                <w:sz w:val="18"/>
                <w:szCs w:val="24"/>
                <w:lang w:val="bg-BG"/>
              </w:rPr>
              <w:t>/ на цена 103% от остатъчната главница след изплащане на главницата и лихвата дължими към ноември 2025</w:t>
            </w:r>
            <w:r w:rsidR="000C572B">
              <w:rPr>
                <w:rFonts w:asciiTheme="minorHAnsi" w:hAnsiTheme="minorHAnsi"/>
                <w:sz w:val="18"/>
                <w:szCs w:val="24"/>
                <w:lang w:val="bg-BG"/>
              </w:rPr>
              <w:t xml:space="preserve"> г.</w:t>
            </w:r>
          </w:p>
          <w:p w14:paraId="592092A8" w14:textId="77777777" w:rsidR="00582AA3" w:rsidRPr="000F6BE3" w:rsidRDefault="00582AA3" w:rsidP="00582AA3">
            <w:pPr>
              <w:pStyle w:val="ListParagraph"/>
              <w:numPr>
                <w:ilvl w:val="0"/>
                <w:numId w:val="14"/>
              </w:numPr>
              <w:spacing w:before="60" w:after="60" w:line="240" w:lineRule="auto"/>
              <w:ind w:left="714" w:hanging="357"/>
              <w:contextualSpacing w:val="0"/>
              <w:jc w:val="both"/>
              <w:rPr>
                <w:rFonts w:asciiTheme="minorHAnsi" w:hAnsiTheme="minorHAnsi"/>
                <w:sz w:val="18"/>
                <w:szCs w:val="24"/>
                <w:lang w:val="bg-BG"/>
              </w:rPr>
            </w:pPr>
            <w:r w:rsidRPr="000F6BE3">
              <w:rPr>
                <w:rFonts w:asciiTheme="minorHAnsi" w:hAnsiTheme="minorHAnsi"/>
                <w:sz w:val="18"/>
                <w:szCs w:val="24"/>
                <w:lang w:val="bg-BG"/>
              </w:rPr>
              <w:t>На датата на 13-то лихвено плащане /15 май 2026</w:t>
            </w:r>
            <w:r w:rsidR="000C572B">
              <w:rPr>
                <w:rFonts w:asciiTheme="minorHAnsi" w:hAnsiTheme="minorHAnsi"/>
                <w:sz w:val="18"/>
                <w:szCs w:val="24"/>
                <w:lang w:val="bg-BG"/>
              </w:rPr>
              <w:t xml:space="preserve"> г.</w:t>
            </w:r>
            <w:r w:rsidRPr="000F6BE3">
              <w:rPr>
                <w:rFonts w:asciiTheme="minorHAnsi" w:hAnsiTheme="minorHAnsi"/>
                <w:sz w:val="18"/>
                <w:szCs w:val="24"/>
                <w:lang w:val="bg-BG"/>
              </w:rPr>
              <w:t>/ на цена 101% от остатъчната главница след изплащане на главницата и лихвата дължими към май 2026</w:t>
            </w:r>
            <w:r w:rsidR="000C572B">
              <w:rPr>
                <w:rFonts w:asciiTheme="minorHAnsi" w:hAnsiTheme="minorHAnsi"/>
                <w:sz w:val="18"/>
                <w:szCs w:val="24"/>
                <w:lang w:val="bg-BG"/>
              </w:rPr>
              <w:t xml:space="preserve"> г.</w:t>
            </w:r>
          </w:p>
        </w:tc>
      </w:tr>
      <w:tr w:rsidR="00582AA3" w:rsidRPr="00582AA3" w14:paraId="14064C9D" w14:textId="77777777" w:rsidTr="007E16BD">
        <w:tc>
          <w:tcPr>
            <w:tcW w:w="2411" w:type="dxa"/>
            <w:tcBorders>
              <w:bottom w:val="dotted" w:sz="4" w:space="0" w:color="auto"/>
            </w:tcBorders>
            <w:shd w:val="clear" w:color="auto" w:fill="F2F2F2" w:themeFill="background1" w:themeFillShade="F2"/>
          </w:tcPr>
          <w:p w14:paraId="132D7671" w14:textId="77777777" w:rsidR="00582AA3" w:rsidRPr="00582AA3" w:rsidRDefault="00C43ECE" w:rsidP="007E16BD">
            <w:pPr>
              <w:spacing w:before="120" w:after="120"/>
              <w:rPr>
                <w:rFonts w:asciiTheme="minorHAnsi" w:hAnsiTheme="minorHAnsi" w:cs="Arial"/>
                <w:b/>
                <w:sz w:val="18"/>
              </w:rPr>
            </w:pPr>
            <w:proofErr w:type="spellStart"/>
            <w:r>
              <w:rPr>
                <w:rFonts w:asciiTheme="minorHAnsi" w:hAnsiTheme="minorHAnsi" w:cs="Arial"/>
                <w:b/>
                <w:sz w:val="18"/>
              </w:rPr>
              <w:lastRenderedPageBreak/>
              <w:t>Ковенанти</w:t>
            </w:r>
            <w:proofErr w:type="spellEnd"/>
          </w:p>
        </w:tc>
        <w:tc>
          <w:tcPr>
            <w:tcW w:w="6661" w:type="dxa"/>
            <w:tcBorders>
              <w:bottom w:val="dotted" w:sz="4" w:space="0" w:color="auto"/>
            </w:tcBorders>
            <w:shd w:val="clear" w:color="auto" w:fill="F2F2F2" w:themeFill="background1" w:themeFillShade="F2"/>
          </w:tcPr>
          <w:p w14:paraId="52259428" w14:textId="77777777" w:rsidR="00406F9B" w:rsidRDefault="00406F9B" w:rsidP="00406F9B">
            <w:pPr>
              <w:spacing w:before="120" w:after="120"/>
              <w:jc w:val="both"/>
              <w:rPr>
                <w:rFonts w:asciiTheme="minorHAnsi" w:hAnsiTheme="minorHAnsi"/>
                <w:sz w:val="18"/>
              </w:rPr>
            </w:pPr>
            <w:r w:rsidRPr="00406F9B">
              <w:rPr>
                <w:rFonts w:asciiTheme="minorHAnsi" w:hAnsiTheme="minorHAnsi"/>
                <w:b/>
                <w:sz w:val="18"/>
              </w:rPr>
              <w:t>Общи условия</w:t>
            </w:r>
            <w:r>
              <w:rPr>
                <w:rFonts w:asciiTheme="minorHAnsi" w:hAnsiTheme="minorHAnsi"/>
                <w:sz w:val="18"/>
              </w:rPr>
              <w:t>:</w:t>
            </w:r>
          </w:p>
          <w:p w14:paraId="06B1AAD6" w14:textId="77777777" w:rsidR="00406F9B" w:rsidRPr="00406F9B" w:rsidRDefault="00406F9B" w:rsidP="00406F9B">
            <w:pPr>
              <w:spacing w:before="120" w:after="120"/>
              <w:jc w:val="both"/>
              <w:rPr>
                <w:rFonts w:asciiTheme="minorHAnsi" w:hAnsiTheme="minorHAnsi"/>
                <w:sz w:val="18"/>
              </w:rPr>
            </w:pPr>
            <w:r>
              <w:rPr>
                <w:rFonts w:asciiTheme="minorHAnsi" w:hAnsiTheme="minorHAnsi"/>
                <w:b/>
                <w:sz w:val="18"/>
              </w:rPr>
              <w:t>1)</w:t>
            </w:r>
            <w:r w:rsidRPr="00406F9B">
              <w:rPr>
                <w:rFonts w:asciiTheme="minorHAnsi" w:hAnsiTheme="minorHAnsi"/>
                <w:sz w:val="18"/>
              </w:rPr>
              <w:tab/>
            </w:r>
            <w:r w:rsidRPr="00406F9B">
              <w:rPr>
                <w:rFonts w:asciiTheme="minorHAnsi" w:hAnsiTheme="minorHAnsi"/>
                <w:b/>
                <w:sz w:val="18"/>
              </w:rPr>
              <w:t>Бизнес комбинации</w:t>
            </w:r>
            <w:r w:rsidRPr="00406F9B">
              <w:rPr>
                <w:rFonts w:asciiTheme="minorHAnsi" w:hAnsiTheme="minorHAnsi"/>
                <w:sz w:val="18"/>
              </w:rPr>
              <w:t>: Емитентът няма право да предприема преобразуване под формата на сливане, вливане, разделяне, отделяне или друга подобна бизнес комбинация или реорганизация засягаща прехвърляне на (част от) активите и задълженията на Дружеството, ако такава трансакция ще има Съществен Негативен Ефект. Емитентът е длъжен да уведоми Довереника за всяка подобна планирана трансакция заедно с мотивирано обяснение защо тя няма да има Съществен Негативен Ефект.</w:t>
            </w:r>
          </w:p>
          <w:p w14:paraId="68F38139"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2)</w:t>
            </w:r>
            <w:r w:rsidRPr="00406F9B">
              <w:rPr>
                <w:rFonts w:asciiTheme="minorHAnsi" w:hAnsiTheme="minorHAnsi"/>
                <w:b/>
                <w:sz w:val="18"/>
              </w:rPr>
              <w:tab/>
              <w:t>Прекратяване и ликвидация</w:t>
            </w:r>
            <w:r w:rsidRPr="00406F9B">
              <w:rPr>
                <w:rFonts w:asciiTheme="minorHAnsi" w:hAnsiTheme="minorHAnsi"/>
                <w:sz w:val="18"/>
              </w:rPr>
              <w:t>: Емитентът няма право да прекратява дейността на Дружеството и да го ликвидира без преди това да е изплатил изцяло задълженията си по Облигационния заем.</w:t>
            </w:r>
          </w:p>
          <w:p w14:paraId="60B14B5C"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3)</w:t>
            </w:r>
            <w:r w:rsidRPr="00406F9B">
              <w:rPr>
                <w:rFonts w:asciiTheme="minorHAnsi" w:hAnsiTheme="minorHAnsi"/>
                <w:b/>
                <w:sz w:val="18"/>
              </w:rPr>
              <w:tab/>
              <w:t>Продажба на бизнеса:</w:t>
            </w:r>
            <w:r w:rsidRPr="00406F9B">
              <w:rPr>
                <w:rFonts w:asciiTheme="minorHAnsi" w:hAnsiTheme="minorHAnsi"/>
                <w:sz w:val="18"/>
              </w:rPr>
              <w:t xml:space="preserve"> Емитентът няма право да прехвърля и/или продава целият или съществена част от бизнеса и/или активите на Дружеството на трето лице, освен ако 1) трансакцията е на справедлива цена и 2) има предварително съгласие от Общото събрание на облигационерите на настоящата емисия.</w:t>
            </w:r>
          </w:p>
          <w:p w14:paraId="0CA4F898" w14:textId="77777777" w:rsidR="00406F9B" w:rsidRPr="00406F9B" w:rsidRDefault="00406F9B" w:rsidP="00406F9B">
            <w:pPr>
              <w:spacing w:before="120" w:after="120"/>
              <w:jc w:val="both"/>
              <w:rPr>
                <w:rFonts w:asciiTheme="minorHAnsi" w:hAnsiTheme="minorHAnsi"/>
                <w:sz w:val="18"/>
              </w:rPr>
            </w:pPr>
            <w:r w:rsidRPr="000C572B">
              <w:rPr>
                <w:rFonts w:asciiTheme="minorHAnsi" w:hAnsiTheme="minorHAnsi"/>
                <w:b/>
                <w:sz w:val="18"/>
              </w:rPr>
              <w:t>4)</w:t>
            </w:r>
            <w:r w:rsidRPr="00406F9B">
              <w:rPr>
                <w:rFonts w:asciiTheme="minorHAnsi" w:hAnsiTheme="minorHAnsi"/>
                <w:b/>
                <w:sz w:val="18"/>
              </w:rPr>
              <w:tab/>
              <w:t>Поемане на нов дълг</w:t>
            </w:r>
            <w:r w:rsidRPr="00406F9B">
              <w:rPr>
                <w:rFonts w:asciiTheme="minorHAnsi" w:hAnsiTheme="minorHAnsi"/>
                <w:sz w:val="18"/>
              </w:rPr>
              <w:t>: За срока на съществуване на настоящата емисия облигации, Емитентът няма право да издава емисия привилегировани облигации, нова емисия облигации с привилегирован режим на изплащане или да поема нов дълг с по-привилегирован режим на изплащане, обезпеченост и подчиненост от настоящата емисия без предварителното съгласие на Общото събрание на облигационерите от настоящата емисия.</w:t>
            </w:r>
          </w:p>
          <w:p w14:paraId="2FE18F79"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5)</w:t>
            </w:r>
            <w:r w:rsidRPr="00406F9B">
              <w:rPr>
                <w:rFonts w:asciiTheme="minorHAnsi" w:hAnsiTheme="minorHAnsi"/>
                <w:b/>
                <w:sz w:val="18"/>
              </w:rPr>
              <w:tab/>
            </w:r>
            <w:proofErr w:type="spellStart"/>
            <w:r w:rsidRPr="00406F9B">
              <w:rPr>
                <w:rFonts w:asciiTheme="minorHAnsi" w:hAnsiTheme="minorHAnsi"/>
                <w:b/>
                <w:sz w:val="18"/>
              </w:rPr>
              <w:t>Cross</w:t>
            </w:r>
            <w:proofErr w:type="spellEnd"/>
            <w:r w:rsidRPr="00406F9B">
              <w:rPr>
                <w:rFonts w:asciiTheme="minorHAnsi" w:hAnsiTheme="minorHAnsi"/>
                <w:b/>
                <w:sz w:val="18"/>
              </w:rPr>
              <w:t xml:space="preserve"> </w:t>
            </w:r>
            <w:proofErr w:type="spellStart"/>
            <w:r w:rsidRPr="00406F9B">
              <w:rPr>
                <w:rFonts w:asciiTheme="minorHAnsi" w:hAnsiTheme="minorHAnsi"/>
                <w:b/>
                <w:sz w:val="18"/>
              </w:rPr>
              <w:t>Default</w:t>
            </w:r>
            <w:proofErr w:type="spellEnd"/>
            <w:r w:rsidRPr="00406F9B">
              <w:rPr>
                <w:rFonts w:asciiTheme="minorHAnsi" w:hAnsiTheme="minorHAnsi"/>
                <w:b/>
                <w:sz w:val="18"/>
              </w:rPr>
              <w:t>:</w:t>
            </w:r>
            <w:r w:rsidRPr="00406F9B">
              <w:rPr>
                <w:rFonts w:asciiTheme="minorHAnsi" w:hAnsiTheme="minorHAnsi"/>
                <w:sz w:val="18"/>
              </w:rPr>
              <w:t xml:space="preserve"> При забава или невъзможност за плащане за повече от 15 /петнадесет/ дни на което и да е от текущите или бъдещите задължения на Емитента през живота на настоящата емисия облигации, Емитентът се задължава да предприеме действия, с които в срок от 20 /двадесет/ дни, считано от датата на изтичане на 15-дневния срок на забава, да изплати всички неразплатени и/или забавени задължения. В случай, че Емитентът не успее да направи това, облигационерите, които притежават облигации от настоящата емисия имат право да изискат предсрочното изплащане на остатъчната главница на 100% от номинала й и натрупаната за периода лихва по облигациите.</w:t>
            </w:r>
          </w:p>
          <w:p w14:paraId="7B49EDE5"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6)</w:t>
            </w:r>
            <w:r w:rsidRPr="00406F9B">
              <w:rPr>
                <w:rFonts w:asciiTheme="minorHAnsi" w:hAnsiTheme="minorHAnsi"/>
                <w:b/>
                <w:sz w:val="18"/>
              </w:rPr>
              <w:tab/>
              <w:t>Сделки със свързани лица:</w:t>
            </w:r>
            <w:r w:rsidRPr="00406F9B">
              <w:rPr>
                <w:rFonts w:asciiTheme="minorHAnsi" w:hAnsiTheme="minorHAnsi"/>
                <w:sz w:val="18"/>
              </w:rPr>
              <w:t xml:space="preserve"> Емитентът няма право да сключва, директно или индиректно, сделки с основните акционери и свързани с тях лица освен ако тези сделки са свързани с обичайната му дейност и условията по тях не се различават съществено от пазарните. Емитентът няма право да изплаща задължения към свързани с основните акционери лица до настъпването на падежа на настоящата облигационна емисия, освен при преструктуриране на същите между свързани лица или трети лица, които трети лица са одобрени от Облигационерите. </w:t>
            </w:r>
          </w:p>
          <w:p w14:paraId="5E385B55"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7)</w:t>
            </w:r>
            <w:r w:rsidRPr="00406F9B">
              <w:rPr>
                <w:rFonts w:asciiTheme="minorHAnsi" w:hAnsiTheme="minorHAnsi"/>
                <w:b/>
                <w:sz w:val="18"/>
              </w:rPr>
              <w:tab/>
              <w:t>Отчетност:</w:t>
            </w:r>
            <w:r w:rsidRPr="00406F9B">
              <w:rPr>
                <w:rFonts w:asciiTheme="minorHAnsi" w:hAnsiTheme="minorHAnsi"/>
                <w:sz w:val="18"/>
              </w:rPr>
              <w:t xml:space="preserve"> Емитентът е длъжен да изготвя годишни и междинни финансови отчети съгласно разпоредбите на чл. 100н-100о1 от ЗППЦК и да ги оповестява на своята интернет страница, както и до комисията и обществеността съгласно чл. 100т, 100ф, 100х и 100ц от ЗППЦК.</w:t>
            </w:r>
          </w:p>
          <w:p w14:paraId="3314B082"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8)</w:t>
            </w:r>
            <w:r w:rsidRPr="00406F9B">
              <w:rPr>
                <w:rFonts w:asciiTheme="minorHAnsi" w:hAnsiTheme="minorHAnsi"/>
                <w:b/>
                <w:sz w:val="18"/>
              </w:rPr>
              <w:tab/>
              <w:t>Сметки:</w:t>
            </w:r>
            <w:r w:rsidRPr="00406F9B">
              <w:rPr>
                <w:rFonts w:asciiTheme="minorHAnsi" w:hAnsiTheme="minorHAnsi"/>
                <w:sz w:val="18"/>
              </w:rPr>
              <w:t xml:space="preserve"> Емитентът се задължава да предоставя на Довереника ежемесечно списък на своите банкови и платежни сметки, както и да предоставя отчет за движението на средства по сметките, по които е титуляр за всяко тримесечие. Емитентът се задължава да предостави на Довереника ежемесечно справка за наличностите и движението на сметките по които е титуляр в „</w:t>
            </w:r>
            <w:proofErr w:type="spellStart"/>
            <w:r w:rsidRPr="00406F9B">
              <w:rPr>
                <w:rFonts w:asciiTheme="minorHAnsi" w:hAnsiTheme="minorHAnsi"/>
                <w:sz w:val="18"/>
              </w:rPr>
              <w:t>Изипей</w:t>
            </w:r>
            <w:proofErr w:type="spellEnd"/>
            <w:r w:rsidRPr="00406F9B">
              <w:rPr>
                <w:rFonts w:asciiTheme="minorHAnsi" w:hAnsiTheme="minorHAnsi"/>
                <w:sz w:val="18"/>
              </w:rPr>
              <w:t xml:space="preserve">“ АД. При </w:t>
            </w:r>
            <w:r w:rsidRPr="00406F9B">
              <w:rPr>
                <w:rFonts w:asciiTheme="minorHAnsi" w:hAnsiTheme="minorHAnsi"/>
                <w:sz w:val="18"/>
              </w:rPr>
              <w:lastRenderedPageBreak/>
              <w:t>наличие на техническа възможност, Емитентът осигурява на Довереника „пасивен“ достъп/възможност сам да следи движението по сметки по горното изречение.</w:t>
            </w:r>
          </w:p>
          <w:p w14:paraId="3BC442E5"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9)</w:t>
            </w:r>
            <w:r w:rsidRPr="00406F9B">
              <w:rPr>
                <w:rFonts w:asciiTheme="minorHAnsi" w:hAnsiTheme="minorHAnsi"/>
                <w:b/>
                <w:sz w:val="18"/>
              </w:rPr>
              <w:tab/>
              <w:t>Достъп:</w:t>
            </w:r>
            <w:r w:rsidRPr="00406F9B">
              <w:rPr>
                <w:rFonts w:asciiTheme="minorHAnsi" w:hAnsiTheme="minorHAnsi"/>
                <w:sz w:val="18"/>
              </w:rPr>
              <w:t xml:space="preserve"> Емитентът се задължава да осигурява достъп на Довереника по всяко време да извършва оглед на място на имуществото и вземанията – предмет на обезпечението. За оглед на имуществото Довереникът на облигационерите следва да уведоми Емитента най-малко три дни преди планираната дата на огледа. Емитентът се задължава да осигури непрекъснат „пасивен“ достъп до цялата документация (вкл., кредитни досиета и др.) свързана с вземанията, служещи за обезпечение на настоящата емисия облигации.</w:t>
            </w:r>
          </w:p>
          <w:p w14:paraId="73471298"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10)</w:t>
            </w:r>
            <w:r w:rsidRPr="00406F9B">
              <w:rPr>
                <w:rFonts w:asciiTheme="minorHAnsi" w:hAnsiTheme="minorHAnsi"/>
                <w:b/>
                <w:sz w:val="18"/>
              </w:rPr>
              <w:tab/>
              <w:t>Промяна в контрола:</w:t>
            </w:r>
            <w:r w:rsidRPr="00406F9B">
              <w:rPr>
                <w:rFonts w:asciiTheme="minorHAnsi" w:hAnsiTheme="minorHAnsi"/>
                <w:sz w:val="18"/>
              </w:rPr>
              <w:t xml:space="preserve"> Акционер няма право без изричното решение на Общото събрание на облигационерите (ОСО) на Емитента, да продава (купува) пряко или косвено (посредством други свързани с него лица) акции, които намаляват (увеличават) неговото участие в капитала на Емитента в размер, надвишаващ 50% /петдесет процента/ от всички акции с право на глас от капитала на Дружеството. Решение по горното изречение се приема от ОСО, на което са присъствали не по-малко от две трети от издадените облигации, с мнозинство не по-малко от три четвърти от представените облигации, съгласно чл. 100б, ал. 4 от ЗППЦК.</w:t>
            </w:r>
          </w:p>
          <w:p w14:paraId="08A15565"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sz w:val="18"/>
              </w:rPr>
              <w:t>Съветът на директорите на „АЙ ТИ ЕФ Груп“ АД уведомява Довереника за наличието на акционер по горния параграф с искане в срок от 3 /три/ дни от получаване на уведомлението да свиква Общо събрание на облигационерите.</w:t>
            </w:r>
          </w:p>
          <w:p w14:paraId="3055C70E"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sz w:val="18"/>
              </w:rPr>
              <w:t>Облигационер гласувал „Против“ решението акционер да намали (увеличи) участието си в капитала на Дружеството в размер, надвишаващ 50% /петдесет процента/ от всички поименни акции с право на глас, има право в срок от 30 /тридесет дни/ от ОСО да предяви държаните от него облигации за обратно изкупуване от Дружеството.</w:t>
            </w:r>
          </w:p>
          <w:p w14:paraId="65C222E0"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sz w:val="18"/>
              </w:rPr>
              <w:t>В случай на промяна на контрола върху “АЙ ТИ ЕФ Груп“ АД, без изричното одобрение на ОСО по реда описан по-горе, емисията става предсрочно изискуема след решение на ОСО по реда на т. 4.6.11 от настоящия Документ.</w:t>
            </w:r>
          </w:p>
          <w:p w14:paraId="63C0CD74"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11)</w:t>
            </w:r>
            <w:r w:rsidRPr="00406F9B">
              <w:rPr>
                <w:rFonts w:asciiTheme="minorHAnsi" w:hAnsiTheme="minorHAnsi"/>
                <w:b/>
                <w:sz w:val="18"/>
              </w:rPr>
              <w:tab/>
              <w:t>Приемане за търговия</w:t>
            </w:r>
            <w:r w:rsidRPr="00406F9B">
              <w:rPr>
                <w:rFonts w:asciiTheme="minorHAnsi" w:hAnsiTheme="minorHAnsi"/>
                <w:sz w:val="18"/>
              </w:rPr>
              <w:t>: Емитентът се задължава да осигури допускането на облигациите от тази емисия до търговия на регулиран пазар на ценни книжа до 12 /дванадесет/ месеца от датата на емитирането им.</w:t>
            </w:r>
          </w:p>
          <w:p w14:paraId="7696D26C"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12)</w:t>
            </w:r>
            <w:r w:rsidRPr="00406F9B">
              <w:rPr>
                <w:rFonts w:asciiTheme="minorHAnsi" w:hAnsiTheme="minorHAnsi"/>
                <w:b/>
                <w:sz w:val="18"/>
              </w:rPr>
              <w:tab/>
              <w:t>Пазарна оценка на имотите служещи за обезпечение на облигациите:</w:t>
            </w:r>
            <w:r w:rsidRPr="00406F9B">
              <w:rPr>
                <w:rFonts w:asciiTheme="minorHAnsi" w:hAnsiTheme="minorHAnsi"/>
                <w:sz w:val="18"/>
              </w:rPr>
              <w:t xml:space="preserve"> Емитентът се задължава при учредяване на обезпеченията, както и най-малко един път годишно и при поискване от страна на Довереника и изцяло за своя сметка, да представя актуални пазарни оценки на имотите, предоставени като обезпечение. За актуални ще се считат оценки, направени през предходните 6 (шест) месеца. Пазарната оценка на имотите трябва да бъде изготвена от лицензиран независим оценител, отговарящ на изискванията на закона за независимите оценители, избран от Емитента от списък с независими оценителя предоставен от Облигационерите.</w:t>
            </w:r>
          </w:p>
          <w:p w14:paraId="13138009" w14:textId="77777777" w:rsidR="000C572B" w:rsidRDefault="000C572B" w:rsidP="00406F9B">
            <w:pPr>
              <w:spacing w:before="120" w:after="120"/>
              <w:jc w:val="both"/>
              <w:rPr>
                <w:rFonts w:asciiTheme="minorHAnsi" w:hAnsiTheme="minorHAnsi"/>
                <w:b/>
                <w:sz w:val="18"/>
              </w:rPr>
            </w:pPr>
          </w:p>
          <w:p w14:paraId="6E23840D" w14:textId="77777777" w:rsidR="00406F9B" w:rsidRPr="00406F9B" w:rsidRDefault="00406F9B" w:rsidP="00406F9B">
            <w:pPr>
              <w:spacing w:before="120" w:after="120"/>
              <w:jc w:val="both"/>
              <w:rPr>
                <w:rFonts w:asciiTheme="minorHAnsi" w:hAnsiTheme="minorHAnsi"/>
                <w:b/>
                <w:sz w:val="18"/>
              </w:rPr>
            </w:pPr>
            <w:r w:rsidRPr="00406F9B">
              <w:rPr>
                <w:rFonts w:asciiTheme="minorHAnsi" w:hAnsiTheme="minorHAnsi"/>
                <w:b/>
                <w:sz w:val="18"/>
              </w:rPr>
              <w:t>Финансови условия:</w:t>
            </w:r>
          </w:p>
          <w:p w14:paraId="638DDC0F"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1)</w:t>
            </w:r>
            <w:r w:rsidRPr="00406F9B">
              <w:rPr>
                <w:rFonts w:asciiTheme="minorHAnsi" w:hAnsiTheme="minorHAnsi"/>
                <w:b/>
                <w:sz w:val="18"/>
              </w:rPr>
              <w:tab/>
              <w:t xml:space="preserve">Максимално съотношение Пасиви към Активи: </w:t>
            </w:r>
            <w:r w:rsidRPr="00406F9B">
              <w:rPr>
                <w:rFonts w:asciiTheme="minorHAnsi" w:hAnsiTheme="minorHAnsi"/>
                <w:sz w:val="18"/>
              </w:rPr>
              <w:t>Емитентът следва да поддържа максимално съотношение на Пасиви към Активи /на база счетоводна стойност/ от 31 декември 2019 г. включително до падежа на облигациите от не повече от 80%. Изпълнението на това задължение се удостоверява от Емитента с тримесечна писмена справка, извлечена от счетоводната си система с необходимата информация за изчисляване на съотношението, от която да е видно спазването на този ангажимент.</w:t>
            </w:r>
          </w:p>
          <w:p w14:paraId="544016AC" w14:textId="77777777" w:rsidR="00406F9B" w:rsidRPr="00406F9B" w:rsidRDefault="00406F9B" w:rsidP="00406F9B">
            <w:pPr>
              <w:spacing w:before="120" w:after="120"/>
              <w:jc w:val="both"/>
              <w:rPr>
                <w:rFonts w:asciiTheme="minorHAnsi" w:hAnsiTheme="minorHAnsi"/>
                <w:sz w:val="18"/>
              </w:rPr>
            </w:pPr>
            <w:r w:rsidRPr="00406F9B">
              <w:rPr>
                <w:rFonts w:asciiTheme="minorHAnsi" w:hAnsiTheme="minorHAnsi"/>
                <w:b/>
                <w:sz w:val="18"/>
              </w:rPr>
              <w:t>2)</w:t>
            </w:r>
            <w:r w:rsidRPr="00406F9B">
              <w:rPr>
                <w:rFonts w:asciiTheme="minorHAnsi" w:hAnsiTheme="minorHAnsi"/>
                <w:b/>
                <w:sz w:val="18"/>
              </w:rPr>
              <w:tab/>
              <w:t>Минимален коефициент на покритие на лихвите:</w:t>
            </w:r>
            <w:r w:rsidRPr="00406F9B">
              <w:rPr>
                <w:rFonts w:asciiTheme="minorHAnsi" w:hAnsiTheme="minorHAnsi"/>
                <w:sz w:val="18"/>
              </w:rPr>
              <w:t xml:space="preserve"> Емитентът следва да поддържа минимален коефициент на покритие на лихвите /съотношение на оперативната печалба увеличена с размера на лихвите към лихвите/ от 31 декември 2019 включително до падежа на облигациите от не по-малко от 200%. Изпълнението </w:t>
            </w:r>
            <w:r w:rsidRPr="00406F9B">
              <w:rPr>
                <w:rFonts w:asciiTheme="minorHAnsi" w:hAnsiTheme="minorHAnsi"/>
                <w:sz w:val="18"/>
              </w:rPr>
              <w:lastRenderedPageBreak/>
              <w:t>на това задължение се удостоверява от Емитента с тримесечна писмена справка, извлечена от счетоводната си система с необходимата информация за изчисляване на съотношението, от която да е видно спазването на този ангажимент.</w:t>
            </w:r>
          </w:p>
          <w:p w14:paraId="39B29B8D" w14:textId="77777777" w:rsidR="00582AA3" w:rsidRPr="00582AA3" w:rsidRDefault="00406F9B" w:rsidP="00406F9B">
            <w:pPr>
              <w:spacing w:before="120" w:after="120"/>
              <w:jc w:val="both"/>
              <w:rPr>
                <w:rFonts w:asciiTheme="minorHAnsi" w:hAnsiTheme="minorHAnsi"/>
                <w:sz w:val="18"/>
              </w:rPr>
            </w:pPr>
            <w:r w:rsidRPr="00406F9B">
              <w:rPr>
                <w:rFonts w:asciiTheme="minorHAnsi" w:hAnsiTheme="minorHAnsi"/>
                <w:b/>
                <w:sz w:val="18"/>
              </w:rPr>
              <w:t>3)</w:t>
            </w:r>
            <w:r w:rsidRPr="00406F9B">
              <w:rPr>
                <w:rFonts w:asciiTheme="minorHAnsi" w:hAnsiTheme="minorHAnsi"/>
                <w:b/>
                <w:sz w:val="18"/>
              </w:rPr>
              <w:tab/>
              <w:t>Минимален размер на обезпечението:</w:t>
            </w:r>
            <w:r w:rsidRPr="00406F9B">
              <w:rPr>
                <w:rFonts w:asciiTheme="minorHAnsi" w:hAnsiTheme="minorHAnsi"/>
                <w:sz w:val="18"/>
              </w:rPr>
              <w:t xml:space="preserve"> Емитентът следва да поддържа коефициент размер на </w:t>
            </w:r>
            <w:proofErr w:type="spellStart"/>
            <w:r w:rsidRPr="00406F9B">
              <w:rPr>
                <w:rFonts w:asciiTheme="minorHAnsi" w:hAnsiTheme="minorHAnsi"/>
                <w:sz w:val="18"/>
              </w:rPr>
              <w:t>неамортизирания</w:t>
            </w:r>
            <w:proofErr w:type="spellEnd"/>
            <w:r w:rsidRPr="00406F9B">
              <w:rPr>
                <w:rFonts w:asciiTheme="minorHAnsi" w:hAnsiTheme="minorHAnsi"/>
                <w:sz w:val="18"/>
              </w:rPr>
              <w:t xml:space="preserve"> облигационния заем към стойността на обезпечението (LTV) ≤ 80% през целия срок на емисията. Съгласно чл. 100ж, ал. 2, т. 2 от ЗППЦК, при установяване на нарушение на този коефициент, Довереникът е длъжен да уведоми Емитента и да поиска от последния да допълни обезпечението. В този случай, Емитентът ще разполага с 30 дни да възстанови нивото на коефициента чрез предоставяне на допълнително обезпечение от същия вид, като първоначално допустимите обезпечения по емисията. За целите на изчисляване на коефициента минимален размер на обезпечението (LTV) следва да се използва последната изготвена актуална оценка на обезпечението.</w:t>
            </w:r>
          </w:p>
        </w:tc>
      </w:tr>
      <w:tr w:rsidR="00C43ECE" w:rsidRPr="00582AA3" w14:paraId="5F7BD4CE" w14:textId="77777777" w:rsidTr="00C43ECE">
        <w:tc>
          <w:tcPr>
            <w:tcW w:w="2411" w:type="dxa"/>
            <w:tcBorders>
              <w:bottom w:val="dotted" w:sz="4" w:space="0" w:color="auto"/>
            </w:tcBorders>
            <w:shd w:val="clear" w:color="auto" w:fill="FFFFFF" w:themeFill="background1"/>
          </w:tcPr>
          <w:p w14:paraId="50B5D516" w14:textId="77777777" w:rsidR="00C43ECE" w:rsidRPr="00582AA3" w:rsidRDefault="00C43ECE" w:rsidP="00C43ECE">
            <w:pPr>
              <w:spacing w:before="120" w:after="120"/>
              <w:rPr>
                <w:rFonts w:asciiTheme="minorHAnsi" w:hAnsiTheme="minorHAnsi" w:cs="Arial"/>
                <w:b/>
                <w:sz w:val="18"/>
              </w:rPr>
            </w:pPr>
            <w:r>
              <w:rPr>
                <w:rFonts w:asciiTheme="minorHAnsi" w:hAnsiTheme="minorHAnsi" w:cs="Arial"/>
                <w:b/>
                <w:sz w:val="18"/>
              </w:rPr>
              <w:lastRenderedPageBreak/>
              <w:t>Регистрация на емисията и Агент по плащанията</w:t>
            </w:r>
          </w:p>
        </w:tc>
        <w:tc>
          <w:tcPr>
            <w:tcW w:w="6661" w:type="dxa"/>
            <w:tcBorders>
              <w:bottom w:val="dotted" w:sz="4" w:space="0" w:color="auto"/>
            </w:tcBorders>
            <w:shd w:val="clear" w:color="auto" w:fill="FFFFFF" w:themeFill="background1"/>
          </w:tcPr>
          <w:p w14:paraId="6ABC93B7" w14:textId="77777777" w:rsidR="00C43ECE" w:rsidRPr="00582AA3" w:rsidRDefault="00C43ECE" w:rsidP="00C43ECE">
            <w:pPr>
              <w:spacing w:before="120" w:after="120"/>
              <w:jc w:val="both"/>
              <w:rPr>
                <w:rFonts w:asciiTheme="minorHAnsi" w:hAnsiTheme="minorHAnsi"/>
                <w:sz w:val="18"/>
              </w:rPr>
            </w:pPr>
            <w:r>
              <w:rPr>
                <w:rFonts w:asciiTheme="minorHAnsi" w:hAnsiTheme="minorHAnsi"/>
                <w:sz w:val="18"/>
              </w:rPr>
              <w:t>Емисията е регистрирана в „Централен депозитар“ АД на 20.11.2019 г.</w:t>
            </w:r>
          </w:p>
        </w:tc>
      </w:tr>
      <w:tr w:rsidR="00C43ECE" w:rsidRPr="00582AA3" w14:paraId="4FAEC90F" w14:textId="77777777" w:rsidTr="00C43ECE">
        <w:tc>
          <w:tcPr>
            <w:tcW w:w="2411" w:type="dxa"/>
            <w:tcBorders>
              <w:bottom w:val="single" w:sz="4" w:space="0" w:color="auto"/>
            </w:tcBorders>
            <w:shd w:val="clear" w:color="auto" w:fill="F2F2F2" w:themeFill="background1" w:themeFillShade="F2"/>
          </w:tcPr>
          <w:p w14:paraId="2C9FD04F" w14:textId="77777777" w:rsidR="00C43ECE" w:rsidRPr="00582AA3" w:rsidRDefault="00C43ECE" w:rsidP="00C43ECE">
            <w:pPr>
              <w:spacing w:before="120" w:after="120"/>
              <w:rPr>
                <w:rFonts w:asciiTheme="minorHAnsi" w:hAnsiTheme="minorHAnsi" w:cs="Arial"/>
                <w:b/>
                <w:sz w:val="18"/>
              </w:rPr>
            </w:pPr>
            <w:r>
              <w:rPr>
                <w:rFonts w:asciiTheme="minorHAnsi" w:hAnsiTheme="minorHAnsi" w:cs="Arial"/>
                <w:b/>
                <w:sz w:val="18"/>
              </w:rPr>
              <w:t>Допускане до търговия на регулиран пазар</w:t>
            </w:r>
          </w:p>
        </w:tc>
        <w:tc>
          <w:tcPr>
            <w:tcW w:w="6661" w:type="dxa"/>
            <w:tcBorders>
              <w:bottom w:val="single" w:sz="4" w:space="0" w:color="auto"/>
            </w:tcBorders>
            <w:shd w:val="clear" w:color="auto" w:fill="F2F2F2" w:themeFill="background1" w:themeFillShade="F2"/>
          </w:tcPr>
          <w:p w14:paraId="0A0728A4" w14:textId="77777777" w:rsidR="00C43ECE" w:rsidRPr="000F6BE3" w:rsidRDefault="00C43ECE" w:rsidP="00C43ECE">
            <w:pPr>
              <w:spacing w:before="120" w:after="120"/>
              <w:jc w:val="both"/>
              <w:rPr>
                <w:rFonts w:asciiTheme="minorHAnsi" w:hAnsiTheme="minorHAnsi"/>
                <w:sz w:val="18"/>
              </w:rPr>
            </w:pPr>
            <w:r>
              <w:rPr>
                <w:rFonts w:asciiTheme="minorHAnsi" w:hAnsiTheme="minorHAnsi"/>
                <w:sz w:val="18"/>
              </w:rPr>
              <w:t xml:space="preserve">Емисията е регистрирана за търговия на БФБ (Пазарен сегмент облигации MIC: ZBUL) с решение №29/22.05.2020 г. на СД на БФБ, след одобрение с </w:t>
            </w:r>
            <w:r w:rsidRPr="008616E7">
              <w:rPr>
                <w:rFonts w:asciiTheme="minorHAnsi" w:hAnsiTheme="minorHAnsi"/>
                <w:sz w:val="18"/>
              </w:rPr>
              <w:t xml:space="preserve">решение № 337-Е </w:t>
            </w:r>
            <w:r>
              <w:rPr>
                <w:rFonts w:asciiTheme="minorHAnsi" w:hAnsiTheme="minorHAnsi"/>
                <w:sz w:val="18"/>
              </w:rPr>
              <w:t xml:space="preserve">на КФН </w:t>
            </w:r>
            <w:r w:rsidRPr="008616E7">
              <w:rPr>
                <w:rFonts w:asciiTheme="minorHAnsi" w:hAnsiTheme="minorHAnsi"/>
                <w:sz w:val="18"/>
              </w:rPr>
              <w:t>от 19.05.2020 г.</w:t>
            </w:r>
            <w:r>
              <w:rPr>
                <w:rFonts w:asciiTheme="minorHAnsi" w:hAnsiTheme="minorHAnsi"/>
                <w:sz w:val="18"/>
              </w:rPr>
              <w:t xml:space="preserve"> на Проспект за допускане до търговия на регулиран пазар на емисия обезпечени корпоративни облигации.</w:t>
            </w:r>
          </w:p>
        </w:tc>
      </w:tr>
    </w:tbl>
    <w:p w14:paraId="7F64281A" w14:textId="77777777" w:rsidR="00582AA3" w:rsidRDefault="00582AA3" w:rsidP="00B6316D">
      <w:pPr>
        <w:jc w:val="both"/>
        <w:rPr>
          <w:rFonts w:asciiTheme="minorHAnsi" w:hAnsiTheme="minorHAnsi"/>
          <w:b/>
        </w:rPr>
      </w:pPr>
    </w:p>
    <w:p w14:paraId="40635D9D" w14:textId="77777777" w:rsidR="00582AA3" w:rsidRDefault="00582AA3" w:rsidP="00B6316D">
      <w:pPr>
        <w:jc w:val="both"/>
        <w:rPr>
          <w:rFonts w:asciiTheme="minorHAnsi" w:hAnsiTheme="minorHAnsi"/>
          <w:b/>
        </w:rPr>
      </w:pPr>
    </w:p>
    <w:p w14:paraId="3F0B26BA" w14:textId="77777777" w:rsidR="00582AA3" w:rsidRDefault="00582AA3" w:rsidP="00B6316D">
      <w:pPr>
        <w:jc w:val="both"/>
        <w:rPr>
          <w:rFonts w:asciiTheme="minorHAnsi" w:hAnsiTheme="minorHAnsi"/>
          <w:b/>
        </w:rPr>
      </w:pPr>
    </w:p>
    <w:p w14:paraId="29D98D7B" w14:textId="77777777" w:rsidR="00C76F94" w:rsidRDefault="00C76F94" w:rsidP="00B6316D">
      <w:pPr>
        <w:jc w:val="both"/>
        <w:rPr>
          <w:rFonts w:asciiTheme="minorHAnsi" w:hAnsiTheme="minorHAnsi"/>
          <w:b/>
        </w:rPr>
      </w:pPr>
    </w:p>
    <w:p w14:paraId="1A156E58" w14:textId="77777777" w:rsidR="00C76F94" w:rsidRDefault="00C76F94" w:rsidP="00B6316D">
      <w:pPr>
        <w:jc w:val="both"/>
        <w:rPr>
          <w:rFonts w:asciiTheme="minorHAnsi" w:hAnsiTheme="minorHAnsi"/>
          <w:b/>
        </w:rPr>
      </w:pPr>
    </w:p>
    <w:p w14:paraId="4336E476" w14:textId="77777777" w:rsidR="00C76F94" w:rsidRDefault="00C76F94" w:rsidP="00B6316D">
      <w:pPr>
        <w:jc w:val="both"/>
        <w:rPr>
          <w:rFonts w:asciiTheme="minorHAnsi" w:hAnsiTheme="minorHAnsi"/>
          <w:b/>
        </w:rPr>
      </w:pPr>
    </w:p>
    <w:p w14:paraId="2BE74914" w14:textId="77777777" w:rsidR="00C76F94" w:rsidRDefault="00C76F94" w:rsidP="00B6316D">
      <w:pPr>
        <w:jc w:val="both"/>
        <w:rPr>
          <w:rFonts w:asciiTheme="minorHAnsi" w:hAnsiTheme="minorHAnsi"/>
          <w:b/>
        </w:rPr>
      </w:pPr>
    </w:p>
    <w:p w14:paraId="62EB3F4F" w14:textId="77777777" w:rsidR="00C76F94" w:rsidRDefault="00C76F94" w:rsidP="00B6316D">
      <w:pPr>
        <w:jc w:val="both"/>
        <w:rPr>
          <w:rFonts w:asciiTheme="minorHAnsi" w:hAnsiTheme="minorHAnsi"/>
          <w:b/>
        </w:rPr>
      </w:pPr>
    </w:p>
    <w:p w14:paraId="75E898A1" w14:textId="77777777" w:rsidR="00C76F94" w:rsidRDefault="00C76F94" w:rsidP="00B6316D">
      <w:pPr>
        <w:jc w:val="both"/>
        <w:rPr>
          <w:rFonts w:asciiTheme="minorHAnsi" w:hAnsiTheme="minorHAnsi"/>
          <w:b/>
        </w:rPr>
      </w:pPr>
    </w:p>
    <w:p w14:paraId="77345E02" w14:textId="77777777" w:rsidR="00C76F94" w:rsidRDefault="00C76F94" w:rsidP="00B6316D">
      <w:pPr>
        <w:jc w:val="both"/>
        <w:rPr>
          <w:rFonts w:asciiTheme="minorHAnsi" w:hAnsiTheme="minorHAnsi"/>
          <w:b/>
        </w:rPr>
      </w:pPr>
    </w:p>
    <w:p w14:paraId="2F0766F1" w14:textId="77777777" w:rsidR="00C76F94" w:rsidRDefault="00C76F94" w:rsidP="00B6316D">
      <w:pPr>
        <w:jc w:val="both"/>
        <w:rPr>
          <w:rFonts w:asciiTheme="minorHAnsi" w:hAnsiTheme="minorHAnsi"/>
          <w:b/>
        </w:rPr>
      </w:pPr>
    </w:p>
    <w:p w14:paraId="4A04FAE6" w14:textId="77777777" w:rsidR="00C76F94" w:rsidRDefault="00C76F94" w:rsidP="00B6316D">
      <w:pPr>
        <w:jc w:val="both"/>
        <w:rPr>
          <w:rFonts w:asciiTheme="minorHAnsi" w:hAnsiTheme="minorHAnsi"/>
          <w:b/>
        </w:rPr>
      </w:pPr>
    </w:p>
    <w:p w14:paraId="3C1A311B" w14:textId="77777777" w:rsidR="00C76F94" w:rsidRDefault="00C76F94" w:rsidP="00B6316D">
      <w:pPr>
        <w:jc w:val="both"/>
        <w:rPr>
          <w:rFonts w:asciiTheme="minorHAnsi" w:hAnsiTheme="minorHAnsi"/>
          <w:b/>
        </w:rPr>
      </w:pPr>
    </w:p>
    <w:p w14:paraId="53DAB3B2" w14:textId="77777777" w:rsidR="00C76F94" w:rsidRDefault="00C76F94" w:rsidP="00B6316D">
      <w:pPr>
        <w:jc w:val="both"/>
        <w:rPr>
          <w:rFonts w:asciiTheme="minorHAnsi" w:hAnsiTheme="minorHAnsi"/>
          <w:b/>
        </w:rPr>
      </w:pPr>
    </w:p>
    <w:p w14:paraId="082C9A2B" w14:textId="77777777" w:rsidR="00C76F94" w:rsidRDefault="00C76F94" w:rsidP="00B6316D">
      <w:pPr>
        <w:jc w:val="both"/>
        <w:rPr>
          <w:rFonts w:asciiTheme="minorHAnsi" w:hAnsiTheme="minorHAnsi"/>
          <w:b/>
        </w:rPr>
      </w:pPr>
    </w:p>
    <w:p w14:paraId="322329AE" w14:textId="77777777" w:rsidR="00D971C2" w:rsidRDefault="00D971C2" w:rsidP="00B6316D">
      <w:pPr>
        <w:jc w:val="both"/>
        <w:rPr>
          <w:rFonts w:asciiTheme="minorHAnsi" w:hAnsiTheme="minorHAnsi"/>
          <w:b/>
        </w:rPr>
      </w:pPr>
    </w:p>
    <w:p w14:paraId="0A02CBAF" w14:textId="77777777" w:rsidR="00D971C2" w:rsidRDefault="00D971C2" w:rsidP="00B6316D">
      <w:pPr>
        <w:jc w:val="both"/>
        <w:rPr>
          <w:rFonts w:asciiTheme="minorHAnsi" w:hAnsiTheme="minorHAnsi"/>
          <w:b/>
        </w:rPr>
      </w:pPr>
    </w:p>
    <w:p w14:paraId="284CB964" w14:textId="77777777" w:rsidR="00A27694" w:rsidRDefault="00A27694" w:rsidP="00B6316D">
      <w:pPr>
        <w:jc w:val="both"/>
        <w:rPr>
          <w:rFonts w:asciiTheme="minorHAnsi" w:hAnsiTheme="minorHAnsi"/>
          <w:sz w:val="22"/>
        </w:rPr>
      </w:pPr>
    </w:p>
    <w:p w14:paraId="2270E960" w14:textId="77777777" w:rsidR="00A27694" w:rsidRDefault="00A27694" w:rsidP="00B6316D">
      <w:pPr>
        <w:jc w:val="both"/>
        <w:rPr>
          <w:rFonts w:asciiTheme="minorHAnsi" w:hAnsiTheme="minorHAnsi"/>
          <w:sz w:val="22"/>
        </w:rPr>
      </w:pPr>
    </w:p>
    <w:p w14:paraId="60B5DC9E" w14:textId="77777777" w:rsidR="00A27694" w:rsidRDefault="00A27694" w:rsidP="00B6316D">
      <w:pPr>
        <w:jc w:val="both"/>
        <w:rPr>
          <w:rFonts w:asciiTheme="minorHAnsi" w:hAnsiTheme="minorHAnsi"/>
          <w:sz w:val="22"/>
        </w:rPr>
      </w:pPr>
    </w:p>
    <w:p w14:paraId="6A24CB14" w14:textId="77777777" w:rsidR="007E16BD" w:rsidRDefault="007E16BD" w:rsidP="00B6316D">
      <w:pPr>
        <w:jc w:val="both"/>
        <w:rPr>
          <w:rFonts w:asciiTheme="minorHAnsi" w:hAnsiTheme="minorHAnsi"/>
          <w:sz w:val="22"/>
        </w:rPr>
      </w:pPr>
    </w:p>
    <w:p w14:paraId="208FC105" w14:textId="77777777" w:rsidR="007E16BD" w:rsidRDefault="007E16BD" w:rsidP="00B6316D">
      <w:pPr>
        <w:jc w:val="both"/>
        <w:rPr>
          <w:rFonts w:asciiTheme="minorHAnsi" w:hAnsiTheme="minorHAnsi"/>
          <w:sz w:val="22"/>
        </w:rPr>
      </w:pPr>
    </w:p>
    <w:p w14:paraId="3BDD83F2" w14:textId="77777777" w:rsidR="00B6316D" w:rsidRPr="007E16BD" w:rsidRDefault="004A5156" w:rsidP="007E16BD">
      <w:pPr>
        <w:spacing w:before="240"/>
        <w:ind w:right="566"/>
        <w:jc w:val="both"/>
        <w:rPr>
          <w:rFonts w:asciiTheme="minorHAnsi" w:hAnsiTheme="minorHAnsi"/>
          <w:sz w:val="20"/>
        </w:rPr>
      </w:pPr>
      <w:r w:rsidRPr="007E16BD">
        <w:rPr>
          <w:rFonts w:asciiTheme="minorHAnsi" w:hAnsiTheme="minorHAnsi"/>
          <w:sz w:val="20"/>
        </w:rPr>
        <w:lastRenderedPageBreak/>
        <w:t xml:space="preserve">Настоящият доклад е изготвен в съответствие с изискванията на чл. 100ж, ал. 1, т. 3 от Закона за публичното предлагане на ценни книжа, в изпълнение на задълженията на ЕЛАНА трейдинг АД в качеството си на Довереник на облигационерите по първа емисия корпоративни облигации, издадени от „Ай Ти Еф Груп“ АД на 15.11.2019 г. </w:t>
      </w:r>
    </w:p>
    <w:p w14:paraId="3C1BBFFE" w14:textId="77777777" w:rsidR="004A5156" w:rsidRPr="007E16BD" w:rsidRDefault="004A5156" w:rsidP="007E16BD">
      <w:pPr>
        <w:ind w:right="566"/>
        <w:jc w:val="both"/>
        <w:rPr>
          <w:rFonts w:asciiTheme="minorHAnsi" w:hAnsiTheme="minorHAnsi"/>
          <w:sz w:val="20"/>
        </w:rPr>
      </w:pPr>
    </w:p>
    <w:p w14:paraId="0FA14E64" w14:textId="77777777" w:rsidR="004A5156" w:rsidRPr="007E16BD" w:rsidRDefault="004A5156" w:rsidP="007E16BD">
      <w:pPr>
        <w:ind w:right="566"/>
        <w:jc w:val="both"/>
        <w:rPr>
          <w:rFonts w:asciiTheme="minorHAnsi" w:hAnsiTheme="minorHAnsi"/>
          <w:sz w:val="20"/>
          <w:szCs w:val="20"/>
        </w:rPr>
      </w:pPr>
      <w:r w:rsidRPr="007E16BD">
        <w:rPr>
          <w:rFonts w:asciiTheme="minorHAnsi" w:hAnsiTheme="minorHAnsi"/>
          <w:sz w:val="20"/>
          <w:szCs w:val="20"/>
        </w:rPr>
        <w:t>Докладът е изготвен въз основа на следните документи:</w:t>
      </w:r>
    </w:p>
    <w:p w14:paraId="3A490102" w14:textId="77777777" w:rsidR="004A5156" w:rsidRPr="007E16BD" w:rsidRDefault="004A5156" w:rsidP="007E16BD">
      <w:pPr>
        <w:ind w:right="566"/>
        <w:jc w:val="both"/>
        <w:rPr>
          <w:rFonts w:asciiTheme="minorHAnsi" w:hAnsiTheme="minorHAnsi"/>
          <w:sz w:val="20"/>
          <w:szCs w:val="20"/>
        </w:rPr>
      </w:pPr>
    </w:p>
    <w:p w14:paraId="1DB889C9" w14:textId="77777777" w:rsidR="004A5156" w:rsidRPr="007E16BD" w:rsidRDefault="004A5156" w:rsidP="007E16BD">
      <w:pPr>
        <w:pStyle w:val="ListParagraph"/>
        <w:numPr>
          <w:ilvl w:val="0"/>
          <w:numId w:val="16"/>
        </w:numPr>
        <w:ind w:right="566"/>
        <w:jc w:val="both"/>
        <w:rPr>
          <w:rFonts w:asciiTheme="minorHAnsi" w:hAnsiTheme="minorHAnsi"/>
          <w:sz w:val="20"/>
          <w:szCs w:val="20"/>
          <w:lang w:val="bg-BG"/>
        </w:rPr>
      </w:pPr>
      <w:r w:rsidRPr="007E16BD">
        <w:rPr>
          <w:rFonts w:asciiTheme="minorHAnsi" w:hAnsiTheme="minorHAnsi"/>
          <w:sz w:val="20"/>
          <w:szCs w:val="20"/>
          <w:lang w:val="bg-BG"/>
        </w:rPr>
        <w:t xml:space="preserve">Предложение за записване на облигации при условията на частно предлагане (по реда на чл. 205, ал. 2 от Търговския закон) от 11.11.2019 г. </w:t>
      </w:r>
    </w:p>
    <w:p w14:paraId="4B8AB89D" w14:textId="77777777" w:rsidR="004A5156" w:rsidRPr="007E16BD" w:rsidRDefault="004A5156" w:rsidP="007E16BD">
      <w:pPr>
        <w:pStyle w:val="ListParagraph"/>
        <w:numPr>
          <w:ilvl w:val="0"/>
          <w:numId w:val="16"/>
        </w:numPr>
        <w:ind w:right="566"/>
        <w:jc w:val="both"/>
        <w:rPr>
          <w:rFonts w:asciiTheme="minorHAnsi" w:hAnsiTheme="minorHAnsi"/>
          <w:sz w:val="20"/>
          <w:szCs w:val="20"/>
          <w:lang w:val="bg-BG"/>
        </w:rPr>
      </w:pPr>
      <w:r w:rsidRPr="007E16BD">
        <w:rPr>
          <w:rFonts w:asciiTheme="minorHAnsi" w:hAnsiTheme="minorHAnsi"/>
          <w:sz w:val="20"/>
          <w:szCs w:val="20"/>
          <w:lang w:val="bg-BG"/>
        </w:rPr>
        <w:t>Проспект за допускане до търговия на регулиран пазар на емисия корпоративни облигации от 05.05.2020 г.</w:t>
      </w:r>
    </w:p>
    <w:p w14:paraId="23D93BA6" w14:textId="2D3B283C" w:rsidR="00E01EC5" w:rsidRPr="007E16BD" w:rsidRDefault="00E01EC5" w:rsidP="007E16BD">
      <w:pPr>
        <w:pStyle w:val="ListParagraph"/>
        <w:numPr>
          <w:ilvl w:val="0"/>
          <w:numId w:val="16"/>
        </w:numPr>
        <w:ind w:right="566"/>
        <w:jc w:val="both"/>
        <w:rPr>
          <w:rFonts w:asciiTheme="minorHAnsi" w:hAnsiTheme="minorHAnsi"/>
          <w:sz w:val="20"/>
          <w:szCs w:val="20"/>
          <w:lang w:val="bg-BG"/>
        </w:rPr>
      </w:pPr>
      <w:r w:rsidRPr="007E16BD">
        <w:rPr>
          <w:rFonts w:asciiTheme="minorHAnsi" w:hAnsiTheme="minorHAnsi"/>
          <w:sz w:val="20"/>
          <w:szCs w:val="20"/>
          <w:lang w:val="bg-BG"/>
        </w:rPr>
        <w:t>Междинен финансов отчет към 30.06.202</w:t>
      </w:r>
      <w:r w:rsidR="007E16BD" w:rsidRPr="007E16BD">
        <w:rPr>
          <w:rFonts w:asciiTheme="minorHAnsi" w:hAnsiTheme="minorHAnsi"/>
          <w:sz w:val="20"/>
          <w:szCs w:val="20"/>
          <w:lang w:val="bg-BG"/>
        </w:rPr>
        <w:t>1</w:t>
      </w:r>
      <w:r w:rsidRPr="007E16BD">
        <w:rPr>
          <w:rFonts w:asciiTheme="minorHAnsi" w:hAnsiTheme="minorHAnsi"/>
          <w:sz w:val="20"/>
          <w:szCs w:val="20"/>
          <w:lang w:val="bg-BG"/>
        </w:rPr>
        <w:t xml:space="preserve"> г., който съдържа баланс, отчет за доходите, отчет за собствения капитал и отчет за паричните потоци за периода, приключващ на 30.06.202</w:t>
      </w:r>
      <w:r w:rsidR="007E16BD" w:rsidRPr="007E16BD">
        <w:rPr>
          <w:rFonts w:asciiTheme="minorHAnsi" w:hAnsiTheme="minorHAnsi"/>
          <w:sz w:val="20"/>
          <w:szCs w:val="20"/>
          <w:lang w:val="bg-BG"/>
        </w:rPr>
        <w:t>1</w:t>
      </w:r>
      <w:r w:rsidRPr="007E16BD">
        <w:rPr>
          <w:rFonts w:asciiTheme="minorHAnsi" w:hAnsiTheme="minorHAnsi"/>
          <w:sz w:val="20"/>
          <w:szCs w:val="20"/>
          <w:lang w:val="bg-BG"/>
        </w:rPr>
        <w:t xml:space="preserve"> г.</w:t>
      </w:r>
    </w:p>
    <w:p w14:paraId="5FD21643" w14:textId="3386751A" w:rsidR="007D5EDF" w:rsidRPr="007E16BD" w:rsidRDefault="00E01EC5" w:rsidP="007E16BD">
      <w:pPr>
        <w:pStyle w:val="ListParagraph"/>
        <w:numPr>
          <w:ilvl w:val="0"/>
          <w:numId w:val="16"/>
        </w:numPr>
        <w:ind w:right="566"/>
        <w:jc w:val="both"/>
        <w:rPr>
          <w:rFonts w:asciiTheme="minorHAnsi" w:hAnsiTheme="minorHAnsi"/>
          <w:sz w:val="20"/>
          <w:szCs w:val="20"/>
          <w:lang w:val="bg-BG"/>
        </w:rPr>
      </w:pPr>
      <w:r w:rsidRPr="007E16BD">
        <w:rPr>
          <w:rFonts w:asciiTheme="minorHAnsi" w:hAnsiTheme="minorHAnsi"/>
          <w:sz w:val="20"/>
          <w:szCs w:val="20"/>
          <w:lang w:val="bg-BG"/>
        </w:rPr>
        <w:t>Междинен доклад за дейността, декларации, вътрешна информация и допълнителна информация към 30.06.202</w:t>
      </w:r>
      <w:r w:rsidR="007E16BD" w:rsidRPr="007E16BD">
        <w:rPr>
          <w:rFonts w:asciiTheme="minorHAnsi" w:hAnsiTheme="minorHAnsi"/>
          <w:sz w:val="20"/>
          <w:szCs w:val="20"/>
          <w:lang w:val="bg-BG"/>
        </w:rPr>
        <w:t>1</w:t>
      </w:r>
      <w:r w:rsidRPr="007E16BD">
        <w:rPr>
          <w:rFonts w:asciiTheme="minorHAnsi" w:hAnsiTheme="minorHAnsi"/>
          <w:sz w:val="20"/>
          <w:szCs w:val="20"/>
          <w:lang w:val="bg-BG"/>
        </w:rPr>
        <w:t xml:space="preserve"> г.</w:t>
      </w:r>
    </w:p>
    <w:p w14:paraId="19ACE2B5" w14:textId="6DC2617C" w:rsidR="003B4235" w:rsidRPr="007E16BD" w:rsidRDefault="003B4235" w:rsidP="007E16BD">
      <w:pPr>
        <w:pStyle w:val="ListParagraph"/>
        <w:numPr>
          <w:ilvl w:val="0"/>
          <w:numId w:val="16"/>
        </w:numPr>
        <w:ind w:right="566"/>
        <w:jc w:val="both"/>
        <w:rPr>
          <w:rFonts w:asciiTheme="minorHAnsi" w:hAnsiTheme="minorHAnsi"/>
          <w:sz w:val="20"/>
          <w:szCs w:val="20"/>
          <w:lang w:val="bg-BG"/>
        </w:rPr>
      </w:pPr>
      <w:r w:rsidRPr="007E16BD">
        <w:rPr>
          <w:rFonts w:asciiTheme="minorHAnsi" w:hAnsiTheme="minorHAnsi"/>
          <w:sz w:val="20"/>
          <w:szCs w:val="20"/>
          <w:lang w:val="bg-BG"/>
        </w:rPr>
        <w:t xml:space="preserve">Отчет за изпълнение на задълженията </w:t>
      </w:r>
      <w:r w:rsidR="0085051F" w:rsidRPr="007E16BD">
        <w:rPr>
          <w:rFonts w:asciiTheme="minorHAnsi" w:hAnsiTheme="minorHAnsi"/>
          <w:sz w:val="20"/>
          <w:szCs w:val="20"/>
          <w:lang w:val="bg-BG"/>
        </w:rPr>
        <w:t xml:space="preserve">за поддържане на финансови съотношения </w:t>
      </w:r>
      <w:r w:rsidRPr="007E16BD">
        <w:rPr>
          <w:rFonts w:asciiTheme="minorHAnsi" w:hAnsiTheme="minorHAnsi"/>
          <w:sz w:val="20"/>
          <w:szCs w:val="20"/>
          <w:lang w:val="bg-BG"/>
        </w:rPr>
        <w:t xml:space="preserve">по емисията корпоративни облигации към </w:t>
      </w:r>
      <w:r w:rsidR="007D5EDF" w:rsidRPr="007E16BD">
        <w:rPr>
          <w:rFonts w:asciiTheme="minorHAnsi" w:hAnsiTheme="minorHAnsi"/>
          <w:sz w:val="20"/>
          <w:szCs w:val="20"/>
          <w:lang w:val="bg-BG"/>
        </w:rPr>
        <w:t>30.06.202</w:t>
      </w:r>
      <w:r w:rsidR="007E16BD" w:rsidRPr="007E16BD">
        <w:rPr>
          <w:rFonts w:asciiTheme="minorHAnsi" w:hAnsiTheme="minorHAnsi"/>
          <w:sz w:val="20"/>
          <w:szCs w:val="20"/>
          <w:lang w:val="bg-BG"/>
        </w:rPr>
        <w:t>1</w:t>
      </w:r>
      <w:r w:rsidR="007D5EDF" w:rsidRPr="007E16BD">
        <w:rPr>
          <w:rFonts w:asciiTheme="minorHAnsi" w:hAnsiTheme="minorHAnsi"/>
          <w:sz w:val="20"/>
          <w:szCs w:val="20"/>
          <w:lang w:val="bg-BG"/>
        </w:rPr>
        <w:t xml:space="preserve"> г.</w:t>
      </w:r>
    </w:p>
    <w:p w14:paraId="1881EF7B" w14:textId="33D1B408" w:rsidR="000C572B" w:rsidRPr="007E16BD" w:rsidRDefault="00225022" w:rsidP="007E16BD">
      <w:pPr>
        <w:pStyle w:val="ListParagraph"/>
        <w:numPr>
          <w:ilvl w:val="0"/>
          <w:numId w:val="16"/>
        </w:numPr>
        <w:ind w:right="566"/>
        <w:jc w:val="both"/>
        <w:rPr>
          <w:rFonts w:asciiTheme="minorHAnsi" w:hAnsiTheme="minorHAnsi"/>
          <w:sz w:val="20"/>
          <w:szCs w:val="20"/>
          <w:lang w:val="bg-BG"/>
        </w:rPr>
      </w:pPr>
      <w:r w:rsidRPr="007E16BD">
        <w:rPr>
          <w:rFonts w:asciiTheme="minorHAnsi" w:hAnsiTheme="minorHAnsi"/>
          <w:sz w:val="20"/>
          <w:szCs w:val="20"/>
          <w:lang w:val="bg-BG"/>
        </w:rPr>
        <w:t>Отчет за спазване на задълженията към облигационерите съгласно условията на облигационната емисия към 30.06.202</w:t>
      </w:r>
      <w:r w:rsidR="007E16BD" w:rsidRPr="007E16BD">
        <w:rPr>
          <w:rFonts w:asciiTheme="minorHAnsi" w:hAnsiTheme="minorHAnsi"/>
          <w:sz w:val="20"/>
          <w:szCs w:val="20"/>
          <w:lang w:val="bg-BG"/>
        </w:rPr>
        <w:t>1</w:t>
      </w:r>
      <w:r w:rsidRPr="007E16BD">
        <w:rPr>
          <w:rFonts w:asciiTheme="minorHAnsi" w:hAnsiTheme="minorHAnsi"/>
          <w:sz w:val="20"/>
          <w:szCs w:val="20"/>
          <w:lang w:val="bg-BG"/>
        </w:rPr>
        <w:t xml:space="preserve"> г. </w:t>
      </w:r>
      <w:r w:rsidR="000C572B" w:rsidRPr="007E16BD">
        <w:rPr>
          <w:rFonts w:asciiTheme="minorHAnsi" w:hAnsiTheme="minorHAnsi"/>
          <w:sz w:val="20"/>
          <w:szCs w:val="20"/>
          <w:lang w:val="bg-BG"/>
        </w:rPr>
        <w:t xml:space="preserve"> </w:t>
      </w:r>
    </w:p>
    <w:p w14:paraId="4BCCFE3A" w14:textId="52C13F1E" w:rsidR="003B4235" w:rsidRPr="007E16BD" w:rsidRDefault="003B4235" w:rsidP="007E16BD">
      <w:pPr>
        <w:pStyle w:val="ListParagraph"/>
        <w:numPr>
          <w:ilvl w:val="0"/>
          <w:numId w:val="16"/>
        </w:numPr>
        <w:ind w:right="566"/>
        <w:jc w:val="both"/>
        <w:rPr>
          <w:rFonts w:asciiTheme="minorHAnsi" w:hAnsiTheme="minorHAnsi"/>
          <w:sz w:val="20"/>
          <w:szCs w:val="20"/>
          <w:lang w:val="bg-BG"/>
        </w:rPr>
      </w:pPr>
      <w:r w:rsidRPr="007E16BD">
        <w:rPr>
          <w:rFonts w:asciiTheme="minorHAnsi" w:hAnsiTheme="minorHAnsi"/>
          <w:sz w:val="20"/>
          <w:szCs w:val="20"/>
          <w:lang w:val="bg-BG"/>
        </w:rPr>
        <w:t xml:space="preserve">Отчет за изразходване на набраните средства по емисията корпоративни облигации към </w:t>
      </w:r>
      <w:r w:rsidR="007D5EDF" w:rsidRPr="007E16BD">
        <w:rPr>
          <w:rFonts w:asciiTheme="minorHAnsi" w:hAnsiTheme="minorHAnsi"/>
          <w:sz w:val="20"/>
          <w:szCs w:val="20"/>
          <w:lang w:val="bg-BG"/>
        </w:rPr>
        <w:t>30.06.202</w:t>
      </w:r>
      <w:r w:rsidR="007E16BD" w:rsidRPr="007E16BD">
        <w:rPr>
          <w:rFonts w:asciiTheme="minorHAnsi" w:hAnsiTheme="minorHAnsi"/>
          <w:sz w:val="20"/>
          <w:szCs w:val="20"/>
          <w:lang w:val="bg-BG"/>
        </w:rPr>
        <w:t>1</w:t>
      </w:r>
      <w:r w:rsidR="007D5EDF" w:rsidRPr="007E16BD">
        <w:rPr>
          <w:rFonts w:asciiTheme="minorHAnsi" w:hAnsiTheme="minorHAnsi"/>
          <w:sz w:val="20"/>
          <w:szCs w:val="20"/>
          <w:lang w:val="bg-BG"/>
        </w:rPr>
        <w:t xml:space="preserve"> г.</w:t>
      </w:r>
    </w:p>
    <w:p w14:paraId="1241C7EC" w14:textId="2BEE5A60" w:rsidR="003B4235" w:rsidRPr="007E16BD" w:rsidRDefault="003B4235" w:rsidP="007E16BD">
      <w:pPr>
        <w:pStyle w:val="ListParagraph"/>
        <w:numPr>
          <w:ilvl w:val="0"/>
          <w:numId w:val="16"/>
        </w:numPr>
        <w:ind w:right="566"/>
        <w:rPr>
          <w:rFonts w:asciiTheme="minorHAnsi" w:hAnsiTheme="minorHAnsi"/>
          <w:sz w:val="20"/>
          <w:szCs w:val="20"/>
          <w:lang w:val="bg-BG"/>
        </w:rPr>
      </w:pPr>
      <w:r w:rsidRPr="007E16BD">
        <w:rPr>
          <w:rFonts w:asciiTheme="minorHAnsi" w:hAnsiTheme="minorHAnsi"/>
          <w:sz w:val="20"/>
          <w:szCs w:val="20"/>
          <w:lang w:val="bg-BG"/>
        </w:rPr>
        <w:t xml:space="preserve">Отчет за плащанията по емисията корпоративни облигации към </w:t>
      </w:r>
      <w:r w:rsidR="007D5EDF" w:rsidRPr="007E16BD">
        <w:rPr>
          <w:rFonts w:asciiTheme="minorHAnsi" w:hAnsiTheme="minorHAnsi"/>
          <w:sz w:val="20"/>
          <w:szCs w:val="20"/>
          <w:lang w:val="bg-BG"/>
        </w:rPr>
        <w:t>30.06.202</w:t>
      </w:r>
      <w:r w:rsidR="007E16BD" w:rsidRPr="007E16BD">
        <w:rPr>
          <w:rFonts w:asciiTheme="minorHAnsi" w:hAnsiTheme="minorHAnsi"/>
          <w:sz w:val="20"/>
          <w:szCs w:val="20"/>
          <w:lang w:val="bg-BG"/>
        </w:rPr>
        <w:t>1</w:t>
      </w:r>
      <w:r w:rsidR="007D5EDF" w:rsidRPr="007E16BD">
        <w:rPr>
          <w:rFonts w:asciiTheme="minorHAnsi" w:hAnsiTheme="minorHAnsi"/>
          <w:sz w:val="20"/>
          <w:szCs w:val="20"/>
          <w:lang w:val="bg-BG"/>
        </w:rPr>
        <w:t xml:space="preserve"> г.</w:t>
      </w:r>
    </w:p>
    <w:p w14:paraId="009F5BD7" w14:textId="1744856E" w:rsidR="000C572B" w:rsidRPr="007E16BD" w:rsidRDefault="003B4235" w:rsidP="007E16BD">
      <w:pPr>
        <w:pStyle w:val="ListParagraph"/>
        <w:numPr>
          <w:ilvl w:val="0"/>
          <w:numId w:val="16"/>
        </w:numPr>
        <w:ind w:right="566"/>
        <w:rPr>
          <w:rFonts w:asciiTheme="minorHAnsi" w:hAnsiTheme="minorHAnsi"/>
          <w:i/>
          <w:sz w:val="20"/>
          <w:szCs w:val="20"/>
          <w:lang w:val="bg-BG"/>
        </w:rPr>
      </w:pPr>
      <w:r w:rsidRPr="007E16BD">
        <w:rPr>
          <w:rFonts w:asciiTheme="minorHAnsi" w:hAnsiTheme="minorHAnsi"/>
          <w:sz w:val="20"/>
          <w:szCs w:val="20"/>
          <w:lang w:val="bg-BG"/>
        </w:rPr>
        <w:t xml:space="preserve">Отчет за състояние на обезпечението по емисията корпоративни облигации към </w:t>
      </w:r>
      <w:r w:rsidR="007D5EDF" w:rsidRPr="007E16BD">
        <w:rPr>
          <w:rFonts w:asciiTheme="minorHAnsi" w:hAnsiTheme="minorHAnsi"/>
          <w:sz w:val="20"/>
          <w:szCs w:val="20"/>
          <w:lang w:val="bg-BG"/>
        </w:rPr>
        <w:t>30.06.202</w:t>
      </w:r>
      <w:r w:rsidR="007E16BD" w:rsidRPr="007E16BD">
        <w:rPr>
          <w:rFonts w:asciiTheme="minorHAnsi" w:hAnsiTheme="minorHAnsi"/>
          <w:sz w:val="20"/>
          <w:szCs w:val="20"/>
          <w:lang w:val="bg-BG"/>
        </w:rPr>
        <w:t>1</w:t>
      </w:r>
      <w:r w:rsidR="007D5EDF" w:rsidRPr="007E16BD">
        <w:rPr>
          <w:rFonts w:asciiTheme="minorHAnsi" w:hAnsiTheme="minorHAnsi"/>
          <w:sz w:val="20"/>
          <w:szCs w:val="20"/>
          <w:lang w:val="bg-BG"/>
        </w:rPr>
        <w:t xml:space="preserve"> г.</w:t>
      </w:r>
    </w:p>
    <w:p w14:paraId="7C92F5EF" w14:textId="5F365FCA" w:rsidR="003E1E24" w:rsidRPr="007E16BD" w:rsidRDefault="000C572B" w:rsidP="007E16BD">
      <w:pPr>
        <w:pStyle w:val="ListParagraph"/>
        <w:numPr>
          <w:ilvl w:val="0"/>
          <w:numId w:val="16"/>
        </w:numPr>
        <w:ind w:right="566"/>
        <w:rPr>
          <w:rFonts w:asciiTheme="minorHAnsi" w:hAnsiTheme="minorHAnsi"/>
          <w:i/>
          <w:sz w:val="20"/>
          <w:szCs w:val="20"/>
          <w:lang w:val="bg-BG"/>
        </w:rPr>
      </w:pPr>
      <w:r w:rsidRPr="007E16BD">
        <w:rPr>
          <w:rFonts w:asciiTheme="minorHAnsi" w:hAnsiTheme="minorHAnsi"/>
          <w:sz w:val="20"/>
          <w:szCs w:val="20"/>
          <w:lang w:val="bg-BG"/>
        </w:rPr>
        <w:t>Годишен одитиран финансов отчет към 31.12.20</w:t>
      </w:r>
      <w:r w:rsidR="007E16BD" w:rsidRPr="007B0934">
        <w:rPr>
          <w:rFonts w:asciiTheme="minorHAnsi" w:hAnsiTheme="minorHAnsi"/>
          <w:sz w:val="20"/>
          <w:szCs w:val="20"/>
          <w:lang w:val="bg-BG"/>
        </w:rPr>
        <w:t>20</w:t>
      </w:r>
      <w:r w:rsidRPr="007E16BD">
        <w:rPr>
          <w:rFonts w:asciiTheme="minorHAnsi" w:hAnsiTheme="minorHAnsi"/>
          <w:sz w:val="20"/>
          <w:szCs w:val="20"/>
          <w:lang w:val="bg-BG"/>
        </w:rPr>
        <w:t xml:space="preserve"> г</w:t>
      </w:r>
      <w:r w:rsidR="00B95085" w:rsidRPr="007E16BD">
        <w:rPr>
          <w:rFonts w:asciiTheme="minorHAnsi" w:hAnsiTheme="minorHAnsi"/>
          <w:sz w:val="20"/>
          <w:szCs w:val="20"/>
          <w:lang w:val="bg-BG"/>
        </w:rPr>
        <w:t>.</w:t>
      </w:r>
      <w:r w:rsidR="00C5353E" w:rsidRPr="007E16BD">
        <w:rPr>
          <w:rFonts w:asciiTheme="minorHAnsi" w:hAnsiTheme="minorHAnsi"/>
          <w:sz w:val="20"/>
          <w:szCs w:val="20"/>
          <w:lang w:val="bg-BG"/>
        </w:rPr>
        <w:t xml:space="preserve"> </w:t>
      </w:r>
      <w:r w:rsidR="003E1E24" w:rsidRPr="007E16BD">
        <w:rPr>
          <w:rFonts w:asciiTheme="minorHAnsi" w:hAnsiTheme="minorHAnsi"/>
          <w:i/>
          <w:sz w:val="20"/>
          <w:szCs w:val="20"/>
          <w:lang w:val="bg-BG"/>
        </w:rPr>
        <w:br w:type="page"/>
      </w:r>
    </w:p>
    <w:p w14:paraId="5158B32E" w14:textId="77777777" w:rsidR="00DF25AD" w:rsidRPr="007E16BD" w:rsidRDefault="00DF25AD" w:rsidP="007E16BD">
      <w:pPr>
        <w:pStyle w:val="bs2"/>
        <w:numPr>
          <w:ilvl w:val="0"/>
          <w:numId w:val="7"/>
        </w:numPr>
        <w:ind w:right="566"/>
        <w:rPr>
          <w:rFonts w:asciiTheme="minorHAnsi" w:hAnsiTheme="minorHAnsi"/>
          <w:sz w:val="22"/>
        </w:rPr>
      </w:pPr>
      <w:r w:rsidRPr="007E16BD">
        <w:rPr>
          <w:rFonts w:asciiTheme="minorHAnsi" w:hAnsiTheme="minorHAnsi"/>
          <w:sz w:val="22"/>
        </w:rPr>
        <w:lastRenderedPageBreak/>
        <w:t>Информация за емитента „</w:t>
      </w:r>
      <w:r w:rsidR="00402C33" w:rsidRPr="007E16BD">
        <w:rPr>
          <w:rFonts w:asciiTheme="minorHAnsi" w:hAnsiTheme="minorHAnsi"/>
          <w:sz w:val="22"/>
        </w:rPr>
        <w:t>Ай Ти Еф Груп</w:t>
      </w:r>
      <w:r w:rsidRPr="007E16BD">
        <w:rPr>
          <w:rFonts w:asciiTheme="minorHAnsi" w:hAnsiTheme="minorHAnsi"/>
          <w:sz w:val="22"/>
        </w:rPr>
        <w:t>“ АД</w:t>
      </w:r>
    </w:p>
    <w:p w14:paraId="52DEC806" w14:textId="77777777" w:rsidR="00913EE9" w:rsidRPr="007E16BD" w:rsidRDefault="00913EE9" w:rsidP="007E16BD">
      <w:pPr>
        <w:ind w:right="566"/>
        <w:jc w:val="both"/>
        <w:rPr>
          <w:rFonts w:asciiTheme="minorHAnsi" w:hAnsiTheme="minorHAnsi"/>
          <w:sz w:val="20"/>
          <w:szCs w:val="20"/>
        </w:rPr>
      </w:pPr>
    </w:p>
    <w:p w14:paraId="47AC5FA0" w14:textId="77777777" w:rsidR="00402C33" w:rsidRPr="007E16BD" w:rsidRDefault="00402C33" w:rsidP="007B0934">
      <w:pPr>
        <w:spacing w:after="120"/>
        <w:ind w:right="567"/>
        <w:jc w:val="both"/>
        <w:rPr>
          <w:rFonts w:asciiTheme="minorHAnsi" w:hAnsiTheme="minorHAnsi"/>
          <w:sz w:val="20"/>
          <w:szCs w:val="20"/>
        </w:rPr>
      </w:pPr>
      <w:r w:rsidRPr="007E16BD">
        <w:rPr>
          <w:rFonts w:asciiTheme="minorHAnsi" w:hAnsiTheme="minorHAnsi"/>
          <w:sz w:val="20"/>
          <w:szCs w:val="20"/>
        </w:rPr>
        <w:t>„</w:t>
      </w:r>
      <w:r w:rsidR="002B7727" w:rsidRPr="007E16BD">
        <w:rPr>
          <w:rFonts w:asciiTheme="minorHAnsi" w:hAnsiTheme="minorHAnsi"/>
          <w:sz w:val="20"/>
          <w:szCs w:val="20"/>
        </w:rPr>
        <w:t xml:space="preserve">Ай Ти Еф </w:t>
      </w:r>
      <w:r w:rsidRPr="007E16BD">
        <w:rPr>
          <w:rFonts w:asciiTheme="minorHAnsi" w:hAnsiTheme="minorHAnsi"/>
          <w:sz w:val="20"/>
          <w:szCs w:val="20"/>
        </w:rPr>
        <w:t xml:space="preserve">Груп“ АД е </w:t>
      </w:r>
      <w:proofErr w:type="spellStart"/>
      <w:r w:rsidRPr="007E16BD">
        <w:rPr>
          <w:rFonts w:asciiTheme="minorHAnsi" w:hAnsiTheme="minorHAnsi"/>
          <w:sz w:val="20"/>
          <w:szCs w:val="20"/>
        </w:rPr>
        <w:t>нишова</w:t>
      </w:r>
      <w:proofErr w:type="spellEnd"/>
      <w:r w:rsidRPr="007E16BD">
        <w:rPr>
          <w:rFonts w:asciiTheme="minorHAnsi" w:hAnsiTheme="minorHAnsi"/>
          <w:sz w:val="20"/>
          <w:szCs w:val="20"/>
        </w:rPr>
        <w:t xml:space="preserve"> </w:t>
      </w:r>
      <w:proofErr w:type="spellStart"/>
      <w:r w:rsidRPr="007E16BD">
        <w:rPr>
          <w:rFonts w:asciiTheme="minorHAnsi" w:hAnsiTheme="minorHAnsi"/>
          <w:sz w:val="20"/>
          <w:szCs w:val="20"/>
        </w:rPr>
        <w:t>финтех</w:t>
      </w:r>
      <w:proofErr w:type="spellEnd"/>
      <w:r w:rsidRPr="007E16BD">
        <w:rPr>
          <w:rFonts w:asciiTheme="minorHAnsi" w:hAnsiTheme="minorHAnsi"/>
          <w:sz w:val="20"/>
          <w:szCs w:val="20"/>
        </w:rPr>
        <w:t xml:space="preserve"> компания, създадена през 2012 г. и специализирана в потребителско кредитиране или т. нар. бързи кредити. Бизнес моделът на компанията е фокусиран върху предлагането на бърз и лесен достъп до финансов ресурс на физически лица. </w:t>
      </w:r>
    </w:p>
    <w:p w14:paraId="5AEA960B" w14:textId="77777777" w:rsidR="00DF25AD" w:rsidRPr="007E16BD" w:rsidRDefault="00402C33" w:rsidP="007B0934">
      <w:pPr>
        <w:spacing w:after="120"/>
        <w:ind w:right="567"/>
        <w:jc w:val="both"/>
        <w:rPr>
          <w:rFonts w:asciiTheme="minorHAnsi" w:hAnsiTheme="minorHAnsi"/>
          <w:sz w:val="20"/>
          <w:szCs w:val="20"/>
        </w:rPr>
      </w:pPr>
      <w:r w:rsidRPr="007E16BD">
        <w:rPr>
          <w:rFonts w:asciiTheme="minorHAnsi" w:hAnsiTheme="minorHAnsi"/>
          <w:sz w:val="20"/>
          <w:szCs w:val="20"/>
        </w:rPr>
        <w:t>Компанията успешно оперира два отделни бранда за потребителско кредитиране, които имат различни целеви клиентски групи и са структурирани като различни бизнес модели, а именно:  Smile Credit– онлайн платформа за кредитиране; и Get Cash – кредитиране през търговска мрежа от 10 офиса – 4 в София и 6 в големи градове на територията на България. Двата бранда Smile Credit и Get Cash дават възможност на ITF да предлага гъвкав набор от кредитни продукти.</w:t>
      </w:r>
    </w:p>
    <w:p w14:paraId="16B10475" w14:textId="77777777" w:rsidR="002B7727" w:rsidRPr="007E16BD" w:rsidRDefault="002B7727" w:rsidP="007B0934">
      <w:pPr>
        <w:spacing w:after="240"/>
        <w:ind w:right="567"/>
        <w:jc w:val="both"/>
        <w:rPr>
          <w:rFonts w:asciiTheme="minorHAnsi" w:hAnsiTheme="minorHAnsi"/>
          <w:sz w:val="20"/>
          <w:szCs w:val="20"/>
        </w:rPr>
      </w:pPr>
      <w:r w:rsidRPr="007E16BD">
        <w:rPr>
          <w:rFonts w:asciiTheme="minorHAnsi" w:hAnsiTheme="minorHAnsi"/>
          <w:sz w:val="20"/>
          <w:szCs w:val="20"/>
        </w:rPr>
        <w:t>Фокусът на „Ай Ти Еф Груп“ АД е върху онлайн кредитите, които към края на 2019 г. представляват 70%</w:t>
      </w:r>
      <w:r w:rsidR="007A00C4" w:rsidRPr="007E16BD">
        <w:rPr>
          <w:rFonts w:asciiTheme="minorHAnsi" w:hAnsiTheme="minorHAnsi"/>
          <w:sz w:val="20"/>
          <w:szCs w:val="20"/>
        </w:rPr>
        <w:t xml:space="preserve"> </w:t>
      </w:r>
      <w:r w:rsidRPr="007E16BD">
        <w:rPr>
          <w:rFonts w:asciiTheme="minorHAnsi" w:hAnsiTheme="minorHAnsi"/>
          <w:sz w:val="20"/>
          <w:szCs w:val="20"/>
        </w:rPr>
        <w:t xml:space="preserve">от кредитния й портфейл. В тази връзка компанията активно инвестира в изграждането на иновативна, Big Data /големи бази данни/ интегрирана и автоматизирана платформа за отпускане на кредити онлайн. Допълнително, има разработен и конкурентен модел </w:t>
      </w:r>
      <w:r w:rsidR="007A00C4" w:rsidRPr="007E16BD">
        <w:rPr>
          <w:rFonts w:asciiTheme="minorHAnsi" w:hAnsiTheme="minorHAnsi"/>
          <w:sz w:val="20"/>
          <w:szCs w:val="20"/>
        </w:rPr>
        <w:t>за</w:t>
      </w:r>
      <w:r w:rsidRPr="007E16BD">
        <w:rPr>
          <w:rFonts w:asciiTheme="minorHAnsi" w:hAnsiTheme="minorHAnsi"/>
          <w:sz w:val="20"/>
          <w:szCs w:val="20"/>
        </w:rPr>
        <w:t xml:space="preserve"> оценка на риска на клиента, базиран на информацията подадена от самия клиент и проверена в десетки различни източници. Това намалява както риска от загуба, така и себестойността на отпуснатия кредит.</w:t>
      </w:r>
    </w:p>
    <w:p w14:paraId="56190351" w14:textId="77777777" w:rsidR="00B905D0" w:rsidRPr="007B0934" w:rsidRDefault="00B905D0" w:rsidP="007E16BD">
      <w:pPr>
        <w:pStyle w:val="bs2"/>
        <w:numPr>
          <w:ilvl w:val="0"/>
          <w:numId w:val="7"/>
        </w:numPr>
        <w:ind w:right="566"/>
        <w:rPr>
          <w:rFonts w:asciiTheme="minorHAnsi" w:hAnsiTheme="minorHAnsi"/>
          <w:sz w:val="22"/>
        </w:rPr>
      </w:pPr>
      <w:r w:rsidRPr="007B0934">
        <w:rPr>
          <w:rFonts w:asciiTheme="minorHAnsi" w:hAnsiTheme="minorHAnsi"/>
          <w:sz w:val="22"/>
        </w:rPr>
        <w:t>Изразходване на набраните средства по облигационния заем</w:t>
      </w:r>
    </w:p>
    <w:p w14:paraId="18A12E7E" w14:textId="77777777" w:rsidR="00B905D0" w:rsidRPr="007E16BD" w:rsidRDefault="00B905D0" w:rsidP="007E16BD">
      <w:pPr>
        <w:ind w:right="566"/>
        <w:jc w:val="both"/>
        <w:rPr>
          <w:rFonts w:asciiTheme="minorHAnsi" w:hAnsiTheme="minorHAnsi"/>
          <w:sz w:val="20"/>
          <w:szCs w:val="20"/>
        </w:rPr>
      </w:pPr>
    </w:p>
    <w:p w14:paraId="7A81591C" w14:textId="77777777" w:rsidR="00B905D0" w:rsidRPr="007E16BD" w:rsidRDefault="00B905D0" w:rsidP="007B0934">
      <w:pPr>
        <w:spacing w:after="240"/>
        <w:ind w:right="567"/>
        <w:jc w:val="both"/>
        <w:rPr>
          <w:rFonts w:asciiTheme="minorHAnsi" w:hAnsiTheme="minorHAnsi"/>
          <w:sz w:val="20"/>
          <w:szCs w:val="20"/>
        </w:rPr>
      </w:pPr>
      <w:r w:rsidRPr="007E16BD">
        <w:rPr>
          <w:rFonts w:asciiTheme="minorHAnsi" w:hAnsiTheme="minorHAnsi"/>
          <w:sz w:val="20"/>
          <w:szCs w:val="20"/>
        </w:rPr>
        <w:t>През отчетния период Емитентът е инвестирал напълно средствата по облигационния заем за финансиране на разрастване на основната си дейност, а именно за увеличаване на кредитния си портфейл чрез отпускане на потребителски заеми.</w:t>
      </w:r>
    </w:p>
    <w:p w14:paraId="2566893C" w14:textId="77777777" w:rsidR="00DD31DF" w:rsidRPr="007B0934" w:rsidRDefault="00DD31DF" w:rsidP="007E16BD">
      <w:pPr>
        <w:pStyle w:val="bs2"/>
        <w:numPr>
          <w:ilvl w:val="0"/>
          <w:numId w:val="7"/>
        </w:numPr>
        <w:ind w:right="566"/>
        <w:rPr>
          <w:rFonts w:asciiTheme="minorHAnsi" w:hAnsiTheme="minorHAnsi"/>
          <w:sz w:val="22"/>
        </w:rPr>
      </w:pPr>
      <w:r w:rsidRPr="007B0934">
        <w:rPr>
          <w:rFonts w:asciiTheme="minorHAnsi" w:hAnsiTheme="minorHAnsi"/>
          <w:sz w:val="22"/>
        </w:rPr>
        <w:t>Спазване на условията на облигационния заем</w:t>
      </w:r>
    </w:p>
    <w:p w14:paraId="69AB8B1A" w14:textId="77777777" w:rsidR="001B2F3A" w:rsidRPr="007E16BD" w:rsidRDefault="001B2F3A" w:rsidP="007E16BD">
      <w:pPr>
        <w:ind w:right="566"/>
        <w:jc w:val="both"/>
        <w:rPr>
          <w:rFonts w:asciiTheme="minorHAnsi" w:hAnsiTheme="minorHAnsi"/>
          <w:sz w:val="20"/>
          <w:szCs w:val="20"/>
        </w:rPr>
      </w:pPr>
    </w:p>
    <w:p w14:paraId="75044925" w14:textId="77777777" w:rsidR="002D3551" w:rsidRPr="007E16BD" w:rsidRDefault="002D3551" w:rsidP="007B0934">
      <w:pPr>
        <w:spacing w:after="240"/>
        <w:ind w:right="567"/>
        <w:jc w:val="both"/>
        <w:rPr>
          <w:rFonts w:asciiTheme="minorHAnsi" w:hAnsiTheme="minorHAnsi"/>
          <w:sz w:val="20"/>
          <w:szCs w:val="20"/>
        </w:rPr>
      </w:pPr>
      <w:r w:rsidRPr="007E16BD">
        <w:rPr>
          <w:rFonts w:asciiTheme="minorHAnsi" w:hAnsiTheme="minorHAnsi"/>
          <w:sz w:val="20"/>
          <w:szCs w:val="20"/>
        </w:rPr>
        <w:t>„</w:t>
      </w:r>
      <w:r w:rsidR="00204BE9" w:rsidRPr="007E16BD">
        <w:rPr>
          <w:rFonts w:asciiTheme="minorHAnsi" w:hAnsiTheme="minorHAnsi"/>
          <w:sz w:val="20"/>
          <w:szCs w:val="20"/>
        </w:rPr>
        <w:t>Ай Ти Еф Груп</w:t>
      </w:r>
      <w:r w:rsidRPr="007E16BD">
        <w:rPr>
          <w:rFonts w:asciiTheme="minorHAnsi" w:hAnsiTheme="minorHAnsi"/>
          <w:sz w:val="20"/>
          <w:szCs w:val="20"/>
        </w:rPr>
        <w:t xml:space="preserve">“ АД в качеството си на </w:t>
      </w:r>
      <w:r w:rsidR="00204BE9" w:rsidRPr="007E16BD">
        <w:rPr>
          <w:rFonts w:asciiTheme="minorHAnsi" w:hAnsiTheme="minorHAnsi"/>
          <w:sz w:val="20"/>
          <w:szCs w:val="20"/>
        </w:rPr>
        <w:t>Е</w:t>
      </w:r>
      <w:r w:rsidRPr="007E16BD">
        <w:rPr>
          <w:rFonts w:asciiTheme="minorHAnsi" w:hAnsiTheme="minorHAnsi"/>
          <w:sz w:val="20"/>
          <w:szCs w:val="20"/>
        </w:rPr>
        <w:t xml:space="preserve">митент </w:t>
      </w:r>
      <w:r w:rsidR="00204BE9" w:rsidRPr="007E16BD">
        <w:rPr>
          <w:rFonts w:asciiTheme="minorHAnsi" w:hAnsiTheme="minorHAnsi"/>
          <w:sz w:val="20"/>
          <w:szCs w:val="20"/>
        </w:rPr>
        <w:t>се задължава</w:t>
      </w:r>
      <w:r w:rsidRPr="007E16BD">
        <w:rPr>
          <w:rFonts w:asciiTheme="minorHAnsi" w:hAnsiTheme="minorHAnsi"/>
          <w:sz w:val="20"/>
          <w:szCs w:val="20"/>
        </w:rPr>
        <w:t xml:space="preserve"> да изпълнява за срока на облигационния заем </w:t>
      </w:r>
      <w:r w:rsidR="00FA00CC" w:rsidRPr="007E16BD">
        <w:rPr>
          <w:rFonts w:asciiTheme="minorHAnsi" w:hAnsiTheme="minorHAnsi"/>
          <w:sz w:val="20"/>
          <w:szCs w:val="20"/>
        </w:rPr>
        <w:t xml:space="preserve">следните </w:t>
      </w:r>
      <w:r w:rsidR="00204BE9" w:rsidRPr="007E16BD">
        <w:rPr>
          <w:rFonts w:asciiTheme="minorHAnsi" w:hAnsiTheme="minorHAnsi"/>
          <w:sz w:val="20"/>
          <w:szCs w:val="20"/>
        </w:rPr>
        <w:t>три</w:t>
      </w:r>
      <w:r w:rsidR="00FA00CC" w:rsidRPr="007E16BD">
        <w:rPr>
          <w:rFonts w:asciiTheme="minorHAnsi" w:hAnsiTheme="minorHAnsi"/>
          <w:sz w:val="20"/>
          <w:szCs w:val="20"/>
        </w:rPr>
        <w:t xml:space="preserve"> финансови </w:t>
      </w:r>
      <w:r w:rsidR="00204BE9" w:rsidRPr="007E16BD">
        <w:rPr>
          <w:rFonts w:asciiTheme="minorHAnsi" w:hAnsiTheme="minorHAnsi"/>
          <w:sz w:val="20"/>
          <w:szCs w:val="20"/>
        </w:rPr>
        <w:t>коефициента</w:t>
      </w:r>
      <w:r w:rsidR="00FA00CC" w:rsidRPr="007E16BD">
        <w:rPr>
          <w:rFonts w:asciiTheme="minorHAnsi" w:hAnsiTheme="minorHAnsi"/>
          <w:sz w:val="20"/>
          <w:szCs w:val="20"/>
        </w:rPr>
        <w:t>:</w:t>
      </w:r>
    </w:p>
    <w:p w14:paraId="337E536A" w14:textId="77777777" w:rsidR="00FA4B2E" w:rsidRPr="007E16BD" w:rsidRDefault="00B905D0" w:rsidP="007B0934">
      <w:pPr>
        <w:pStyle w:val="bs2"/>
        <w:spacing w:after="240"/>
        <w:ind w:left="709" w:right="567"/>
        <w:rPr>
          <w:rFonts w:asciiTheme="minorHAnsi" w:hAnsiTheme="minorHAnsi"/>
        </w:rPr>
      </w:pPr>
      <w:r w:rsidRPr="007E16BD">
        <w:rPr>
          <w:rFonts w:asciiTheme="minorHAnsi" w:hAnsiTheme="minorHAnsi"/>
        </w:rPr>
        <w:t xml:space="preserve">3.1 </w:t>
      </w:r>
      <w:r w:rsidR="00204BE9" w:rsidRPr="007E16BD">
        <w:rPr>
          <w:rFonts w:asciiTheme="minorHAnsi" w:hAnsiTheme="minorHAnsi"/>
        </w:rPr>
        <w:t xml:space="preserve">Максимално съотношение Пасиви към Активи: </w:t>
      </w:r>
    </w:p>
    <w:p w14:paraId="52DAEDB1" w14:textId="77777777" w:rsidR="00204BE9" w:rsidRPr="007E16BD" w:rsidRDefault="00204BE9" w:rsidP="007B0934">
      <w:pPr>
        <w:spacing w:after="120"/>
        <w:ind w:right="567"/>
        <w:jc w:val="both"/>
        <w:rPr>
          <w:rFonts w:asciiTheme="minorHAnsi" w:hAnsiTheme="minorHAnsi"/>
          <w:sz w:val="20"/>
          <w:szCs w:val="20"/>
        </w:rPr>
      </w:pPr>
      <w:r w:rsidRPr="007E16BD">
        <w:rPr>
          <w:rFonts w:asciiTheme="minorHAnsi" w:hAnsiTheme="minorHAnsi"/>
          <w:sz w:val="20"/>
          <w:szCs w:val="20"/>
        </w:rPr>
        <w:t>Емитентът следва да поддържа максимално съотношение на Пасиви към Активи /на база счетоводна стойност/ от не повече от 80%.</w:t>
      </w:r>
    </w:p>
    <w:p w14:paraId="51271B24" w14:textId="013CDC0C" w:rsidR="00204BE9" w:rsidRPr="007E16BD" w:rsidRDefault="00204BE9" w:rsidP="007B0934">
      <w:pPr>
        <w:spacing w:after="240"/>
        <w:ind w:right="567"/>
        <w:jc w:val="both"/>
        <w:rPr>
          <w:rFonts w:asciiTheme="minorHAnsi" w:hAnsiTheme="minorHAnsi"/>
          <w:sz w:val="20"/>
          <w:szCs w:val="20"/>
        </w:rPr>
      </w:pPr>
      <w:r w:rsidRPr="007A43EA">
        <w:rPr>
          <w:rFonts w:asciiTheme="minorHAnsi" w:hAnsiTheme="minorHAnsi"/>
          <w:sz w:val="20"/>
          <w:szCs w:val="20"/>
        </w:rPr>
        <w:t>Стойността на съотношението пасиви към активи към 30.06.202</w:t>
      </w:r>
      <w:r w:rsidR="007B0934" w:rsidRPr="007A43EA">
        <w:rPr>
          <w:rFonts w:asciiTheme="minorHAnsi" w:hAnsiTheme="minorHAnsi"/>
          <w:sz w:val="20"/>
          <w:szCs w:val="20"/>
        </w:rPr>
        <w:t>1</w:t>
      </w:r>
      <w:r w:rsidRPr="007A43EA">
        <w:rPr>
          <w:rFonts w:asciiTheme="minorHAnsi" w:hAnsiTheme="minorHAnsi"/>
          <w:sz w:val="20"/>
          <w:szCs w:val="20"/>
        </w:rPr>
        <w:t xml:space="preserve"> г. е 7</w:t>
      </w:r>
      <w:r w:rsidR="007A43EA" w:rsidRPr="007A43EA">
        <w:rPr>
          <w:rFonts w:asciiTheme="minorHAnsi" w:hAnsiTheme="minorHAnsi"/>
          <w:sz w:val="20"/>
          <w:szCs w:val="20"/>
        </w:rPr>
        <w:t>1</w:t>
      </w:r>
      <w:r w:rsidRPr="007A43EA">
        <w:rPr>
          <w:rFonts w:asciiTheme="minorHAnsi" w:hAnsiTheme="minorHAnsi"/>
          <w:sz w:val="20"/>
          <w:szCs w:val="20"/>
        </w:rPr>
        <w:t>.</w:t>
      </w:r>
      <w:r w:rsidR="007A43EA" w:rsidRPr="007A43EA">
        <w:rPr>
          <w:rFonts w:asciiTheme="minorHAnsi" w:hAnsiTheme="minorHAnsi"/>
          <w:sz w:val="20"/>
          <w:szCs w:val="20"/>
        </w:rPr>
        <w:t>36</w:t>
      </w:r>
      <w:r w:rsidRPr="007A43EA">
        <w:rPr>
          <w:rFonts w:asciiTheme="minorHAnsi" w:hAnsiTheme="minorHAnsi"/>
          <w:sz w:val="20"/>
          <w:szCs w:val="20"/>
        </w:rPr>
        <w:t>%.</w:t>
      </w:r>
    </w:p>
    <w:p w14:paraId="6057712C" w14:textId="77777777" w:rsidR="00FA4B2E" w:rsidRPr="007B0934" w:rsidRDefault="00B905D0" w:rsidP="007B0934">
      <w:pPr>
        <w:pStyle w:val="bs2"/>
        <w:spacing w:after="240"/>
        <w:ind w:left="709" w:right="567"/>
        <w:rPr>
          <w:rFonts w:asciiTheme="minorHAnsi" w:hAnsiTheme="minorHAnsi"/>
        </w:rPr>
      </w:pPr>
      <w:r w:rsidRPr="007B0934">
        <w:rPr>
          <w:rFonts w:asciiTheme="minorHAnsi" w:hAnsiTheme="minorHAnsi"/>
        </w:rPr>
        <w:t>3.2</w:t>
      </w:r>
      <w:r w:rsidR="003D5852" w:rsidRPr="007B0934">
        <w:rPr>
          <w:rFonts w:asciiTheme="minorHAnsi" w:hAnsiTheme="minorHAnsi"/>
        </w:rPr>
        <w:t xml:space="preserve">. </w:t>
      </w:r>
      <w:r w:rsidR="00204BE9" w:rsidRPr="007B0934">
        <w:rPr>
          <w:rFonts w:asciiTheme="minorHAnsi" w:hAnsiTheme="minorHAnsi"/>
        </w:rPr>
        <w:t xml:space="preserve">Минимален коефициент на покритие на лихвите: </w:t>
      </w:r>
    </w:p>
    <w:p w14:paraId="594A7177" w14:textId="30313722" w:rsidR="00204BE9" w:rsidRPr="007B0934" w:rsidRDefault="00204BE9" w:rsidP="007B0934">
      <w:pPr>
        <w:spacing w:after="120"/>
        <w:ind w:right="709"/>
        <w:jc w:val="both"/>
        <w:rPr>
          <w:rFonts w:asciiTheme="minorHAnsi" w:hAnsiTheme="minorHAnsi"/>
          <w:sz w:val="20"/>
        </w:rPr>
      </w:pPr>
      <w:r w:rsidRPr="007B0934">
        <w:rPr>
          <w:rFonts w:asciiTheme="minorHAnsi" w:hAnsiTheme="minorHAnsi"/>
          <w:sz w:val="20"/>
        </w:rPr>
        <w:t>Емитентът следва да поддържа минимален коефициент на покритие на лихвите /съотношение на оперативната печалба</w:t>
      </w:r>
      <w:r w:rsidR="00C9257A" w:rsidRPr="00C9257A">
        <w:rPr>
          <w:rFonts w:asciiTheme="minorHAnsi" w:hAnsiTheme="minorHAnsi"/>
          <w:sz w:val="20"/>
        </w:rPr>
        <w:t>,</w:t>
      </w:r>
      <w:r w:rsidRPr="007B0934">
        <w:rPr>
          <w:rFonts w:asciiTheme="minorHAnsi" w:hAnsiTheme="minorHAnsi"/>
          <w:sz w:val="20"/>
        </w:rPr>
        <w:t xml:space="preserve"> увеличена с размера на лихвите към лихвите/ от не по-малко от 200%.</w:t>
      </w:r>
    </w:p>
    <w:p w14:paraId="6533D782" w14:textId="28C48C37" w:rsidR="00204BE9" w:rsidRPr="007B0934" w:rsidRDefault="00204BE9" w:rsidP="007B0934">
      <w:pPr>
        <w:spacing w:after="120"/>
        <w:ind w:right="709"/>
        <w:jc w:val="both"/>
        <w:rPr>
          <w:rFonts w:asciiTheme="minorHAnsi" w:hAnsiTheme="minorHAnsi"/>
          <w:sz w:val="20"/>
        </w:rPr>
      </w:pPr>
      <w:r w:rsidRPr="007B0934">
        <w:rPr>
          <w:rFonts w:asciiTheme="minorHAnsi" w:hAnsiTheme="minorHAnsi"/>
          <w:sz w:val="20"/>
        </w:rPr>
        <w:t xml:space="preserve">Стойността на показателя „Покритие на разходите за лихви“ към 30.06.2020 г. е </w:t>
      </w:r>
      <w:r w:rsidR="007A43EA" w:rsidRPr="007A43EA">
        <w:rPr>
          <w:rFonts w:asciiTheme="minorHAnsi" w:hAnsiTheme="minorHAnsi"/>
          <w:sz w:val="20"/>
        </w:rPr>
        <w:t>2</w:t>
      </w:r>
      <w:r w:rsidR="00C9257A" w:rsidRPr="00C9257A">
        <w:rPr>
          <w:rFonts w:asciiTheme="minorHAnsi" w:hAnsiTheme="minorHAnsi"/>
          <w:sz w:val="20"/>
        </w:rPr>
        <w:t>69</w:t>
      </w:r>
      <w:r w:rsidRPr="007B0934">
        <w:rPr>
          <w:rFonts w:asciiTheme="minorHAnsi" w:hAnsiTheme="minorHAnsi"/>
          <w:sz w:val="20"/>
        </w:rPr>
        <w:t>.</w:t>
      </w:r>
      <w:r w:rsidR="007A43EA" w:rsidRPr="007A43EA">
        <w:rPr>
          <w:rFonts w:asciiTheme="minorHAnsi" w:hAnsiTheme="minorHAnsi"/>
          <w:sz w:val="20"/>
        </w:rPr>
        <w:t>5</w:t>
      </w:r>
      <w:r w:rsidRPr="007B0934">
        <w:rPr>
          <w:rFonts w:asciiTheme="minorHAnsi" w:hAnsiTheme="minorHAnsi"/>
          <w:sz w:val="20"/>
        </w:rPr>
        <w:t>%.</w:t>
      </w:r>
    </w:p>
    <w:p w14:paraId="698FCEAE" w14:textId="5688124D" w:rsidR="00C81AD7" w:rsidRPr="007B0934" w:rsidRDefault="00204BE9" w:rsidP="007B0934">
      <w:pPr>
        <w:spacing w:after="120"/>
        <w:ind w:right="709"/>
        <w:jc w:val="both"/>
        <w:rPr>
          <w:rFonts w:asciiTheme="minorHAnsi" w:hAnsiTheme="minorHAnsi"/>
          <w:sz w:val="22"/>
        </w:rPr>
      </w:pPr>
      <w:r w:rsidRPr="007B0934">
        <w:rPr>
          <w:rFonts w:asciiTheme="minorHAnsi" w:hAnsiTheme="minorHAnsi"/>
          <w:sz w:val="20"/>
        </w:rPr>
        <w:t xml:space="preserve">За целите на изчисление на горните два показателя </w:t>
      </w:r>
      <w:r w:rsidR="00C81AD7" w:rsidRPr="007B0934">
        <w:rPr>
          <w:rFonts w:asciiTheme="minorHAnsi" w:hAnsiTheme="minorHAnsi"/>
          <w:sz w:val="20"/>
        </w:rPr>
        <w:t>са</w:t>
      </w:r>
      <w:r w:rsidRPr="007B0934">
        <w:rPr>
          <w:rFonts w:asciiTheme="minorHAnsi" w:hAnsiTheme="minorHAnsi"/>
          <w:sz w:val="20"/>
        </w:rPr>
        <w:t xml:space="preserve"> взети </w:t>
      </w:r>
      <w:r w:rsidR="00C81AD7" w:rsidRPr="007B0934">
        <w:rPr>
          <w:rFonts w:asciiTheme="minorHAnsi" w:hAnsiTheme="minorHAnsi"/>
          <w:sz w:val="20"/>
        </w:rPr>
        <w:t>данните от публикуваните междинен</w:t>
      </w:r>
      <w:r w:rsidRPr="007B0934">
        <w:rPr>
          <w:rFonts w:asciiTheme="minorHAnsi" w:hAnsiTheme="minorHAnsi"/>
          <w:sz w:val="20"/>
        </w:rPr>
        <w:t xml:space="preserve"> финансов отчет на</w:t>
      </w:r>
      <w:r w:rsidR="00C81AD7" w:rsidRPr="007B0934">
        <w:rPr>
          <w:rFonts w:asciiTheme="minorHAnsi" w:hAnsiTheme="minorHAnsi"/>
          <w:sz w:val="20"/>
        </w:rPr>
        <w:t xml:space="preserve"> Емитента към 30.06.202</w:t>
      </w:r>
      <w:r w:rsidR="007A43EA" w:rsidRPr="007A43EA">
        <w:rPr>
          <w:rFonts w:asciiTheme="minorHAnsi" w:hAnsiTheme="minorHAnsi"/>
          <w:sz w:val="20"/>
        </w:rPr>
        <w:t>1</w:t>
      </w:r>
      <w:r w:rsidR="00C81AD7" w:rsidRPr="007B0934">
        <w:rPr>
          <w:rFonts w:asciiTheme="minorHAnsi" w:hAnsiTheme="minorHAnsi"/>
          <w:sz w:val="20"/>
        </w:rPr>
        <w:t xml:space="preserve"> г. и </w:t>
      </w:r>
      <w:r w:rsidRPr="007B0934">
        <w:rPr>
          <w:rFonts w:asciiTheme="minorHAnsi" w:hAnsiTheme="minorHAnsi"/>
          <w:sz w:val="20"/>
        </w:rPr>
        <w:t>одитира</w:t>
      </w:r>
      <w:r w:rsidR="00C81AD7" w:rsidRPr="007B0934">
        <w:rPr>
          <w:rFonts w:asciiTheme="minorHAnsi" w:hAnsiTheme="minorHAnsi"/>
          <w:sz w:val="20"/>
        </w:rPr>
        <w:t xml:space="preserve">н </w:t>
      </w:r>
      <w:r w:rsidRPr="007B0934">
        <w:rPr>
          <w:rFonts w:asciiTheme="minorHAnsi" w:hAnsiTheme="minorHAnsi"/>
          <w:sz w:val="20"/>
        </w:rPr>
        <w:t>годишен финансов отчет на Емитента към 31.12.20</w:t>
      </w:r>
      <w:r w:rsidR="007A43EA" w:rsidRPr="007A43EA">
        <w:rPr>
          <w:rFonts w:asciiTheme="minorHAnsi" w:hAnsiTheme="minorHAnsi"/>
          <w:sz w:val="20"/>
        </w:rPr>
        <w:t>20</w:t>
      </w:r>
      <w:r w:rsidRPr="007B0934">
        <w:rPr>
          <w:rFonts w:asciiTheme="minorHAnsi" w:hAnsiTheme="minorHAnsi"/>
          <w:sz w:val="20"/>
        </w:rPr>
        <w:t xml:space="preserve"> г. </w:t>
      </w:r>
      <w:r w:rsidR="007A00C4" w:rsidRPr="007B0934">
        <w:rPr>
          <w:rFonts w:asciiTheme="minorHAnsi" w:hAnsiTheme="minorHAnsi"/>
          <w:sz w:val="20"/>
        </w:rPr>
        <w:t>Изчисленията на показателите са на дванадесет месечна база и са предст</w:t>
      </w:r>
      <w:r w:rsidR="00010AFD" w:rsidRPr="007B0934">
        <w:rPr>
          <w:rFonts w:asciiTheme="minorHAnsi" w:hAnsiTheme="minorHAnsi"/>
          <w:sz w:val="20"/>
        </w:rPr>
        <w:t>а</w:t>
      </w:r>
      <w:r w:rsidR="007A00C4" w:rsidRPr="007B0934">
        <w:rPr>
          <w:rFonts w:asciiTheme="minorHAnsi" w:hAnsiTheme="minorHAnsi"/>
          <w:sz w:val="20"/>
        </w:rPr>
        <w:t>в</w:t>
      </w:r>
      <w:r w:rsidR="00C81AD7" w:rsidRPr="007B0934">
        <w:rPr>
          <w:rFonts w:asciiTheme="minorHAnsi" w:hAnsiTheme="minorHAnsi"/>
          <w:sz w:val="20"/>
        </w:rPr>
        <w:t>ени в таблицата, която следва по-долу:</w:t>
      </w:r>
    </w:p>
    <w:p w14:paraId="4CF8C6DF" w14:textId="4BCBB88A" w:rsidR="007B0934" w:rsidRDefault="007B0934">
      <w:pPr>
        <w:rPr>
          <w:rFonts w:asciiTheme="minorHAnsi" w:hAnsiTheme="minorHAnsi"/>
        </w:rPr>
      </w:pPr>
      <w:r>
        <w:rPr>
          <w:rFonts w:asciiTheme="minorHAnsi" w:hAnsiTheme="minorHAnsi"/>
        </w:rPr>
        <w:br w:type="page"/>
      </w:r>
    </w:p>
    <w:p w14:paraId="617352B5" w14:textId="77777777" w:rsidR="00C81AD7" w:rsidRDefault="00C81AD7" w:rsidP="00204BE9">
      <w:pPr>
        <w:jc w:val="both"/>
        <w:rPr>
          <w:rFonts w:asciiTheme="minorHAnsi" w:hAnsiTheme="minorHAnsi"/>
        </w:rPr>
      </w:pPr>
    </w:p>
    <w:tbl>
      <w:tblPr>
        <w:tblW w:w="8709" w:type="dxa"/>
        <w:tblCellMar>
          <w:left w:w="70" w:type="dxa"/>
          <w:right w:w="70" w:type="dxa"/>
        </w:tblCellMar>
        <w:tblLook w:val="04A0" w:firstRow="1" w:lastRow="0" w:firstColumn="1" w:lastColumn="0" w:noHBand="0" w:noVBand="1"/>
      </w:tblPr>
      <w:tblGrid>
        <w:gridCol w:w="3969"/>
        <w:gridCol w:w="3280"/>
        <w:gridCol w:w="1460"/>
      </w:tblGrid>
      <w:tr w:rsidR="000E00A5" w14:paraId="0010AF22" w14:textId="77777777" w:rsidTr="007B0934">
        <w:trPr>
          <w:trHeight w:val="552"/>
        </w:trPr>
        <w:tc>
          <w:tcPr>
            <w:tcW w:w="3969" w:type="dxa"/>
            <w:tcBorders>
              <w:top w:val="nil"/>
              <w:left w:val="nil"/>
              <w:bottom w:val="nil"/>
              <w:right w:val="nil"/>
            </w:tcBorders>
            <w:shd w:val="clear" w:color="000000" w:fill="B41E37"/>
            <w:vAlign w:val="center"/>
            <w:hideMark/>
          </w:tcPr>
          <w:p w14:paraId="7EF234CC" w14:textId="77777777" w:rsidR="000E00A5" w:rsidRDefault="000E00A5">
            <w:pPr>
              <w:rPr>
                <w:rFonts w:ascii="Calibri" w:hAnsi="Calibri"/>
                <w:b/>
                <w:bCs/>
                <w:color w:val="FFFFFF"/>
                <w:sz w:val="20"/>
                <w:szCs w:val="20"/>
              </w:rPr>
            </w:pPr>
            <w:r>
              <w:rPr>
                <w:rFonts w:ascii="Calibri" w:hAnsi="Calibri"/>
                <w:b/>
                <w:bCs/>
                <w:color w:val="FFFFFF"/>
                <w:sz w:val="20"/>
                <w:szCs w:val="20"/>
              </w:rPr>
              <w:t>Коефициент</w:t>
            </w:r>
          </w:p>
        </w:tc>
        <w:tc>
          <w:tcPr>
            <w:tcW w:w="3280" w:type="dxa"/>
            <w:tcBorders>
              <w:top w:val="nil"/>
              <w:left w:val="nil"/>
              <w:bottom w:val="nil"/>
              <w:right w:val="nil"/>
            </w:tcBorders>
            <w:shd w:val="clear" w:color="000000" w:fill="B41E37"/>
            <w:vAlign w:val="center"/>
            <w:hideMark/>
          </w:tcPr>
          <w:p w14:paraId="2CE06382" w14:textId="77777777" w:rsidR="000E00A5" w:rsidRDefault="000E00A5">
            <w:pPr>
              <w:rPr>
                <w:rFonts w:ascii="Calibri" w:hAnsi="Calibri"/>
                <w:b/>
                <w:bCs/>
                <w:color w:val="FFFFFF"/>
                <w:sz w:val="20"/>
                <w:szCs w:val="20"/>
              </w:rPr>
            </w:pPr>
            <w:r>
              <w:rPr>
                <w:rFonts w:ascii="Calibri" w:hAnsi="Calibri"/>
                <w:b/>
                <w:bCs/>
                <w:color w:val="FFFFFF"/>
                <w:sz w:val="20"/>
                <w:szCs w:val="20"/>
              </w:rPr>
              <w:t>Показател /в хил. лв./</w:t>
            </w:r>
          </w:p>
        </w:tc>
        <w:tc>
          <w:tcPr>
            <w:tcW w:w="1460" w:type="dxa"/>
            <w:tcBorders>
              <w:top w:val="nil"/>
              <w:left w:val="nil"/>
              <w:bottom w:val="nil"/>
              <w:right w:val="nil"/>
            </w:tcBorders>
            <w:shd w:val="clear" w:color="000000" w:fill="B41E37"/>
            <w:vAlign w:val="center"/>
            <w:hideMark/>
          </w:tcPr>
          <w:p w14:paraId="37562D32" w14:textId="3FCB5E90" w:rsidR="000E00A5" w:rsidRDefault="000E00A5" w:rsidP="007B0934">
            <w:pPr>
              <w:jc w:val="center"/>
              <w:rPr>
                <w:rFonts w:ascii="Calibri" w:hAnsi="Calibri"/>
                <w:b/>
                <w:bCs/>
                <w:color w:val="FFFFFF"/>
                <w:sz w:val="20"/>
                <w:szCs w:val="20"/>
              </w:rPr>
            </w:pPr>
            <w:r>
              <w:rPr>
                <w:rFonts w:ascii="Calibri" w:hAnsi="Calibri"/>
                <w:b/>
                <w:bCs/>
                <w:color w:val="FFFFFF"/>
                <w:sz w:val="20"/>
                <w:szCs w:val="20"/>
              </w:rPr>
              <w:t>30.06.202</w:t>
            </w:r>
            <w:r w:rsidR="007B0934">
              <w:rPr>
                <w:rFonts w:ascii="Calibri" w:hAnsi="Calibri"/>
                <w:b/>
                <w:bCs/>
                <w:color w:val="FFFFFF"/>
                <w:sz w:val="20"/>
                <w:szCs w:val="20"/>
                <w:lang w:val="en-US"/>
              </w:rPr>
              <w:t>1</w:t>
            </w:r>
            <w:r>
              <w:rPr>
                <w:rFonts w:ascii="Calibri" w:hAnsi="Calibri"/>
                <w:b/>
                <w:bCs/>
                <w:color w:val="FFFFFF"/>
                <w:sz w:val="20"/>
                <w:szCs w:val="20"/>
              </w:rPr>
              <w:t xml:space="preserve"> г.      / ttm база/</w:t>
            </w:r>
          </w:p>
        </w:tc>
      </w:tr>
      <w:tr w:rsidR="000E00A5" w14:paraId="7A2257C0" w14:textId="77777777" w:rsidTr="007B0934">
        <w:trPr>
          <w:trHeight w:val="288"/>
        </w:trPr>
        <w:tc>
          <w:tcPr>
            <w:tcW w:w="3969" w:type="dxa"/>
            <w:vMerge w:val="restart"/>
            <w:tcBorders>
              <w:top w:val="single" w:sz="4" w:space="0" w:color="auto"/>
              <w:left w:val="nil"/>
              <w:bottom w:val="single" w:sz="4" w:space="0" w:color="000000"/>
              <w:right w:val="nil"/>
            </w:tcBorders>
            <w:shd w:val="clear" w:color="000000" w:fill="FFFFFF"/>
            <w:vAlign w:val="center"/>
            <w:hideMark/>
          </w:tcPr>
          <w:p w14:paraId="1B1B6845" w14:textId="77777777" w:rsidR="000E00A5" w:rsidRDefault="000E00A5">
            <w:pPr>
              <w:rPr>
                <w:rFonts w:ascii="Calibri" w:hAnsi="Calibri"/>
                <w:b/>
                <w:bCs/>
                <w:color w:val="000000"/>
                <w:sz w:val="20"/>
                <w:szCs w:val="20"/>
              </w:rPr>
            </w:pPr>
            <w:r>
              <w:rPr>
                <w:rFonts w:ascii="Calibri" w:hAnsi="Calibri"/>
                <w:b/>
                <w:bCs/>
                <w:color w:val="000000"/>
                <w:sz w:val="20"/>
                <w:szCs w:val="20"/>
              </w:rPr>
              <w:t>Пасиви към активи</w:t>
            </w:r>
          </w:p>
        </w:tc>
        <w:tc>
          <w:tcPr>
            <w:tcW w:w="3280" w:type="dxa"/>
            <w:tcBorders>
              <w:top w:val="single" w:sz="4" w:space="0" w:color="auto"/>
              <w:left w:val="nil"/>
              <w:bottom w:val="nil"/>
              <w:right w:val="nil"/>
            </w:tcBorders>
            <w:shd w:val="clear" w:color="000000" w:fill="FFFFFF"/>
            <w:vAlign w:val="center"/>
            <w:hideMark/>
          </w:tcPr>
          <w:p w14:paraId="057BEC66" w14:textId="77777777" w:rsidR="000E00A5" w:rsidRPr="000D36F4" w:rsidRDefault="000E00A5">
            <w:pPr>
              <w:jc w:val="both"/>
              <w:rPr>
                <w:rFonts w:ascii="Calibri" w:hAnsi="Calibri"/>
                <w:b/>
                <w:bCs/>
                <w:color w:val="000000"/>
                <w:sz w:val="20"/>
                <w:szCs w:val="20"/>
              </w:rPr>
            </w:pPr>
            <w:r w:rsidRPr="000D36F4">
              <w:rPr>
                <w:rFonts w:ascii="Calibri" w:hAnsi="Calibri"/>
                <w:b/>
                <w:bCs/>
                <w:color w:val="000000"/>
                <w:sz w:val="20"/>
                <w:szCs w:val="20"/>
              </w:rPr>
              <w:t>Пасиви</w:t>
            </w:r>
          </w:p>
        </w:tc>
        <w:tc>
          <w:tcPr>
            <w:tcW w:w="1460" w:type="dxa"/>
            <w:vMerge w:val="restart"/>
            <w:tcBorders>
              <w:top w:val="single" w:sz="4" w:space="0" w:color="auto"/>
              <w:left w:val="nil"/>
              <w:bottom w:val="single" w:sz="4" w:space="0" w:color="000000"/>
              <w:right w:val="nil"/>
            </w:tcBorders>
            <w:shd w:val="clear" w:color="000000" w:fill="FFFFFF"/>
            <w:vAlign w:val="center"/>
            <w:hideMark/>
          </w:tcPr>
          <w:p w14:paraId="7E28B12F" w14:textId="501E9321" w:rsidR="000E00A5" w:rsidRDefault="000E00A5" w:rsidP="000D36F4">
            <w:pPr>
              <w:jc w:val="center"/>
              <w:rPr>
                <w:rFonts w:ascii="Calibri" w:hAnsi="Calibri"/>
                <w:b/>
                <w:bCs/>
                <w:color w:val="000000"/>
                <w:sz w:val="20"/>
                <w:szCs w:val="20"/>
              </w:rPr>
            </w:pPr>
            <w:r>
              <w:rPr>
                <w:rFonts w:ascii="Calibri" w:hAnsi="Calibri"/>
                <w:b/>
                <w:bCs/>
                <w:color w:val="000000"/>
                <w:sz w:val="20"/>
                <w:szCs w:val="20"/>
              </w:rPr>
              <w:t>7</w:t>
            </w:r>
            <w:r w:rsidR="000D36F4">
              <w:rPr>
                <w:rFonts w:ascii="Calibri" w:hAnsi="Calibri"/>
                <w:b/>
                <w:bCs/>
                <w:color w:val="000000"/>
                <w:sz w:val="20"/>
                <w:szCs w:val="20"/>
                <w:lang w:val="en-US"/>
              </w:rPr>
              <w:t>1</w:t>
            </w:r>
            <w:r>
              <w:rPr>
                <w:rFonts w:ascii="Calibri" w:hAnsi="Calibri"/>
                <w:b/>
                <w:bCs/>
                <w:color w:val="000000"/>
                <w:sz w:val="20"/>
                <w:szCs w:val="20"/>
              </w:rPr>
              <w:t>.</w:t>
            </w:r>
            <w:r w:rsidR="000D36F4">
              <w:rPr>
                <w:rFonts w:ascii="Calibri" w:hAnsi="Calibri"/>
                <w:b/>
                <w:bCs/>
                <w:color w:val="000000"/>
                <w:sz w:val="20"/>
                <w:szCs w:val="20"/>
                <w:lang w:val="en-US"/>
              </w:rPr>
              <w:t>36</w:t>
            </w:r>
            <w:r>
              <w:rPr>
                <w:rFonts w:ascii="Calibri" w:hAnsi="Calibri"/>
                <w:b/>
                <w:bCs/>
                <w:color w:val="000000"/>
                <w:sz w:val="20"/>
                <w:szCs w:val="20"/>
              </w:rPr>
              <w:t>%</w:t>
            </w:r>
          </w:p>
        </w:tc>
      </w:tr>
      <w:tr w:rsidR="000E00A5" w:rsidRPr="007A43EA" w14:paraId="3C2377F9" w14:textId="77777777" w:rsidTr="007B0934">
        <w:trPr>
          <w:trHeight w:val="288"/>
        </w:trPr>
        <w:tc>
          <w:tcPr>
            <w:tcW w:w="3969" w:type="dxa"/>
            <w:vMerge/>
            <w:tcBorders>
              <w:top w:val="single" w:sz="4" w:space="0" w:color="auto"/>
              <w:left w:val="nil"/>
              <w:bottom w:val="single" w:sz="4" w:space="0" w:color="000000"/>
              <w:right w:val="nil"/>
            </w:tcBorders>
            <w:vAlign w:val="center"/>
            <w:hideMark/>
          </w:tcPr>
          <w:p w14:paraId="128D4E60" w14:textId="77777777" w:rsidR="000E00A5" w:rsidRDefault="000E00A5">
            <w:pPr>
              <w:rPr>
                <w:rFonts w:ascii="Calibri" w:hAnsi="Calibri"/>
                <w:b/>
                <w:bCs/>
                <w:color w:val="000000"/>
                <w:sz w:val="20"/>
                <w:szCs w:val="20"/>
              </w:rPr>
            </w:pPr>
          </w:p>
        </w:tc>
        <w:tc>
          <w:tcPr>
            <w:tcW w:w="3280" w:type="dxa"/>
            <w:tcBorders>
              <w:top w:val="nil"/>
              <w:left w:val="nil"/>
              <w:bottom w:val="nil"/>
              <w:right w:val="nil"/>
            </w:tcBorders>
            <w:shd w:val="clear" w:color="000000" w:fill="FFFFFF"/>
            <w:vAlign w:val="center"/>
            <w:hideMark/>
          </w:tcPr>
          <w:p w14:paraId="52046276" w14:textId="3BADC2A2" w:rsidR="000E00A5" w:rsidRPr="000D36F4" w:rsidRDefault="000E00A5" w:rsidP="000D36F4">
            <w:pPr>
              <w:jc w:val="both"/>
              <w:rPr>
                <w:rFonts w:ascii="Calibri" w:hAnsi="Calibri"/>
                <w:color w:val="000000"/>
                <w:sz w:val="20"/>
                <w:szCs w:val="20"/>
                <w:lang w:val="en-US"/>
              </w:rPr>
            </w:pPr>
            <w:r w:rsidRPr="000D36F4">
              <w:rPr>
                <w:rFonts w:ascii="Calibri" w:hAnsi="Calibri"/>
                <w:color w:val="000000"/>
                <w:sz w:val="20"/>
                <w:szCs w:val="20"/>
              </w:rPr>
              <w:t xml:space="preserve">8 </w:t>
            </w:r>
            <w:r w:rsidR="000D36F4" w:rsidRPr="000D36F4">
              <w:rPr>
                <w:rFonts w:ascii="Calibri" w:hAnsi="Calibri"/>
                <w:color w:val="000000"/>
                <w:sz w:val="20"/>
                <w:szCs w:val="20"/>
                <w:lang w:val="en-US"/>
              </w:rPr>
              <w:t>585</w:t>
            </w:r>
          </w:p>
        </w:tc>
        <w:tc>
          <w:tcPr>
            <w:tcW w:w="1460" w:type="dxa"/>
            <w:vMerge/>
            <w:tcBorders>
              <w:top w:val="single" w:sz="4" w:space="0" w:color="auto"/>
              <w:left w:val="nil"/>
              <w:bottom w:val="single" w:sz="4" w:space="0" w:color="000000"/>
              <w:right w:val="nil"/>
            </w:tcBorders>
            <w:vAlign w:val="center"/>
            <w:hideMark/>
          </w:tcPr>
          <w:p w14:paraId="0D421B71" w14:textId="77777777" w:rsidR="000E00A5" w:rsidRPr="007A43EA" w:rsidRDefault="000E00A5">
            <w:pPr>
              <w:rPr>
                <w:rFonts w:ascii="Calibri" w:hAnsi="Calibri"/>
                <w:b/>
                <w:bCs/>
                <w:color w:val="000000"/>
                <w:sz w:val="20"/>
                <w:szCs w:val="20"/>
                <w:highlight w:val="yellow"/>
              </w:rPr>
            </w:pPr>
          </w:p>
        </w:tc>
      </w:tr>
      <w:tr w:rsidR="000E00A5" w:rsidRPr="007A43EA" w14:paraId="5259A8A5" w14:textId="77777777" w:rsidTr="007B0934">
        <w:trPr>
          <w:trHeight w:val="288"/>
        </w:trPr>
        <w:tc>
          <w:tcPr>
            <w:tcW w:w="3969" w:type="dxa"/>
            <w:vMerge/>
            <w:tcBorders>
              <w:top w:val="single" w:sz="4" w:space="0" w:color="auto"/>
              <w:left w:val="nil"/>
              <w:bottom w:val="single" w:sz="4" w:space="0" w:color="000000"/>
              <w:right w:val="nil"/>
            </w:tcBorders>
            <w:vAlign w:val="center"/>
            <w:hideMark/>
          </w:tcPr>
          <w:p w14:paraId="37BE4E98" w14:textId="77777777" w:rsidR="000E00A5" w:rsidRPr="007A43EA" w:rsidRDefault="000E00A5">
            <w:pPr>
              <w:rPr>
                <w:rFonts w:ascii="Calibri" w:hAnsi="Calibri"/>
                <w:b/>
                <w:bCs/>
                <w:color w:val="000000"/>
                <w:sz w:val="20"/>
                <w:szCs w:val="20"/>
                <w:highlight w:val="yellow"/>
              </w:rPr>
            </w:pPr>
          </w:p>
        </w:tc>
        <w:tc>
          <w:tcPr>
            <w:tcW w:w="3280" w:type="dxa"/>
            <w:tcBorders>
              <w:top w:val="nil"/>
              <w:left w:val="nil"/>
              <w:bottom w:val="nil"/>
              <w:right w:val="nil"/>
            </w:tcBorders>
            <w:shd w:val="clear" w:color="000000" w:fill="FFFFFF"/>
            <w:vAlign w:val="center"/>
            <w:hideMark/>
          </w:tcPr>
          <w:p w14:paraId="1AD9ED78" w14:textId="77777777" w:rsidR="000E00A5" w:rsidRPr="000D36F4" w:rsidRDefault="000E00A5">
            <w:pPr>
              <w:jc w:val="both"/>
              <w:rPr>
                <w:rFonts w:ascii="Calibri" w:hAnsi="Calibri"/>
                <w:b/>
                <w:bCs/>
                <w:color w:val="000000"/>
                <w:sz w:val="20"/>
                <w:szCs w:val="20"/>
              </w:rPr>
            </w:pPr>
            <w:r w:rsidRPr="000D36F4">
              <w:rPr>
                <w:rFonts w:ascii="Calibri" w:hAnsi="Calibri"/>
                <w:b/>
                <w:bCs/>
                <w:color w:val="000000"/>
                <w:sz w:val="20"/>
                <w:szCs w:val="20"/>
              </w:rPr>
              <w:t>Активи:</w:t>
            </w:r>
          </w:p>
        </w:tc>
        <w:tc>
          <w:tcPr>
            <w:tcW w:w="1460" w:type="dxa"/>
            <w:vMerge/>
            <w:tcBorders>
              <w:top w:val="single" w:sz="4" w:space="0" w:color="auto"/>
              <w:left w:val="nil"/>
              <w:bottom w:val="single" w:sz="4" w:space="0" w:color="000000"/>
              <w:right w:val="nil"/>
            </w:tcBorders>
            <w:vAlign w:val="center"/>
            <w:hideMark/>
          </w:tcPr>
          <w:p w14:paraId="3577DCAD" w14:textId="77777777" w:rsidR="000E00A5" w:rsidRPr="007A43EA" w:rsidRDefault="000E00A5">
            <w:pPr>
              <w:rPr>
                <w:rFonts w:ascii="Calibri" w:hAnsi="Calibri"/>
                <w:b/>
                <w:bCs/>
                <w:color w:val="000000"/>
                <w:sz w:val="20"/>
                <w:szCs w:val="20"/>
                <w:highlight w:val="yellow"/>
              </w:rPr>
            </w:pPr>
          </w:p>
        </w:tc>
      </w:tr>
      <w:tr w:rsidR="000E00A5" w:rsidRPr="007A43EA" w14:paraId="284344F1" w14:textId="77777777" w:rsidTr="007B0934">
        <w:trPr>
          <w:trHeight w:val="288"/>
        </w:trPr>
        <w:tc>
          <w:tcPr>
            <w:tcW w:w="3969" w:type="dxa"/>
            <w:vMerge/>
            <w:tcBorders>
              <w:top w:val="single" w:sz="4" w:space="0" w:color="auto"/>
              <w:left w:val="nil"/>
              <w:bottom w:val="single" w:sz="4" w:space="0" w:color="000000"/>
              <w:right w:val="nil"/>
            </w:tcBorders>
            <w:vAlign w:val="center"/>
            <w:hideMark/>
          </w:tcPr>
          <w:p w14:paraId="54A7ACF0" w14:textId="77777777" w:rsidR="000E00A5" w:rsidRPr="007A43EA" w:rsidRDefault="000E00A5">
            <w:pPr>
              <w:rPr>
                <w:rFonts w:ascii="Calibri" w:hAnsi="Calibri"/>
                <w:b/>
                <w:bCs/>
                <w:color w:val="000000"/>
                <w:sz w:val="20"/>
                <w:szCs w:val="20"/>
                <w:highlight w:val="yellow"/>
              </w:rPr>
            </w:pPr>
          </w:p>
        </w:tc>
        <w:tc>
          <w:tcPr>
            <w:tcW w:w="3280" w:type="dxa"/>
            <w:tcBorders>
              <w:top w:val="nil"/>
              <w:left w:val="nil"/>
              <w:bottom w:val="single" w:sz="4" w:space="0" w:color="auto"/>
              <w:right w:val="nil"/>
            </w:tcBorders>
            <w:shd w:val="clear" w:color="000000" w:fill="FFFFFF"/>
            <w:vAlign w:val="center"/>
            <w:hideMark/>
          </w:tcPr>
          <w:p w14:paraId="3FA25BB6" w14:textId="748D27E0" w:rsidR="000E00A5" w:rsidRPr="000D36F4" w:rsidRDefault="000D36F4" w:rsidP="000D36F4">
            <w:pPr>
              <w:jc w:val="both"/>
              <w:rPr>
                <w:rFonts w:ascii="Calibri" w:hAnsi="Calibri"/>
                <w:color w:val="000000"/>
                <w:sz w:val="20"/>
                <w:szCs w:val="20"/>
                <w:lang w:val="en-US"/>
              </w:rPr>
            </w:pPr>
            <w:r w:rsidRPr="000D36F4">
              <w:rPr>
                <w:rFonts w:ascii="Calibri" w:hAnsi="Calibri"/>
                <w:color w:val="000000"/>
                <w:sz w:val="20"/>
                <w:szCs w:val="20"/>
                <w:lang w:val="en-US"/>
              </w:rPr>
              <w:t>12</w:t>
            </w:r>
            <w:r w:rsidR="000E00A5" w:rsidRPr="000D36F4">
              <w:rPr>
                <w:rFonts w:ascii="Calibri" w:hAnsi="Calibri"/>
                <w:color w:val="000000"/>
                <w:sz w:val="20"/>
                <w:szCs w:val="20"/>
              </w:rPr>
              <w:t xml:space="preserve"> 0</w:t>
            </w:r>
            <w:r w:rsidRPr="000D36F4">
              <w:rPr>
                <w:rFonts w:ascii="Calibri" w:hAnsi="Calibri"/>
                <w:color w:val="000000"/>
                <w:sz w:val="20"/>
                <w:szCs w:val="20"/>
                <w:lang w:val="en-US"/>
              </w:rPr>
              <w:t>30</w:t>
            </w:r>
          </w:p>
        </w:tc>
        <w:tc>
          <w:tcPr>
            <w:tcW w:w="1460" w:type="dxa"/>
            <w:vMerge/>
            <w:tcBorders>
              <w:top w:val="single" w:sz="4" w:space="0" w:color="auto"/>
              <w:left w:val="nil"/>
              <w:bottom w:val="single" w:sz="4" w:space="0" w:color="000000"/>
              <w:right w:val="nil"/>
            </w:tcBorders>
            <w:vAlign w:val="center"/>
            <w:hideMark/>
          </w:tcPr>
          <w:p w14:paraId="52A53DDE" w14:textId="77777777" w:rsidR="000E00A5" w:rsidRPr="007A43EA" w:rsidRDefault="000E00A5">
            <w:pPr>
              <w:rPr>
                <w:rFonts w:ascii="Calibri" w:hAnsi="Calibri"/>
                <w:b/>
                <w:bCs/>
                <w:color w:val="000000"/>
                <w:sz w:val="20"/>
                <w:szCs w:val="20"/>
                <w:highlight w:val="yellow"/>
              </w:rPr>
            </w:pPr>
          </w:p>
        </w:tc>
      </w:tr>
      <w:tr w:rsidR="000E00A5" w:rsidRPr="007A43EA" w14:paraId="15C85C35" w14:textId="77777777" w:rsidTr="007B0934">
        <w:trPr>
          <w:trHeight w:val="288"/>
        </w:trPr>
        <w:tc>
          <w:tcPr>
            <w:tcW w:w="3969" w:type="dxa"/>
            <w:vMerge w:val="restart"/>
            <w:tcBorders>
              <w:top w:val="nil"/>
              <w:left w:val="nil"/>
              <w:bottom w:val="single" w:sz="4" w:space="0" w:color="000000"/>
              <w:right w:val="nil"/>
            </w:tcBorders>
            <w:shd w:val="clear" w:color="000000" w:fill="FFFFFF"/>
            <w:vAlign w:val="center"/>
            <w:hideMark/>
          </w:tcPr>
          <w:p w14:paraId="37B89C7B" w14:textId="77777777" w:rsidR="000E00A5" w:rsidRPr="000D36F4" w:rsidRDefault="000E00A5">
            <w:pPr>
              <w:jc w:val="both"/>
              <w:rPr>
                <w:rFonts w:ascii="Calibri" w:hAnsi="Calibri"/>
                <w:b/>
                <w:bCs/>
                <w:color w:val="000000"/>
                <w:sz w:val="20"/>
                <w:szCs w:val="20"/>
              </w:rPr>
            </w:pPr>
            <w:r w:rsidRPr="000D36F4">
              <w:rPr>
                <w:rFonts w:ascii="Calibri" w:hAnsi="Calibri"/>
                <w:b/>
                <w:bCs/>
                <w:color w:val="000000"/>
                <w:sz w:val="20"/>
                <w:szCs w:val="20"/>
              </w:rPr>
              <w:t>Покритие на лихвите</w:t>
            </w:r>
          </w:p>
        </w:tc>
        <w:tc>
          <w:tcPr>
            <w:tcW w:w="3280" w:type="dxa"/>
            <w:tcBorders>
              <w:top w:val="nil"/>
              <w:left w:val="nil"/>
              <w:bottom w:val="nil"/>
              <w:right w:val="nil"/>
            </w:tcBorders>
            <w:shd w:val="clear" w:color="000000" w:fill="FFFFFF"/>
            <w:vAlign w:val="center"/>
            <w:hideMark/>
          </w:tcPr>
          <w:p w14:paraId="4057E6BC" w14:textId="77777777" w:rsidR="000E00A5" w:rsidRPr="00C9257A" w:rsidRDefault="000E00A5">
            <w:pPr>
              <w:jc w:val="both"/>
              <w:rPr>
                <w:rFonts w:ascii="Calibri" w:hAnsi="Calibri"/>
                <w:b/>
                <w:bCs/>
                <w:color w:val="000000"/>
                <w:sz w:val="20"/>
                <w:szCs w:val="20"/>
              </w:rPr>
            </w:pPr>
            <w:r w:rsidRPr="00C9257A">
              <w:rPr>
                <w:rFonts w:ascii="Calibri" w:hAnsi="Calibri"/>
                <w:b/>
                <w:bCs/>
                <w:color w:val="000000"/>
                <w:sz w:val="20"/>
                <w:szCs w:val="20"/>
              </w:rPr>
              <w:t>Оперативна печалба</w:t>
            </w:r>
          </w:p>
        </w:tc>
        <w:tc>
          <w:tcPr>
            <w:tcW w:w="1460" w:type="dxa"/>
            <w:vMerge w:val="restart"/>
            <w:tcBorders>
              <w:top w:val="nil"/>
              <w:left w:val="nil"/>
              <w:bottom w:val="single" w:sz="4" w:space="0" w:color="000000"/>
              <w:right w:val="nil"/>
            </w:tcBorders>
            <w:shd w:val="clear" w:color="000000" w:fill="FFFFFF"/>
            <w:vAlign w:val="center"/>
            <w:hideMark/>
          </w:tcPr>
          <w:p w14:paraId="073BA227" w14:textId="3EFFF430" w:rsidR="000E00A5" w:rsidRPr="00C9257A" w:rsidRDefault="00C9257A" w:rsidP="00C9257A">
            <w:pPr>
              <w:jc w:val="center"/>
              <w:rPr>
                <w:rFonts w:ascii="Calibri" w:hAnsi="Calibri"/>
                <w:b/>
                <w:bCs/>
                <w:color w:val="000000"/>
                <w:sz w:val="20"/>
                <w:szCs w:val="20"/>
              </w:rPr>
            </w:pPr>
            <w:r w:rsidRPr="00C9257A">
              <w:rPr>
                <w:rFonts w:ascii="Calibri" w:hAnsi="Calibri"/>
                <w:b/>
                <w:bCs/>
                <w:color w:val="000000"/>
                <w:sz w:val="20"/>
                <w:szCs w:val="20"/>
                <w:lang w:val="en-US"/>
              </w:rPr>
              <w:t>2</w:t>
            </w:r>
            <w:r>
              <w:rPr>
                <w:rFonts w:ascii="Calibri" w:hAnsi="Calibri"/>
                <w:b/>
                <w:bCs/>
                <w:color w:val="000000"/>
                <w:sz w:val="20"/>
                <w:szCs w:val="20"/>
                <w:lang w:val="en-US"/>
              </w:rPr>
              <w:t>69</w:t>
            </w:r>
            <w:r w:rsidR="000E00A5" w:rsidRPr="00C9257A">
              <w:rPr>
                <w:rFonts w:ascii="Calibri" w:hAnsi="Calibri"/>
                <w:b/>
                <w:bCs/>
                <w:color w:val="000000"/>
                <w:sz w:val="20"/>
                <w:szCs w:val="20"/>
              </w:rPr>
              <w:t>.</w:t>
            </w:r>
            <w:r w:rsidRPr="00C9257A">
              <w:rPr>
                <w:rFonts w:ascii="Calibri" w:hAnsi="Calibri"/>
                <w:b/>
                <w:bCs/>
                <w:color w:val="000000"/>
                <w:sz w:val="20"/>
                <w:szCs w:val="20"/>
                <w:lang w:val="en-US"/>
              </w:rPr>
              <w:t>5</w:t>
            </w:r>
            <w:r>
              <w:rPr>
                <w:rFonts w:ascii="Calibri" w:hAnsi="Calibri"/>
                <w:b/>
                <w:bCs/>
                <w:color w:val="000000"/>
                <w:sz w:val="20"/>
                <w:szCs w:val="20"/>
                <w:lang w:val="en-US"/>
              </w:rPr>
              <w:t>0</w:t>
            </w:r>
            <w:r w:rsidR="000E00A5" w:rsidRPr="00C9257A">
              <w:rPr>
                <w:rFonts w:ascii="Calibri" w:hAnsi="Calibri"/>
                <w:b/>
                <w:bCs/>
                <w:color w:val="000000"/>
                <w:sz w:val="20"/>
                <w:szCs w:val="20"/>
              </w:rPr>
              <w:t>%</w:t>
            </w:r>
          </w:p>
        </w:tc>
      </w:tr>
      <w:tr w:rsidR="000E00A5" w:rsidRPr="007A43EA" w14:paraId="45CAACE9" w14:textId="77777777" w:rsidTr="007B0934">
        <w:trPr>
          <w:trHeight w:val="288"/>
        </w:trPr>
        <w:tc>
          <w:tcPr>
            <w:tcW w:w="3969" w:type="dxa"/>
            <w:vMerge/>
            <w:tcBorders>
              <w:top w:val="nil"/>
              <w:left w:val="nil"/>
              <w:bottom w:val="single" w:sz="4" w:space="0" w:color="000000"/>
              <w:right w:val="nil"/>
            </w:tcBorders>
            <w:vAlign w:val="center"/>
            <w:hideMark/>
          </w:tcPr>
          <w:p w14:paraId="42860CE9" w14:textId="77777777" w:rsidR="000E00A5" w:rsidRPr="007A43EA" w:rsidRDefault="000E00A5">
            <w:pPr>
              <w:rPr>
                <w:rFonts w:ascii="Calibri" w:hAnsi="Calibri"/>
                <w:b/>
                <w:bCs/>
                <w:color w:val="000000"/>
                <w:sz w:val="20"/>
                <w:szCs w:val="20"/>
                <w:highlight w:val="yellow"/>
              </w:rPr>
            </w:pPr>
          </w:p>
        </w:tc>
        <w:tc>
          <w:tcPr>
            <w:tcW w:w="3280" w:type="dxa"/>
            <w:tcBorders>
              <w:top w:val="nil"/>
              <w:left w:val="nil"/>
              <w:bottom w:val="nil"/>
              <w:right w:val="nil"/>
            </w:tcBorders>
            <w:shd w:val="clear" w:color="000000" w:fill="FFFFFF"/>
            <w:vAlign w:val="center"/>
            <w:hideMark/>
          </w:tcPr>
          <w:p w14:paraId="2BAA0E34" w14:textId="4BEA4ED5" w:rsidR="000E00A5" w:rsidRPr="00C9257A" w:rsidRDefault="000E00A5" w:rsidP="00C9257A">
            <w:pPr>
              <w:jc w:val="both"/>
              <w:rPr>
                <w:rFonts w:ascii="Calibri" w:hAnsi="Calibri"/>
                <w:color w:val="000000"/>
                <w:sz w:val="20"/>
                <w:szCs w:val="20"/>
                <w:lang w:val="en-US"/>
              </w:rPr>
            </w:pPr>
            <w:r w:rsidRPr="00C9257A">
              <w:rPr>
                <w:rFonts w:ascii="Calibri" w:hAnsi="Calibri"/>
                <w:color w:val="000000"/>
                <w:sz w:val="20"/>
                <w:szCs w:val="20"/>
              </w:rPr>
              <w:t xml:space="preserve">1 </w:t>
            </w:r>
            <w:r w:rsidR="00C9257A" w:rsidRPr="00C9257A">
              <w:rPr>
                <w:rFonts w:ascii="Calibri" w:hAnsi="Calibri"/>
                <w:color w:val="000000"/>
                <w:sz w:val="20"/>
                <w:szCs w:val="20"/>
                <w:lang w:val="en-US"/>
              </w:rPr>
              <w:t>222</w:t>
            </w:r>
          </w:p>
        </w:tc>
        <w:tc>
          <w:tcPr>
            <w:tcW w:w="1460" w:type="dxa"/>
            <w:vMerge/>
            <w:tcBorders>
              <w:top w:val="nil"/>
              <w:left w:val="nil"/>
              <w:bottom w:val="single" w:sz="4" w:space="0" w:color="000000"/>
              <w:right w:val="nil"/>
            </w:tcBorders>
            <w:vAlign w:val="center"/>
            <w:hideMark/>
          </w:tcPr>
          <w:p w14:paraId="35EFA646" w14:textId="77777777" w:rsidR="000E00A5" w:rsidRPr="007A43EA" w:rsidRDefault="000E00A5">
            <w:pPr>
              <w:rPr>
                <w:rFonts w:ascii="Calibri" w:hAnsi="Calibri"/>
                <w:b/>
                <w:bCs/>
                <w:color w:val="000000"/>
                <w:sz w:val="20"/>
                <w:szCs w:val="20"/>
                <w:highlight w:val="yellow"/>
              </w:rPr>
            </w:pPr>
          </w:p>
        </w:tc>
      </w:tr>
      <w:tr w:rsidR="000E00A5" w:rsidRPr="007A43EA" w14:paraId="0A79CEAC" w14:textId="77777777" w:rsidTr="007B0934">
        <w:trPr>
          <w:trHeight w:val="288"/>
        </w:trPr>
        <w:tc>
          <w:tcPr>
            <w:tcW w:w="3969" w:type="dxa"/>
            <w:vMerge/>
            <w:tcBorders>
              <w:top w:val="nil"/>
              <w:left w:val="nil"/>
              <w:bottom w:val="single" w:sz="4" w:space="0" w:color="000000"/>
              <w:right w:val="nil"/>
            </w:tcBorders>
            <w:vAlign w:val="center"/>
            <w:hideMark/>
          </w:tcPr>
          <w:p w14:paraId="0B584C8D" w14:textId="77777777" w:rsidR="000E00A5" w:rsidRPr="007A43EA" w:rsidRDefault="000E00A5">
            <w:pPr>
              <w:rPr>
                <w:rFonts w:ascii="Calibri" w:hAnsi="Calibri"/>
                <w:b/>
                <w:bCs/>
                <w:color w:val="000000"/>
                <w:sz w:val="20"/>
                <w:szCs w:val="20"/>
                <w:highlight w:val="yellow"/>
              </w:rPr>
            </w:pPr>
          </w:p>
        </w:tc>
        <w:tc>
          <w:tcPr>
            <w:tcW w:w="3280" w:type="dxa"/>
            <w:tcBorders>
              <w:top w:val="nil"/>
              <w:left w:val="nil"/>
              <w:bottom w:val="nil"/>
              <w:right w:val="nil"/>
            </w:tcBorders>
            <w:shd w:val="clear" w:color="000000" w:fill="FFFFFF"/>
            <w:vAlign w:val="center"/>
            <w:hideMark/>
          </w:tcPr>
          <w:p w14:paraId="557D71E5" w14:textId="77777777" w:rsidR="000E00A5" w:rsidRPr="00C9257A" w:rsidRDefault="000E00A5">
            <w:pPr>
              <w:jc w:val="both"/>
              <w:rPr>
                <w:rFonts w:ascii="Calibri" w:hAnsi="Calibri"/>
                <w:b/>
                <w:bCs/>
                <w:color w:val="000000"/>
                <w:sz w:val="20"/>
                <w:szCs w:val="20"/>
              </w:rPr>
            </w:pPr>
            <w:r w:rsidRPr="00C9257A">
              <w:rPr>
                <w:rFonts w:ascii="Calibri" w:hAnsi="Calibri"/>
                <w:b/>
                <w:bCs/>
                <w:color w:val="000000"/>
                <w:sz w:val="20"/>
                <w:szCs w:val="20"/>
              </w:rPr>
              <w:t>Разходи за лихви:</w:t>
            </w:r>
          </w:p>
        </w:tc>
        <w:tc>
          <w:tcPr>
            <w:tcW w:w="1460" w:type="dxa"/>
            <w:vMerge/>
            <w:tcBorders>
              <w:top w:val="nil"/>
              <w:left w:val="nil"/>
              <w:bottom w:val="single" w:sz="4" w:space="0" w:color="000000"/>
              <w:right w:val="nil"/>
            </w:tcBorders>
            <w:vAlign w:val="center"/>
            <w:hideMark/>
          </w:tcPr>
          <w:p w14:paraId="488752A1" w14:textId="77777777" w:rsidR="000E00A5" w:rsidRPr="007A43EA" w:rsidRDefault="000E00A5">
            <w:pPr>
              <w:rPr>
                <w:rFonts w:ascii="Calibri" w:hAnsi="Calibri"/>
                <w:b/>
                <w:bCs/>
                <w:color w:val="000000"/>
                <w:sz w:val="20"/>
                <w:szCs w:val="20"/>
                <w:highlight w:val="yellow"/>
              </w:rPr>
            </w:pPr>
          </w:p>
        </w:tc>
      </w:tr>
      <w:tr w:rsidR="000E00A5" w14:paraId="52F25C11" w14:textId="77777777" w:rsidTr="007B0934">
        <w:trPr>
          <w:trHeight w:val="288"/>
        </w:trPr>
        <w:tc>
          <w:tcPr>
            <w:tcW w:w="3969" w:type="dxa"/>
            <w:vMerge/>
            <w:tcBorders>
              <w:top w:val="nil"/>
              <w:left w:val="nil"/>
              <w:bottom w:val="single" w:sz="4" w:space="0" w:color="000000"/>
              <w:right w:val="nil"/>
            </w:tcBorders>
            <w:vAlign w:val="center"/>
            <w:hideMark/>
          </w:tcPr>
          <w:p w14:paraId="7DFA4A56" w14:textId="77777777" w:rsidR="000E00A5" w:rsidRPr="007A43EA" w:rsidRDefault="000E00A5">
            <w:pPr>
              <w:rPr>
                <w:rFonts w:ascii="Calibri" w:hAnsi="Calibri"/>
                <w:b/>
                <w:bCs/>
                <w:color w:val="000000"/>
                <w:sz w:val="20"/>
                <w:szCs w:val="20"/>
                <w:highlight w:val="yellow"/>
              </w:rPr>
            </w:pPr>
          </w:p>
        </w:tc>
        <w:tc>
          <w:tcPr>
            <w:tcW w:w="3280" w:type="dxa"/>
            <w:tcBorders>
              <w:top w:val="nil"/>
              <w:left w:val="nil"/>
              <w:bottom w:val="single" w:sz="4" w:space="0" w:color="auto"/>
              <w:right w:val="nil"/>
            </w:tcBorders>
            <w:shd w:val="clear" w:color="000000" w:fill="FFFFFF"/>
            <w:vAlign w:val="center"/>
            <w:hideMark/>
          </w:tcPr>
          <w:p w14:paraId="0602CBBE" w14:textId="67328FE0" w:rsidR="000E00A5" w:rsidRPr="00C9257A" w:rsidRDefault="00C9257A">
            <w:pPr>
              <w:jc w:val="both"/>
              <w:rPr>
                <w:rFonts w:ascii="Calibri" w:hAnsi="Calibri"/>
                <w:color w:val="000000"/>
                <w:sz w:val="20"/>
                <w:szCs w:val="20"/>
                <w:lang w:val="en-US"/>
              </w:rPr>
            </w:pPr>
            <w:r w:rsidRPr="00C9257A">
              <w:rPr>
                <w:rFonts w:ascii="Calibri" w:hAnsi="Calibri"/>
                <w:color w:val="000000"/>
                <w:sz w:val="20"/>
                <w:szCs w:val="20"/>
                <w:lang w:val="en-US"/>
              </w:rPr>
              <w:t>721</w:t>
            </w:r>
          </w:p>
        </w:tc>
        <w:tc>
          <w:tcPr>
            <w:tcW w:w="1460" w:type="dxa"/>
            <w:vMerge/>
            <w:tcBorders>
              <w:top w:val="nil"/>
              <w:left w:val="nil"/>
              <w:bottom w:val="single" w:sz="4" w:space="0" w:color="000000"/>
              <w:right w:val="nil"/>
            </w:tcBorders>
            <w:vAlign w:val="center"/>
            <w:hideMark/>
          </w:tcPr>
          <w:p w14:paraId="344EED4C" w14:textId="77777777" w:rsidR="000E00A5" w:rsidRDefault="000E00A5">
            <w:pPr>
              <w:rPr>
                <w:rFonts w:ascii="Calibri" w:hAnsi="Calibri"/>
                <w:b/>
                <w:bCs/>
                <w:color w:val="000000"/>
                <w:sz w:val="20"/>
                <w:szCs w:val="20"/>
              </w:rPr>
            </w:pPr>
          </w:p>
        </w:tc>
      </w:tr>
    </w:tbl>
    <w:p w14:paraId="6D5B59F7" w14:textId="77777777" w:rsidR="00BA5398" w:rsidRPr="007B0934" w:rsidRDefault="00BA5398" w:rsidP="007B0934">
      <w:pPr>
        <w:ind w:right="566"/>
        <w:jc w:val="both"/>
        <w:rPr>
          <w:rFonts w:asciiTheme="minorHAnsi" w:hAnsiTheme="minorHAnsi"/>
          <w:b/>
          <w:sz w:val="20"/>
          <w:szCs w:val="20"/>
        </w:rPr>
      </w:pPr>
    </w:p>
    <w:p w14:paraId="6497430D" w14:textId="77777777" w:rsidR="001068F0" w:rsidRPr="007B0934" w:rsidRDefault="001068F0" w:rsidP="007B0934">
      <w:pPr>
        <w:pStyle w:val="bs2"/>
        <w:spacing w:after="240"/>
        <w:ind w:left="709" w:right="567"/>
        <w:rPr>
          <w:rFonts w:asciiTheme="minorHAnsi" w:hAnsiTheme="minorHAnsi"/>
        </w:rPr>
      </w:pPr>
      <w:r w:rsidRPr="007B0934">
        <w:rPr>
          <w:rFonts w:asciiTheme="minorHAnsi" w:hAnsiTheme="minorHAnsi"/>
        </w:rPr>
        <w:t>3</w:t>
      </w:r>
      <w:r w:rsidR="003D5852" w:rsidRPr="007B0934">
        <w:rPr>
          <w:rFonts w:asciiTheme="minorHAnsi" w:hAnsiTheme="minorHAnsi"/>
        </w:rPr>
        <w:t xml:space="preserve">.3. </w:t>
      </w:r>
      <w:r w:rsidR="00204BE9" w:rsidRPr="007B0934">
        <w:rPr>
          <w:rFonts w:asciiTheme="minorHAnsi" w:hAnsiTheme="minorHAnsi"/>
        </w:rPr>
        <w:t xml:space="preserve">Минимален размер на обезпечението: </w:t>
      </w:r>
    </w:p>
    <w:p w14:paraId="4A54EB53" w14:textId="77777777" w:rsidR="00204BE9" w:rsidRPr="007B0934" w:rsidRDefault="00204BE9" w:rsidP="007B0934">
      <w:pPr>
        <w:spacing w:after="120"/>
        <w:ind w:right="567"/>
        <w:jc w:val="both"/>
        <w:rPr>
          <w:rFonts w:asciiTheme="minorHAnsi" w:hAnsiTheme="minorHAnsi"/>
          <w:b/>
          <w:sz w:val="20"/>
          <w:szCs w:val="20"/>
        </w:rPr>
      </w:pPr>
      <w:r w:rsidRPr="007B0934">
        <w:rPr>
          <w:rFonts w:asciiTheme="minorHAnsi" w:hAnsiTheme="minorHAnsi"/>
          <w:sz w:val="20"/>
          <w:szCs w:val="20"/>
        </w:rPr>
        <w:t xml:space="preserve">Емитентът следва да поддържа коефициент размер на </w:t>
      </w:r>
      <w:proofErr w:type="spellStart"/>
      <w:r w:rsidRPr="007B0934">
        <w:rPr>
          <w:rFonts w:asciiTheme="minorHAnsi" w:hAnsiTheme="minorHAnsi"/>
          <w:sz w:val="20"/>
          <w:szCs w:val="20"/>
        </w:rPr>
        <w:t>неамортизирания</w:t>
      </w:r>
      <w:proofErr w:type="spellEnd"/>
      <w:r w:rsidRPr="007B0934">
        <w:rPr>
          <w:rFonts w:asciiTheme="minorHAnsi" w:hAnsiTheme="minorHAnsi"/>
          <w:sz w:val="20"/>
          <w:szCs w:val="20"/>
        </w:rPr>
        <w:t xml:space="preserve"> облигационния заем към стойността на обезпечението (LTV) ≤ 80%.</w:t>
      </w:r>
    </w:p>
    <w:p w14:paraId="15E2BB47" w14:textId="2F3DE188" w:rsidR="00204BE9" w:rsidRPr="007B0934" w:rsidRDefault="00204BE9" w:rsidP="007B0934">
      <w:pPr>
        <w:spacing w:after="120"/>
        <w:ind w:right="567"/>
        <w:jc w:val="both"/>
        <w:rPr>
          <w:rFonts w:asciiTheme="minorHAnsi" w:hAnsiTheme="minorHAnsi"/>
          <w:sz w:val="20"/>
          <w:szCs w:val="20"/>
        </w:rPr>
      </w:pPr>
      <w:r w:rsidRPr="007B0934">
        <w:rPr>
          <w:rFonts w:asciiTheme="minorHAnsi" w:hAnsiTheme="minorHAnsi"/>
          <w:sz w:val="20"/>
          <w:szCs w:val="20"/>
        </w:rPr>
        <w:t>Стойността на показателя „Минимален размер на обезпечението“ към 30.06.202</w:t>
      </w:r>
      <w:r w:rsidR="007B0934" w:rsidRPr="007B0934">
        <w:rPr>
          <w:rFonts w:asciiTheme="minorHAnsi" w:hAnsiTheme="minorHAnsi"/>
          <w:sz w:val="20"/>
          <w:szCs w:val="20"/>
        </w:rPr>
        <w:t>1</w:t>
      </w:r>
      <w:r w:rsidRPr="007B0934">
        <w:rPr>
          <w:rFonts w:asciiTheme="minorHAnsi" w:hAnsiTheme="minorHAnsi"/>
          <w:sz w:val="20"/>
          <w:szCs w:val="20"/>
        </w:rPr>
        <w:t xml:space="preserve"> г. е 7</w:t>
      </w:r>
      <w:r w:rsidR="007A43EA" w:rsidRPr="007A43EA">
        <w:rPr>
          <w:rFonts w:asciiTheme="minorHAnsi" w:hAnsiTheme="minorHAnsi"/>
          <w:sz w:val="20"/>
          <w:szCs w:val="20"/>
        </w:rPr>
        <w:t>5</w:t>
      </w:r>
      <w:r w:rsidRPr="007B0934">
        <w:rPr>
          <w:rFonts w:asciiTheme="minorHAnsi" w:hAnsiTheme="minorHAnsi"/>
          <w:sz w:val="20"/>
          <w:szCs w:val="20"/>
        </w:rPr>
        <w:t>.</w:t>
      </w:r>
      <w:r w:rsidR="007A43EA" w:rsidRPr="007A43EA">
        <w:rPr>
          <w:rFonts w:asciiTheme="minorHAnsi" w:hAnsiTheme="minorHAnsi"/>
          <w:sz w:val="20"/>
          <w:szCs w:val="20"/>
        </w:rPr>
        <w:t>71</w:t>
      </w:r>
      <w:r w:rsidRPr="007B0934">
        <w:rPr>
          <w:rFonts w:asciiTheme="minorHAnsi" w:hAnsiTheme="minorHAnsi"/>
          <w:sz w:val="20"/>
          <w:szCs w:val="20"/>
        </w:rPr>
        <w:t>%.</w:t>
      </w:r>
    </w:p>
    <w:p w14:paraId="03C2FD65" w14:textId="26CFB96F" w:rsidR="00204BE9" w:rsidRPr="007B0934" w:rsidRDefault="00204BE9" w:rsidP="007B0934">
      <w:pPr>
        <w:spacing w:after="120"/>
        <w:ind w:right="567"/>
        <w:jc w:val="both"/>
        <w:rPr>
          <w:rFonts w:asciiTheme="minorHAnsi" w:hAnsiTheme="minorHAnsi"/>
          <w:sz w:val="20"/>
          <w:szCs w:val="20"/>
        </w:rPr>
      </w:pPr>
      <w:r w:rsidRPr="007B0934">
        <w:rPr>
          <w:rFonts w:asciiTheme="minorHAnsi" w:hAnsiTheme="minorHAnsi"/>
          <w:sz w:val="20"/>
          <w:szCs w:val="20"/>
        </w:rPr>
        <w:t>За целите на изчислението на показателя са взети предвид стойностите на заложените недвижими имоти и вземания, обезпечаващи емисията към 30.06.202</w:t>
      </w:r>
      <w:r w:rsidR="007B0934" w:rsidRPr="007B0934">
        <w:rPr>
          <w:rFonts w:asciiTheme="minorHAnsi" w:hAnsiTheme="minorHAnsi"/>
          <w:sz w:val="20"/>
          <w:szCs w:val="20"/>
        </w:rPr>
        <w:t>1</w:t>
      </w:r>
      <w:r w:rsidRPr="007B0934">
        <w:rPr>
          <w:rFonts w:asciiTheme="minorHAnsi" w:hAnsiTheme="minorHAnsi"/>
          <w:sz w:val="20"/>
          <w:szCs w:val="20"/>
        </w:rPr>
        <w:t xml:space="preserve"> г. както следва:</w:t>
      </w:r>
    </w:p>
    <w:p w14:paraId="4173EAB1" w14:textId="07CBDB06" w:rsidR="00204BE9" w:rsidRPr="007B0934" w:rsidRDefault="00204BE9" w:rsidP="007B0934">
      <w:pPr>
        <w:pStyle w:val="ListParagraph"/>
        <w:numPr>
          <w:ilvl w:val="0"/>
          <w:numId w:val="27"/>
        </w:numPr>
        <w:spacing w:after="120"/>
        <w:ind w:right="567"/>
        <w:jc w:val="both"/>
        <w:rPr>
          <w:rFonts w:asciiTheme="minorHAnsi" w:hAnsiTheme="minorHAnsi"/>
          <w:sz w:val="20"/>
          <w:szCs w:val="20"/>
          <w:lang w:val="bg-BG"/>
        </w:rPr>
      </w:pPr>
      <w:r w:rsidRPr="007B0934">
        <w:rPr>
          <w:rFonts w:asciiTheme="minorHAnsi" w:hAnsiTheme="minorHAnsi"/>
          <w:sz w:val="20"/>
          <w:szCs w:val="20"/>
          <w:lang w:val="bg-BG"/>
        </w:rPr>
        <w:t xml:space="preserve">Недвижим имот с адрес гр. София, ул. Симеоновско шосе № 198 на обща стойност 1 </w:t>
      </w:r>
      <w:r w:rsidR="007A43EA" w:rsidRPr="007A43EA">
        <w:rPr>
          <w:rFonts w:asciiTheme="minorHAnsi" w:hAnsiTheme="minorHAnsi"/>
          <w:sz w:val="20"/>
          <w:szCs w:val="20"/>
          <w:lang w:val="bg-BG"/>
        </w:rPr>
        <w:t>546</w:t>
      </w:r>
      <w:r w:rsidRPr="007B0934">
        <w:rPr>
          <w:rFonts w:asciiTheme="minorHAnsi" w:hAnsiTheme="minorHAnsi"/>
          <w:sz w:val="20"/>
          <w:szCs w:val="20"/>
          <w:lang w:val="bg-BG"/>
        </w:rPr>
        <w:t xml:space="preserve"> 000 лв.</w:t>
      </w:r>
    </w:p>
    <w:p w14:paraId="16FF545B" w14:textId="7657C216" w:rsidR="00204BE9" w:rsidRPr="007B0934" w:rsidRDefault="00204BE9" w:rsidP="007B0934">
      <w:pPr>
        <w:pStyle w:val="ListParagraph"/>
        <w:numPr>
          <w:ilvl w:val="0"/>
          <w:numId w:val="27"/>
        </w:numPr>
        <w:spacing w:after="120"/>
        <w:ind w:right="567"/>
        <w:jc w:val="both"/>
        <w:rPr>
          <w:rFonts w:asciiTheme="minorHAnsi" w:hAnsiTheme="minorHAnsi"/>
          <w:sz w:val="20"/>
          <w:szCs w:val="20"/>
          <w:lang w:val="bg-BG"/>
        </w:rPr>
      </w:pPr>
      <w:r w:rsidRPr="007B0934">
        <w:rPr>
          <w:rFonts w:asciiTheme="minorHAnsi" w:hAnsiTheme="minorHAnsi"/>
          <w:sz w:val="20"/>
          <w:szCs w:val="20"/>
          <w:lang w:val="bg-BG"/>
        </w:rPr>
        <w:t>Недвижим имот с адрес гр. София, ул. Света гора №42 на обща стойност 48</w:t>
      </w:r>
      <w:r w:rsidR="007A43EA" w:rsidRPr="007A43EA">
        <w:rPr>
          <w:rFonts w:asciiTheme="minorHAnsi" w:hAnsiTheme="minorHAnsi"/>
          <w:sz w:val="20"/>
          <w:szCs w:val="20"/>
          <w:lang w:val="bg-BG"/>
        </w:rPr>
        <w:t>5</w:t>
      </w:r>
      <w:r w:rsidRPr="007B0934">
        <w:rPr>
          <w:rFonts w:asciiTheme="minorHAnsi" w:hAnsiTheme="minorHAnsi"/>
          <w:sz w:val="20"/>
          <w:szCs w:val="20"/>
          <w:lang w:val="bg-BG"/>
        </w:rPr>
        <w:t xml:space="preserve"> </w:t>
      </w:r>
      <w:r w:rsidR="007A43EA" w:rsidRPr="007A43EA">
        <w:rPr>
          <w:rFonts w:asciiTheme="minorHAnsi" w:hAnsiTheme="minorHAnsi"/>
          <w:sz w:val="20"/>
          <w:szCs w:val="20"/>
          <w:lang w:val="bg-BG"/>
        </w:rPr>
        <w:t>0</w:t>
      </w:r>
      <w:r w:rsidRPr="007B0934">
        <w:rPr>
          <w:rFonts w:asciiTheme="minorHAnsi" w:hAnsiTheme="minorHAnsi"/>
          <w:sz w:val="20"/>
          <w:szCs w:val="20"/>
          <w:lang w:val="bg-BG"/>
        </w:rPr>
        <w:t>00 лв.</w:t>
      </w:r>
    </w:p>
    <w:p w14:paraId="5C53E88B" w14:textId="089DFC68" w:rsidR="00204BE9" w:rsidRPr="007B0934" w:rsidRDefault="00204BE9" w:rsidP="007B0934">
      <w:pPr>
        <w:pStyle w:val="ListParagraph"/>
        <w:numPr>
          <w:ilvl w:val="0"/>
          <w:numId w:val="27"/>
        </w:numPr>
        <w:spacing w:after="120"/>
        <w:ind w:right="567"/>
        <w:jc w:val="both"/>
        <w:rPr>
          <w:rFonts w:asciiTheme="minorHAnsi" w:hAnsiTheme="minorHAnsi"/>
          <w:sz w:val="20"/>
          <w:szCs w:val="20"/>
          <w:lang w:val="bg-BG"/>
        </w:rPr>
      </w:pPr>
      <w:r w:rsidRPr="007B0934">
        <w:rPr>
          <w:rFonts w:asciiTheme="minorHAnsi" w:hAnsiTheme="minorHAnsi"/>
          <w:sz w:val="20"/>
          <w:szCs w:val="20"/>
          <w:lang w:val="bg-BG"/>
        </w:rPr>
        <w:t xml:space="preserve">Съвкупност от вземания по отпуснати кредити на стойност 4 </w:t>
      </w:r>
      <w:r w:rsidR="007A43EA" w:rsidRPr="007A43EA">
        <w:rPr>
          <w:rFonts w:asciiTheme="minorHAnsi" w:hAnsiTheme="minorHAnsi"/>
          <w:sz w:val="20"/>
          <w:szCs w:val="20"/>
          <w:lang w:val="bg-BG"/>
        </w:rPr>
        <w:t>573</w:t>
      </w:r>
      <w:r w:rsidRPr="007B0934">
        <w:rPr>
          <w:rFonts w:asciiTheme="minorHAnsi" w:hAnsiTheme="minorHAnsi"/>
          <w:sz w:val="20"/>
          <w:szCs w:val="20"/>
          <w:lang w:val="bg-BG"/>
        </w:rPr>
        <w:t xml:space="preserve"> </w:t>
      </w:r>
      <w:r w:rsidR="007A43EA" w:rsidRPr="007A43EA">
        <w:rPr>
          <w:rFonts w:asciiTheme="minorHAnsi" w:hAnsiTheme="minorHAnsi"/>
          <w:sz w:val="20"/>
          <w:szCs w:val="20"/>
          <w:lang w:val="bg-BG"/>
        </w:rPr>
        <w:t>167</w:t>
      </w:r>
      <w:r w:rsidRPr="007B0934">
        <w:rPr>
          <w:rFonts w:asciiTheme="minorHAnsi" w:hAnsiTheme="minorHAnsi"/>
          <w:sz w:val="20"/>
          <w:szCs w:val="20"/>
          <w:lang w:val="bg-BG"/>
        </w:rPr>
        <w:t xml:space="preserve"> лв.</w:t>
      </w:r>
    </w:p>
    <w:p w14:paraId="02A8A100" w14:textId="4337F1D1" w:rsidR="00204BE9" w:rsidRPr="007B0934" w:rsidRDefault="00204BE9" w:rsidP="007B0934">
      <w:pPr>
        <w:spacing w:after="120"/>
        <w:ind w:right="567"/>
        <w:jc w:val="both"/>
        <w:rPr>
          <w:rFonts w:asciiTheme="minorHAnsi" w:hAnsiTheme="minorHAnsi"/>
          <w:sz w:val="20"/>
          <w:szCs w:val="20"/>
        </w:rPr>
      </w:pPr>
      <w:r w:rsidRPr="007B0934">
        <w:rPr>
          <w:rFonts w:asciiTheme="minorHAnsi" w:hAnsiTheme="minorHAnsi"/>
          <w:sz w:val="20"/>
          <w:szCs w:val="20"/>
        </w:rPr>
        <w:t>Общ</w:t>
      </w:r>
      <w:r w:rsidR="006A08D3" w:rsidRPr="007B0934">
        <w:rPr>
          <w:rFonts w:asciiTheme="minorHAnsi" w:hAnsiTheme="minorHAnsi"/>
          <w:sz w:val="20"/>
          <w:szCs w:val="20"/>
        </w:rPr>
        <w:t>ият размер на обезпечението се равнява на</w:t>
      </w:r>
      <w:r w:rsidRPr="007B0934">
        <w:rPr>
          <w:rFonts w:asciiTheme="minorHAnsi" w:hAnsiTheme="minorHAnsi"/>
          <w:sz w:val="20"/>
          <w:szCs w:val="20"/>
        </w:rPr>
        <w:t xml:space="preserve"> 6 </w:t>
      </w:r>
      <w:r w:rsidR="007A43EA" w:rsidRPr="007A43EA">
        <w:rPr>
          <w:rFonts w:asciiTheme="minorHAnsi" w:hAnsiTheme="minorHAnsi"/>
          <w:sz w:val="20"/>
          <w:szCs w:val="20"/>
        </w:rPr>
        <w:t>604</w:t>
      </w:r>
      <w:r w:rsidRPr="007B0934">
        <w:rPr>
          <w:rFonts w:asciiTheme="minorHAnsi" w:hAnsiTheme="minorHAnsi"/>
          <w:sz w:val="20"/>
          <w:szCs w:val="20"/>
        </w:rPr>
        <w:t xml:space="preserve"> </w:t>
      </w:r>
      <w:r w:rsidR="007A43EA" w:rsidRPr="007A43EA">
        <w:rPr>
          <w:rFonts w:asciiTheme="minorHAnsi" w:hAnsiTheme="minorHAnsi"/>
          <w:sz w:val="20"/>
          <w:szCs w:val="20"/>
        </w:rPr>
        <w:t>167</w:t>
      </w:r>
      <w:r w:rsidRPr="007B0934">
        <w:rPr>
          <w:rFonts w:asciiTheme="minorHAnsi" w:hAnsiTheme="minorHAnsi"/>
          <w:sz w:val="20"/>
          <w:szCs w:val="20"/>
        </w:rPr>
        <w:t xml:space="preserve"> лв.</w:t>
      </w:r>
    </w:p>
    <w:p w14:paraId="02D4298E" w14:textId="77777777" w:rsidR="00204BE9" w:rsidRPr="007B0934" w:rsidRDefault="00204BE9" w:rsidP="007B0934">
      <w:pPr>
        <w:spacing w:after="120"/>
        <w:ind w:right="567"/>
        <w:jc w:val="both"/>
        <w:rPr>
          <w:rFonts w:asciiTheme="minorHAnsi" w:hAnsiTheme="minorHAnsi"/>
          <w:sz w:val="20"/>
          <w:szCs w:val="20"/>
        </w:rPr>
      </w:pPr>
      <w:r w:rsidRPr="007B0934">
        <w:rPr>
          <w:rFonts w:asciiTheme="minorHAnsi" w:hAnsiTheme="minorHAnsi"/>
          <w:sz w:val="20"/>
          <w:szCs w:val="20"/>
        </w:rPr>
        <w:t xml:space="preserve">Размер на усвоената и </w:t>
      </w:r>
      <w:proofErr w:type="spellStart"/>
      <w:r w:rsidRPr="007B0934">
        <w:rPr>
          <w:rFonts w:asciiTheme="minorHAnsi" w:hAnsiTheme="minorHAnsi"/>
          <w:sz w:val="20"/>
          <w:szCs w:val="20"/>
        </w:rPr>
        <w:t>неамортизирана</w:t>
      </w:r>
      <w:proofErr w:type="spellEnd"/>
      <w:r w:rsidRPr="007B0934">
        <w:rPr>
          <w:rFonts w:asciiTheme="minorHAnsi" w:hAnsiTheme="minorHAnsi"/>
          <w:sz w:val="20"/>
          <w:szCs w:val="20"/>
        </w:rPr>
        <w:t xml:space="preserve"> стойност на облигационния заем – 5 000 000 лв.</w:t>
      </w:r>
    </w:p>
    <w:p w14:paraId="15A5C5B4" w14:textId="69D5FB5E" w:rsidR="00C10FA4" w:rsidRPr="007B0934" w:rsidRDefault="00E01B94" w:rsidP="007B0934">
      <w:pPr>
        <w:ind w:right="566"/>
        <w:jc w:val="both"/>
        <w:rPr>
          <w:rFonts w:asciiTheme="minorHAnsi" w:hAnsiTheme="minorHAnsi"/>
          <w:sz w:val="20"/>
          <w:szCs w:val="20"/>
        </w:rPr>
      </w:pPr>
      <w:r w:rsidRPr="007B0934">
        <w:rPr>
          <w:rFonts w:asciiTheme="minorHAnsi" w:hAnsiTheme="minorHAnsi"/>
          <w:sz w:val="20"/>
          <w:szCs w:val="20"/>
        </w:rPr>
        <w:t>Към 30.06.202</w:t>
      </w:r>
      <w:r w:rsidR="007A43EA" w:rsidRPr="007A43EA">
        <w:rPr>
          <w:rFonts w:asciiTheme="minorHAnsi" w:hAnsiTheme="minorHAnsi"/>
          <w:sz w:val="20"/>
          <w:szCs w:val="20"/>
        </w:rPr>
        <w:t>1</w:t>
      </w:r>
      <w:r w:rsidRPr="007B0934">
        <w:rPr>
          <w:rFonts w:asciiTheme="minorHAnsi" w:hAnsiTheme="minorHAnsi"/>
          <w:sz w:val="20"/>
          <w:szCs w:val="20"/>
        </w:rPr>
        <w:t xml:space="preserve"> г. </w:t>
      </w:r>
      <w:r w:rsidR="006A08D3" w:rsidRPr="007B0934">
        <w:rPr>
          <w:rFonts w:asciiTheme="minorHAnsi" w:hAnsiTheme="minorHAnsi"/>
          <w:sz w:val="20"/>
          <w:szCs w:val="20"/>
        </w:rPr>
        <w:t xml:space="preserve">Емитентът спазва </w:t>
      </w:r>
      <w:r w:rsidRPr="007B0934">
        <w:rPr>
          <w:rFonts w:asciiTheme="minorHAnsi" w:hAnsiTheme="minorHAnsi"/>
          <w:sz w:val="20"/>
          <w:szCs w:val="20"/>
        </w:rPr>
        <w:t xml:space="preserve">всички финансови коефициенти </w:t>
      </w:r>
      <w:r w:rsidR="006A08D3" w:rsidRPr="007B0934">
        <w:rPr>
          <w:rFonts w:asciiTheme="minorHAnsi" w:hAnsiTheme="minorHAnsi"/>
          <w:sz w:val="20"/>
          <w:szCs w:val="20"/>
        </w:rPr>
        <w:t>заложени в</w:t>
      </w:r>
      <w:r w:rsidRPr="007B0934">
        <w:rPr>
          <w:rFonts w:asciiTheme="minorHAnsi" w:hAnsiTheme="minorHAnsi"/>
          <w:sz w:val="20"/>
          <w:szCs w:val="20"/>
        </w:rPr>
        <w:t xml:space="preserve"> условията на облигационния заем.</w:t>
      </w:r>
    </w:p>
    <w:p w14:paraId="139E4F67" w14:textId="77777777" w:rsidR="00C10FA4" w:rsidRPr="007B0934" w:rsidRDefault="00C10FA4" w:rsidP="007B0934">
      <w:pPr>
        <w:ind w:right="566"/>
        <w:jc w:val="both"/>
        <w:rPr>
          <w:rFonts w:asciiTheme="minorHAnsi" w:hAnsiTheme="minorHAnsi"/>
          <w:sz w:val="20"/>
          <w:szCs w:val="20"/>
        </w:rPr>
      </w:pPr>
    </w:p>
    <w:p w14:paraId="3B58E10F" w14:textId="77777777" w:rsidR="00EA082A" w:rsidRPr="007B0934" w:rsidRDefault="00EA082A" w:rsidP="007B0934">
      <w:pPr>
        <w:ind w:right="566"/>
        <w:jc w:val="both"/>
        <w:rPr>
          <w:rFonts w:asciiTheme="minorHAnsi" w:hAnsiTheme="minorHAnsi"/>
          <w:sz w:val="20"/>
          <w:szCs w:val="20"/>
        </w:rPr>
      </w:pPr>
    </w:p>
    <w:p w14:paraId="5BBED098" w14:textId="77777777" w:rsidR="00FC07F5" w:rsidRPr="007B0934" w:rsidRDefault="00FC07F5" w:rsidP="007B0934">
      <w:pPr>
        <w:ind w:right="566"/>
        <w:jc w:val="both"/>
        <w:rPr>
          <w:rFonts w:asciiTheme="minorHAnsi" w:hAnsiTheme="minorHAnsi"/>
          <w:sz w:val="20"/>
          <w:szCs w:val="20"/>
        </w:rPr>
      </w:pPr>
    </w:p>
    <w:p w14:paraId="42553062" w14:textId="77777777" w:rsidR="00EA082A" w:rsidRPr="007B0934" w:rsidRDefault="00EA082A" w:rsidP="007B0934">
      <w:pPr>
        <w:ind w:right="566"/>
        <w:rPr>
          <w:rFonts w:asciiTheme="minorHAnsi" w:hAnsiTheme="minorHAnsi"/>
          <w:sz w:val="20"/>
          <w:szCs w:val="20"/>
        </w:rPr>
      </w:pPr>
      <w:r w:rsidRPr="007B0934">
        <w:rPr>
          <w:rFonts w:asciiTheme="minorHAnsi" w:hAnsiTheme="minorHAnsi"/>
          <w:sz w:val="20"/>
          <w:szCs w:val="20"/>
        </w:rPr>
        <w:br w:type="page"/>
      </w:r>
    </w:p>
    <w:p w14:paraId="592DFF49" w14:textId="77777777" w:rsidR="00DF25AD" w:rsidRPr="007A43EA" w:rsidRDefault="00DF25AD" w:rsidP="001B2F3A">
      <w:pPr>
        <w:pStyle w:val="bs2"/>
        <w:numPr>
          <w:ilvl w:val="0"/>
          <w:numId w:val="7"/>
        </w:numPr>
        <w:rPr>
          <w:rFonts w:asciiTheme="minorHAnsi" w:hAnsiTheme="minorHAnsi"/>
          <w:sz w:val="22"/>
        </w:rPr>
      </w:pPr>
      <w:r w:rsidRPr="007A43EA">
        <w:rPr>
          <w:rFonts w:asciiTheme="minorHAnsi" w:hAnsiTheme="minorHAnsi"/>
          <w:sz w:val="22"/>
        </w:rPr>
        <w:lastRenderedPageBreak/>
        <w:t>Погасителен план</w:t>
      </w:r>
      <w:r w:rsidR="006863D2" w:rsidRPr="007A43EA">
        <w:rPr>
          <w:rFonts w:asciiTheme="minorHAnsi" w:hAnsiTheme="minorHAnsi"/>
          <w:sz w:val="22"/>
        </w:rPr>
        <w:t xml:space="preserve"> и извършени лихвени и главни</w:t>
      </w:r>
      <w:r w:rsidR="000A6EDF" w:rsidRPr="007A43EA">
        <w:rPr>
          <w:rFonts w:asciiTheme="minorHAnsi" w:hAnsiTheme="minorHAnsi"/>
          <w:sz w:val="22"/>
        </w:rPr>
        <w:t>ч</w:t>
      </w:r>
      <w:r w:rsidR="006863D2" w:rsidRPr="007A43EA">
        <w:rPr>
          <w:rFonts w:asciiTheme="minorHAnsi" w:hAnsiTheme="minorHAnsi"/>
          <w:sz w:val="22"/>
        </w:rPr>
        <w:t>ни плащания</w:t>
      </w:r>
    </w:p>
    <w:p w14:paraId="54A76BA2" w14:textId="77777777" w:rsidR="00E86722" w:rsidRPr="00E86722" w:rsidRDefault="00E86722" w:rsidP="00E86722">
      <w:pPr>
        <w:jc w:val="both"/>
        <w:rPr>
          <w:rFonts w:asciiTheme="minorHAnsi" w:hAnsiTheme="minorHAnsi"/>
        </w:rPr>
      </w:pPr>
    </w:p>
    <w:tbl>
      <w:tblPr>
        <w:tblW w:w="8696" w:type="dxa"/>
        <w:tblCellMar>
          <w:left w:w="70" w:type="dxa"/>
          <w:right w:w="70" w:type="dxa"/>
        </w:tblCellMar>
        <w:tblLook w:val="04A0" w:firstRow="1" w:lastRow="0" w:firstColumn="1" w:lastColumn="0" w:noHBand="0" w:noVBand="1"/>
      </w:tblPr>
      <w:tblGrid>
        <w:gridCol w:w="828"/>
        <w:gridCol w:w="1134"/>
        <w:gridCol w:w="989"/>
        <w:gridCol w:w="850"/>
        <w:gridCol w:w="850"/>
        <w:gridCol w:w="1077"/>
        <w:gridCol w:w="983"/>
        <w:gridCol w:w="992"/>
        <w:gridCol w:w="993"/>
      </w:tblGrid>
      <w:tr w:rsidR="000A6EDF" w:rsidRPr="007A43EA" w14:paraId="35C151CD" w14:textId="77777777" w:rsidTr="007A43EA">
        <w:trPr>
          <w:trHeight w:val="288"/>
        </w:trPr>
        <w:tc>
          <w:tcPr>
            <w:tcW w:w="828" w:type="dxa"/>
            <w:vMerge w:val="restart"/>
            <w:tcBorders>
              <w:top w:val="nil"/>
              <w:left w:val="nil"/>
              <w:bottom w:val="nil"/>
              <w:right w:val="nil"/>
            </w:tcBorders>
            <w:shd w:val="clear" w:color="000000" w:fill="B41E37"/>
            <w:vAlign w:val="center"/>
            <w:hideMark/>
          </w:tcPr>
          <w:p w14:paraId="35D91712" w14:textId="77777777" w:rsidR="000A6EDF" w:rsidRPr="007A43EA" w:rsidRDefault="000A6EDF">
            <w:pPr>
              <w:jc w:val="center"/>
              <w:rPr>
                <w:rFonts w:asciiTheme="minorHAnsi" w:hAnsiTheme="minorHAnsi"/>
                <w:b/>
                <w:bCs/>
                <w:color w:val="FFFFFF"/>
                <w:sz w:val="14"/>
                <w:szCs w:val="16"/>
              </w:rPr>
            </w:pPr>
            <w:r w:rsidRPr="007A43EA">
              <w:rPr>
                <w:rFonts w:asciiTheme="minorHAnsi" w:hAnsiTheme="minorHAnsi"/>
                <w:b/>
                <w:bCs/>
                <w:color w:val="FFFFFF"/>
                <w:sz w:val="14"/>
                <w:szCs w:val="16"/>
              </w:rPr>
              <w:t>Дата на издаване</w:t>
            </w:r>
          </w:p>
        </w:tc>
        <w:tc>
          <w:tcPr>
            <w:tcW w:w="1134" w:type="dxa"/>
            <w:vMerge w:val="restart"/>
            <w:tcBorders>
              <w:top w:val="nil"/>
              <w:left w:val="nil"/>
              <w:bottom w:val="nil"/>
              <w:right w:val="nil"/>
            </w:tcBorders>
            <w:shd w:val="clear" w:color="000000" w:fill="B41E37"/>
            <w:vAlign w:val="center"/>
            <w:hideMark/>
          </w:tcPr>
          <w:p w14:paraId="6456D29F" w14:textId="77777777" w:rsidR="000A6EDF" w:rsidRPr="007A43EA" w:rsidRDefault="000A6EDF">
            <w:pPr>
              <w:jc w:val="center"/>
              <w:rPr>
                <w:rFonts w:asciiTheme="minorHAnsi" w:hAnsiTheme="minorHAnsi"/>
                <w:b/>
                <w:bCs/>
                <w:color w:val="FFFFFF"/>
                <w:sz w:val="14"/>
                <w:szCs w:val="16"/>
              </w:rPr>
            </w:pPr>
            <w:r w:rsidRPr="007A43EA">
              <w:rPr>
                <w:rFonts w:asciiTheme="minorHAnsi" w:hAnsiTheme="minorHAnsi"/>
                <w:b/>
                <w:bCs/>
                <w:color w:val="FFFFFF"/>
                <w:sz w:val="14"/>
                <w:szCs w:val="16"/>
              </w:rPr>
              <w:t>Дата на лихвено плащане</w:t>
            </w:r>
          </w:p>
        </w:tc>
        <w:tc>
          <w:tcPr>
            <w:tcW w:w="989" w:type="dxa"/>
            <w:vMerge w:val="restart"/>
            <w:tcBorders>
              <w:top w:val="nil"/>
              <w:left w:val="nil"/>
              <w:bottom w:val="nil"/>
              <w:right w:val="nil"/>
            </w:tcBorders>
            <w:shd w:val="clear" w:color="000000" w:fill="B41E37"/>
            <w:vAlign w:val="center"/>
            <w:hideMark/>
          </w:tcPr>
          <w:p w14:paraId="71DB09BB" w14:textId="77777777" w:rsidR="000A6EDF" w:rsidRPr="007A43EA" w:rsidRDefault="000A6EDF">
            <w:pPr>
              <w:jc w:val="center"/>
              <w:rPr>
                <w:rFonts w:asciiTheme="minorHAnsi" w:hAnsiTheme="minorHAnsi"/>
                <w:b/>
                <w:bCs/>
                <w:color w:val="FFFFFF"/>
                <w:sz w:val="14"/>
                <w:szCs w:val="16"/>
              </w:rPr>
            </w:pPr>
            <w:r w:rsidRPr="007A43EA">
              <w:rPr>
                <w:rFonts w:asciiTheme="minorHAnsi" w:hAnsiTheme="minorHAnsi"/>
                <w:b/>
                <w:bCs/>
                <w:color w:val="FFFFFF"/>
                <w:sz w:val="14"/>
                <w:szCs w:val="16"/>
              </w:rPr>
              <w:t>Брой дни в лихвен период</w:t>
            </w:r>
          </w:p>
        </w:tc>
        <w:tc>
          <w:tcPr>
            <w:tcW w:w="850" w:type="dxa"/>
            <w:vMerge w:val="restart"/>
            <w:tcBorders>
              <w:top w:val="nil"/>
              <w:left w:val="nil"/>
              <w:bottom w:val="nil"/>
              <w:right w:val="nil"/>
            </w:tcBorders>
            <w:shd w:val="clear" w:color="000000" w:fill="B41E37"/>
            <w:vAlign w:val="center"/>
            <w:hideMark/>
          </w:tcPr>
          <w:p w14:paraId="7B114151" w14:textId="77777777" w:rsidR="000A6EDF" w:rsidRPr="007A43EA" w:rsidRDefault="000A6EDF">
            <w:pPr>
              <w:jc w:val="center"/>
              <w:rPr>
                <w:rFonts w:asciiTheme="minorHAnsi" w:hAnsiTheme="minorHAnsi"/>
                <w:b/>
                <w:bCs/>
                <w:color w:val="FFFFFF"/>
                <w:sz w:val="14"/>
                <w:szCs w:val="16"/>
              </w:rPr>
            </w:pPr>
            <w:r w:rsidRPr="007A43EA">
              <w:rPr>
                <w:rFonts w:asciiTheme="minorHAnsi" w:hAnsiTheme="minorHAnsi"/>
                <w:b/>
                <w:bCs/>
                <w:color w:val="FFFFFF"/>
                <w:sz w:val="14"/>
                <w:szCs w:val="16"/>
              </w:rPr>
              <w:t>Брой дни в годината</w:t>
            </w:r>
          </w:p>
        </w:tc>
        <w:tc>
          <w:tcPr>
            <w:tcW w:w="850" w:type="dxa"/>
            <w:vMerge w:val="restart"/>
            <w:tcBorders>
              <w:top w:val="nil"/>
              <w:left w:val="nil"/>
              <w:bottom w:val="nil"/>
              <w:right w:val="nil"/>
            </w:tcBorders>
            <w:shd w:val="clear" w:color="000000" w:fill="B41E37"/>
            <w:vAlign w:val="center"/>
            <w:hideMark/>
          </w:tcPr>
          <w:p w14:paraId="6003C054" w14:textId="77777777" w:rsidR="000A6EDF" w:rsidRPr="007A43EA" w:rsidRDefault="000A6EDF">
            <w:pPr>
              <w:jc w:val="center"/>
              <w:rPr>
                <w:rFonts w:asciiTheme="minorHAnsi" w:hAnsiTheme="minorHAnsi"/>
                <w:b/>
                <w:bCs/>
                <w:color w:val="FFFFFF"/>
                <w:sz w:val="14"/>
                <w:szCs w:val="16"/>
              </w:rPr>
            </w:pPr>
            <w:r w:rsidRPr="007A43EA">
              <w:rPr>
                <w:rFonts w:asciiTheme="minorHAnsi" w:hAnsiTheme="minorHAnsi"/>
                <w:b/>
                <w:bCs/>
                <w:color w:val="FFFFFF"/>
                <w:sz w:val="14"/>
                <w:szCs w:val="16"/>
              </w:rPr>
              <w:t>Лихвен процент</w:t>
            </w:r>
          </w:p>
        </w:tc>
        <w:tc>
          <w:tcPr>
            <w:tcW w:w="1077" w:type="dxa"/>
            <w:vMerge w:val="restart"/>
            <w:tcBorders>
              <w:top w:val="nil"/>
              <w:left w:val="nil"/>
              <w:bottom w:val="nil"/>
              <w:right w:val="nil"/>
            </w:tcBorders>
            <w:shd w:val="clear" w:color="000000" w:fill="B41E37"/>
            <w:vAlign w:val="center"/>
            <w:hideMark/>
          </w:tcPr>
          <w:p w14:paraId="0AF632C2" w14:textId="77777777" w:rsidR="000A6EDF" w:rsidRPr="007A43EA" w:rsidRDefault="000A6EDF">
            <w:pPr>
              <w:jc w:val="center"/>
              <w:rPr>
                <w:rFonts w:asciiTheme="minorHAnsi" w:hAnsiTheme="minorHAnsi"/>
                <w:b/>
                <w:bCs/>
                <w:color w:val="FFFFFF"/>
                <w:sz w:val="14"/>
                <w:szCs w:val="16"/>
              </w:rPr>
            </w:pPr>
            <w:r w:rsidRPr="007A43EA">
              <w:rPr>
                <w:rFonts w:asciiTheme="minorHAnsi" w:hAnsiTheme="minorHAnsi"/>
                <w:b/>
                <w:bCs/>
                <w:color w:val="FFFFFF"/>
                <w:sz w:val="14"/>
                <w:szCs w:val="16"/>
              </w:rPr>
              <w:t>Сума на дължима лихва (лв.)</w:t>
            </w:r>
          </w:p>
        </w:tc>
        <w:tc>
          <w:tcPr>
            <w:tcW w:w="983" w:type="dxa"/>
            <w:vMerge w:val="restart"/>
            <w:tcBorders>
              <w:top w:val="nil"/>
              <w:left w:val="nil"/>
              <w:bottom w:val="nil"/>
              <w:right w:val="nil"/>
            </w:tcBorders>
            <w:shd w:val="clear" w:color="000000" w:fill="B41E37"/>
            <w:vAlign w:val="center"/>
            <w:hideMark/>
          </w:tcPr>
          <w:p w14:paraId="2205E098" w14:textId="77777777" w:rsidR="000A6EDF" w:rsidRPr="007A43EA" w:rsidRDefault="000A6EDF">
            <w:pPr>
              <w:jc w:val="center"/>
              <w:rPr>
                <w:rFonts w:asciiTheme="minorHAnsi" w:hAnsiTheme="minorHAnsi"/>
                <w:b/>
                <w:bCs/>
                <w:color w:val="FFFFFF"/>
                <w:sz w:val="14"/>
                <w:szCs w:val="16"/>
              </w:rPr>
            </w:pPr>
            <w:r w:rsidRPr="007A43EA">
              <w:rPr>
                <w:rFonts w:asciiTheme="minorHAnsi" w:hAnsiTheme="minorHAnsi"/>
                <w:b/>
                <w:bCs/>
                <w:color w:val="FFFFFF"/>
                <w:sz w:val="14"/>
                <w:szCs w:val="16"/>
              </w:rPr>
              <w:t>Главнични погашения (лв.)</w:t>
            </w:r>
          </w:p>
        </w:tc>
        <w:tc>
          <w:tcPr>
            <w:tcW w:w="992" w:type="dxa"/>
            <w:vMerge w:val="restart"/>
            <w:tcBorders>
              <w:top w:val="nil"/>
              <w:left w:val="nil"/>
              <w:bottom w:val="nil"/>
              <w:right w:val="nil"/>
            </w:tcBorders>
            <w:shd w:val="clear" w:color="000000" w:fill="B41E37"/>
            <w:vAlign w:val="center"/>
            <w:hideMark/>
          </w:tcPr>
          <w:p w14:paraId="5685EFD3" w14:textId="77777777" w:rsidR="000A6EDF" w:rsidRPr="007A43EA" w:rsidRDefault="000A6EDF">
            <w:pPr>
              <w:jc w:val="center"/>
              <w:rPr>
                <w:rFonts w:asciiTheme="minorHAnsi" w:hAnsiTheme="minorHAnsi"/>
                <w:b/>
                <w:bCs/>
                <w:color w:val="FFFFFF"/>
                <w:sz w:val="14"/>
                <w:szCs w:val="16"/>
              </w:rPr>
            </w:pPr>
            <w:proofErr w:type="spellStart"/>
            <w:r w:rsidRPr="007A43EA">
              <w:rPr>
                <w:rFonts w:asciiTheme="minorHAnsi" w:hAnsiTheme="minorHAnsi"/>
                <w:b/>
                <w:bCs/>
                <w:color w:val="FFFFFF"/>
                <w:sz w:val="14"/>
                <w:szCs w:val="16"/>
              </w:rPr>
              <w:t>Главничен</w:t>
            </w:r>
            <w:proofErr w:type="spellEnd"/>
            <w:r w:rsidRPr="007A43EA">
              <w:rPr>
                <w:rFonts w:asciiTheme="minorHAnsi" w:hAnsiTheme="minorHAnsi"/>
                <w:b/>
                <w:bCs/>
                <w:color w:val="FFFFFF"/>
                <w:sz w:val="14"/>
                <w:szCs w:val="16"/>
              </w:rPr>
              <w:t xml:space="preserve"> фактор</w:t>
            </w:r>
          </w:p>
        </w:tc>
        <w:tc>
          <w:tcPr>
            <w:tcW w:w="993" w:type="dxa"/>
            <w:vMerge w:val="restart"/>
            <w:tcBorders>
              <w:top w:val="nil"/>
              <w:left w:val="nil"/>
              <w:bottom w:val="nil"/>
              <w:right w:val="nil"/>
            </w:tcBorders>
            <w:shd w:val="clear" w:color="000000" w:fill="B41E37"/>
            <w:vAlign w:val="center"/>
            <w:hideMark/>
          </w:tcPr>
          <w:p w14:paraId="6B4E4BDD" w14:textId="77777777" w:rsidR="000A6EDF" w:rsidRPr="007A43EA" w:rsidRDefault="000A6EDF">
            <w:pPr>
              <w:jc w:val="center"/>
              <w:rPr>
                <w:rFonts w:asciiTheme="minorHAnsi" w:hAnsiTheme="minorHAnsi"/>
                <w:b/>
                <w:bCs/>
                <w:color w:val="FFFFFF"/>
                <w:sz w:val="14"/>
                <w:szCs w:val="16"/>
              </w:rPr>
            </w:pPr>
            <w:r w:rsidRPr="007A43EA">
              <w:rPr>
                <w:rFonts w:asciiTheme="minorHAnsi" w:hAnsiTheme="minorHAnsi"/>
                <w:b/>
                <w:bCs/>
                <w:color w:val="FFFFFF"/>
                <w:sz w:val="14"/>
                <w:szCs w:val="16"/>
              </w:rPr>
              <w:t>Непогасена главница (лв.)</w:t>
            </w:r>
          </w:p>
        </w:tc>
      </w:tr>
      <w:tr w:rsidR="000A6EDF" w:rsidRPr="007A43EA" w14:paraId="75AA64A4" w14:textId="77777777" w:rsidTr="007A43EA">
        <w:trPr>
          <w:trHeight w:val="288"/>
        </w:trPr>
        <w:tc>
          <w:tcPr>
            <w:tcW w:w="828" w:type="dxa"/>
            <w:vMerge/>
            <w:tcBorders>
              <w:top w:val="nil"/>
              <w:left w:val="nil"/>
              <w:bottom w:val="nil"/>
              <w:right w:val="nil"/>
            </w:tcBorders>
            <w:vAlign w:val="center"/>
            <w:hideMark/>
          </w:tcPr>
          <w:p w14:paraId="546BEA55" w14:textId="77777777" w:rsidR="000A6EDF" w:rsidRPr="007A43EA" w:rsidRDefault="000A6EDF">
            <w:pPr>
              <w:rPr>
                <w:rFonts w:asciiTheme="minorHAnsi" w:hAnsiTheme="minorHAnsi"/>
                <w:b/>
                <w:bCs/>
                <w:color w:val="FFFFFF"/>
                <w:sz w:val="14"/>
                <w:szCs w:val="16"/>
              </w:rPr>
            </w:pPr>
          </w:p>
        </w:tc>
        <w:tc>
          <w:tcPr>
            <w:tcW w:w="1134" w:type="dxa"/>
            <w:vMerge/>
            <w:tcBorders>
              <w:top w:val="nil"/>
              <w:left w:val="nil"/>
              <w:bottom w:val="nil"/>
              <w:right w:val="nil"/>
            </w:tcBorders>
            <w:vAlign w:val="center"/>
            <w:hideMark/>
          </w:tcPr>
          <w:p w14:paraId="4B0995F2" w14:textId="77777777" w:rsidR="000A6EDF" w:rsidRPr="007A43EA" w:rsidRDefault="000A6EDF">
            <w:pPr>
              <w:rPr>
                <w:rFonts w:asciiTheme="minorHAnsi" w:hAnsiTheme="minorHAnsi"/>
                <w:b/>
                <w:bCs/>
                <w:color w:val="FFFFFF"/>
                <w:sz w:val="14"/>
                <w:szCs w:val="16"/>
              </w:rPr>
            </w:pPr>
          </w:p>
        </w:tc>
        <w:tc>
          <w:tcPr>
            <w:tcW w:w="989" w:type="dxa"/>
            <w:vMerge/>
            <w:tcBorders>
              <w:top w:val="nil"/>
              <w:left w:val="nil"/>
              <w:bottom w:val="nil"/>
              <w:right w:val="nil"/>
            </w:tcBorders>
            <w:vAlign w:val="center"/>
            <w:hideMark/>
          </w:tcPr>
          <w:p w14:paraId="49CA414D" w14:textId="77777777" w:rsidR="000A6EDF" w:rsidRPr="007A43EA" w:rsidRDefault="000A6EDF">
            <w:pPr>
              <w:rPr>
                <w:rFonts w:asciiTheme="minorHAnsi" w:hAnsiTheme="minorHAnsi"/>
                <w:b/>
                <w:bCs/>
                <w:color w:val="FFFFFF"/>
                <w:sz w:val="14"/>
                <w:szCs w:val="16"/>
              </w:rPr>
            </w:pPr>
          </w:p>
        </w:tc>
        <w:tc>
          <w:tcPr>
            <w:tcW w:w="850" w:type="dxa"/>
            <w:vMerge/>
            <w:tcBorders>
              <w:top w:val="nil"/>
              <w:left w:val="nil"/>
              <w:bottom w:val="nil"/>
              <w:right w:val="nil"/>
            </w:tcBorders>
            <w:vAlign w:val="center"/>
            <w:hideMark/>
          </w:tcPr>
          <w:p w14:paraId="6F37FF63" w14:textId="77777777" w:rsidR="000A6EDF" w:rsidRPr="007A43EA" w:rsidRDefault="000A6EDF">
            <w:pPr>
              <w:rPr>
                <w:rFonts w:asciiTheme="minorHAnsi" w:hAnsiTheme="minorHAnsi"/>
                <w:b/>
                <w:bCs/>
                <w:color w:val="FFFFFF"/>
                <w:sz w:val="14"/>
                <w:szCs w:val="16"/>
              </w:rPr>
            </w:pPr>
          </w:p>
        </w:tc>
        <w:tc>
          <w:tcPr>
            <w:tcW w:w="850" w:type="dxa"/>
            <w:vMerge/>
            <w:tcBorders>
              <w:top w:val="nil"/>
              <w:left w:val="nil"/>
              <w:bottom w:val="nil"/>
              <w:right w:val="nil"/>
            </w:tcBorders>
            <w:vAlign w:val="center"/>
            <w:hideMark/>
          </w:tcPr>
          <w:p w14:paraId="524D5FB1" w14:textId="77777777" w:rsidR="000A6EDF" w:rsidRPr="007A43EA" w:rsidRDefault="000A6EDF">
            <w:pPr>
              <w:rPr>
                <w:rFonts w:asciiTheme="minorHAnsi" w:hAnsiTheme="minorHAnsi"/>
                <w:b/>
                <w:bCs/>
                <w:color w:val="FFFFFF"/>
                <w:sz w:val="14"/>
                <w:szCs w:val="16"/>
              </w:rPr>
            </w:pPr>
          </w:p>
        </w:tc>
        <w:tc>
          <w:tcPr>
            <w:tcW w:w="1077" w:type="dxa"/>
            <w:vMerge/>
            <w:tcBorders>
              <w:top w:val="nil"/>
              <w:left w:val="nil"/>
              <w:bottom w:val="nil"/>
              <w:right w:val="nil"/>
            </w:tcBorders>
            <w:vAlign w:val="center"/>
            <w:hideMark/>
          </w:tcPr>
          <w:p w14:paraId="7D5CE456" w14:textId="77777777" w:rsidR="000A6EDF" w:rsidRPr="007A43EA" w:rsidRDefault="000A6EDF">
            <w:pPr>
              <w:rPr>
                <w:rFonts w:asciiTheme="minorHAnsi" w:hAnsiTheme="minorHAnsi"/>
                <w:b/>
                <w:bCs/>
                <w:color w:val="FFFFFF"/>
                <w:sz w:val="14"/>
                <w:szCs w:val="16"/>
              </w:rPr>
            </w:pPr>
          </w:p>
        </w:tc>
        <w:tc>
          <w:tcPr>
            <w:tcW w:w="983" w:type="dxa"/>
            <w:vMerge/>
            <w:tcBorders>
              <w:top w:val="nil"/>
              <w:left w:val="nil"/>
              <w:bottom w:val="nil"/>
              <w:right w:val="nil"/>
            </w:tcBorders>
            <w:vAlign w:val="center"/>
            <w:hideMark/>
          </w:tcPr>
          <w:p w14:paraId="6FB0ABAE" w14:textId="77777777" w:rsidR="000A6EDF" w:rsidRPr="007A43EA" w:rsidRDefault="000A6EDF">
            <w:pPr>
              <w:rPr>
                <w:rFonts w:asciiTheme="minorHAnsi" w:hAnsiTheme="minorHAnsi"/>
                <w:b/>
                <w:bCs/>
                <w:color w:val="FFFFFF"/>
                <w:sz w:val="14"/>
                <w:szCs w:val="16"/>
              </w:rPr>
            </w:pPr>
          </w:p>
        </w:tc>
        <w:tc>
          <w:tcPr>
            <w:tcW w:w="992" w:type="dxa"/>
            <w:vMerge/>
            <w:tcBorders>
              <w:top w:val="nil"/>
              <w:left w:val="nil"/>
              <w:bottom w:val="nil"/>
              <w:right w:val="nil"/>
            </w:tcBorders>
            <w:vAlign w:val="center"/>
            <w:hideMark/>
          </w:tcPr>
          <w:p w14:paraId="67B7168A" w14:textId="77777777" w:rsidR="000A6EDF" w:rsidRPr="007A43EA" w:rsidRDefault="000A6EDF">
            <w:pPr>
              <w:rPr>
                <w:rFonts w:asciiTheme="minorHAnsi" w:hAnsiTheme="minorHAnsi"/>
                <w:b/>
                <w:bCs/>
                <w:color w:val="FFFFFF"/>
                <w:sz w:val="14"/>
                <w:szCs w:val="16"/>
              </w:rPr>
            </w:pPr>
          </w:p>
        </w:tc>
        <w:tc>
          <w:tcPr>
            <w:tcW w:w="993" w:type="dxa"/>
            <w:vMerge/>
            <w:tcBorders>
              <w:top w:val="nil"/>
              <w:left w:val="nil"/>
              <w:bottom w:val="nil"/>
              <w:right w:val="nil"/>
            </w:tcBorders>
            <w:vAlign w:val="center"/>
            <w:hideMark/>
          </w:tcPr>
          <w:p w14:paraId="75E88E5C" w14:textId="77777777" w:rsidR="000A6EDF" w:rsidRPr="007A43EA" w:rsidRDefault="000A6EDF">
            <w:pPr>
              <w:rPr>
                <w:rFonts w:asciiTheme="minorHAnsi" w:hAnsiTheme="minorHAnsi"/>
                <w:b/>
                <w:bCs/>
                <w:color w:val="FFFFFF"/>
                <w:sz w:val="14"/>
                <w:szCs w:val="16"/>
              </w:rPr>
            </w:pPr>
          </w:p>
        </w:tc>
      </w:tr>
      <w:tr w:rsidR="000A6EDF" w:rsidRPr="007A43EA" w14:paraId="21CE2DA0" w14:textId="77777777" w:rsidTr="007A43EA">
        <w:trPr>
          <w:trHeight w:val="288"/>
        </w:trPr>
        <w:tc>
          <w:tcPr>
            <w:tcW w:w="828" w:type="dxa"/>
            <w:tcBorders>
              <w:top w:val="nil"/>
              <w:left w:val="nil"/>
              <w:bottom w:val="nil"/>
              <w:right w:val="nil"/>
            </w:tcBorders>
            <w:shd w:val="clear" w:color="000000" w:fill="FFFFFF"/>
            <w:noWrap/>
            <w:vAlign w:val="bottom"/>
            <w:hideMark/>
          </w:tcPr>
          <w:p w14:paraId="24E3E649"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11/15/2019</w:t>
            </w:r>
          </w:p>
        </w:tc>
        <w:tc>
          <w:tcPr>
            <w:tcW w:w="1134" w:type="dxa"/>
            <w:tcBorders>
              <w:top w:val="nil"/>
              <w:left w:val="nil"/>
              <w:bottom w:val="nil"/>
              <w:right w:val="nil"/>
            </w:tcBorders>
            <w:shd w:val="clear" w:color="000000" w:fill="FFFFFF"/>
            <w:noWrap/>
            <w:vAlign w:val="bottom"/>
            <w:hideMark/>
          </w:tcPr>
          <w:p w14:paraId="560637FD"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15/05/2020 г.</w:t>
            </w:r>
          </w:p>
        </w:tc>
        <w:tc>
          <w:tcPr>
            <w:tcW w:w="989" w:type="dxa"/>
            <w:tcBorders>
              <w:top w:val="nil"/>
              <w:left w:val="nil"/>
              <w:bottom w:val="nil"/>
              <w:right w:val="nil"/>
            </w:tcBorders>
            <w:shd w:val="clear" w:color="000000" w:fill="FFFFFF"/>
            <w:noWrap/>
            <w:vAlign w:val="bottom"/>
            <w:hideMark/>
          </w:tcPr>
          <w:p w14:paraId="479ECAF6"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182</w:t>
            </w:r>
          </w:p>
        </w:tc>
        <w:tc>
          <w:tcPr>
            <w:tcW w:w="850" w:type="dxa"/>
            <w:tcBorders>
              <w:top w:val="nil"/>
              <w:left w:val="nil"/>
              <w:bottom w:val="nil"/>
              <w:right w:val="nil"/>
            </w:tcBorders>
            <w:shd w:val="clear" w:color="000000" w:fill="FFFFFF"/>
            <w:noWrap/>
            <w:vAlign w:val="bottom"/>
            <w:hideMark/>
          </w:tcPr>
          <w:p w14:paraId="31DD2858"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366</w:t>
            </w:r>
          </w:p>
        </w:tc>
        <w:tc>
          <w:tcPr>
            <w:tcW w:w="850" w:type="dxa"/>
            <w:tcBorders>
              <w:top w:val="nil"/>
              <w:left w:val="nil"/>
              <w:bottom w:val="nil"/>
              <w:right w:val="nil"/>
            </w:tcBorders>
            <w:shd w:val="clear" w:color="000000" w:fill="FFFFFF"/>
            <w:noWrap/>
            <w:vAlign w:val="bottom"/>
            <w:hideMark/>
          </w:tcPr>
          <w:p w14:paraId="0C617DCE"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13240667"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248,633.88</w:t>
            </w:r>
          </w:p>
        </w:tc>
        <w:tc>
          <w:tcPr>
            <w:tcW w:w="983" w:type="dxa"/>
            <w:tcBorders>
              <w:top w:val="nil"/>
              <w:left w:val="nil"/>
              <w:bottom w:val="nil"/>
              <w:right w:val="nil"/>
            </w:tcBorders>
            <w:shd w:val="clear" w:color="000000" w:fill="FFFFFF"/>
            <w:noWrap/>
            <w:vAlign w:val="bottom"/>
            <w:hideMark/>
          </w:tcPr>
          <w:p w14:paraId="68166A98"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992" w:type="dxa"/>
            <w:tcBorders>
              <w:top w:val="nil"/>
              <w:left w:val="nil"/>
              <w:bottom w:val="nil"/>
              <w:right w:val="nil"/>
            </w:tcBorders>
            <w:shd w:val="clear" w:color="000000" w:fill="FFFFFF"/>
            <w:noWrap/>
            <w:vAlign w:val="bottom"/>
            <w:hideMark/>
          </w:tcPr>
          <w:p w14:paraId="3F042681"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w:t>
            </w:r>
          </w:p>
        </w:tc>
        <w:tc>
          <w:tcPr>
            <w:tcW w:w="993" w:type="dxa"/>
            <w:tcBorders>
              <w:top w:val="nil"/>
              <w:left w:val="nil"/>
              <w:bottom w:val="nil"/>
              <w:right w:val="nil"/>
            </w:tcBorders>
            <w:shd w:val="clear" w:color="000000" w:fill="FFFFFF"/>
            <w:noWrap/>
            <w:vAlign w:val="bottom"/>
            <w:hideMark/>
          </w:tcPr>
          <w:p w14:paraId="1D46022D"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5,000,000</w:t>
            </w:r>
          </w:p>
        </w:tc>
      </w:tr>
      <w:tr w:rsidR="000A6EDF" w:rsidRPr="007A43EA" w14:paraId="23223DC1" w14:textId="77777777" w:rsidTr="007A43EA">
        <w:trPr>
          <w:trHeight w:val="288"/>
        </w:trPr>
        <w:tc>
          <w:tcPr>
            <w:tcW w:w="828" w:type="dxa"/>
            <w:tcBorders>
              <w:top w:val="nil"/>
              <w:left w:val="nil"/>
              <w:bottom w:val="nil"/>
              <w:right w:val="nil"/>
            </w:tcBorders>
            <w:shd w:val="clear" w:color="000000" w:fill="FFFFFF"/>
            <w:noWrap/>
            <w:vAlign w:val="bottom"/>
            <w:hideMark/>
          </w:tcPr>
          <w:p w14:paraId="7DB90C38"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3F16A9EB"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15/11/2020 г.</w:t>
            </w:r>
          </w:p>
        </w:tc>
        <w:tc>
          <w:tcPr>
            <w:tcW w:w="989" w:type="dxa"/>
            <w:tcBorders>
              <w:top w:val="nil"/>
              <w:left w:val="nil"/>
              <w:bottom w:val="nil"/>
              <w:right w:val="nil"/>
            </w:tcBorders>
            <w:shd w:val="clear" w:color="000000" w:fill="FFFFFF"/>
            <w:noWrap/>
            <w:vAlign w:val="bottom"/>
            <w:hideMark/>
          </w:tcPr>
          <w:p w14:paraId="638173A9"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184</w:t>
            </w:r>
          </w:p>
        </w:tc>
        <w:tc>
          <w:tcPr>
            <w:tcW w:w="850" w:type="dxa"/>
            <w:tcBorders>
              <w:top w:val="nil"/>
              <w:left w:val="nil"/>
              <w:bottom w:val="nil"/>
              <w:right w:val="nil"/>
            </w:tcBorders>
            <w:shd w:val="clear" w:color="000000" w:fill="FFFFFF"/>
            <w:noWrap/>
            <w:vAlign w:val="bottom"/>
            <w:hideMark/>
          </w:tcPr>
          <w:p w14:paraId="783F0BA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366</w:t>
            </w:r>
          </w:p>
        </w:tc>
        <w:tc>
          <w:tcPr>
            <w:tcW w:w="850" w:type="dxa"/>
            <w:tcBorders>
              <w:top w:val="nil"/>
              <w:left w:val="nil"/>
              <w:bottom w:val="nil"/>
              <w:right w:val="nil"/>
            </w:tcBorders>
            <w:shd w:val="clear" w:color="000000" w:fill="FFFFFF"/>
            <w:noWrap/>
            <w:vAlign w:val="bottom"/>
            <w:hideMark/>
          </w:tcPr>
          <w:p w14:paraId="25B02AFE"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726E13D5"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251,366.12</w:t>
            </w:r>
          </w:p>
        </w:tc>
        <w:tc>
          <w:tcPr>
            <w:tcW w:w="983" w:type="dxa"/>
            <w:tcBorders>
              <w:top w:val="nil"/>
              <w:left w:val="nil"/>
              <w:bottom w:val="nil"/>
              <w:right w:val="nil"/>
            </w:tcBorders>
            <w:shd w:val="clear" w:color="000000" w:fill="FFFFFF"/>
            <w:noWrap/>
            <w:vAlign w:val="bottom"/>
            <w:hideMark/>
          </w:tcPr>
          <w:p w14:paraId="03FBD01D"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992" w:type="dxa"/>
            <w:tcBorders>
              <w:top w:val="nil"/>
              <w:left w:val="nil"/>
              <w:bottom w:val="nil"/>
              <w:right w:val="nil"/>
            </w:tcBorders>
            <w:shd w:val="clear" w:color="000000" w:fill="FFFFFF"/>
            <w:noWrap/>
            <w:vAlign w:val="bottom"/>
            <w:hideMark/>
          </w:tcPr>
          <w:p w14:paraId="6E6B9437"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w:t>
            </w:r>
          </w:p>
        </w:tc>
        <w:tc>
          <w:tcPr>
            <w:tcW w:w="993" w:type="dxa"/>
            <w:tcBorders>
              <w:top w:val="nil"/>
              <w:left w:val="nil"/>
              <w:bottom w:val="nil"/>
              <w:right w:val="nil"/>
            </w:tcBorders>
            <w:shd w:val="clear" w:color="000000" w:fill="FFFFFF"/>
            <w:noWrap/>
            <w:vAlign w:val="bottom"/>
            <w:hideMark/>
          </w:tcPr>
          <w:p w14:paraId="3021FE36"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5,000,000</w:t>
            </w:r>
          </w:p>
        </w:tc>
      </w:tr>
      <w:tr w:rsidR="000A6EDF" w:rsidRPr="007A43EA" w14:paraId="78B0FA43" w14:textId="77777777" w:rsidTr="007A43EA">
        <w:trPr>
          <w:trHeight w:val="288"/>
        </w:trPr>
        <w:tc>
          <w:tcPr>
            <w:tcW w:w="828" w:type="dxa"/>
            <w:tcBorders>
              <w:top w:val="nil"/>
              <w:left w:val="nil"/>
              <w:bottom w:val="nil"/>
              <w:right w:val="nil"/>
            </w:tcBorders>
            <w:shd w:val="clear" w:color="000000" w:fill="FFFFFF"/>
            <w:noWrap/>
            <w:vAlign w:val="bottom"/>
            <w:hideMark/>
          </w:tcPr>
          <w:p w14:paraId="73A7CA4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0709378E"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15/05/2021 г.</w:t>
            </w:r>
          </w:p>
        </w:tc>
        <w:tc>
          <w:tcPr>
            <w:tcW w:w="989" w:type="dxa"/>
            <w:tcBorders>
              <w:top w:val="nil"/>
              <w:left w:val="nil"/>
              <w:bottom w:val="nil"/>
              <w:right w:val="nil"/>
            </w:tcBorders>
            <w:shd w:val="clear" w:color="000000" w:fill="FFFFFF"/>
            <w:noWrap/>
            <w:vAlign w:val="bottom"/>
            <w:hideMark/>
          </w:tcPr>
          <w:p w14:paraId="07A509F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181</w:t>
            </w:r>
          </w:p>
        </w:tc>
        <w:tc>
          <w:tcPr>
            <w:tcW w:w="850" w:type="dxa"/>
            <w:tcBorders>
              <w:top w:val="nil"/>
              <w:left w:val="nil"/>
              <w:bottom w:val="nil"/>
              <w:right w:val="nil"/>
            </w:tcBorders>
            <w:shd w:val="clear" w:color="000000" w:fill="FFFFFF"/>
            <w:noWrap/>
            <w:vAlign w:val="bottom"/>
            <w:hideMark/>
          </w:tcPr>
          <w:p w14:paraId="617D3315"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1B1D965B"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591DDFD9"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247,945.21</w:t>
            </w:r>
          </w:p>
        </w:tc>
        <w:tc>
          <w:tcPr>
            <w:tcW w:w="983" w:type="dxa"/>
            <w:tcBorders>
              <w:top w:val="nil"/>
              <w:left w:val="nil"/>
              <w:bottom w:val="nil"/>
              <w:right w:val="nil"/>
            </w:tcBorders>
            <w:shd w:val="clear" w:color="000000" w:fill="FFFFFF"/>
            <w:noWrap/>
            <w:vAlign w:val="bottom"/>
            <w:hideMark/>
          </w:tcPr>
          <w:p w14:paraId="6A2169E9"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992" w:type="dxa"/>
            <w:tcBorders>
              <w:top w:val="nil"/>
              <w:left w:val="nil"/>
              <w:bottom w:val="nil"/>
              <w:right w:val="nil"/>
            </w:tcBorders>
            <w:shd w:val="clear" w:color="000000" w:fill="FFFFFF"/>
            <w:noWrap/>
            <w:vAlign w:val="bottom"/>
            <w:hideMark/>
          </w:tcPr>
          <w:p w14:paraId="1EE906E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w:t>
            </w:r>
          </w:p>
        </w:tc>
        <w:tc>
          <w:tcPr>
            <w:tcW w:w="993" w:type="dxa"/>
            <w:tcBorders>
              <w:top w:val="nil"/>
              <w:left w:val="nil"/>
              <w:bottom w:val="nil"/>
              <w:right w:val="nil"/>
            </w:tcBorders>
            <w:shd w:val="clear" w:color="000000" w:fill="FFFFFF"/>
            <w:noWrap/>
            <w:vAlign w:val="bottom"/>
            <w:hideMark/>
          </w:tcPr>
          <w:p w14:paraId="6CBBB8E4"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5,000,000</w:t>
            </w:r>
          </w:p>
        </w:tc>
      </w:tr>
      <w:tr w:rsidR="000A6EDF" w:rsidRPr="007A43EA" w14:paraId="5D7AF225" w14:textId="77777777" w:rsidTr="007A43EA">
        <w:trPr>
          <w:trHeight w:val="288"/>
        </w:trPr>
        <w:tc>
          <w:tcPr>
            <w:tcW w:w="828" w:type="dxa"/>
            <w:tcBorders>
              <w:top w:val="nil"/>
              <w:left w:val="nil"/>
              <w:bottom w:val="nil"/>
              <w:right w:val="nil"/>
            </w:tcBorders>
            <w:shd w:val="clear" w:color="000000" w:fill="FFFFFF"/>
            <w:noWrap/>
            <w:vAlign w:val="bottom"/>
            <w:hideMark/>
          </w:tcPr>
          <w:p w14:paraId="387DCADC"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4CDC30C3"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15/11/2021 г.</w:t>
            </w:r>
          </w:p>
        </w:tc>
        <w:tc>
          <w:tcPr>
            <w:tcW w:w="989" w:type="dxa"/>
            <w:tcBorders>
              <w:top w:val="nil"/>
              <w:left w:val="nil"/>
              <w:bottom w:val="nil"/>
              <w:right w:val="nil"/>
            </w:tcBorders>
            <w:shd w:val="clear" w:color="000000" w:fill="FFFFFF"/>
            <w:noWrap/>
            <w:vAlign w:val="bottom"/>
            <w:hideMark/>
          </w:tcPr>
          <w:p w14:paraId="364796B0"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184</w:t>
            </w:r>
          </w:p>
        </w:tc>
        <w:tc>
          <w:tcPr>
            <w:tcW w:w="850" w:type="dxa"/>
            <w:tcBorders>
              <w:top w:val="nil"/>
              <w:left w:val="nil"/>
              <w:bottom w:val="nil"/>
              <w:right w:val="nil"/>
            </w:tcBorders>
            <w:shd w:val="clear" w:color="000000" w:fill="FFFFFF"/>
            <w:noWrap/>
            <w:vAlign w:val="bottom"/>
            <w:hideMark/>
          </w:tcPr>
          <w:p w14:paraId="736C9C5A"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28B70E4D"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11AC5F24"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252,054.79</w:t>
            </w:r>
          </w:p>
        </w:tc>
        <w:tc>
          <w:tcPr>
            <w:tcW w:w="983" w:type="dxa"/>
            <w:tcBorders>
              <w:top w:val="nil"/>
              <w:left w:val="nil"/>
              <w:bottom w:val="nil"/>
              <w:right w:val="nil"/>
            </w:tcBorders>
            <w:shd w:val="clear" w:color="000000" w:fill="FFFFFF"/>
            <w:noWrap/>
            <w:vAlign w:val="bottom"/>
            <w:hideMark/>
          </w:tcPr>
          <w:p w14:paraId="1CCAA047"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992" w:type="dxa"/>
            <w:tcBorders>
              <w:top w:val="nil"/>
              <w:left w:val="nil"/>
              <w:bottom w:val="nil"/>
              <w:right w:val="nil"/>
            </w:tcBorders>
            <w:shd w:val="clear" w:color="000000" w:fill="FFFFFF"/>
            <w:noWrap/>
            <w:vAlign w:val="bottom"/>
            <w:hideMark/>
          </w:tcPr>
          <w:p w14:paraId="2473801D"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w:t>
            </w:r>
          </w:p>
        </w:tc>
        <w:tc>
          <w:tcPr>
            <w:tcW w:w="993" w:type="dxa"/>
            <w:tcBorders>
              <w:top w:val="nil"/>
              <w:left w:val="nil"/>
              <w:bottom w:val="nil"/>
              <w:right w:val="nil"/>
            </w:tcBorders>
            <w:shd w:val="clear" w:color="000000" w:fill="FFFFFF"/>
            <w:noWrap/>
            <w:vAlign w:val="bottom"/>
            <w:hideMark/>
          </w:tcPr>
          <w:p w14:paraId="7E069479"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5,000,000</w:t>
            </w:r>
          </w:p>
        </w:tc>
      </w:tr>
      <w:tr w:rsidR="000A6EDF" w:rsidRPr="007A43EA" w14:paraId="77D00A2F" w14:textId="77777777" w:rsidTr="007A43EA">
        <w:trPr>
          <w:trHeight w:val="288"/>
        </w:trPr>
        <w:tc>
          <w:tcPr>
            <w:tcW w:w="828" w:type="dxa"/>
            <w:tcBorders>
              <w:top w:val="nil"/>
              <w:left w:val="nil"/>
              <w:bottom w:val="nil"/>
              <w:right w:val="nil"/>
            </w:tcBorders>
            <w:shd w:val="clear" w:color="000000" w:fill="FFFFFF"/>
            <w:noWrap/>
            <w:vAlign w:val="bottom"/>
            <w:hideMark/>
          </w:tcPr>
          <w:p w14:paraId="50A86FF3"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68DB9671"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15/05/2022 г.</w:t>
            </w:r>
          </w:p>
        </w:tc>
        <w:tc>
          <w:tcPr>
            <w:tcW w:w="989" w:type="dxa"/>
            <w:tcBorders>
              <w:top w:val="nil"/>
              <w:left w:val="nil"/>
              <w:bottom w:val="nil"/>
              <w:right w:val="nil"/>
            </w:tcBorders>
            <w:shd w:val="clear" w:color="000000" w:fill="FFFFFF"/>
            <w:noWrap/>
            <w:vAlign w:val="bottom"/>
            <w:hideMark/>
          </w:tcPr>
          <w:p w14:paraId="4B274CBC"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181</w:t>
            </w:r>
          </w:p>
        </w:tc>
        <w:tc>
          <w:tcPr>
            <w:tcW w:w="850" w:type="dxa"/>
            <w:tcBorders>
              <w:top w:val="nil"/>
              <w:left w:val="nil"/>
              <w:bottom w:val="nil"/>
              <w:right w:val="nil"/>
            </w:tcBorders>
            <w:shd w:val="clear" w:color="000000" w:fill="FFFFFF"/>
            <w:noWrap/>
            <w:vAlign w:val="bottom"/>
            <w:hideMark/>
          </w:tcPr>
          <w:p w14:paraId="3DB7A06A"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4891CD5C"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1C802DDF"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247,945.21</w:t>
            </w:r>
          </w:p>
        </w:tc>
        <w:tc>
          <w:tcPr>
            <w:tcW w:w="983" w:type="dxa"/>
            <w:tcBorders>
              <w:top w:val="nil"/>
              <w:left w:val="nil"/>
              <w:bottom w:val="nil"/>
              <w:right w:val="nil"/>
            </w:tcBorders>
            <w:shd w:val="clear" w:color="000000" w:fill="FFFFFF"/>
            <w:noWrap/>
            <w:vAlign w:val="bottom"/>
            <w:hideMark/>
          </w:tcPr>
          <w:p w14:paraId="7C6C899E"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6AE868C8"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90%</w:t>
            </w:r>
          </w:p>
        </w:tc>
        <w:tc>
          <w:tcPr>
            <w:tcW w:w="993" w:type="dxa"/>
            <w:tcBorders>
              <w:top w:val="nil"/>
              <w:left w:val="nil"/>
              <w:bottom w:val="nil"/>
              <w:right w:val="nil"/>
            </w:tcBorders>
            <w:shd w:val="clear" w:color="000000" w:fill="FFFFFF"/>
            <w:noWrap/>
            <w:vAlign w:val="bottom"/>
            <w:hideMark/>
          </w:tcPr>
          <w:p w14:paraId="7108C08E"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4,500,000</w:t>
            </w:r>
          </w:p>
        </w:tc>
      </w:tr>
      <w:tr w:rsidR="000A6EDF" w:rsidRPr="007A43EA" w14:paraId="0115115C" w14:textId="77777777" w:rsidTr="007A43EA">
        <w:trPr>
          <w:trHeight w:val="288"/>
        </w:trPr>
        <w:tc>
          <w:tcPr>
            <w:tcW w:w="828" w:type="dxa"/>
            <w:tcBorders>
              <w:top w:val="nil"/>
              <w:left w:val="nil"/>
              <w:bottom w:val="nil"/>
              <w:right w:val="nil"/>
            </w:tcBorders>
            <w:shd w:val="clear" w:color="000000" w:fill="FFFFFF"/>
            <w:noWrap/>
            <w:vAlign w:val="bottom"/>
            <w:hideMark/>
          </w:tcPr>
          <w:p w14:paraId="03239DF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0870E8ED"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15/11/2022 г.</w:t>
            </w:r>
          </w:p>
        </w:tc>
        <w:tc>
          <w:tcPr>
            <w:tcW w:w="989" w:type="dxa"/>
            <w:tcBorders>
              <w:top w:val="nil"/>
              <w:left w:val="nil"/>
              <w:bottom w:val="nil"/>
              <w:right w:val="nil"/>
            </w:tcBorders>
            <w:shd w:val="clear" w:color="000000" w:fill="FFFFFF"/>
            <w:noWrap/>
            <w:vAlign w:val="bottom"/>
            <w:hideMark/>
          </w:tcPr>
          <w:p w14:paraId="6EA482CC"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184</w:t>
            </w:r>
          </w:p>
        </w:tc>
        <w:tc>
          <w:tcPr>
            <w:tcW w:w="850" w:type="dxa"/>
            <w:tcBorders>
              <w:top w:val="nil"/>
              <w:left w:val="nil"/>
              <w:bottom w:val="nil"/>
              <w:right w:val="nil"/>
            </w:tcBorders>
            <w:shd w:val="clear" w:color="000000" w:fill="FFFFFF"/>
            <w:noWrap/>
            <w:vAlign w:val="bottom"/>
            <w:hideMark/>
          </w:tcPr>
          <w:p w14:paraId="383AAD82"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3E1F2407"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4BB5E52D"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226,849.32</w:t>
            </w:r>
          </w:p>
        </w:tc>
        <w:tc>
          <w:tcPr>
            <w:tcW w:w="983" w:type="dxa"/>
            <w:tcBorders>
              <w:top w:val="nil"/>
              <w:left w:val="nil"/>
              <w:bottom w:val="nil"/>
              <w:right w:val="nil"/>
            </w:tcBorders>
            <w:shd w:val="clear" w:color="000000" w:fill="FFFFFF"/>
            <w:noWrap/>
            <w:vAlign w:val="bottom"/>
            <w:hideMark/>
          </w:tcPr>
          <w:p w14:paraId="1C25D7E0"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72D76EC2"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80%</w:t>
            </w:r>
          </w:p>
        </w:tc>
        <w:tc>
          <w:tcPr>
            <w:tcW w:w="993" w:type="dxa"/>
            <w:tcBorders>
              <w:top w:val="nil"/>
              <w:left w:val="nil"/>
              <w:bottom w:val="nil"/>
              <w:right w:val="nil"/>
            </w:tcBorders>
            <w:shd w:val="clear" w:color="000000" w:fill="FFFFFF"/>
            <w:noWrap/>
            <w:vAlign w:val="bottom"/>
            <w:hideMark/>
          </w:tcPr>
          <w:p w14:paraId="4DC10621"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4,000,000</w:t>
            </w:r>
          </w:p>
        </w:tc>
      </w:tr>
      <w:tr w:rsidR="000A6EDF" w:rsidRPr="007A43EA" w14:paraId="0A3A8E47" w14:textId="77777777" w:rsidTr="007A43EA">
        <w:trPr>
          <w:trHeight w:val="288"/>
        </w:trPr>
        <w:tc>
          <w:tcPr>
            <w:tcW w:w="828" w:type="dxa"/>
            <w:tcBorders>
              <w:top w:val="nil"/>
              <w:left w:val="nil"/>
              <w:bottom w:val="nil"/>
              <w:right w:val="nil"/>
            </w:tcBorders>
            <w:shd w:val="clear" w:color="000000" w:fill="FFFFFF"/>
            <w:noWrap/>
            <w:vAlign w:val="bottom"/>
            <w:hideMark/>
          </w:tcPr>
          <w:p w14:paraId="2047A315"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774819FE"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15/05/2023 г.</w:t>
            </w:r>
          </w:p>
        </w:tc>
        <w:tc>
          <w:tcPr>
            <w:tcW w:w="989" w:type="dxa"/>
            <w:tcBorders>
              <w:top w:val="nil"/>
              <w:left w:val="nil"/>
              <w:bottom w:val="nil"/>
              <w:right w:val="nil"/>
            </w:tcBorders>
            <w:shd w:val="clear" w:color="000000" w:fill="FFFFFF"/>
            <w:noWrap/>
            <w:vAlign w:val="bottom"/>
            <w:hideMark/>
          </w:tcPr>
          <w:p w14:paraId="241A27EA"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181</w:t>
            </w:r>
          </w:p>
        </w:tc>
        <w:tc>
          <w:tcPr>
            <w:tcW w:w="850" w:type="dxa"/>
            <w:tcBorders>
              <w:top w:val="nil"/>
              <w:left w:val="nil"/>
              <w:bottom w:val="nil"/>
              <w:right w:val="nil"/>
            </w:tcBorders>
            <w:shd w:val="clear" w:color="000000" w:fill="FFFFFF"/>
            <w:noWrap/>
            <w:vAlign w:val="bottom"/>
            <w:hideMark/>
          </w:tcPr>
          <w:p w14:paraId="1A79F6D4"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53FEED0B"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75D8AA84"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198,356.16</w:t>
            </w:r>
          </w:p>
        </w:tc>
        <w:tc>
          <w:tcPr>
            <w:tcW w:w="983" w:type="dxa"/>
            <w:tcBorders>
              <w:top w:val="nil"/>
              <w:left w:val="nil"/>
              <w:bottom w:val="nil"/>
              <w:right w:val="nil"/>
            </w:tcBorders>
            <w:shd w:val="clear" w:color="000000" w:fill="FFFFFF"/>
            <w:noWrap/>
            <w:vAlign w:val="bottom"/>
            <w:hideMark/>
          </w:tcPr>
          <w:p w14:paraId="14127CE5"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244E293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70%</w:t>
            </w:r>
          </w:p>
        </w:tc>
        <w:tc>
          <w:tcPr>
            <w:tcW w:w="993" w:type="dxa"/>
            <w:tcBorders>
              <w:top w:val="nil"/>
              <w:left w:val="nil"/>
              <w:bottom w:val="nil"/>
              <w:right w:val="nil"/>
            </w:tcBorders>
            <w:shd w:val="clear" w:color="000000" w:fill="FFFFFF"/>
            <w:noWrap/>
            <w:vAlign w:val="bottom"/>
            <w:hideMark/>
          </w:tcPr>
          <w:p w14:paraId="6591175F"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3,500,000</w:t>
            </w:r>
          </w:p>
        </w:tc>
      </w:tr>
      <w:tr w:rsidR="000A6EDF" w:rsidRPr="007A43EA" w14:paraId="47134AFE" w14:textId="77777777" w:rsidTr="007A43EA">
        <w:trPr>
          <w:trHeight w:val="288"/>
        </w:trPr>
        <w:tc>
          <w:tcPr>
            <w:tcW w:w="828" w:type="dxa"/>
            <w:tcBorders>
              <w:top w:val="nil"/>
              <w:left w:val="nil"/>
              <w:bottom w:val="nil"/>
              <w:right w:val="nil"/>
            </w:tcBorders>
            <w:shd w:val="clear" w:color="000000" w:fill="FFFFFF"/>
            <w:noWrap/>
            <w:vAlign w:val="bottom"/>
            <w:hideMark/>
          </w:tcPr>
          <w:p w14:paraId="0370E974"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1DB8A856"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15/11/2023 г.</w:t>
            </w:r>
          </w:p>
        </w:tc>
        <w:tc>
          <w:tcPr>
            <w:tcW w:w="989" w:type="dxa"/>
            <w:tcBorders>
              <w:top w:val="nil"/>
              <w:left w:val="nil"/>
              <w:bottom w:val="nil"/>
              <w:right w:val="nil"/>
            </w:tcBorders>
            <w:shd w:val="clear" w:color="000000" w:fill="FFFFFF"/>
            <w:noWrap/>
            <w:vAlign w:val="bottom"/>
            <w:hideMark/>
          </w:tcPr>
          <w:p w14:paraId="501EB0A0"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184</w:t>
            </w:r>
          </w:p>
        </w:tc>
        <w:tc>
          <w:tcPr>
            <w:tcW w:w="850" w:type="dxa"/>
            <w:tcBorders>
              <w:top w:val="nil"/>
              <w:left w:val="nil"/>
              <w:bottom w:val="nil"/>
              <w:right w:val="nil"/>
            </w:tcBorders>
            <w:shd w:val="clear" w:color="000000" w:fill="FFFFFF"/>
            <w:noWrap/>
            <w:vAlign w:val="bottom"/>
            <w:hideMark/>
          </w:tcPr>
          <w:p w14:paraId="446ACB9B"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5011DF36"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58ACF5A7"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176,438.36</w:t>
            </w:r>
          </w:p>
        </w:tc>
        <w:tc>
          <w:tcPr>
            <w:tcW w:w="983" w:type="dxa"/>
            <w:tcBorders>
              <w:top w:val="nil"/>
              <w:left w:val="nil"/>
              <w:bottom w:val="nil"/>
              <w:right w:val="nil"/>
            </w:tcBorders>
            <w:shd w:val="clear" w:color="000000" w:fill="FFFFFF"/>
            <w:noWrap/>
            <w:vAlign w:val="bottom"/>
            <w:hideMark/>
          </w:tcPr>
          <w:p w14:paraId="7E58FC1A"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36CC7BFD"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60%</w:t>
            </w:r>
          </w:p>
        </w:tc>
        <w:tc>
          <w:tcPr>
            <w:tcW w:w="993" w:type="dxa"/>
            <w:tcBorders>
              <w:top w:val="nil"/>
              <w:left w:val="nil"/>
              <w:bottom w:val="nil"/>
              <w:right w:val="nil"/>
            </w:tcBorders>
            <w:shd w:val="clear" w:color="000000" w:fill="FFFFFF"/>
            <w:noWrap/>
            <w:vAlign w:val="bottom"/>
            <w:hideMark/>
          </w:tcPr>
          <w:p w14:paraId="5DBD6D34"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3,000,000</w:t>
            </w:r>
          </w:p>
        </w:tc>
      </w:tr>
      <w:tr w:rsidR="000A6EDF" w:rsidRPr="007A43EA" w14:paraId="23EF1184" w14:textId="77777777" w:rsidTr="007A43EA">
        <w:trPr>
          <w:trHeight w:val="288"/>
        </w:trPr>
        <w:tc>
          <w:tcPr>
            <w:tcW w:w="828" w:type="dxa"/>
            <w:tcBorders>
              <w:top w:val="nil"/>
              <w:left w:val="nil"/>
              <w:bottom w:val="nil"/>
              <w:right w:val="nil"/>
            </w:tcBorders>
            <w:shd w:val="clear" w:color="000000" w:fill="FFFFFF"/>
            <w:noWrap/>
            <w:vAlign w:val="bottom"/>
            <w:hideMark/>
          </w:tcPr>
          <w:p w14:paraId="4A30C9B7"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4CB74A58"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15/05/2024 г.</w:t>
            </w:r>
          </w:p>
        </w:tc>
        <w:tc>
          <w:tcPr>
            <w:tcW w:w="989" w:type="dxa"/>
            <w:tcBorders>
              <w:top w:val="nil"/>
              <w:left w:val="nil"/>
              <w:bottom w:val="nil"/>
              <w:right w:val="nil"/>
            </w:tcBorders>
            <w:shd w:val="clear" w:color="000000" w:fill="FFFFFF"/>
            <w:noWrap/>
            <w:vAlign w:val="bottom"/>
            <w:hideMark/>
          </w:tcPr>
          <w:p w14:paraId="2EABFC25"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182</w:t>
            </w:r>
          </w:p>
        </w:tc>
        <w:tc>
          <w:tcPr>
            <w:tcW w:w="850" w:type="dxa"/>
            <w:tcBorders>
              <w:top w:val="nil"/>
              <w:left w:val="nil"/>
              <w:bottom w:val="nil"/>
              <w:right w:val="nil"/>
            </w:tcBorders>
            <w:shd w:val="clear" w:color="000000" w:fill="FFFFFF"/>
            <w:noWrap/>
            <w:vAlign w:val="bottom"/>
            <w:hideMark/>
          </w:tcPr>
          <w:p w14:paraId="16F4D9AE"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366</w:t>
            </w:r>
          </w:p>
        </w:tc>
        <w:tc>
          <w:tcPr>
            <w:tcW w:w="850" w:type="dxa"/>
            <w:tcBorders>
              <w:top w:val="nil"/>
              <w:left w:val="nil"/>
              <w:bottom w:val="nil"/>
              <w:right w:val="nil"/>
            </w:tcBorders>
            <w:shd w:val="clear" w:color="000000" w:fill="FFFFFF"/>
            <w:noWrap/>
            <w:vAlign w:val="bottom"/>
            <w:hideMark/>
          </w:tcPr>
          <w:p w14:paraId="4A4FB191"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6E5BDAD8"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149,180.33</w:t>
            </w:r>
          </w:p>
        </w:tc>
        <w:tc>
          <w:tcPr>
            <w:tcW w:w="983" w:type="dxa"/>
            <w:tcBorders>
              <w:top w:val="nil"/>
              <w:left w:val="nil"/>
              <w:bottom w:val="nil"/>
              <w:right w:val="nil"/>
            </w:tcBorders>
            <w:shd w:val="clear" w:color="000000" w:fill="FFFFFF"/>
            <w:noWrap/>
            <w:vAlign w:val="bottom"/>
            <w:hideMark/>
          </w:tcPr>
          <w:p w14:paraId="54E78222"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50784152"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50%</w:t>
            </w:r>
          </w:p>
        </w:tc>
        <w:tc>
          <w:tcPr>
            <w:tcW w:w="993" w:type="dxa"/>
            <w:tcBorders>
              <w:top w:val="nil"/>
              <w:left w:val="nil"/>
              <w:bottom w:val="nil"/>
              <w:right w:val="nil"/>
            </w:tcBorders>
            <w:shd w:val="clear" w:color="000000" w:fill="FFFFFF"/>
            <w:noWrap/>
            <w:vAlign w:val="bottom"/>
            <w:hideMark/>
          </w:tcPr>
          <w:p w14:paraId="306EC101"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2,500,000</w:t>
            </w:r>
          </w:p>
        </w:tc>
      </w:tr>
      <w:tr w:rsidR="000A6EDF" w:rsidRPr="007A43EA" w14:paraId="32046435" w14:textId="77777777" w:rsidTr="007A43EA">
        <w:trPr>
          <w:trHeight w:val="288"/>
        </w:trPr>
        <w:tc>
          <w:tcPr>
            <w:tcW w:w="828" w:type="dxa"/>
            <w:tcBorders>
              <w:top w:val="nil"/>
              <w:left w:val="nil"/>
              <w:bottom w:val="nil"/>
              <w:right w:val="nil"/>
            </w:tcBorders>
            <w:shd w:val="clear" w:color="000000" w:fill="FFFFFF"/>
            <w:noWrap/>
            <w:vAlign w:val="bottom"/>
            <w:hideMark/>
          </w:tcPr>
          <w:p w14:paraId="257FB9BD"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300557C3"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15/11/2024 г.</w:t>
            </w:r>
          </w:p>
        </w:tc>
        <w:tc>
          <w:tcPr>
            <w:tcW w:w="989" w:type="dxa"/>
            <w:tcBorders>
              <w:top w:val="nil"/>
              <w:left w:val="nil"/>
              <w:bottom w:val="nil"/>
              <w:right w:val="nil"/>
            </w:tcBorders>
            <w:shd w:val="clear" w:color="000000" w:fill="FFFFFF"/>
            <w:noWrap/>
            <w:vAlign w:val="bottom"/>
            <w:hideMark/>
          </w:tcPr>
          <w:p w14:paraId="58048DFC"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184</w:t>
            </w:r>
          </w:p>
        </w:tc>
        <w:tc>
          <w:tcPr>
            <w:tcW w:w="850" w:type="dxa"/>
            <w:tcBorders>
              <w:top w:val="nil"/>
              <w:left w:val="nil"/>
              <w:bottom w:val="nil"/>
              <w:right w:val="nil"/>
            </w:tcBorders>
            <w:shd w:val="clear" w:color="000000" w:fill="FFFFFF"/>
            <w:noWrap/>
            <w:vAlign w:val="bottom"/>
            <w:hideMark/>
          </w:tcPr>
          <w:p w14:paraId="41C7D496"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366</w:t>
            </w:r>
          </w:p>
        </w:tc>
        <w:tc>
          <w:tcPr>
            <w:tcW w:w="850" w:type="dxa"/>
            <w:tcBorders>
              <w:top w:val="nil"/>
              <w:left w:val="nil"/>
              <w:bottom w:val="nil"/>
              <w:right w:val="nil"/>
            </w:tcBorders>
            <w:shd w:val="clear" w:color="000000" w:fill="FFFFFF"/>
            <w:noWrap/>
            <w:vAlign w:val="bottom"/>
            <w:hideMark/>
          </w:tcPr>
          <w:p w14:paraId="2A3368BE"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11460A3B"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125,683.06</w:t>
            </w:r>
          </w:p>
        </w:tc>
        <w:tc>
          <w:tcPr>
            <w:tcW w:w="983" w:type="dxa"/>
            <w:tcBorders>
              <w:top w:val="nil"/>
              <w:left w:val="nil"/>
              <w:bottom w:val="nil"/>
              <w:right w:val="nil"/>
            </w:tcBorders>
            <w:shd w:val="clear" w:color="000000" w:fill="FFFFFF"/>
            <w:noWrap/>
            <w:vAlign w:val="bottom"/>
            <w:hideMark/>
          </w:tcPr>
          <w:p w14:paraId="47033EAB"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6287F9AA"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40%</w:t>
            </w:r>
          </w:p>
        </w:tc>
        <w:tc>
          <w:tcPr>
            <w:tcW w:w="993" w:type="dxa"/>
            <w:tcBorders>
              <w:top w:val="nil"/>
              <w:left w:val="nil"/>
              <w:bottom w:val="nil"/>
              <w:right w:val="nil"/>
            </w:tcBorders>
            <w:shd w:val="clear" w:color="000000" w:fill="FFFFFF"/>
            <w:noWrap/>
            <w:vAlign w:val="bottom"/>
            <w:hideMark/>
          </w:tcPr>
          <w:p w14:paraId="1581DCE8"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2,000,000</w:t>
            </w:r>
          </w:p>
        </w:tc>
      </w:tr>
      <w:tr w:rsidR="000A6EDF" w:rsidRPr="007A43EA" w14:paraId="3135F5BD" w14:textId="77777777" w:rsidTr="007A43EA">
        <w:trPr>
          <w:trHeight w:val="288"/>
        </w:trPr>
        <w:tc>
          <w:tcPr>
            <w:tcW w:w="828" w:type="dxa"/>
            <w:tcBorders>
              <w:top w:val="nil"/>
              <w:left w:val="nil"/>
              <w:bottom w:val="nil"/>
              <w:right w:val="nil"/>
            </w:tcBorders>
            <w:shd w:val="clear" w:color="000000" w:fill="FFFFFF"/>
            <w:noWrap/>
            <w:vAlign w:val="bottom"/>
            <w:hideMark/>
          </w:tcPr>
          <w:p w14:paraId="6D851A5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2651958A"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15/05/2025 г.</w:t>
            </w:r>
          </w:p>
        </w:tc>
        <w:tc>
          <w:tcPr>
            <w:tcW w:w="989" w:type="dxa"/>
            <w:tcBorders>
              <w:top w:val="nil"/>
              <w:left w:val="nil"/>
              <w:bottom w:val="nil"/>
              <w:right w:val="nil"/>
            </w:tcBorders>
            <w:shd w:val="clear" w:color="000000" w:fill="FFFFFF"/>
            <w:noWrap/>
            <w:vAlign w:val="bottom"/>
            <w:hideMark/>
          </w:tcPr>
          <w:p w14:paraId="22E29FA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181</w:t>
            </w:r>
          </w:p>
        </w:tc>
        <w:tc>
          <w:tcPr>
            <w:tcW w:w="850" w:type="dxa"/>
            <w:tcBorders>
              <w:top w:val="nil"/>
              <w:left w:val="nil"/>
              <w:bottom w:val="nil"/>
              <w:right w:val="nil"/>
            </w:tcBorders>
            <w:shd w:val="clear" w:color="000000" w:fill="FFFFFF"/>
            <w:noWrap/>
            <w:vAlign w:val="bottom"/>
            <w:hideMark/>
          </w:tcPr>
          <w:p w14:paraId="6B14BA2A"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1536C2F0"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70E13765"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99,178.08</w:t>
            </w:r>
          </w:p>
        </w:tc>
        <w:tc>
          <w:tcPr>
            <w:tcW w:w="983" w:type="dxa"/>
            <w:tcBorders>
              <w:top w:val="nil"/>
              <w:left w:val="nil"/>
              <w:bottom w:val="nil"/>
              <w:right w:val="nil"/>
            </w:tcBorders>
            <w:shd w:val="clear" w:color="000000" w:fill="FFFFFF"/>
            <w:noWrap/>
            <w:vAlign w:val="bottom"/>
            <w:hideMark/>
          </w:tcPr>
          <w:p w14:paraId="0B16FF1A"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0C454105"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30%</w:t>
            </w:r>
          </w:p>
        </w:tc>
        <w:tc>
          <w:tcPr>
            <w:tcW w:w="993" w:type="dxa"/>
            <w:tcBorders>
              <w:top w:val="nil"/>
              <w:left w:val="nil"/>
              <w:bottom w:val="nil"/>
              <w:right w:val="nil"/>
            </w:tcBorders>
            <w:shd w:val="clear" w:color="000000" w:fill="FFFFFF"/>
            <w:noWrap/>
            <w:vAlign w:val="bottom"/>
            <w:hideMark/>
          </w:tcPr>
          <w:p w14:paraId="57DC159C"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1,500,000</w:t>
            </w:r>
          </w:p>
        </w:tc>
      </w:tr>
      <w:tr w:rsidR="000A6EDF" w:rsidRPr="007A43EA" w14:paraId="0E73BDB5" w14:textId="77777777" w:rsidTr="007A43EA">
        <w:trPr>
          <w:trHeight w:val="288"/>
        </w:trPr>
        <w:tc>
          <w:tcPr>
            <w:tcW w:w="828" w:type="dxa"/>
            <w:tcBorders>
              <w:top w:val="nil"/>
              <w:left w:val="nil"/>
              <w:bottom w:val="nil"/>
              <w:right w:val="nil"/>
            </w:tcBorders>
            <w:shd w:val="clear" w:color="000000" w:fill="FFFFFF"/>
            <w:noWrap/>
            <w:vAlign w:val="bottom"/>
            <w:hideMark/>
          </w:tcPr>
          <w:p w14:paraId="7E2114FF"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562F6376"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15/11/2025 г.</w:t>
            </w:r>
          </w:p>
        </w:tc>
        <w:tc>
          <w:tcPr>
            <w:tcW w:w="989" w:type="dxa"/>
            <w:tcBorders>
              <w:top w:val="nil"/>
              <w:left w:val="nil"/>
              <w:bottom w:val="nil"/>
              <w:right w:val="nil"/>
            </w:tcBorders>
            <w:shd w:val="clear" w:color="000000" w:fill="FFFFFF"/>
            <w:noWrap/>
            <w:vAlign w:val="bottom"/>
            <w:hideMark/>
          </w:tcPr>
          <w:p w14:paraId="73078433"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184</w:t>
            </w:r>
          </w:p>
        </w:tc>
        <w:tc>
          <w:tcPr>
            <w:tcW w:w="850" w:type="dxa"/>
            <w:tcBorders>
              <w:top w:val="nil"/>
              <w:left w:val="nil"/>
              <w:bottom w:val="nil"/>
              <w:right w:val="nil"/>
            </w:tcBorders>
            <w:shd w:val="clear" w:color="000000" w:fill="FFFFFF"/>
            <w:noWrap/>
            <w:vAlign w:val="bottom"/>
            <w:hideMark/>
          </w:tcPr>
          <w:p w14:paraId="02678CAC"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598C4493"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752FAE0B"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75,616.44</w:t>
            </w:r>
          </w:p>
        </w:tc>
        <w:tc>
          <w:tcPr>
            <w:tcW w:w="983" w:type="dxa"/>
            <w:tcBorders>
              <w:top w:val="nil"/>
              <w:left w:val="nil"/>
              <w:bottom w:val="nil"/>
              <w:right w:val="nil"/>
            </w:tcBorders>
            <w:shd w:val="clear" w:color="000000" w:fill="FFFFFF"/>
            <w:noWrap/>
            <w:vAlign w:val="bottom"/>
            <w:hideMark/>
          </w:tcPr>
          <w:p w14:paraId="4134C964"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211EE2AA"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20%</w:t>
            </w:r>
          </w:p>
        </w:tc>
        <w:tc>
          <w:tcPr>
            <w:tcW w:w="993" w:type="dxa"/>
            <w:tcBorders>
              <w:top w:val="nil"/>
              <w:left w:val="nil"/>
              <w:bottom w:val="nil"/>
              <w:right w:val="nil"/>
            </w:tcBorders>
            <w:shd w:val="clear" w:color="000000" w:fill="FFFFFF"/>
            <w:noWrap/>
            <w:vAlign w:val="bottom"/>
            <w:hideMark/>
          </w:tcPr>
          <w:p w14:paraId="38EA455C"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1,000,000</w:t>
            </w:r>
          </w:p>
        </w:tc>
      </w:tr>
      <w:tr w:rsidR="000A6EDF" w:rsidRPr="007A43EA" w14:paraId="5641A217" w14:textId="77777777" w:rsidTr="007A43EA">
        <w:trPr>
          <w:trHeight w:val="288"/>
        </w:trPr>
        <w:tc>
          <w:tcPr>
            <w:tcW w:w="828" w:type="dxa"/>
            <w:tcBorders>
              <w:top w:val="nil"/>
              <w:left w:val="nil"/>
              <w:bottom w:val="nil"/>
              <w:right w:val="nil"/>
            </w:tcBorders>
            <w:shd w:val="clear" w:color="000000" w:fill="FFFFFF"/>
            <w:noWrap/>
            <w:vAlign w:val="bottom"/>
            <w:hideMark/>
          </w:tcPr>
          <w:p w14:paraId="09416FB8"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2E67AAB4"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15/05/2026 г.</w:t>
            </w:r>
          </w:p>
        </w:tc>
        <w:tc>
          <w:tcPr>
            <w:tcW w:w="989" w:type="dxa"/>
            <w:tcBorders>
              <w:top w:val="nil"/>
              <w:left w:val="nil"/>
              <w:bottom w:val="nil"/>
              <w:right w:val="nil"/>
            </w:tcBorders>
            <w:shd w:val="clear" w:color="000000" w:fill="FFFFFF"/>
            <w:noWrap/>
            <w:vAlign w:val="bottom"/>
            <w:hideMark/>
          </w:tcPr>
          <w:p w14:paraId="5A0C9275"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181</w:t>
            </w:r>
          </w:p>
        </w:tc>
        <w:tc>
          <w:tcPr>
            <w:tcW w:w="850" w:type="dxa"/>
            <w:tcBorders>
              <w:top w:val="nil"/>
              <w:left w:val="nil"/>
              <w:bottom w:val="nil"/>
              <w:right w:val="nil"/>
            </w:tcBorders>
            <w:shd w:val="clear" w:color="000000" w:fill="FFFFFF"/>
            <w:noWrap/>
            <w:vAlign w:val="bottom"/>
            <w:hideMark/>
          </w:tcPr>
          <w:p w14:paraId="2F5B6EE4"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61B9F93E"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369BA640"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49,589.04</w:t>
            </w:r>
          </w:p>
        </w:tc>
        <w:tc>
          <w:tcPr>
            <w:tcW w:w="983" w:type="dxa"/>
            <w:tcBorders>
              <w:top w:val="nil"/>
              <w:left w:val="nil"/>
              <w:bottom w:val="nil"/>
              <w:right w:val="nil"/>
            </w:tcBorders>
            <w:shd w:val="clear" w:color="000000" w:fill="FFFFFF"/>
            <w:noWrap/>
            <w:vAlign w:val="bottom"/>
            <w:hideMark/>
          </w:tcPr>
          <w:p w14:paraId="0C45C037"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6AEBC516"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w:t>
            </w:r>
          </w:p>
        </w:tc>
        <w:tc>
          <w:tcPr>
            <w:tcW w:w="993" w:type="dxa"/>
            <w:tcBorders>
              <w:top w:val="nil"/>
              <w:left w:val="nil"/>
              <w:bottom w:val="nil"/>
              <w:right w:val="nil"/>
            </w:tcBorders>
            <w:shd w:val="clear" w:color="000000" w:fill="FFFFFF"/>
            <w:noWrap/>
            <w:vAlign w:val="bottom"/>
            <w:hideMark/>
          </w:tcPr>
          <w:p w14:paraId="71F4C54A"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r>
      <w:tr w:rsidR="000A6EDF" w:rsidRPr="007A43EA" w14:paraId="7AFE19D7" w14:textId="77777777" w:rsidTr="007A43EA">
        <w:trPr>
          <w:trHeight w:val="288"/>
        </w:trPr>
        <w:tc>
          <w:tcPr>
            <w:tcW w:w="828" w:type="dxa"/>
            <w:tcBorders>
              <w:top w:val="nil"/>
              <w:left w:val="nil"/>
              <w:bottom w:val="nil"/>
              <w:right w:val="nil"/>
            </w:tcBorders>
            <w:shd w:val="clear" w:color="000000" w:fill="FFFFFF"/>
            <w:noWrap/>
            <w:vAlign w:val="bottom"/>
            <w:hideMark/>
          </w:tcPr>
          <w:p w14:paraId="2EF43016"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1134" w:type="dxa"/>
            <w:tcBorders>
              <w:top w:val="nil"/>
              <w:left w:val="nil"/>
              <w:bottom w:val="nil"/>
              <w:right w:val="nil"/>
            </w:tcBorders>
            <w:shd w:val="clear" w:color="000000" w:fill="FFFFFF"/>
            <w:noWrap/>
            <w:vAlign w:val="bottom"/>
            <w:hideMark/>
          </w:tcPr>
          <w:p w14:paraId="68E58CC3" w14:textId="77777777" w:rsidR="000A6EDF" w:rsidRPr="007A43EA" w:rsidRDefault="000A6EDF">
            <w:pPr>
              <w:jc w:val="right"/>
              <w:rPr>
                <w:rFonts w:asciiTheme="minorHAnsi" w:hAnsiTheme="minorHAnsi"/>
                <w:b/>
                <w:bCs/>
                <w:color w:val="000000"/>
                <w:sz w:val="14"/>
                <w:szCs w:val="16"/>
              </w:rPr>
            </w:pPr>
            <w:r w:rsidRPr="007A43EA">
              <w:rPr>
                <w:rFonts w:asciiTheme="minorHAnsi" w:hAnsiTheme="minorHAnsi"/>
                <w:b/>
                <w:bCs/>
                <w:color w:val="000000"/>
                <w:sz w:val="14"/>
                <w:szCs w:val="16"/>
              </w:rPr>
              <w:t>15/11/2026 г.</w:t>
            </w:r>
          </w:p>
        </w:tc>
        <w:tc>
          <w:tcPr>
            <w:tcW w:w="989" w:type="dxa"/>
            <w:tcBorders>
              <w:top w:val="nil"/>
              <w:left w:val="nil"/>
              <w:bottom w:val="nil"/>
              <w:right w:val="nil"/>
            </w:tcBorders>
            <w:shd w:val="clear" w:color="000000" w:fill="FFFFFF"/>
            <w:noWrap/>
            <w:vAlign w:val="bottom"/>
            <w:hideMark/>
          </w:tcPr>
          <w:p w14:paraId="49560DB3"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184</w:t>
            </w:r>
          </w:p>
        </w:tc>
        <w:tc>
          <w:tcPr>
            <w:tcW w:w="850" w:type="dxa"/>
            <w:tcBorders>
              <w:top w:val="nil"/>
              <w:left w:val="nil"/>
              <w:bottom w:val="nil"/>
              <w:right w:val="nil"/>
            </w:tcBorders>
            <w:shd w:val="clear" w:color="000000" w:fill="FFFFFF"/>
            <w:noWrap/>
            <w:vAlign w:val="bottom"/>
            <w:hideMark/>
          </w:tcPr>
          <w:p w14:paraId="05586559"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365</w:t>
            </w:r>
          </w:p>
        </w:tc>
        <w:tc>
          <w:tcPr>
            <w:tcW w:w="850" w:type="dxa"/>
            <w:tcBorders>
              <w:top w:val="nil"/>
              <w:left w:val="nil"/>
              <w:bottom w:val="nil"/>
              <w:right w:val="nil"/>
            </w:tcBorders>
            <w:shd w:val="clear" w:color="000000" w:fill="FFFFFF"/>
            <w:noWrap/>
            <w:vAlign w:val="bottom"/>
            <w:hideMark/>
          </w:tcPr>
          <w:p w14:paraId="2B34A83A"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10.00%</w:t>
            </w:r>
          </w:p>
        </w:tc>
        <w:tc>
          <w:tcPr>
            <w:tcW w:w="1077" w:type="dxa"/>
            <w:tcBorders>
              <w:top w:val="nil"/>
              <w:left w:val="nil"/>
              <w:bottom w:val="nil"/>
              <w:right w:val="nil"/>
            </w:tcBorders>
            <w:shd w:val="clear" w:color="000000" w:fill="FFFFFF"/>
            <w:noWrap/>
            <w:vAlign w:val="bottom"/>
            <w:hideMark/>
          </w:tcPr>
          <w:p w14:paraId="1E2688F2"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25,205.48</w:t>
            </w:r>
          </w:p>
        </w:tc>
        <w:tc>
          <w:tcPr>
            <w:tcW w:w="983" w:type="dxa"/>
            <w:tcBorders>
              <w:top w:val="nil"/>
              <w:left w:val="nil"/>
              <w:bottom w:val="nil"/>
              <w:right w:val="nil"/>
            </w:tcBorders>
            <w:shd w:val="clear" w:color="000000" w:fill="FFFFFF"/>
            <w:noWrap/>
            <w:vAlign w:val="bottom"/>
            <w:hideMark/>
          </w:tcPr>
          <w:p w14:paraId="47607784"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w:t>
            </w:r>
          </w:p>
        </w:tc>
        <w:tc>
          <w:tcPr>
            <w:tcW w:w="992" w:type="dxa"/>
            <w:tcBorders>
              <w:top w:val="nil"/>
              <w:left w:val="nil"/>
              <w:bottom w:val="nil"/>
              <w:right w:val="nil"/>
            </w:tcBorders>
            <w:shd w:val="clear" w:color="000000" w:fill="FFFFFF"/>
            <w:noWrap/>
            <w:vAlign w:val="bottom"/>
            <w:hideMark/>
          </w:tcPr>
          <w:p w14:paraId="5AD5E75B" w14:textId="77777777" w:rsidR="000A6EDF" w:rsidRPr="007A43EA" w:rsidRDefault="000A6EDF">
            <w:pPr>
              <w:jc w:val="center"/>
              <w:rPr>
                <w:rFonts w:asciiTheme="minorHAnsi" w:hAnsiTheme="minorHAnsi"/>
                <w:b/>
                <w:bCs/>
                <w:color w:val="000000"/>
                <w:sz w:val="14"/>
                <w:szCs w:val="16"/>
              </w:rPr>
            </w:pPr>
            <w:r w:rsidRPr="007A43EA">
              <w:rPr>
                <w:rFonts w:asciiTheme="minorHAnsi" w:hAnsiTheme="minorHAnsi"/>
                <w:b/>
                <w:bCs/>
                <w:color w:val="000000"/>
                <w:sz w:val="14"/>
                <w:szCs w:val="16"/>
              </w:rPr>
              <w:t>0%</w:t>
            </w:r>
          </w:p>
        </w:tc>
        <w:tc>
          <w:tcPr>
            <w:tcW w:w="993" w:type="dxa"/>
            <w:tcBorders>
              <w:top w:val="nil"/>
              <w:left w:val="nil"/>
              <w:bottom w:val="nil"/>
              <w:right w:val="nil"/>
            </w:tcBorders>
            <w:shd w:val="clear" w:color="000000" w:fill="FFFFFF"/>
            <w:noWrap/>
            <w:vAlign w:val="bottom"/>
            <w:hideMark/>
          </w:tcPr>
          <w:p w14:paraId="5B19772F"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0</w:t>
            </w:r>
          </w:p>
        </w:tc>
      </w:tr>
      <w:tr w:rsidR="000A6EDF" w:rsidRPr="007A43EA" w14:paraId="36561086" w14:textId="77777777" w:rsidTr="007A43EA">
        <w:trPr>
          <w:trHeight w:val="288"/>
        </w:trPr>
        <w:tc>
          <w:tcPr>
            <w:tcW w:w="828" w:type="dxa"/>
            <w:tcBorders>
              <w:top w:val="nil"/>
              <w:left w:val="nil"/>
              <w:bottom w:val="nil"/>
              <w:right w:val="nil"/>
            </w:tcBorders>
            <w:shd w:val="clear" w:color="000000" w:fill="FFFFFF"/>
            <w:noWrap/>
            <w:vAlign w:val="bottom"/>
            <w:hideMark/>
          </w:tcPr>
          <w:p w14:paraId="01325029"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ОБЩО</w:t>
            </w:r>
          </w:p>
        </w:tc>
        <w:tc>
          <w:tcPr>
            <w:tcW w:w="1134" w:type="dxa"/>
            <w:tcBorders>
              <w:top w:val="nil"/>
              <w:left w:val="nil"/>
              <w:bottom w:val="nil"/>
              <w:right w:val="nil"/>
            </w:tcBorders>
            <w:shd w:val="clear" w:color="000000" w:fill="FFFFFF"/>
            <w:noWrap/>
            <w:vAlign w:val="bottom"/>
            <w:hideMark/>
          </w:tcPr>
          <w:p w14:paraId="0239DC89" w14:textId="77777777" w:rsidR="000A6EDF" w:rsidRPr="007A43EA" w:rsidRDefault="000A6EDF">
            <w:pPr>
              <w:jc w:val="center"/>
              <w:rPr>
                <w:rFonts w:asciiTheme="minorHAnsi" w:hAnsiTheme="minorHAnsi"/>
                <w:color w:val="000000"/>
                <w:sz w:val="14"/>
                <w:szCs w:val="16"/>
              </w:rPr>
            </w:pPr>
            <w:r w:rsidRPr="007A43EA">
              <w:rPr>
                <w:rFonts w:asciiTheme="minorHAnsi" w:hAnsiTheme="minorHAnsi"/>
                <w:color w:val="000000"/>
                <w:sz w:val="14"/>
                <w:szCs w:val="16"/>
              </w:rPr>
              <w:t> </w:t>
            </w:r>
          </w:p>
        </w:tc>
        <w:tc>
          <w:tcPr>
            <w:tcW w:w="989" w:type="dxa"/>
            <w:tcBorders>
              <w:top w:val="nil"/>
              <w:left w:val="nil"/>
              <w:bottom w:val="nil"/>
              <w:right w:val="nil"/>
            </w:tcBorders>
            <w:shd w:val="clear" w:color="000000" w:fill="FFFFFF"/>
            <w:noWrap/>
            <w:vAlign w:val="bottom"/>
            <w:hideMark/>
          </w:tcPr>
          <w:p w14:paraId="00CE2A9F" w14:textId="77777777" w:rsidR="000A6EDF" w:rsidRPr="007A43EA" w:rsidRDefault="000A6EDF">
            <w:pPr>
              <w:ind w:firstLineChars="100" w:firstLine="140"/>
              <w:jc w:val="right"/>
              <w:rPr>
                <w:rFonts w:asciiTheme="minorHAnsi" w:hAnsiTheme="minorHAnsi"/>
                <w:color w:val="000000"/>
                <w:sz w:val="14"/>
                <w:szCs w:val="16"/>
              </w:rPr>
            </w:pPr>
            <w:r w:rsidRPr="007A43EA">
              <w:rPr>
                <w:rFonts w:asciiTheme="minorHAnsi" w:hAnsiTheme="minorHAnsi"/>
                <w:color w:val="000000"/>
                <w:sz w:val="14"/>
                <w:szCs w:val="16"/>
              </w:rPr>
              <w:t> </w:t>
            </w:r>
          </w:p>
        </w:tc>
        <w:tc>
          <w:tcPr>
            <w:tcW w:w="850" w:type="dxa"/>
            <w:tcBorders>
              <w:top w:val="nil"/>
              <w:left w:val="nil"/>
              <w:bottom w:val="nil"/>
              <w:right w:val="nil"/>
            </w:tcBorders>
            <w:shd w:val="clear" w:color="000000" w:fill="FFFFFF"/>
            <w:noWrap/>
            <w:vAlign w:val="bottom"/>
            <w:hideMark/>
          </w:tcPr>
          <w:p w14:paraId="0045D33E" w14:textId="77777777" w:rsidR="000A6EDF" w:rsidRPr="007A43EA" w:rsidRDefault="000A6EDF">
            <w:pPr>
              <w:ind w:firstLineChars="100" w:firstLine="140"/>
              <w:jc w:val="right"/>
              <w:rPr>
                <w:rFonts w:asciiTheme="minorHAnsi" w:hAnsiTheme="minorHAnsi"/>
                <w:color w:val="000000"/>
                <w:sz w:val="14"/>
                <w:szCs w:val="16"/>
              </w:rPr>
            </w:pPr>
            <w:r w:rsidRPr="007A43EA">
              <w:rPr>
                <w:rFonts w:asciiTheme="minorHAnsi" w:hAnsiTheme="minorHAnsi"/>
                <w:color w:val="000000"/>
                <w:sz w:val="14"/>
                <w:szCs w:val="16"/>
              </w:rPr>
              <w:t> </w:t>
            </w:r>
          </w:p>
        </w:tc>
        <w:tc>
          <w:tcPr>
            <w:tcW w:w="850" w:type="dxa"/>
            <w:tcBorders>
              <w:top w:val="nil"/>
              <w:left w:val="nil"/>
              <w:bottom w:val="nil"/>
              <w:right w:val="nil"/>
            </w:tcBorders>
            <w:shd w:val="clear" w:color="000000" w:fill="FFFFFF"/>
            <w:noWrap/>
            <w:vAlign w:val="bottom"/>
            <w:hideMark/>
          </w:tcPr>
          <w:p w14:paraId="11C5A293" w14:textId="77777777" w:rsidR="000A6EDF" w:rsidRPr="007A43EA" w:rsidRDefault="000A6EDF">
            <w:pPr>
              <w:ind w:firstLineChars="100" w:firstLine="140"/>
              <w:jc w:val="right"/>
              <w:rPr>
                <w:rFonts w:asciiTheme="minorHAnsi" w:hAnsiTheme="minorHAnsi"/>
                <w:color w:val="000000"/>
                <w:sz w:val="14"/>
                <w:szCs w:val="16"/>
              </w:rPr>
            </w:pPr>
            <w:r w:rsidRPr="007A43EA">
              <w:rPr>
                <w:rFonts w:asciiTheme="minorHAnsi" w:hAnsiTheme="minorHAnsi"/>
                <w:color w:val="000000"/>
                <w:sz w:val="14"/>
                <w:szCs w:val="16"/>
              </w:rPr>
              <w:t> </w:t>
            </w:r>
          </w:p>
        </w:tc>
        <w:tc>
          <w:tcPr>
            <w:tcW w:w="1077" w:type="dxa"/>
            <w:tcBorders>
              <w:top w:val="single" w:sz="4" w:space="0" w:color="auto"/>
              <w:left w:val="nil"/>
              <w:bottom w:val="single" w:sz="4" w:space="0" w:color="auto"/>
              <w:right w:val="nil"/>
            </w:tcBorders>
            <w:shd w:val="clear" w:color="000000" w:fill="FFFFFF"/>
            <w:noWrap/>
            <w:vAlign w:val="bottom"/>
            <w:hideMark/>
          </w:tcPr>
          <w:p w14:paraId="65FAA75C"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2,124,452.43</w:t>
            </w:r>
          </w:p>
        </w:tc>
        <w:tc>
          <w:tcPr>
            <w:tcW w:w="983" w:type="dxa"/>
            <w:tcBorders>
              <w:top w:val="single" w:sz="4" w:space="0" w:color="auto"/>
              <w:left w:val="nil"/>
              <w:bottom w:val="single" w:sz="4" w:space="0" w:color="auto"/>
              <w:right w:val="nil"/>
            </w:tcBorders>
            <w:shd w:val="clear" w:color="000000" w:fill="FFFFFF"/>
            <w:noWrap/>
            <w:vAlign w:val="bottom"/>
            <w:hideMark/>
          </w:tcPr>
          <w:p w14:paraId="5BF36A60"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5,000,000</w:t>
            </w:r>
          </w:p>
        </w:tc>
        <w:tc>
          <w:tcPr>
            <w:tcW w:w="992" w:type="dxa"/>
            <w:tcBorders>
              <w:top w:val="nil"/>
              <w:left w:val="nil"/>
              <w:bottom w:val="nil"/>
              <w:right w:val="nil"/>
            </w:tcBorders>
            <w:shd w:val="clear" w:color="000000" w:fill="FFFFFF"/>
            <w:noWrap/>
            <w:vAlign w:val="bottom"/>
            <w:hideMark/>
          </w:tcPr>
          <w:p w14:paraId="2444D977"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 </w:t>
            </w:r>
          </w:p>
        </w:tc>
        <w:tc>
          <w:tcPr>
            <w:tcW w:w="993" w:type="dxa"/>
            <w:tcBorders>
              <w:top w:val="nil"/>
              <w:left w:val="nil"/>
              <w:bottom w:val="nil"/>
              <w:right w:val="nil"/>
            </w:tcBorders>
            <w:shd w:val="clear" w:color="000000" w:fill="FFFFFF"/>
            <w:noWrap/>
            <w:vAlign w:val="bottom"/>
            <w:hideMark/>
          </w:tcPr>
          <w:p w14:paraId="005775FD" w14:textId="77777777" w:rsidR="000A6EDF" w:rsidRPr="007A43EA" w:rsidRDefault="000A6EDF">
            <w:pPr>
              <w:ind w:firstLineChars="100" w:firstLine="141"/>
              <w:jc w:val="right"/>
              <w:rPr>
                <w:rFonts w:asciiTheme="minorHAnsi" w:hAnsiTheme="minorHAnsi"/>
                <w:b/>
                <w:bCs/>
                <w:color w:val="000000"/>
                <w:sz w:val="14"/>
                <w:szCs w:val="16"/>
              </w:rPr>
            </w:pPr>
            <w:r w:rsidRPr="007A43EA">
              <w:rPr>
                <w:rFonts w:asciiTheme="minorHAnsi" w:hAnsiTheme="minorHAnsi"/>
                <w:b/>
                <w:bCs/>
                <w:color w:val="000000"/>
                <w:sz w:val="14"/>
                <w:szCs w:val="16"/>
              </w:rPr>
              <w:t> </w:t>
            </w:r>
          </w:p>
        </w:tc>
      </w:tr>
    </w:tbl>
    <w:p w14:paraId="7DDC0837" w14:textId="77777777" w:rsidR="006863D2" w:rsidRPr="007A43EA" w:rsidRDefault="006863D2" w:rsidP="00812428">
      <w:pPr>
        <w:tabs>
          <w:tab w:val="left" w:pos="9072"/>
        </w:tabs>
        <w:spacing w:before="240" w:after="120"/>
        <w:ind w:right="567"/>
        <w:jc w:val="both"/>
        <w:textAlignment w:val="baseline"/>
        <w:rPr>
          <w:rFonts w:ascii="Calibri" w:hAnsi="Calibri"/>
          <w:color w:val="000000"/>
          <w:sz w:val="20"/>
          <w:szCs w:val="20"/>
        </w:rPr>
      </w:pPr>
      <w:r w:rsidRPr="007A43EA">
        <w:rPr>
          <w:rFonts w:ascii="Calibri" w:hAnsi="Calibri"/>
          <w:color w:val="000000"/>
          <w:sz w:val="20"/>
          <w:szCs w:val="20"/>
        </w:rPr>
        <w:t xml:space="preserve">Лихвените плащания по облигационната емисия се извършват на всеки </w:t>
      </w:r>
      <w:r w:rsidR="000842C6" w:rsidRPr="007A43EA">
        <w:rPr>
          <w:rFonts w:ascii="Calibri" w:hAnsi="Calibri"/>
          <w:color w:val="000000"/>
          <w:sz w:val="20"/>
          <w:szCs w:val="20"/>
        </w:rPr>
        <w:t>шест месеца от издаването на заема</w:t>
      </w:r>
      <w:r w:rsidRPr="007A43EA">
        <w:rPr>
          <w:rFonts w:ascii="Calibri" w:hAnsi="Calibri"/>
          <w:color w:val="000000"/>
          <w:sz w:val="20"/>
          <w:szCs w:val="20"/>
        </w:rPr>
        <w:t>.</w:t>
      </w:r>
    </w:p>
    <w:p w14:paraId="7D341D30" w14:textId="7B43DCB3" w:rsidR="006863D2" w:rsidRPr="007A43EA" w:rsidRDefault="006863D2" w:rsidP="00812428">
      <w:pPr>
        <w:tabs>
          <w:tab w:val="left" w:pos="9072"/>
        </w:tabs>
        <w:spacing w:after="120"/>
        <w:ind w:right="567"/>
        <w:jc w:val="both"/>
        <w:rPr>
          <w:sz w:val="20"/>
          <w:szCs w:val="20"/>
        </w:rPr>
      </w:pPr>
      <w:r w:rsidRPr="007A43EA">
        <w:rPr>
          <w:rFonts w:ascii="Calibri" w:hAnsi="Calibri"/>
          <w:color w:val="000000"/>
          <w:sz w:val="20"/>
          <w:szCs w:val="20"/>
        </w:rPr>
        <w:t xml:space="preserve">През отчетения период Емитентът извърши </w:t>
      </w:r>
      <w:r w:rsidR="00812428">
        <w:rPr>
          <w:rFonts w:ascii="Calibri" w:hAnsi="Calibri"/>
          <w:color w:val="000000"/>
          <w:sz w:val="20"/>
          <w:szCs w:val="20"/>
        </w:rPr>
        <w:t>трето</w:t>
      </w:r>
      <w:r w:rsidRPr="007A43EA">
        <w:rPr>
          <w:rFonts w:ascii="Calibri" w:hAnsi="Calibri"/>
          <w:color w:val="000000"/>
          <w:sz w:val="20"/>
          <w:szCs w:val="20"/>
        </w:rPr>
        <w:t xml:space="preserve"> по ред лихвено плащане за 5 000 облигации, собственост на „Ай Ти Еф Груп“ АД в размер на </w:t>
      </w:r>
      <w:r w:rsidRPr="007A43EA">
        <w:rPr>
          <w:rFonts w:ascii="Calibri" w:hAnsi="Calibri"/>
          <w:b/>
          <w:bCs/>
          <w:color w:val="000000"/>
          <w:sz w:val="20"/>
          <w:szCs w:val="20"/>
        </w:rPr>
        <w:t>24</w:t>
      </w:r>
      <w:r w:rsidR="00812428">
        <w:rPr>
          <w:rFonts w:ascii="Calibri" w:hAnsi="Calibri"/>
          <w:b/>
          <w:bCs/>
          <w:color w:val="000000"/>
          <w:sz w:val="20"/>
          <w:szCs w:val="20"/>
        </w:rPr>
        <w:t>7</w:t>
      </w:r>
      <w:r w:rsidRPr="007A43EA">
        <w:rPr>
          <w:rFonts w:ascii="Calibri" w:hAnsi="Calibri"/>
          <w:b/>
          <w:bCs/>
          <w:color w:val="000000"/>
          <w:sz w:val="20"/>
          <w:szCs w:val="20"/>
        </w:rPr>
        <w:t xml:space="preserve"> </w:t>
      </w:r>
      <w:r w:rsidR="00812428">
        <w:rPr>
          <w:rFonts w:ascii="Calibri" w:hAnsi="Calibri"/>
          <w:b/>
          <w:bCs/>
          <w:color w:val="000000"/>
          <w:sz w:val="20"/>
          <w:szCs w:val="20"/>
        </w:rPr>
        <w:t>945</w:t>
      </w:r>
      <w:r w:rsidRPr="007A43EA">
        <w:rPr>
          <w:rFonts w:ascii="Calibri" w:hAnsi="Calibri"/>
          <w:b/>
          <w:bCs/>
          <w:color w:val="000000"/>
          <w:sz w:val="20"/>
          <w:szCs w:val="20"/>
        </w:rPr>
        <w:t>.</w:t>
      </w:r>
      <w:r w:rsidR="00812428">
        <w:rPr>
          <w:rFonts w:ascii="Calibri" w:hAnsi="Calibri"/>
          <w:b/>
          <w:bCs/>
          <w:color w:val="000000"/>
          <w:sz w:val="20"/>
          <w:szCs w:val="20"/>
        </w:rPr>
        <w:t>21</w:t>
      </w:r>
      <w:r w:rsidRPr="007A43EA">
        <w:rPr>
          <w:rFonts w:ascii="Calibri" w:hAnsi="Calibri"/>
          <w:b/>
          <w:bCs/>
          <w:color w:val="000000"/>
          <w:sz w:val="20"/>
          <w:szCs w:val="20"/>
        </w:rPr>
        <w:t xml:space="preserve"> лв. </w:t>
      </w:r>
      <w:r w:rsidRPr="007A43EA">
        <w:rPr>
          <w:rFonts w:ascii="Calibri" w:hAnsi="Calibri"/>
          <w:color w:val="000000"/>
          <w:sz w:val="20"/>
          <w:szCs w:val="20"/>
        </w:rPr>
        <w:t xml:space="preserve">/двеста четиридесет и </w:t>
      </w:r>
      <w:r w:rsidR="00812428">
        <w:rPr>
          <w:rFonts w:ascii="Calibri" w:hAnsi="Calibri"/>
          <w:color w:val="000000"/>
          <w:sz w:val="20"/>
          <w:szCs w:val="20"/>
        </w:rPr>
        <w:t>седем</w:t>
      </w:r>
      <w:r w:rsidRPr="007A43EA">
        <w:rPr>
          <w:rFonts w:ascii="Calibri" w:hAnsi="Calibri"/>
          <w:color w:val="000000"/>
          <w:sz w:val="20"/>
          <w:szCs w:val="20"/>
        </w:rPr>
        <w:t xml:space="preserve"> </w:t>
      </w:r>
      <w:r w:rsidR="00812428">
        <w:rPr>
          <w:rFonts w:ascii="Calibri" w:hAnsi="Calibri"/>
          <w:color w:val="000000"/>
          <w:sz w:val="20"/>
          <w:szCs w:val="20"/>
        </w:rPr>
        <w:t>деветстотин</w:t>
      </w:r>
      <w:r w:rsidRPr="007A43EA">
        <w:rPr>
          <w:rFonts w:ascii="Calibri" w:hAnsi="Calibri"/>
          <w:color w:val="000000"/>
          <w:sz w:val="20"/>
          <w:szCs w:val="20"/>
        </w:rPr>
        <w:t xml:space="preserve"> </w:t>
      </w:r>
      <w:r w:rsidR="00812428">
        <w:rPr>
          <w:rFonts w:ascii="Calibri" w:hAnsi="Calibri"/>
          <w:color w:val="000000"/>
          <w:sz w:val="20"/>
          <w:szCs w:val="20"/>
        </w:rPr>
        <w:t>че</w:t>
      </w:r>
      <w:r w:rsidRPr="007A43EA">
        <w:rPr>
          <w:rFonts w:ascii="Calibri" w:hAnsi="Calibri"/>
          <w:color w:val="000000"/>
          <w:sz w:val="20"/>
          <w:szCs w:val="20"/>
        </w:rPr>
        <w:t>т</w:t>
      </w:r>
      <w:r w:rsidR="00812428">
        <w:rPr>
          <w:rFonts w:ascii="Calibri" w:hAnsi="Calibri"/>
          <w:color w:val="000000"/>
          <w:sz w:val="20"/>
          <w:szCs w:val="20"/>
        </w:rPr>
        <w:t>и</w:t>
      </w:r>
      <w:r w:rsidRPr="007A43EA">
        <w:rPr>
          <w:rFonts w:ascii="Calibri" w:hAnsi="Calibri"/>
          <w:color w:val="000000"/>
          <w:sz w:val="20"/>
          <w:szCs w:val="20"/>
        </w:rPr>
        <w:t xml:space="preserve">ридесет и </w:t>
      </w:r>
      <w:r w:rsidR="00812428">
        <w:rPr>
          <w:rFonts w:ascii="Calibri" w:hAnsi="Calibri"/>
          <w:color w:val="000000"/>
          <w:sz w:val="20"/>
          <w:szCs w:val="20"/>
        </w:rPr>
        <w:t>пет</w:t>
      </w:r>
      <w:r w:rsidRPr="007A43EA">
        <w:rPr>
          <w:rFonts w:ascii="Calibri" w:hAnsi="Calibri"/>
          <w:color w:val="000000"/>
          <w:sz w:val="20"/>
          <w:szCs w:val="20"/>
        </w:rPr>
        <w:t xml:space="preserve"> лева и </w:t>
      </w:r>
      <w:r w:rsidR="00812428">
        <w:rPr>
          <w:rFonts w:ascii="Calibri" w:hAnsi="Calibri"/>
          <w:color w:val="000000"/>
          <w:sz w:val="20"/>
          <w:szCs w:val="20"/>
        </w:rPr>
        <w:t>два</w:t>
      </w:r>
      <w:r w:rsidRPr="007A43EA">
        <w:rPr>
          <w:rFonts w:ascii="Calibri" w:hAnsi="Calibri"/>
          <w:color w:val="000000"/>
          <w:sz w:val="20"/>
          <w:szCs w:val="20"/>
        </w:rPr>
        <w:t xml:space="preserve">десет </w:t>
      </w:r>
      <w:r w:rsidR="00812428">
        <w:rPr>
          <w:rFonts w:ascii="Calibri" w:hAnsi="Calibri"/>
          <w:color w:val="000000"/>
          <w:sz w:val="20"/>
          <w:szCs w:val="20"/>
        </w:rPr>
        <w:t xml:space="preserve">и една </w:t>
      </w:r>
      <w:r w:rsidRPr="007A43EA">
        <w:rPr>
          <w:rFonts w:ascii="Calibri" w:hAnsi="Calibri"/>
          <w:color w:val="000000"/>
          <w:sz w:val="20"/>
          <w:szCs w:val="20"/>
        </w:rPr>
        <w:t>стотинки/.</w:t>
      </w:r>
    </w:p>
    <w:p w14:paraId="5350BA57" w14:textId="57A98E16" w:rsidR="006863D2" w:rsidRPr="007A43EA" w:rsidRDefault="006863D2" w:rsidP="00812428">
      <w:pPr>
        <w:tabs>
          <w:tab w:val="left" w:pos="9072"/>
        </w:tabs>
        <w:spacing w:after="120"/>
        <w:ind w:right="567"/>
        <w:jc w:val="both"/>
        <w:rPr>
          <w:sz w:val="20"/>
          <w:szCs w:val="20"/>
        </w:rPr>
      </w:pPr>
      <w:r w:rsidRPr="007A43EA">
        <w:rPr>
          <w:rFonts w:ascii="Calibri" w:hAnsi="Calibri"/>
          <w:color w:val="000000"/>
          <w:sz w:val="20"/>
          <w:szCs w:val="20"/>
        </w:rPr>
        <w:t>Датата на следващото лихвено плащане е 15.11.202</w:t>
      </w:r>
      <w:r w:rsidR="00812428" w:rsidRPr="00812428">
        <w:rPr>
          <w:rFonts w:ascii="Calibri" w:hAnsi="Calibri"/>
          <w:color w:val="000000"/>
          <w:sz w:val="20"/>
          <w:szCs w:val="20"/>
        </w:rPr>
        <w:t>1</w:t>
      </w:r>
      <w:r w:rsidRPr="007A43EA">
        <w:rPr>
          <w:rFonts w:ascii="Calibri" w:hAnsi="Calibri"/>
          <w:color w:val="000000"/>
          <w:sz w:val="20"/>
          <w:szCs w:val="20"/>
        </w:rPr>
        <w:t xml:space="preserve"> г.</w:t>
      </w:r>
    </w:p>
    <w:p w14:paraId="5B0977D7" w14:textId="77777777" w:rsidR="006863D2" w:rsidRPr="007A43EA" w:rsidRDefault="000A6EDF" w:rsidP="00812428">
      <w:pPr>
        <w:tabs>
          <w:tab w:val="left" w:pos="9072"/>
        </w:tabs>
        <w:spacing w:after="240"/>
        <w:ind w:right="567"/>
        <w:jc w:val="both"/>
        <w:rPr>
          <w:rFonts w:asciiTheme="minorHAnsi" w:hAnsiTheme="minorHAnsi"/>
          <w:sz w:val="20"/>
          <w:szCs w:val="20"/>
        </w:rPr>
      </w:pPr>
      <w:r w:rsidRPr="007A43EA">
        <w:rPr>
          <w:rFonts w:asciiTheme="minorHAnsi" w:hAnsiTheme="minorHAnsi"/>
          <w:sz w:val="20"/>
          <w:szCs w:val="20"/>
        </w:rPr>
        <w:t>Изплащането на главницата е на 10 /десет/ равни вноски от 500 000 лв. всяка една, представляваща 5% амортизационен коефициент на главницата, заедно с последните 10 /десет/ лихвени плащания по емисията облигации. Първото задължение за главнично плащане по емисията ще настъпи на 15.05.2022</w:t>
      </w:r>
      <w:r w:rsidR="006B4BB2" w:rsidRPr="007A43EA">
        <w:rPr>
          <w:rFonts w:asciiTheme="minorHAnsi" w:hAnsiTheme="minorHAnsi"/>
          <w:sz w:val="20"/>
          <w:szCs w:val="20"/>
        </w:rPr>
        <w:t xml:space="preserve"> </w:t>
      </w:r>
      <w:r w:rsidRPr="007A43EA">
        <w:rPr>
          <w:rFonts w:asciiTheme="minorHAnsi" w:hAnsiTheme="minorHAnsi"/>
          <w:sz w:val="20"/>
          <w:szCs w:val="20"/>
        </w:rPr>
        <w:t>г.</w:t>
      </w:r>
    </w:p>
    <w:p w14:paraId="0F9D9D52" w14:textId="2EDA0C94" w:rsidR="005A1AA4" w:rsidRPr="00812428" w:rsidRDefault="006721AE" w:rsidP="00812428">
      <w:pPr>
        <w:pStyle w:val="bs2"/>
        <w:numPr>
          <w:ilvl w:val="0"/>
          <w:numId w:val="7"/>
        </w:numPr>
        <w:spacing w:after="240"/>
        <w:ind w:left="714" w:hanging="357"/>
        <w:rPr>
          <w:rFonts w:asciiTheme="minorHAnsi" w:hAnsiTheme="minorHAnsi"/>
          <w:sz w:val="22"/>
        </w:rPr>
      </w:pPr>
      <w:r w:rsidRPr="00812428">
        <w:rPr>
          <w:rFonts w:asciiTheme="minorHAnsi" w:hAnsiTheme="minorHAnsi"/>
          <w:sz w:val="22"/>
        </w:rPr>
        <w:t>Състояние на о</w:t>
      </w:r>
      <w:r w:rsidR="005A1AA4" w:rsidRPr="00812428">
        <w:rPr>
          <w:rFonts w:asciiTheme="minorHAnsi" w:hAnsiTheme="minorHAnsi"/>
          <w:sz w:val="22"/>
        </w:rPr>
        <w:t>безпечение</w:t>
      </w:r>
      <w:r w:rsidRPr="00812428">
        <w:rPr>
          <w:rFonts w:asciiTheme="minorHAnsi" w:hAnsiTheme="minorHAnsi"/>
          <w:sz w:val="22"/>
        </w:rPr>
        <w:t>то</w:t>
      </w:r>
      <w:r w:rsidR="005A1AA4" w:rsidRPr="00812428">
        <w:rPr>
          <w:rFonts w:asciiTheme="minorHAnsi" w:hAnsiTheme="minorHAnsi"/>
          <w:sz w:val="22"/>
        </w:rPr>
        <w:t xml:space="preserve"> на облигационната емисия</w:t>
      </w:r>
    </w:p>
    <w:p w14:paraId="69A1C48C" w14:textId="77777777" w:rsidR="006721AE" w:rsidRPr="007A43EA" w:rsidRDefault="00772B84" w:rsidP="00812428">
      <w:pPr>
        <w:spacing w:after="120"/>
        <w:ind w:right="567"/>
        <w:jc w:val="both"/>
        <w:rPr>
          <w:rFonts w:asciiTheme="minorHAnsi" w:hAnsiTheme="minorHAnsi"/>
          <w:sz w:val="20"/>
          <w:szCs w:val="20"/>
        </w:rPr>
      </w:pPr>
      <w:r w:rsidRPr="007A43EA">
        <w:rPr>
          <w:rFonts w:asciiTheme="minorHAnsi" w:hAnsiTheme="minorHAnsi"/>
          <w:sz w:val="20"/>
          <w:szCs w:val="20"/>
        </w:rPr>
        <w:t>С</w:t>
      </w:r>
      <w:r w:rsidR="006721AE" w:rsidRPr="007A43EA">
        <w:rPr>
          <w:rFonts w:asciiTheme="minorHAnsi" w:hAnsiTheme="minorHAnsi"/>
          <w:sz w:val="20"/>
          <w:szCs w:val="20"/>
        </w:rPr>
        <w:t>ъгласно условията настоящата емисия Емитентът следва да учреди:</w:t>
      </w:r>
    </w:p>
    <w:p w14:paraId="19EA9B4D" w14:textId="77777777" w:rsidR="00E05CA7" w:rsidRPr="007A43EA" w:rsidRDefault="00E05CA7" w:rsidP="00812428">
      <w:pPr>
        <w:pStyle w:val="ListParagraph"/>
        <w:numPr>
          <w:ilvl w:val="1"/>
          <w:numId w:val="21"/>
        </w:numPr>
        <w:spacing w:after="120"/>
        <w:ind w:left="993" w:right="567" w:firstLine="0"/>
        <w:contextualSpacing w:val="0"/>
        <w:jc w:val="both"/>
        <w:rPr>
          <w:rFonts w:asciiTheme="minorHAnsi" w:hAnsiTheme="minorHAnsi"/>
          <w:sz w:val="20"/>
          <w:szCs w:val="20"/>
          <w:lang w:val="bg-BG"/>
        </w:rPr>
      </w:pPr>
      <w:r w:rsidRPr="007A43EA">
        <w:rPr>
          <w:rFonts w:asciiTheme="minorHAnsi" w:hAnsiTheme="minorHAnsi"/>
          <w:sz w:val="20"/>
          <w:szCs w:val="20"/>
          <w:lang w:val="bg-BG"/>
        </w:rPr>
        <w:t>Първа по ред договорна ипотека върху 780,77/17474 идеални части от урегулиран поземлен имот Х</w:t>
      </w:r>
      <w:r w:rsidRPr="007A43EA">
        <w:rPr>
          <w:rFonts w:asciiTheme="minorHAnsi" w:hAnsiTheme="minorHAnsi"/>
          <w:sz w:val="20"/>
          <w:szCs w:val="20"/>
        </w:rPr>
        <w:t>V</w:t>
      </w:r>
      <w:r w:rsidRPr="007A43EA">
        <w:rPr>
          <w:rFonts w:asciiTheme="minorHAnsi" w:hAnsiTheme="minorHAnsi"/>
          <w:sz w:val="20"/>
          <w:szCs w:val="20"/>
          <w:lang w:val="bg-BG"/>
        </w:rPr>
        <w:t xml:space="preserve">ІІ-2201, кв.63 по плана на </w:t>
      </w:r>
      <w:proofErr w:type="spellStart"/>
      <w:r w:rsidRPr="007A43EA">
        <w:rPr>
          <w:rFonts w:asciiTheme="minorHAnsi" w:hAnsiTheme="minorHAnsi"/>
          <w:sz w:val="20"/>
          <w:szCs w:val="20"/>
          <w:lang w:val="bg-BG"/>
        </w:rPr>
        <w:t>местн</w:t>
      </w:r>
      <w:proofErr w:type="spellEnd"/>
      <w:r w:rsidRPr="007A43EA">
        <w:rPr>
          <w:rFonts w:asciiTheme="minorHAnsi" w:hAnsiTheme="minorHAnsi"/>
          <w:sz w:val="20"/>
          <w:szCs w:val="20"/>
          <w:lang w:val="bg-BG"/>
        </w:rPr>
        <w:t xml:space="preserve">. "Вилна зона Симеоново север", район Витоша, с адрес: гр. София, ул. "Симеоновско шосе" № 198, ведно с изградената в имота жилищна сграда №32 със ЗП 163 кв. м. и РЗП 364,17 кв. м. </w:t>
      </w:r>
    </w:p>
    <w:p w14:paraId="3E57EC8E" w14:textId="77777777" w:rsidR="00E05CA7" w:rsidRPr="007A43EA" w:rsidRDefault="00E05CA7" w:rsidP="00EC4C32">
      <w:pPr>
        <w:pStyle w:val="ListParagraph"/>
        <w:spacing w:after="120"/>
        <w:ind w:left="0" w:right="567"/>
        <w:contextualSpacing w:val="0"/>
        <w:jc w:val="both"/>
        <w:rPr>
          <w:rFonts w:asciiTheme="minorHAnsi" w:hAnsiTheme="minorHAnsi"/>
          <w:sz w:val="20"/>
          <w:szCs w:val="20"/>
          <w:lang w:val="bg-BG"/>
        </w:rPr>
      </w:pPr>
      <w:r w:rsidRPr="007A43EA">
        <w:rPr>
          <w:rFonts w:asciiTheme="minorHAnsi" w:hAnsiTheme="minorHAnsi"/>
          <w:sz w:val="20"/>
          <w:szCs w:val="20"/>
          <w:lang w:val="bg-BG"/>
        </w:rPr>
        <w:t>Договорната ипотека (Нотариален акт №61, том №</w:t>
      </w:r>
      <w:r w:rsidRPr="007A43EA">
        <w:rPr>
          <w:rFonts w:asciiTheme="minorHAnsi" w:hAnsiTheme="minorHAnsi"/>
          <w:sz w:val="20"/>
          <w:szCs w:val="20"/>
        </w:rPr>
        <w:t>XVIII</w:t>
      </w:r>
      <w:r w:rsidRPr="007A43EA">
        <w:rPr>
          <w:rFonts w:asciiTheme="minorHAnsi" w:hAnsiTheme="minorHAnsi"/>
          <w:sz w:val="20"/>
          <w:szCs w:val="20"/>
          <w:lang w:val="bg-BG"/>
        </w:rPr>
        <w:t xml:space="preserve">, рег. № 34958, дело №2955/2019 г.) е учредена на 23.12.2019 г. от Светослав Юрий Ангелов като собственик на недвижимия имот и ипотекарен длъжник в полза на "ЕЛАНА Трейдинг" като ипотекарен кредитор съгласно Договор за изпълнение на функцията Довереник на облигационерите от 12.11.2019 г. </w:t>
      </w:r>
    </w:p>
    <w:p w14:paraId="752F4CFA" w14:textId="77777777" w:rsidR="00E05CA7" w:rsidRPr="007A43EA" w:rsidRDefault="00E05CA7" w:rsidP="00EC4C32">
      <w:pPr>
        <w:pStyle w:val="ListParagraph"/>
        <w:spacing w:after="120"/>
        <w:ind w:left="0" w:right="567"/>
        <w:contextualSpacing w:val="0"/>
        <w:jc w:val="both"/>
        <w:rPr>
          <w:rFonts w:asciiTheme="minorHAnsi" w:hAnsiTheme="minorHAnsi"/>
          <w:sz w:val="20"/>
          <w:szCs w:val="20"/>
          <w:lang w:val="bg-BG"/>
        </w:rPr>
      </w:pPr>
      <w:r w:rsidRPr="007A43EA">
        <w:rPr>
          <w:rFonts w:asciiTheme="minorHAnsi" w:hAnsiTheme="minorHAnsi"/>
          <w:sz w:val="20"/>
          <w:szCs w:val="20"/>
          <w:lang w:val="bg-BG"/>
        </w:rPr>
        <w:t xml:space="preserve">Договорната ипотека е сключена на основание на чл. 100з, ал.1 от ЗППЦК, във връзка с чл. 205, ал. 4 от ТЗ, за обезпечаването на всички вземания на облигационерите от Емитента, които са възникнали по силата на издадените и регистрирани в ЦД облигации с </w:t>
      </w:r>
      <w:r w:rsidRPr="007A43EA">
        <w:rPr>
          <w:rFonts w:asciiTheme="minorHAnsi" w:hAnsiTheme="minorHAnsi"/>
          <w:sz w:val="20"/>
          <w:szCs w:val="20"/>
        </w:rPr>
        <w:t>ISIN</w:t>
      </w:r>
      <w:r w:rsidRPr="007A43EA">
        <w:rPr>
          <w:rFonts w:asciiTheme="minorHAnsi" w:hAnsiTheme="minorHAnsi"/>
          <w:sz w:val="20"/>
          <w:szCs w:val="20"/>
          <w:lang w:val="bg-BG"/>
        </w:rPr>
        <w:t xml:space="preserve"> код </w:t>
      </w:r>
      <w:r w:rsidRPr="007A43EA">
        <w:rPr>
          <w:rFonts w:asciiTheme="minorHAnsi" w:hAnsiTheme="minorHAnsi"/>
          <w:sz w:val="20"/>
          <w:szCs w:val="20"/>
        </w:rPr>
        <w:t>BG</w:t>
      </w:r>
      <w:r w:rsidRPr="007A43EA">
        <w:rPr>
          <w:rFonts w:asciiTheme="minorHAnsi" w:hAnsiTheme="minorHAnsi"/>
          <w:sz w:val="20"/>
          <w:szCs w:val="20"/>
          <w:lang w:val="bg-BG"/>
        </w:rPr>
        <w:t xml:space="preserve">2100017198, в това число на вземанията на </w:t>
      </w:r>
      <w:r w:rsidRPr="007A43EA">
        <w:rPr>
          <w:rFonts w:asciiTheme="minorHAnsi" w:hAnsiTheme="minorHAnsi"/>
          <w:sz w:val="20"/>
          <w:szCs w:val="20"/>
          <w:lang w:val="bg-BG"/>
        </w:rPr>
        <w:lastRenderedPageBreak/>
        <w:t>облигационерите за главници и лихви, както и за всички акцесорни и/или свързани с вземанията на облигационерите за главници и лихви допълнителни вземания на облигационерите, като вземания за лихви (договорни, наказателни и законови), неустойки, комисионни, такси и разноски по събирането, до окончателното им изплащане, и е в размер на сумата до 1,463 хил. лв. В случай на неизпълнение и предсрочна изискуемост, ипотекарният кредитор "ЕЛАНА Трейдинг", в качеството си на Довереник на облигационерите има право да събере цялото вземане на облигационерите от Емитента до сумата в размер на 1,463 хил. лв. чрез продажба по законоустановения ред недвижимия имот предмет на договорната ипотека.</w:t>
      </w:r>
    </w:p>
    <w:p w14:paraId="1A5A29CB" w14:textId="1F480CF8" w:rsidR="00E05CA7" w:rsidRPr="007A43EA" w:rsidRDefault="00E05CA7" w:rsidP="00EC4C32">
      <w:pPr>
        <w:pStyle w:val="ListParagraph"/>
        <w:spacing w:after="120"/>
        <w:ind w:left="0" w:right="566"/>
        <w:contextualSpacing w:val="0"/>
        <w:jc w:val="both"/>
        <w:rPr>
          <w:rFonts w:asciiTheme="minorHAnsi" w:hAnsiTheme="minorHAnsi"/>
          <w:sz w:val="20"/>
          <w:szCs w:val="20"/>
          <w:lang w:val="bg-BG"/>
        </w:rPr>
      </w:pPr>
      <w:r w:rsidRPr="007A43EA">
        <w:rPr>
          <w:rFonts w:asciiTheme="minorHAnsi" w:hAnsiTheme="minorHAnsi"/>
          <w:sz w:val="20"/>
          <w:szCs w:val="20"/>
          <w:lang w:val="bg-BG"/>
        </w:rPr>
        <w:t>Светослав Юрий Ангелов е изп</w:t>
      </w:r>
      <w:r w:rsidR="00EC4C32">
        <w:rPr>
          <w:rFonts w:asciiTheme="minorHAnsi" w:hAnsiTheme="minorHAnsi"/>
          <w:sz w:val="20"/>
          <w:szCs w:val="20"/>
          <w:lang w:val="bg-BG"/>
        </w:rPr>
        <w:t>ълнителен</w:t>
      </w:r>
      <w:r w:rsidRPr="007A43EA">
        <w:rPr>
          <w:rFonts w:asciiTheme="minorHAnsi" w:hAnsiTheme="minorHAnsi"/>
          <w:sz w:val="20"/>
          <w:szCs w:val="20"/>
          <w:lang w:val="bg-BG"/>
        </w:rPr>
        <w:t xml:space="preserve"> директор и мажоритарен акционер в "АЙ ТИ ЕФ Груп" АД.</w:t>
      </w:r>
    </w:p>
    <w:p w14:paraId="39856394" w14:textId="1EBF5D3B" w:rsidR="00E05CA7" w:rsidRPr="007A43EA" w:rsidRDefault="00E05CA7" w:rsidP="00EC4C32">
      <w:pPr>
        <w:pStyle w:val="ListParagraph"/>
        <w:spacing w:after="120"/>
        <w:ind w:left="0" w:right="566"/>
        <w:contextualSpacing w:val="0"/>
        <w:jc w:val="both"/>
        <w:rPr>
          <w:rFonts w:asciiTheme="minorHAnsi" w:hAnsiTheme="minorHAnsi"/>
          <w:sz w:val="20"/>
          <w:szCs w:val="20"/>
          <w:lang w:val="bg-BG"/>
        </w:rPr>
      </w:pPr>
      <w:r w:rsidRPr="00812428">
        <w:rPr>
          <w:rFonts w:asciiTheme="minorHAnsi" w:hAnsiTheme="minorHAnsi"/>
          <w:sz w:val="20"/>
          <w:szCs w:val="20"/>
          <w:lang w:val="bg-BG"/>
        </w:rPr>
        <w:t>Съгласно чл. 100и, ал. 4 от ЗППЦК първоначалната пазарна оценка на имота е направена на 05.06.2019 г. от "</w:t>
      </w:r>
      <w:proofErr w:type="spellStart"/>
      <w:r w:rsidRPr="00812428">
        <w:rPr>
          <w:rFonts w:asciiTheme="minorHAnsi" w:hAnsiTheme="minorHAnsi"/>
          <w:sz w:val="20"/>
          <w:szCs w:val="20"/>
          <w:lang w:val="bg-BG"/>
        </w:rPr>
        <w:t>Явлена</w:t>
      </w:r>
      <w:proofErr w:type="spellEnd"/>
      <w:r w:rsidRPr="00812428">
        <w:rPr>
          <w:rFonts w:asciiTheme="minorHAnsi" w:hAnsiTheme="minorHAnsi"/>
          <w:sz w:val="20"/>
          <w:szCs w:val="20"/>
          <w:lang w:val="bg-BG"/>
        </w:rPr>
        <w:t xml:space="preserve"> - </w:t>
      </w:r>
      <w:proofErr w:type="spellStart"/>
      <w:r w:rsidRPr="00812428">
        <w:rPr>
          <w:rFonts w:asciiTheme="minorHAnsi" w:hAnsiTheme="minorHAnsi"/>
          <w:sz w:val="20"/>
          <w:szCs w:val="20"/>
          <w:lang w:val="bg-BG"/>
        </w:rPr>
        <w:t>Импакт</w:t>
      </w:r>
      <w:proofErr w:type="spellEnd"/>
      <w:r w:rsidRPr="00812428">
        <w:rPr>
          <w:rFonts w:asciiTheme="minorHAnsi" w:hAnsiTheme="minorHAnsi"/>
          <w:sz w:val="20"/>
          <w:szCs w:val="20"/>
          <w:lang w:val="bg-BG"/>
        </w:rPr>
        <w:t xml:space="preserve">" ООД и възлиза на 1 463 000 лв. Последната пазарна оценка на имота е направена на </w:t>
      </w:r>
      <w:r w:rsidR="00812428" w:rsidRPr="00812428">
        <w:rPr>
          <w:rFonts w:asciiTheme="minorHAnsi" w:hAnsiTheme="minorHAnsi"/>
          <w:sz w:val="20"/>
          <w:szCs w:val="20"/>
          <w:lang w:val="bg-BG"/>
        </w:rPr>
        <w:t>20</w:t>
      </w:r>
      <w:r w:rsidRPr="00812428">
        <w:rPr>
          <w:rFonts w:asciiTheme="minorHAnsi" w:hAnsiTheme="minorHAnsi"/>
          <w:sz w:val="20"/>
          <w:szCs w:val="20"/>
          <w:lang w:val="bg-BG"/>
        </w:rPr>
        <w:t>.0</w:t>
      </w:r>
      <w:r w:rsidR="00812428" w:rsidRPr="00812428">
        <w:rPr>
          <w:rFonts w:asciiTheme="minorHAnsi" w:hAnsiTheme="minorHAnsi"/>
          <w:sz w:val="20"/>
          <w:szCs w:val="20"/>
          <w:lang w:val="bg-BG"/>
        </w:rPr>
        <w:t>5</w:t>
      </w:r>
      <w:r w:rsidRPr="00812428">
        <w:rPr>
          <w:rFonts w:asciiTheme="minorHAnsi" w:hAnsiTheme="minorHAnsi"/>
          <w:sz w:val="20"/>
          <w:szCs w:val="20"/>
          <w:lang w:val="bg-BG"/>
        </w:rPr>
        <w:t>.202</w:t>
      </w:r>
      <w:r w:rsidR="00812428" w:rsidRPr="00812428">
        <w:rPr>
          <w:rFonts w:asciiTheme="minorHAnsi" w:hAnsiTheme="minorHAnsi"/>
          <w:sz w:val="20"/>
          <w:szCs w:val="20"/>
          <w:lang w:val="bg-BG"/>
        </w:rPr>
        <w:t>1</w:t>
      </w:r>
      <w:r w:rsidRPr="00812428">
        <w:rPr>
          <w:rFonts w:asciiTheme="minorHAnsi" w:hAnsiTheme="minorHAnsi"/>
          <w:sz w:val="20"/>
          <w:szCs w:val="20"/>
          <w:lang w:val="bg-BG"/>
        </w:rPr>
        <w:t xml:space="preserve"> г. от "</w:t>
      </w:r>
      <w:proofErr w:type="spellStart"/>
      <w:r w:rsidRPr="00812428">
        <w:rPr>
          <w:rFonts w:asciiTheme="minorHAnsi" w:hAnsiTheme="minorHAnsi"/>
          <w:sz w:val="20"/>
          <w:szCs w:val="20"/>
          <w:lang w:val="bg-BG"/>
        </w:rPr>
        <w:t>Импакт</w:t>
      </w:r>
      <w:proofErr w:type="spellEnd"/>
      <w:r w:rsidRPr="00812428">
        <w:rPr>
          <w:rFonts w:asciiTheme="minorHAnsi" w:hAnsiTheme="minorHAnsi"/>
          <w:sz w:val="20"/>
          <w:szCs w:val="20"/>
          <w:lang w:val="bg-BG"/>
        </w:rPr>
        <w:t xml:space="preserve"> оценители" ООД, за да послужи на "ЕЛАНА трейдинг" АД в качеството й на Довереник на облигационерите и възлиза на 1 </w:t>
      </w:r>
      <w:r w:rsidR="00812428" w:rsidRPr="00812428">
        <w:rPr>
          <w:rFonts w:asciiTheme="minorHAnsi" w:hAnsiTheme="minorHAnsi"/>
          <w:sz w:val="20"/>
          <w:szCs w:val="20"/>
          <w:lang w:val="bg-BG"/>
        </w:rPr>
        <w:t>546</w:t>
      </w:r>
      <w:r w:rsidRPr="00812428">
        <w:rPr>
          <w:rFonts w:asciiTheme="minorHAnsi" w:hAnsiTheme="minorHAnsi"/>
          <w:sz w:val="20"/>
          <w:szCs w:val="20"/>
          <w:lang w:val="bg-BG"/>
        </w:rPr>
        <w:t xml:space="preserve"> 000 лв.</w:t>
      </w:r>
    </w:p>
    <w:p w14:paraId="2701DCCA" w14:textId="77777777" w:rsidR="006721AE" w:rsidRPr="00EC4C32" w:rsidRDefault="00E05CA7" w:rsidP="00EC4C32">
      <w:pPr>
        <w:pStyle w:val="ListParagraph"/>
        <w:numPr>
          <w:ilvl w:val="1"/>
          <w:numId w:val="21"/>
        </w:numPr>
        <w:spacing w:after="120"/>
        <w:ind w:left="993" w:right="567" w:firstLine="0"/>
        <w:contextualSpacing w:val="0"/>
        <w:jc w:val="both"/>
        <w:rPr>
          <w:rFonts w:asciiTheme="minorHAnsi" w:hAnsiTheme="minorHAnsi"/>
          <w:sz w:val="20"/>
          <w:szCs w:val="20"/>
          <w:lang w:val="bg-BG"/>
        </w:rPr>
      </w:pPr>
      <w:r w:rsidRPr="007A43EA">
        <w:rPr>
          <w:rFonts w:asciiTheme="minorHAnsi" w:hAnsiTheme="minorHAnsi"/>
          <w:sz w:val="20"/>
          <w:szCs w:val="20"/>
          <w:lang w:val="bg-BG"/>
        </w:rPr>
        <w:t xml:space="preserve">Първа по ред договорна ипотека върху Офис №1, разположен на две нива в жилищна сграда в гр. София, район Лозенец, </w:t>
      </w:r>
      <w:proofErr w:type="spellStart"/>
      <w:r w:rsidRPr="007A43EA">
        <w:rPr>
          <w:rFonts w:asciiTheme="minorHAnsi" w:hAnsiTheme="minorHAnsi"/>
          <w:sz w:val="20"/>
          <w:szCs w:val="20"/>
          <w:lang w:val="bg-BG"/>
        </w:rPr>
        <w:t>ул</w:t>
      </w:r>
      <w:proofErr w:type="spellEnd"/>
      <w:r w:rsidRPr="00EC4C32">
        <w:rPr>
          <w:rFonts w:asciiTheme="minorHAnsi" w:hAnsiTheme="minorHAnsi"/>
          <w:sz w:val="20"/>
          <w:szCs w:val="20"/>
          <w:lang w:val="bg-BG"/>
        </w:rPr>
        <w:t>.”Света гора” №42, с РЗП на двете нива от 131.11 кв. м., състоящ се на първо ниво /ниво терен/ от приемна, кухня-бокс, стая за почивка, баня с тоалетна и входно антре, а на второ ниво от два кабинета, баня с тоалетна и два балкона, ведно с мазе №8 с площ от 6,06 кв. м., както и 8.16% идеални части от общите части на сградата, равняващи се на 23.63 кв. м. и толкова идеални части от правото на строеж върху мястото, представляващо УПИ ХVІІ-628, кв.133а по плана на кв. ”Лозенец – ІІІ част”.</w:t>
      </w:r>
    </w:p>
    <w:p w14:paraId="019D9984" w14:textId="77777777" w:rsidR="00E05CA7" w:rsidRPr="00EC4C32" w:rsidRDefault="00E05CA7"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Договорната ипотека (Нотариален акт № 179, том № I, рег. № 3059, дел № 153/2020 г.) е учредена на 14.02.2020 г. от „Гео Импорт Експорт“ ЕООД като ипотекарен длъжник и собственик на имота в полза на „ЕЛАНА трейдинг“ като ипотекарен кредитор съгласно Договор за изпълнение на функцията Довереник на облигационерите от 12.11.2019 г.</w:t>
      </w:r>
    </w:p>
    <w:p w14:paraId="1617111B" w14:textId="77777777" w:rsidR="00E05CA7" w:rsidRPr="00EC4C32" w:rsidRDefault="00E05CA7"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Договорната ипотека е сключена на основание на чл. 100з, ал.1 от ЗППЦК, във връзка с чл. 205, ал. 4 от ТЗ, за обезпечаването на всички вземания на облигационерите от Емитента, които са възникнали по силата на издадените и регистрирани в ЦД облигации с ISIN код BG2100017198, в това число на вземанията на облигационерите за главници и лихви, както и за всички акцесорни и/или свързани с вземанията на облигационерите за главници и лихви допълнителни вземания на облигационерите, като вземания за лихви (договорни, наказателни и законови), неустойки, комисионни, такси и разноски по събирането, до окончателното им изплащане, и е в размер на сумата до 482 120 лв. В случай на неизпълнение и предсрочна изискуемост, ипотекарният кредитор „ЕЛАНА трейдинг“, в качеството си на Довереник на облигационерите има право да събере цялото вземане на облигационерите от Емитента до сумата в размер на 482 120 лв. чрез продажба по законоустановения ред недвижимия имот предмет на договорната ипотека.</w:t>
      </w:r>
    </w:p>
    <w:p w14:paraId="0DF7FC79" w14:textId="77777777" w:rsidR="00E05CA7" w:rsidRPr="00EC4C32" w:rsidRDefault="00E05CA7"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„Гео-Импорт-Експорт“ ЕООД е дружество с едноличен собственик Георги Добринов - баща на изпълнителния директор и акционер в „АЙ ТИ ЕФ Груп“ АД Филип Добринов.</w:t>
      </w:r>
    </w:p>
    <w:p w14:paraId="7D9D6DC1" w14:textId="12326D54" w:rsidR="00E05CA7" w:rsidRPr="00EC4C32" w:rsidRDefault="00E05CA7"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Съгласно чл. 100и, ал. 4 от ЗППЦК първоначалната пазарна оценка на имота е направена на 05.06.2019 г. от „</w:t>
      </w:r>
      <w:proofErr w:type="spellStart"/>
      <w:r w:rsidRPr="00EC4C32">
        <w:rPr>
          <w:rFonts w:asciiTheme="minorHAnsi" w:hAnsiTheme="minorHAnsi"/>
          <w:sz w:val="20"/>
          <w:szCs w:val="20"/>
          <w:lang w:val="bg-BG"/>
        </w:rPr>
        <w:t>Явлена</w:t>
      </w:r>
      <w:proofErr w:type="spellEnd"/>
      <w:r w:rsidRPr="00EC4C32">
        <w:rPr>
          <w:rFonts w:asciiTheme="minorHAnsi" w:hAnsiTheme="minorHAnsi"/>
          <w:sz w:val="20"/>
          <w:szCs w:val="20"/>
          <w:lang w:val="bg-BG"/>
        </w:rPr>
        <w:t xml:space="preserve"> - </w:t>
      </w:r>
      <w:proofErr w:type="spellStart"/>
      <w:r w:rsidRPr="00EC4C32">
        <w:rPr>
          <w:rFonts w:asciiTheme="minorHAnsi" w:hAnsiTheme="minorHAnsi"/>
          <w:sz w:val="20"/>
          <w:szCs w:val="20"/>
          <w:lang w:val="bg-BG"/>
        </w:rPr>
        <w:t>Импакт</w:t>
      </w:r>
      <w:proofErr w:type="spellEnd"/>
      <w:r w:rsidRPr="00EC4C32">
        <w:rPr>
          <w:rFonts w:asciiTheme="minorHAnsi" w:hAnsiTheme="minorHAnsi"/>
          <w:sz w:val="20"/>
          <w:szCs w:val="20"/>
          <w:lang w:val="bg-BG"/>
        </w:rPr>
        <w:t xml:space="preserve">“ ООД и възлиза на 482 120 лв. Последната пазарна оценка на имота е направена на </w:t>
      </w:r>
      <w:r w:rsidR="00EC4C32">
        <w:rPr>
          <w:rFonts w:asciiTheme="minorHAnsi" w:hAnsiTheme="minorHAnsi"/>
          <w:sz w:val="20"/>
          <w:szCs w:val="20"/>
          <w:lang w:val="bg-BG"/>
        </w:rPr>
        <w:t>20</w:t>
      </w:r>
      <w:r w:rsidRPr="00EC4C32">
        <w:rPr>
          <w:rFonts w:asciiTheme="minorHAnsi" w:hAnsiTheme="minorHAnsi"/>
          <w:sz w:val="20"/>
          <w:szCs w:val="20"/>
          <w:lang w:val="bg-BG"/>
        </w:rPr>
        <w:t>.0</w:t>
      </w:r>
      <w:r w:rsidR="00EC4C32">
        <w:rPr>
          <w:rFonts w:asciiTheme="minorHAnsi" w:hAnsiTheme="minorHAnsi"/>
          <w:sz w:val="20"/>
          <w:szCs w:val="20"/>
          <w:lang w:val="bg-BG"/>
        </w:rPr>
        <w:t>5</w:t>
      </w:r>
      <w:r w:rsidRPr="00EC4C32">
        <w:rPr>
          <w:rFonts w:asciiTheme="minorHAnsi" w:hAnsiTheme="minorHAnsi"/>
          <w:sz w:val="20"/>
          <w:szCs w:val="20"/>
          <w:lang w:val="bg-BG"/>
        </w:rPr>
        <w:t>.202</w:t>
      </w:r>
      <w:r w:rsidR="00EC4C32">
        <w:rPr>
          <w:rFonts w:asciiTheme="minorHAnsi" w:hAnsiTheme="minorHAnsi"/>
          <w:sz w:val="20"/>
          <w:szCs w:val="20"/>
          <w:lang w:val="bg-BG"/>
        </w:rPr>
        <w:t xml:space="preserve">1 </w:t>
      </w:r>
      <w:r w:rsidRPr="00EC4C32">
        <w:rPr>
          <w:rFonts w:asciiTheme="minorHAnsi" w:hAnsiTheme="minorHAnsi"/>
          <w:sz w:val="20"/>
          <w:szCs w:val="20"/>
          <w:lang w:val="bg-BG"/>
        </w:rPr>
        <w:t>г. от „</w:t>
      </w:r>
      <w:proofErr w:type="spellStart"/>
      <w:r w:rsidRPr="00EC4C32">
        <w:rPr>
          <w:rFonts w:asciiTheme="minorHAnsi" w:hAnsiTheme="minorHAnsi"/>
          <w:sz w:val="20"/>
          <w:szCs w:val="20"/>
          <w:lang w:val="bg-BG"/>
        </w:rPr>
        <w:t>Импакт</w:t>
      </w:r>
      <w:proofErr w:type="spellEnd"/>
      <w:r w:rsidRPr="00EC4C32">
        <w:rPr>
          <w:rFonts w:asciiTheme="minorHAnsi" w:hAnsiTheme="minorHAnsi"/>
          <w:sz w:val="20"/>
          <w:szCs w:val="20"/>
          <w:lang w:val="bg-BG"/>
        </w:rPr>
        <w:t xml:space="preserve"> оценители“ ООД, за да послужи на „ЕЛАНА трейдинг“ в качеството й на Довереник на облигационерите и възлиза на 48</w:t>
      </w:r>
      <w:r w:rsidR="00EC4C32">
        <w:rPr>
          <w:rFonts w:asciiTheme="minorHAnsi" w:hAnsiTheme="minorHAnsi"/>
          <w:sz w:val="20"/>
          <w:szCs w:val="20"/>
          <w:lang w:val="bg-BG"/>
        </w:rPr>
        <w:t>5</w:t>
      </w:r>
      <w:r w:rsidRPr="00EC4C32">
        <w:rPr>
          <w:rFonts w:asciiTheme="minorHAnsi" w:hAnsiTheme="minorHAnsi"/>
          <w:sz w:val="20"/>
          <w:szCs w:val="20"/>
          <w:lang w:val="bg-BG"/>
        </w:rPr>
        <w:t xml:space="preserve"> </w:t>
      </w:r>
      <w:r w:rsidR="00EC4C32">
        <w:rPr>
          <w:rFonts w:asciiTheme="minorHAnsi" w:hAnsiTheme="minorHAnsi"/>
          <w:sz w:val="20"/>
          <w:szCs w:val="20"/>
          <w:lang w:val="bg-BG"/>
        </w:rPr>
        <w:t>0</w:t>
      </w:r>
      <w:r w:rsidRPr="00EC4C32">
        <w:rPr>
          <w:rFonts w:asciiTheme="minorHAnsi" w:hAnsiTheme="minorHAnsi"/>
          <w:sz w:val="20"/>
          <w:szCs w:val="20"/>
          <w:lang w:val="bg-BG"/>
        </w:rPr>
        <w:t>00 лв.</w:t>
      </w:r>
    </w:p>
    <w:p w14:paraId="60650B27" w14:textId="77777777" w:rsidR="0022327F" w:rsidRPr="00EC4C32" w:rsidRDefault="0022327F" w:rsidP="00EC4C32">
      <w:pPr>
        <w:pStyle w:val="ListParagraph"/>
        <w:numPr>
          <w:ilvl w:val="1"/>
          <w:numId w:val="21"/>
        </w:numPr>
        <w:spacing w:after="120"/>
        <w:ind w:left="993" w:right="567" w:firstLine="0"/>
        <w:contextualSpacing w:val="0"/>
        <w:jc w:val="both"/>
        <w:rPr>
          <w:rFonts w:asciiTheme="minorHAnsi" w:hAnsiTheme="minorHAnsi"/>
          <w:sz w:val="20"/>
          <w:szCs w:val="20"/>
          <w:lang w:val="bg-BG"/>
        </w:rPr>
      </w:pPr>
      <w:r w:rsidRPr="00EC4C32">
        <w:rPr>
          <w:rFonts w:asciiTheme="minorHAnsi" w:hAnsiTheme="minorHAnsi"/>
          <w:sz w:val="20"/>
          <w:szCs w:val="20"/>
          <w:lang w:val="bg-BG"/>
        </w:rPr>
        <w:t xml:space="preserve">Първи по ред особен залог, по реда на Закона за особените залози (ЗОЗ) върху съвкупност от настоящи и бъдещи вземания по договори за заеми на физически и юридически лица, които </w:t>
      </w:r>
      <w:r w:rsidRPr="00EC4C32">
        <w:rPr>
          <w:rFonts w:asciiTheme="minorHAnsi" w:hAnsiTheme="minorHAnsi"/>
          <w:sz w:val="20"/>
          <w:szCs w:val="20"/>
          <w:lang w:val="bg-BG"/>
        </w:rPr>
        <w:lastRenderedPageBreak/>
        <w:t xml:space="preserve">вземания са класифицирани като редовни съгласно Предложението за записване на корпоративни облигации от 11.11.2019 г. </w:t>
      </w:r>
    </w:p>
    <w:p w14:paraId="3528865B" w14:textId="0FEA9594" w:rsidR="0022327F" w:rsidRPr="00EC4C32" w:rsidRDefault="0022327F"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 xml:space="preserve">Договорът за особен залог с прилежащо към него Приложение №1, представляващо списък на индивидуализираните вземания, представляващи заложеното имущество, е вписан в Централния регистър на особените залози (ЦРОЗ) на 28.11.2019 г. със страни "АЙ ТИ ЕФ Груп" АД като залогодател и "ЕЛАНА Трейдинг" като заложения кредитор съгласно Договора за изпълнение на функцията Довереника на облигационерите. Приложение №1 </w:t>
      </w:r>
      <w:r w:rsidR="00EC4C32">
        <w:rPr>
          <w:rFonts w:asciiTheme="minorHAnsi" w:hAnsiTheme="minorHAnsi"/>
          <w:sz w:val="20"/>
          <w:szCs w:val="20"/>
          <w:lang w:val="bg-BG"/>
        </w:rPr>
        <w:t>се</w:t>
      </w:r>
      <w:r w:rsidRPr="00EC4C32">
        <w:rPr>
          <w:rFonts w:asciiTheme="minorHAnsi" w:hAnsiTheme="minorHAnsi"/>
          <w:sz w:val="20"/>
          <w:szCs w:val="20"/>
          <w:lang w:val="bg-BG"/>
        </w:rPr>
        <w:t xml:space="preserve"> актуализира</w:t>
      </w:r>
      <w:r w:rsidR="00EC4C32">
        <w:rPr>
          <w:rFonts w:asciiTheme="minorHAnsi" w:hAnsiTheme="minorHAnsi"/>
          <w:sz w:val="20"/>
          <w:szCs w:val="20"/>
          <w:lang w:val="bg-BG"/>
        </w:rPr>
        <w:t xml:space="preserve"> с анекс при всяка промяна на съвкупността от вземания, служещи като обезпечение и съответния анекс се вписва в ЦРОЗ. </w:t>
      </w:r>
      <w:r w:rsidR="00D209B8">
        <w:rPr>
          <w:rFonts w:asciiTheme="minorHAnsi" w:hAnsiTheme="minorHAnsi"/>
          <w:sz w:val="20"/>
          <w:szCs w:val="20"/>
          <w:lang w:val="bg-BG"/>
        </w:rPr>
        <w:t>Към 30.06.2021г. в действие е Анекс 21, сключен на 08.06.2021г. и обявен в ЦРОЗ на 08.06.2021г.</w:t>
      </w:r>
    </w:p>
    <w:p w14:paraId="02CD788D" w14:textId="77777777" w:rsidR="00A919CB" w:rsidRPr="00EC4C32" w:rsidRDefault="0022327F"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Договорът за особен залог е анексиран с Анекс 3 от 20.02.2020 г. , когато е прецизиран текста на уведомлението, което Залогодателят следва да направи към длъжниците по нововъзникнали вземания след сключването и вписването на Договора за особен залог чрез клауза в индивидуалните договори за предоставяне на кредити на трети лица. Анекс 3, съответно съдържащите се в него обстоятелства не е вписан в ЦРОЗ защото промяната на текста за уведомяване на кредитополучателите не е обстоятелство, което подлежи на вписване или обявяване в ЦРОЗ съгласно изискванията на чл. 26 от Закона за особените залози.</w:t>
      </w:r>
    </w:p>
    <w:p w14:paraId="69255D14" w14:textId="77777777" w:rsidR="00A919CB" w:rsidRPr="00EC4C32" w:rsidRDefault="0022327F"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Съгласно чл. 5.1 от Договора в случай, че Залогодателят не изпълни което и да е от своите задължения от настоящия Договор или от Договора за изпълнение на функцията "довереник на облигационерите" или от условията на облигационния заем, Заложният кредитор има право да обяви Обезпечените вземания за предсрочно изцяло или частично изискуеми и да се удовлетвори от Заложеното имущество.</w:t>
      </w:r>
    </w:p>
    <w:p w14:paraId="545D7112" w14:textId="77777777" w:rsidR="00AB64D3" w:rsidRPr="00EC4C32" w:rsidRDefault="006721AE"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 xml:space="preserve">Размерът на заложените вземания следва във всеки един момент да бъде не по-малък от 125% от стойността на вземанията по остатъчната главница на облигационния заем минус стойността на наличната сума по </w:t>
      </w:r>
      <w:proofErr w:type="spellStart"/>
      <w:r w:rsidRPr="00EC4C32">
        <w:rPr>
          <w:rFonts w:asciiTheme="minorHAnsi" w:hAnsiTheme="minorHAnsi"/>
          <w:sz w:val="20"/>
          <w:szCs w:val="20"/>
          <w:lang w:val="bg-BG"/>
        </w:rPr>
        <w:t>ескроу</w:t>
      </w:r>
      <w:proofErr w:type="spellEnd"/>
      <w:r w:rsidRPr="00EC4C32">
        <w:rPr>
          <w:rFonts w:asciiTheme="minorHAnsi" w:hAnsiTheme="minorHAnsi"/>
          <w:sz w:val="20"/>
          <w:szCs w:val="20"/>
          <w:lang w:val="bg-BG"/>
        </w:rPr>
        <w:t xml:space="preserve"> сметката, открита за целите на емисията в „Уникредит Булбанк“ и минус стойността на недвижимото имущество заложено като обезпечение на настоящата емисия;</w:t>
      </w:r>
    </w:p>
    <w:p w14:paraId="47CF8A59" w14:textId="050B2073" w:rsidR="0022327F" w:rsidRPr="00EC4C32" w:rsidRDefault="0022327F" w:rsidP="00EC4C32">
      <w:pPr>
        <w:pStyle w:val="ListParagraph"/>
        <w:spacing w:after="120"/>
        <w:ind w:left="0" w:right="566"/>
        <w:contextualSpacing w:val="0"/>
        <w:jc w:val="both"/>
        <w:rPr>
          <w:rFonts w:asciiTheme="minorHAnsi" w:hAnsiTheme="minorHAnsi"/>
          <w:sz w:val="20"/>
          <w:szCs w:val="20"/>
          <w:lang w:val="bg-BG"/>
        </w:rPr>
      </w:pPr>
      <w:r w:rsidRPr="00EC4C32">
        <w:rPr>
          <w:rFonts w:asciiTheme="minorHAnsi" w:hAnsiTheme="minorHAnsi"/>
          <w:sz w:val="20"/>
          <w:szCs w:val="20"/>
          <w:lang w:val="bg-BG"/>
        </w:rPr>
        <w:t xml:space="preserve">Към дата на настоящия доклад Приложение 1 към Договора за особен залог е </w:t>
      </w:r>
      <w:r w:rsidR="00D209B8">
        <w:rPr>
          <w:rFonts w:asciiTheme="minorHAnsi" w:hAnsiTheme="minorHAnsi"/>
          <w:sz w:val="20"/>
          <w:szCs w:val="20"/>
          <w:lang w:val="bg-BG"/>
        </w:rPr>
        <w:t xml:space="preserve">последно </w:t>
      </w:r>
      <w:r w:rsidRPr="00EC4C32">
        <w:rPr>
          <w:rFonts w:asciiTheme="minorHAnsi" w:hAnsiTheme="minorHAnsi"/>
          <w:sz w:val="20"/>
          <w:szCs w:val="20"/>
          <w:lang w:val="bg-BG"/>
        </w:rPr>
        <w:t>актуализиран</w:t>
      </w:r>
      <w:r w:rsidR="00D209B8">
        <w:rPr>
          <w:rFonts w:asciiTheme="minorHAnsi" w:hAnsiTheme="minorHAnsi"/>
          <w:sz w:val="20"/>
          <w:szCs w:val="20"/>
          <w:lang w:val="bg-BG"/>
        </w:rPr>
        <w:t>о</w:t>
      </w:r>
      <w:r w:rsidRPr="00EC4C32">
        <w:rPr>
          <w:rFonts w:asciiTheme="minorHAnsi" w:hAnsiTheme="minorHAnsi"/>
          <w:sz w:val="20"/>
          <w:szCs w:val="20"/>
          <w:lang w:val="bg-BG"/>
        </w:rPr>
        <w:t xml:space="preserve"> с Анекс </w:t>
      </w:r>
      <w:r w:rsidR="00D209B8">
        <w:rPr>
          <w:rFonts w:asciiTheme="minorHAnsi" w:hAnsiTheme="minorHAnsi"/>
          <w:sz w:val="20"/>
          <w:szCs w:val="20"/>
          <w:lang w:val="bg-BG"/>
        </w:rPr>
        <w:t>26</w:t>
      </w:r>
      <w:r w:rsidRPr="00EC4C32">
        <w:rPr>
          <w:rFonts w:asciiTheme="minorHAnsi" w:hAnsiTheme="minorHAnsi"/>
          <w:sz w:val="20"/>
          <w:szCs w:val="20"/>
          <w:lang w:val="bg-BG"/>
        </w:rPr>
        <w:t xml:space="preserve"> от </w:t>
      </w:r>
      <w:r w:rsidR="00D209B8">
        <w:rPr>
          <w:rFonts w:asciiTheme="minorHAnsi" w:hAnsiTheme="minorHAnsi"/>
          <w:sz w:val="20"/>
          <w:szCs w:val="20"/>
          <w:lang w:val="bg-BG"/>
        </w:rPr>
        <w:t>2</w:t>
      </w:r>
      <w:r w:rsidR="009A521A" w:rsidRPr="00EC4C32">
        <w:rPr>
          <w:rFonts w:asciiTheme="minorHAnsi" w:hAnsiTheme="minorHAnsi"/>
          <w:sz w:val="20"/>
          <w:szCs w:val="20"/>
          <w:lang w:val="bg-BG"/>
        </w:rPr>
        <w:t>4</w:t>
      </w:r>
      <w:r w:rsidRPr="00EC4C32">
        <w:rPr>
          <w:rFonts w:asciiTheme="minorHAnsi" w:hAnsiTheme="minorHAnsi"/>
          <w:sz w:val="20"/>
          <w:szCs w:val="20"/>
          <w:lang w:val="bg-BG"/>
        </w:rPr>
        <w:t>.08.202</w:t>
      </w:r>
      <w:r w:rsidR="00D209B8">
        <w:rPr>
          <w:rFonts w:asciiTheme="minorHAnsi" w:hAnsiTheme="minorHAnsi"/>
          <w:sz w:val="20"/>
          <w:szCs w:val="20"/>
          <w:lang w:val="bg-BG"/>
        </w:rPr>
        <w:t>1</w:t>
      </w:r>
      <w:r w:rsidRPr="00EC4C32">
        <w:rPr>
          <w:rFonts w:asciiTheme="minorHAnsi" w:hAnsiTheme="minorHAnsi"/>
          <w:sz w:val="20"/>
          <w:szCs w:val="20"/>
          <w:lang w:val="bg-BG"/>
        </w:rPr>
        <w:t xml:space="preserve"> </w:t>
      </w:r>
      <w:r w:rsidR="00D209B8">
        <w:rPr>
          <w:rFonts w:asciiTheme="minorHAnsi" w:hAnsiTheme="minorHAnsi"/>
          <w:sz w:val="20"/>
          <w:szCs w:val="20"/>
          <w:lang w:val="bg-BG"/>
        </w:rPr>
        <w:t xml:space="preserve">г., </w:t>
      </w:r>
      <w:r w:rsidRPr="00EC4C32">
        <w:rPr>
          <w:rFonts w:asciiTheme="minorHAnsi" w:hAnsiTheme="minorHAnsi"/>
          <w:sz w:val="20"/>
          <w:szCs w:val="20"/>
          <w:lang w:val="bg-BG"/>
        </w:rPr>
        <w:t xml:space="preserve">вписан в ЦРОЗ на </w:t>
      </w:r>
      <w:r w:rsidR="00D209B8">
        <w:rPr>
          <w:rFonts w:asciiTheme="minorHAnsi" w:hAnsiTheme="minorHAnsi"/>
          <w:sz w:val="20"/>
          <w:szCs w:val="20"/>
          <w:lang w:val="bg-BG"/>
        </w:rPr>
        <w:t>26</w:t>
      </w:r>
      <w:r w:rsidRPr="00EC4C32">
        <w:rPr>
          <w:rFonts w:asciiTheme="minorHAnsi" w:hAnsiTheme="minorHAnsi"/>
          <w:sz w:val="20"/>
          <w:szCs w:val="20"/>
          <w:lang w:val="bg-BG"/>
        </w:rPr>
        <w:t>.08.202</w:t>
      </w:r>
      <w:r w:rsidR="00D209B8">
        <w:rPr>
          <w:rFonts w:asciiTheme="minorHAnsi" w:hAnsiTheme="minorHAnsi"/>
          <w:sz w:val="20"/>
          <w:szCs w:val="20"/>
          <w:lang w:val="bg-BG"/>
        </w:rPr>
        <w:t>1</w:t>
      </w:r>
      <w:r w:rsidRPr="00EC4C32">
        <w:rPr>
          <w:rFonts w:asciiTheme="minorHAnsi" w:hAnsiTheme="minorHAnsi"/>
          <w:sz w:val="20"/>
          <w:szCs w:val="20"/>
          <w:lang w:val="bg-BG"/>
        </w:rPr>
        <w:t xml:space="preserve"> г.</w:t>
      </w:r>
    </w:p>
    <w:p w14:paraId="69AB7B36" w14:textId="77777777" w:rsidR="005539AF" w:rsidRPr="00D209B8" w:rsidRDefault="005539AF" w:rsidP="00D209B8">
      <w:pPr>
        <w:pStyle w:val="ListParagraph"/>
        <w:numPr>
          <w:ilvl w:val="1"/>
          <w:numId w:val="21"/>
        </w:numPr>
        <w:spacing w:after="120"/>
        <w:ind w:left="993" w:right="567" w:firstLine="0"/>
        <w:contextualSpacing w:val="0"/>
        <w:jc w:val="both"/>
        <w:rPr>
          <w:rFonts w:asciiTheme="minorHAnsi" w:hAnsiTheme="minorHAnsi"/>
          <w:sz w:val="20"/>
          <w:szCs w:val="20"/>
          <w:lang w:val="bg-BG"/>
        </w:rPr>
      </w:pPr>
      <w:r w:rsidRPr="00D209B8">
        <w:rPr>
          <w:rFonts w:asciiTheme="minorHAnsi" w:hAnsiTheme="minorHAnsi"/>
          <w:sz w:val="20"/>
          <w:szCs w:val="20"/>
          <w:lang w:val="bg-BG"/>
        </w:rPr>
        <w:t>Първа по ред особен залог, по реда на Закона за особените залози (ЗОЗ) върху всички настоящи и бъдещи вземания по платежни сметки на "Ай Ти Еф Груп" в "</w:t>
      </w:r>
      <w:proofErr w:type="spellStart"/>
      <w:r w:rsidRPr="00D209B8">
        <w:rPr>
          <w:rFonts w:asciiTheme="minorHAnsi" w:hAnsiTheme="minorHAnsi"/>
          <w:sz w:val="20"/>
          <w:szCs w:val="20"/>
          <w:lang w:val="bg-BG"/>
        </w:rPr>
        <w:t>Изипей</w:t>
      </w:r>
      <w:proofErr w:type="spellEnd"/>
      <w:r w:rsidRPr="00D209B8">
        <w:rPr>
          <w:rFonts w:asciiTheme="minorHAnsi" w:hAnsiTheme="minorHAnsi"/>
          <w:sz w:val="20"/>
          <w:szCs w:val="20"/>
          <w:lang w:val="bg-BG"/>
        </w:rPr>
        <w:t>" АД, както и вземанията по всички останали настоящи и бъдещи сметки на "Ай Ти Еф Груп" АД в платежни институции на територията на Република България.</w:t>
      </w:r>
    </w:p>
    <w:p w14:paraId="67E64CA7" w14:textId="77777777" w:rsidR="005539AF" w:rsidRPr="00D209B8" w:rsidRDefault="005539AF"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Договорът за особен залог е вписан в ЦРОЗ на 17.03.2020 г. със страни "Ай Ти Еф Груп" АД като залогодател и "ЕЛАНА Трейдинг" като заложения кредитор съгласно Договора за изпълнение на функцията Довереника на облигационерите.</w:t>
      </w:r>
    </w:p>
    <w:p w14:paraId="6618CD00" w14:textId="77777777" w:rsidR="00AB64D3" w:rsidRPr="00D209B8" w:rsidRDefault="005539AF"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Съгласно чл. 5.1 от Договора в случай, че Залогодателят не изпълни което и да е от своите задължения от настоящия Договор след предоставяне на 14 (четиринадесет) дневен срок за доброволно изпълнение или при неизпълнение на задължения съгласно сроковете и условията на Договора за изпълнение на функцията "Довереник на облигационерите" или от условията на облигационния заем, Заложният кредитор има право, да обяви Обезпечените вземания за предсрочно изцяло или частично изискуеми и да се удовлетвори от Заложеното имущество</w:t>
      </w:r>
      <w:r w:rsidR="006721AE" w:rsidRPr="00D209B8">
        <w:rPr>
          <w:rFonts w:asciiTheme="minorHAnsi" w:hAnsiTheme="minorHAnsi"/>
          <w:sz w:val="20"/>
          <w:szCs w:val="20"/>
          <w:lang w:val="bg-BG"/>
        </w:rPr>
        <w:t>;</w:t>
      </w:r>
    </w:p>
    <w:p w14:paraId="437B0CCB" w14:textId="77777777" w:rsidR="007D71C1" w:rsidRPr="00D209B8" w:rsidRDefault="007D71C1" w:rsidP="00D209B8">
      <w:pPr>
        <w:pStyle w:val="ListParagraph"/>
        <w:numPr>
          <w:ilvl w:val="1"/>
          <w:numId w:val="21"/>
        </w:numPr>
        <w:spacing w:after="120"/>
        <w:ind w:left="993" w:right="567" w:firstLine="0"/>
        <w:contextualSpacing w:val="0"/>
        <w:jc w:val="both"/>
        <w:rPr>
          <w:rFonts w:asciiTheme="minorHAnsi" w:hAnsiTheme="minorHAnsi"/>
          <w:sz w:val="20"/>
          <w:szCs w:val="20"/>
          <w:lang w:val="bg-BG"/>
        </w:rPr>
      </w:pPr>
      <w:r w:rsidRPr="00D209B8">
        <w:rPr>
          <w:rFonts w:asciiTheme="minorHAnsi" w:hAnsiTheme="minorHAnsi"/>
          <w:sz w:val="20"/>
          <w:szCs w:val="20"/>
          <w:lang w:val="bg-BG"/>
        </w:rPr>
        <w:t xml:space="preserve">Валидна застрахователна полица за застраховане на сградите, предмет на обезпечението по подточки 5.1) и 5.2) по-горе, на застрахователна стойност, не по-малка от  посочената стойност за сградите съгласно актуалната пазарна оценка на Имотите и покриваща най-малко рисковете, посочени в следващия параграф и по която ко-бенефициент на застрахователно обезщетение следва да бъде Довереника. За яснота, в случай на застрахователно събитие </w:t>
      </w:r>
      <w:r w:rsidRPr="00D209B8">
        <w:rPr>
          <w:rFonts w:asciiTheme="minorHAnsi" w:hAnsiTheme="minorHAnsi"/>
          <w:sz w:val="20"/>
          <w:szCs w:val="20"/>
          <w:lang w:val="bg-BG"/>
        </w:rPr>
        <w:lastRenderedPageBreak/>
        <w:t xml:space="preserve">застрахователят изплаща дължимото обезщетение на Довереника до размера на непогасената част от облигационната емисия, намалена със салдото по </w:t>
      </w:r>
      <w:proofErr w:type="spellStart"/>
      <w:r w:rsidRPr="00D209B8">
        <w:rPr>
          <w:rFonts w:asciiTheme="minorHAnsi" w:hAnsiTheme="minorHAnsi"/>
          <w:sz w:val="20"/>
          <w:szCs w:val="20"/>
          <w:lang w:val="bg-BG"/>
        </w:rPr>
        <w:t>ескроу</w:t>
      </w:r>
      <w:proofErr w:type="spellEnd"/>
      <w:r w:rsidRPr="00D209B8">
        <w:rPr>
          <w:rFonts w:asciiTheme="minorHAnsi" w:hAnsiTheme="minorHAnsi"/>
          <w:sz w:val="20"/>
          <w:szCs w:val="20"/>
          <w:lang w:val="bg-BG"/>
        </w:rPr>
        <w:t xml:space="preserve">-сметката, изчислявано въз основа на предоставено удостоверение от ЦД за размера на непогасената главница от емисията и удостоверение от Банката по </w:t>
      </w:r>
      <w:proofErr w:type="spellStart"/>
      <w:r w:rsidRPr="00D209B8">
        <w:rPr>
          <w:rFonts w:asciiTheme="minorHAnsi" w:hAnsiTheme="minorHAnsi"/>
          <w:sz w:val="20"/>
          <w:szCs w:val="20"/>
          <w:lang w:val="bg-BG"/>
        </w:rPr>
        <w:t>есктроу</w:t>
      </w:r>
      <w:proofErr w:type="spellEnd"/>
      <w:r w:rsidRPr="00D209B8">
        <w:rPr>
          <w:rFonts w:asciiTheme="minorHAnsi" w:hAnsiTheme="minorHAnsi"/>
          <w:sz w:val="20"/>
          <w:szCs w:val="20"/>
          <w:lang w:val="bg-BG"/>
        </w:rPr>
        <w:t xml:space="preserve"> сметката за салдото по </w:t>
      </w:r>
      <w:proofErr w:type="spellStart"/>
      <w:r w:rsidRPr="00D209B8">
        <w:rPr>
          <w:rFonts w:asciiTheme="minorHAnsi" w:hAnsiTheme="minorHAnsi"/>
          <w:sz w:val="20"/>
          <w:szCs w:val="20"/>
          <w:lang w:val="bg-BG"/>
        </w:rPr>
        <w:t>ескроу</w:t>
      </w:r>
      <w:proofErr w:type="spellEnd"/>
      <w:r w:rsidRPr="00D209B8">
        <w:rPr>
          <w:rFonts w:asciiTheme="minorHAnsi" w:hAnsiTheme="minorHAnsi"/>
          <w:sz w:val="20"/>
          <w:szCs w:val="20"/>
          <w:lang w:val="bg-BG"/>
        </w:rPr>
        <w:t xml:space="preserve"> сметката. Застрахователят може да изплати обезщетението директно на застрахования/застрахованите само след получено писмено съгласие от Довереника. </w:t>
      </w:r>
    </w:p>
    <w:p w14:paraId="2EA5BCC0" w14:textId="77777777" w:rsidR="007D71C1" w:rsidRPr="00D209B8" w:rsidRDefault="007D71C1"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Застрахователната полица покрива най-малкото следните рискове: пожар и последиците от гасенето му, мълния, експлозия и имплозия, удар от летателни апарати или от падащи от тях части и предмети; Буря, ураган, увреждане от падащи клони и дървета, проливен дъжд, наводнение от природно бедствие, увреждане от тежест при естествено натрупване на сняг или лед, действие на подпочвени води, свличане и срутване на земни пластове, градушка, падане на лавина; Авария на водопроводни, канализационни, отоплителни и климатични инсталации, късо съединение и токов удар, удар от пътно превозно средство или животно; Земетресение; Вандализъм, вкл. злоумишлен пожар и злоумишлена експлозия.</w:t>
      </w:r>
    </w:p>
    <w:p w14:paraId="64EBA6FE" w14:textId="77777777" w:rsidR="007D71C1" w:rsidRPr="00D209B8" w:rsidRDefault="007D71C1"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 xml:space="preserve">На 11.12.2019 г., "АЙ ТИ ЕФ Груп" АД като застраховащ, е сключил валидна застрахователната полица на сградите обект на обезпечение на настоящата емисия облигации за посочените в горния параграф рискове със Застрахователно акционерно дружество "Алианц България" АД за обща застрахователна сума от 990 529 (деветстотин и деветдесет хиляди петстотин и двадесет и девет) евро. </w:t>
      </w:r>
    </w:p>
    <w:p w14:paraId="2096CBE4" w14:textId="77777777" w:rsidR="006721AE" w:rsidRPr="00D209B8" w:rsidRDefault="007D71C1"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Лицата, предоставили обезпечението, се задължават да подновяват полицата при изтичане на срока и да заплащат всички застрахователни премии и други разходи във връзка със застраховката в срок и пълен размер, съгласно условията на застраховката, както и да предоставят на Довереника оригинал на застрахователната полица</w:t>
      </w:r>
      <w:r w:rsidR="006721AE" w:rsidRPr="00D209B8">
        <w:rPr>
          <w:rFonts w:asciiTheme="minorHAnsi" w:hAnsiTheme="minorHAnsi"/>
          <w:sz w:val="20"/>
          <w:szCs w:val="20"/>
          <w:lang w:val="bg-BG"/>
        </w:rPr>
        <w:t>;</w:t>
      </w:r>
    </w:p>
    <w:p w14:paraId="54599154" w14:textId="77777777" w:rsidR="006721AE" w:rsidRPr="00D209B8" w:rsidRDefault="006721AE"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 xml:space="preserve">Обхватът на обезпечението съгласно Предложението за записване на корпоративните облигации от 11.11.2019г. и Договора за изпълнение на функцията „Довереник на облигационерите“ от 12.11.2019 г. е в размер на 125% от размера на остатъчната главница на облигационния заем минус наличната сума по </w:t>
      </w:r>
      <w:proofErr w:type="spellStart"/>
      <w:r w:rsidRPr="00D209B8">
        <w:rPr>
          <w:rFonts w:asciiTheme="minorHAnsi" w:hAnsiTheme="minorHAnsi"/>
          <w:sz w:val="20"/>
          <w:szCs w:val="20"/>
          <w:lang w:val="bg-BG"/>
        </w:rPr>
        <w:t>ескроу</w:t>
      </w:r>
      <w:proofErr w:type="spellEnd"/>
      <w:r w:rsidRPr="00D209B8">
        <w:rPr>
          <w:rFonts w:asciiTheme="minorHAnsi" w:hAnsiTheme="minorHAnsi"/>
          <w:sz w:val="20"/>
          <w:szCs w:val="20"/>
          <w:lang w:val="bg-BG"/>
        </w:rPr>
        <w:t xml:space="preserve"> сметката, открита в „Уникредит Булбанк“ специално за целите на облигационния заем. </w:t>
      </w:r>
    </w:p>
    <w:p w14:paraId="43CAF88F" w14:textId="45A4AB3D" w:rsidR="006721AE" w:rsidRPr="00D209B8" w:rsidRDefault="006721AE"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Към 30.06.202</w:t>
      </w:r>
      <w:r w:rsidR="00D209B8">
        <w:rPr>
          <w:rFonts w:asciiTheme="minorHAnsi" w:hAnsiTheme="minorHAnsi"/>
          <w:sz w:val="20"/>
          <w:szCs w:val="20"/>
          <w:lang w:val="bg-BG"/>
        </w:rPr>
        <w:t>1</w:t>
      </w:r>
      <w:r w:rsidRPr="00D209B8">
        <w:rPr>
          <w:rFonts w:asciiTheme="minorHAnsi" w:hAnsiTheme="minorHAnsi"/>
          <w:sz w:val="20"/>
          <w:szCs w:val="20"/>
          <w:lang w:val="bg-BG"/>
        </w:rPr>
        <w:t xml:space="preserve"> г. Емитентът е усвоил изцяло набраните 5 млн. лв. по емисията и няма налична по </w:t>
      </w:r>
      <w:proofErr w:type="spellStart"/>
      <w:r w:rsidRPr="00D209B8">
        <w:rPr>
          <w:rFonts w:asciiTheme="minorHAnsi" w:hAnsiTheme="minorHAnsi"/>
          <w:sz w:val="20"/>
          <w:szCs w:val="20"/>
          <w:lang w:val="bg-BG"/>
        </w:rPr>
        <w:t>ескроу</w:t>
      </w:r>
      <w:proofErr w:type="spellEnd"/>
      <w:r w:rsidRPr="00D209B8">
        <w:rPr>
          <w:rFonts w:asciiTheme="minorHAnsi" w:hAnsiTheme="minorHAnsi"/>
          <w:sz w:val="20"/>
          <w:szCs w:val="20"/>
          <w:lang w:val="bg-BG"/>
        </w:rPr>
        <w:t xml:space="preserve"> сметката сума. </w:t>
      </w:r>
    </w:p>
    <w:p w14:paraId="31B689C0" w14:textId="2A857AB3" w:rsidR="006721AE" w:rsidRPr="00D209B8" w:rsidRDefault="00D209B8"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Към 30.06.2021 г. всички обезпечения по облигационния заем са надлежно учредени и</w:t>
      </w:r>
      <w:r>
        <w:rPr>
          <w:rFonts w:asciiTheme="minorHAnsi" w:hAnsiTheme="minorHAnsi"/>
          <w:sz w:val="20"/>
          <w:szCs w:val="20"/>
          <w:lang w:val="bg-BG"/>
        </w:rPr>
        <w:t xml:space="preserve"> вписани за общата сума от 6 </w:t>
      </w:r>
      <w:r w:rsidRPr="00D209B8">
        <w:rPr>
          <w:rFonts w:asciiTheme="minorHAnsi" w:hAnsiTheme="minorHAnsi"/>
          <w:sz w:val="20"/>
          <w:szCs w:val="20"/>
          <w:lang w:val="bg-BG"/>
        </w:rPr>
        <w:t>604</w:t>
      </w:r>
      <w:r>
        <w:rPr>
          <w:rFonts w:asciiTheme="minorHAnsi" w:hAnsiTheme="minorHAnsi"/>
          <w:sz w:val="20"/>
          <w:szCs w:val="20"/>
          <w:lang w:val="bg-BG"/>
        </w:rPr>
        <w:t xml:space="preserve"> </w:t>
      </w:r>
      <w:r w:rsidRPr="00D209B8">
        <w:rPr>
          <w:rFonts w:asciiTheme="minorHAnsi" w:hAnsiTheme="minorHAnsi"/>
          <w:sz w:val="20"/>
          <w:szCs w:val="20"/>
          <w:lang w:val="bg-BG"/>
        </w:rPr>
        <w:t>167 лв. , което представлява 132.08% от усвоената</w:t>
      </w:r>
      <w:r>
        <w:rPr>
          <w:rFonts w:asciiTheme="minorHAnsi" w:hAnsiTheme="minorHAnsi"/>
          <w:sz w:val="20"/>
          <w:szCs w:val="20"/>
          <w:lang w:val="bg-BG"/>
        </w:rPr>
        <w:t xml:space="preserve"> </w:t>
      </w:r>
      <w:r w:rsidRPr="00D209B8">
        <w:rPr>
          <w:rFonts w:asciiTheme="minorHAnsi" w:hAnsiTheme="minorHAnsi"/>
          <w:sz w:val="20"/>
          <w:szCs w:val="20"/>
          <w:lang w:val="bg-BG"/>
        </w:rPr>
        <w:t>главница по облигационния заем</w:t>
      </w:r>
    </w:p>
    <w:p w14:paraId="42CF6A82" w14:textId="22B424F6" w:rsidR="006721AE" w:rsidRPr="00D209B8" w:rsidRDefault="006721AE" w:rsidP="00D209B8">
      <w:pPr>
        <w:pStyle w:val="ListParagraph"/>
        <w:spacing w:after="120"/>
        <w:ind w:left="0" w:right="566"/>
        <w:contextualSpacing w:val="0"/>
        <w:jc w:val="both"/>
        <w:rPr>
          <w:rFonts w:asciiTheme="minorHAnsi" w:hAnsiTheme="minorHAnsi"/>
          <w:sz w:val="20"/>
          <w:szCs w:val="20"/>
          <w:lang w:val="bg-BG"/>
        </w:rPr>
      </w:pPr>
      <w:r w:rsidRPr="00D209B8">
        <w:rPr>
          <w:rFonts w:asciiTheme="minorHAnsi" w:hAnsiTheme="minorHAnsi"/>
          <w:sz w:val="20"/>
          <w:szCs w:val="20"/>
          <w:lang w:val="bg-BG"/>
        </w:rPr>
        <w:t>През изтеклия период</w:t>
      </w:r>
      <w:r w:rsidR="00B50D65" w:rsidRPr="00D209B8">
        <w:rPr>
          <w:rFonts w:asciiTheme="minorHAnsi" w:hAnsiTheme="minorHAnsi"/>
          <w:sz w:val="20"/>
          <w:szCs w:val="20"/>
          <w:lang w:val="bg-BG"/>
        </w:rPr>
        <w:t xml:space="preserve"> от 01.0</w:t>
      </w:r>
      <w:r w:rsidR="00D209B8">
        <w:rPr>
          <w:rFonts w:asciiTheme="minorHAnsi" w:hAnsiTheme="minorHAnsi"/>
          <w:sz w:val="20"/>
          <w:szCs w:val="20"/>
          <w:lang w:val="bg-BG"/>
        </w:rPr>
        <w:t>1</w:t>
      </w:r>
      <w:r w:rsidR="00B50D65" w:rsidRPr="00D209B8">
        <w:rPr>
          <w:rFonts w:asciiTheme="minorHAnsi" w:hAnsiTheme="minorHAnsi"/>
          <w:sz w:val="20"/>
          <w:szCs w:val="20"/>
          <w:lang w:val="bg-BG"/>
        </w:rPr>
        <w:t>.202</w:t>
      </w:r>
      <w:r w:rsidR="00D209B8">
        <w:rPr>
          <w:rFonts w:asciiTheme="minorHAnsi" w:hAnsiTheme="minorHAnsi"/>
          <w:sz w:val="20"/>
          <w:szCs w:val="20"/>
          <w:lang w:val="bg-BG"/>
        </w:rPr>
        <w:t>1</w:t>
      </w:r>
      <w:r w:rsidR="00B50D65" w:rsidRPr="00D209B8">
        <w:rPr>
          <w:rFonts w:asciiTheme="minorHAnsi" w:hAnsiTheme="minorHAnsi"/>
          <w:sz w:val="20"/>
          <w:szCs w:val="20"/>
          <w:lang w:val="bg-BG"/>
        </w:rPr>
        <w:t xml:space="preserve"> г. до 30.06.202</w:t>
      </w:r>
      <w:r w:rsidR="00D209B8">
        <w:rPr>
          <w:rFonts w:asciiTheme="minorHAnsi" w:hAnsiTheme="minorHAnsi"/>
          <w:sz w:val="20"/>
          <w:szCs w:val="20"/>
          <w:lang w:val="bg-BG"/>
        </w:rPr>
        <w:t>1</w:t>
      </w:r>
      <w:r w:rsidR="00B50D65" w:rsidRPr="00D209B8">
        <w:rPr>
          <w:rFonts w:asciiTheme="minorHAnsi" w:hAnsiTheme="minorHAnsi"/>
          <w:sz w:val="20"/>
          <w:szCs w:val="20"/>
          <w:lang w:val="bg-BG"/>
        </w:rPr>
        <w:t xml:space="preserve"> г.</w:t>
      </w:r>
      <w:r w:rsidRPr="00D209B8">
        <w:rPr>
          <w:rFonts w:asciiTheme="minorHAnsi" w:hAnsiTheme="minorHAnsi"/>
          <w:sz w:val="20"/>
          <w:szCs w:val="20"/>
          <w:lang w:val="bg-BG"/>
        </w:rPr>
        <w:t xml:space="preserve"> са настъпили следните изменения по учреденото обезпечение:</w:t>
      </w:r>
    </w:p>
    <w:p w14:paraId="6F51AFCB" w14:textId="77777777" w:rsidR="006721AE" w:rsidRPr="00D209B8" w:rsidRDefault="006721AE" w:rsidP="00D209B8">
      <w:pPr>
        <w:pStyle w:val="ListParagraph"/>
        <w:numPr>
          <w:ilvl w:val="0"/>
          <w:numId w:val="29"/>
        </w:numPr>
        <w:spacing w:after="120"/>
        <w:ind w:right="566"/>
        <w:contextualSpacing w:val="0"/>
        <w:jc w:val="both"/>
        <w:rPr>
          <w:rFonts w:asciiTheme="minorHAnsi" w:hAnsiTheme="minorHAnsi"/>
          <w:sz w:val="20"/>
          <w:szCs w:val="20"/>
          <w:lang w:val="bg-BG"/>
        </w:rPr>
      </w:pPr>
      <w:r w:rsidRPr="00D209B8">
        <w:rPr>
          <w:rFonts w:asciiTheme="minorHAnsi" w:hAnsiTheme="minorHAnsi"/>
          <w:sz w:val="20"/>
          <w:szCs w:val="20"/>
          <w:lang w:val="bg-BG"/>
        </w:rPr>
        <w:t>На 09.04.2020 г. е направена нова независима пазарна на оценка на служещия за обезпечение по емисията облигации недвижим имот с адрес гр. София, ул. Симеоновско шосе № 198. Оценката е направена от „</w:t>
      </w:r>
      <w:proofErr w:type="spellStart"/>
      <w:r w:rsidRPr="00D209B8">
        <w:rPr>
          <w:rFonts w:asciiTheme="minorHAnsi" w:hAnsiTheme="minorHAnsi"/>
          <w:sz w:val="20"/>
          <w:szCs w:val="20"/>
          <w:lang w:val="bg-BG"/>
        </w:rPr>
        <w:t>Импакт</w:t>
      </w:r>
      <w:proofErr w:type="spellEnd"/>
      <w:r w:rsidRPr="00D209B8">
        <w:rPr>
          <w:rFonts w:asciiTheme="minorHAnsi" w:hAnsiTheme="minorHAnsi"/>
          <w:sz w:val="20"/>
          <w:szCs w:val="20"/>
          <w:lang w:val="bg-BG"/>
        </w:rPr>
        <w:t xml:space="preserve"> оценители“ ООД, за да послужи на „ЕЛАНА трейдинг“ АД в качеството й на Довереник на облигационерите и възлиза на 1 463 000 лв. </w:t>
      </w:r>
    </w:p>
    <w:p w14:paraId="2F20A534" w14:textId="77777777" w:rsidR="006721AE" w:rsidRPr="00D209B8" w:rsidRDefault="006721AE" w:rsidP="00D209B8">
      <w:pPr>
        <w:pStyle w:val="ListParagraph"/>
        <w:numPr>
          <w:ilvl w:val="0"/>
          <w:numId w:val="29"/>
        </w:numPr>
        <w:spacing w:after="120"/>
        <w:ind w:right="566"/>
        <w:contextualSpacing w:val="0"/>
        <w:jc w:val="both"/>
        <w:rPr>
          <w:rFonts w:asciiTheme="minorHAnsi" w:hAnsiTheme="minorHAnsi"/>
          <w:sz w:val="20"/>
          <w:szCs w:val="20"/>
          <w:lang w:val="bg-BG"/>
        </w:rPr>
      </w:pPr>
      <w:r w:rsidRPr="00D209B8">
        <w:rPr>
          <w:rFonts w:asciiTheme="minorHAnsi" w:hAnsiTheme="minorHAnsi"/>
          <w:sz w:val="20"/>
          <w:szCs w:val="20"/>
          <w:lang w:val="bg-BG"/>
        </w:rPr>
        <w:t>На 02.04.2020 г. е направена нова независима пазарна на оценка на служещия за обезпечение по емисията облигации недвижим имот с адрес гр. София, ул. Света гора №42. Оценката е направена от „</w:t>
      </w:r>
      <w:proofErr w:type="spellStart"/>
      <w:r w:rsidRPr="00D209B8">
        <w:rPr>
          <w:rFonts w:asciiTheme="minorHAnsi" w:hAnsiTheme="minorHAnsi"/>
          <w:sz w:val="20"/>
          <w:szCs w:val="20"/>
          <w:lang w:val="bg-BG"/>
        </w:rPr>
        <w:t>Импакт</w:t>
      </w:r>
      <w:proofErr w:type="spellEnd"/>
      <w:r w:rsidRPr="00D209B8">
        <w:rPr>
          <w:rFonts w:asciiTheme="minorHAnsi" w:hAnsiTheme="minorHAnsi"/>
          <w:sz w:val="20"/>
          <w:szCs w:val="20"/>
          <w:lang w:val="bg-BG"/>
        </w:rPr>
        <w:t xml:space="preserve"> оценители“ ООД, за да послужи на „ЕЛАНА трейдинг“ АД в качеството й на Довереник на облигационерите и възлиза 484 100 лв.</w:t>
      </w:r>
    </w:p>
    <w:p w14:paraId="33EF4116" w14:textId="5E636FA1" w:rsidR="006721AE" w:rsidRPr="00A77CDB" w:rsidRDefault="00A77CDB" w:rsidP="00A77CDB">
      <w:pPr>
        <w:pStyle w:val="ListParagraph"/>
        <w:numPr>
          <w:ilvl w:val="0"/>
          <w:numId w:val="29"/>
        </w:numPr>
        <w:spacing w:after="120"/>
        <w:ind w:right="566"/>
        <w:contextualSpacing w:val="0"/>
        <w:jc w:val="both"/>
        <w:rPr>
          <w:rFonts w:asciiTheme="minorHAnsi" w:hAnsiTheme="minorHAnsi"/>
          <w:sz w:val="20"/>
          <w:szCs w:val="20"/>
          <w:lang w:val="bg-BG"/>
        </w:rPr>
      </w:pPr>
      <w:r>
        <w:rPr>
          <w:rFonts w:asciiTheme="minorHAnsi" w:hAnsiTheme="minorHAnsi"/>
          <w:sz w:val="20"/>
          <w:szCs w:val="20"/>
          <w:lang w:val="bg-BG"/>
        </w:rPr>
        <w:t xml:space="preserve">За периода 01.04 – 30.06.2021 г. </w:t>
      </w:r>
      <w:r w:rsidR="006721AE" w:rsidRPr="00A77CDB">
        <w:rPr>
          <w:rFonts w:asciiTheme="minorHAnsi" w:hAnsiTheme="minorHAnsi"/>
          <w:sz w:val="20"/>
          <w:szCs w:val="20"/>
          <w:lang w:val="bg-BG"/>
        </w:rPr>
        <w:t>са направени Анекс</w:t>
      </w:r>
      <w:r>
        <w:rPr>
          <w:rFonts w:asciiTheme="minorHAnsi" w:hAnsiTheme="minorHAnsi"/>
          <w:sz w:val="20"/>
          <w:szCs w:val="20"/>
          <w:lang w:val="bg-BG"/>
        </w:rPr>
        <w:t>и</w:t>
      </w:r>
      <w:r w:rsidR="006721AE" w:rsidRPr="00A77CDB">
        <w:rPr>
          <w:rFonts w:asciiTheme="minorHAnsi" w:hAnsiTheme="minorHAnsi"/>
          <w:sz w:val="20"/>
          <w:szCs w:val="20"/>
          <w:lang w:val="bg-BG"/>
        </w:rPr>
        <w:t xml:space="preserve"> </w:t>
      </w:r>
      <w:r>
        <w:rPr>
          <w:rFonts w:asciiTheme="minorHAnsi" w:hAnsiTheme="minorHAnsi"/>
          <w:sz w:val="20"/>
          <w:szCs w:val="20"/>
          <w:lang w:val="bg-BG"/>
        </w:rPr>
        <w:t>17-21</w:t>
      </w:r>
      <w:r w:rsidR="006721AE" w:rsidRPr="00A77CDB">
        <w:rPr>
          <w:rFonts w:asciiTheme="minorHAnsi" w:hAnsiTheme="minorHAnsi"/>
          <w:sz w:val="20"/>
          <w:szCs w:val="20"/>
          <w:lang w:val="bg-BG"/>
        </w:rPr>
        <w:t xml:space="preserve"> към Договор за особен залог върху съвкупност от вземания от 25.11.2019 г. със страни „А</w:t>
      </w:r>
      <w:r>
        <w:rPr>
          <w:rFonts w:asciiTheme="minorHAnsi" w:hAnsiTheme="minorHAnsi"/>
          <w:sz w:val="20"/>
          <w:szCs w:val="20"/>
          <w:lang w:val="bg-BG"/>
        </w:rPr>
        <w:t>й</w:t>
      </w:r>
      <w:r w:rsidR="006721AE" w:rsidRPr="00A77CDB">
        <w:rPr>
          <w:rFonts w:asciiTheme="minorHAnsi" w:hAnsiTheme="minorHAnsi"/>
          <w:sz w:val="20"/>
          <w:szCs w:val="20"/>
          <w:lang w:val="bg-BG"/>
        </w:rPr>
        <w:t xml:space="preserve"> Ти Еф Груп" АД като залогодател и "ЕЛАНА Трейдинг" като заложения кредитор съгласно Договора за изпълнение на функцията „Довереника на облигационерите“, който договор е първоначално вписан в Централния регистър на особените </w:t>
      </w:r>
      <w:r w:rsidR="006721AE" w:rsidRPr="00A77CDB">
        <w:rPr>
          <w:rFonts w:asciiTheme="minorHAnsi" w:hAnsiTheme="minorHAnsi"/>
          <w:sz w:val="20"/>
          <w:szCs w:val="20"/>
          <w:lang w:val="bg-BG"/>
        </w:rPr>
        <w:lastRenderedPageBreak/>
        <w:t xml:space="preserve">залози (ЦРОЗ) на 28.11.2019 г. Анексите на Договора са направени с цел актуализация на прилежащо към Договора Приложение №1, представляващо списък на индивидуализираните вземания, представляващи заложеното имущество и са вписани в ЦРОЗ. </w:t>
      </w:r>
    </w:p>
    <w:p w14:paraId="7CA0B3EB" w14:textId="1743D82C" w:rsidR="006C41F0" w:rsidRPr="001931E6" w:rsidRDefault="006C41F0" w:rsidP="001931E6">
      <w:pPr>
        <w:pStyle w:val="ListParagraph"/>
        <w:numPr>
          <w:ilvl w:val="0"/>
          <w:numId w:val="29"/>
        </w:numPr>
        <w:spacing w:after="120"/>
        <w:ind w:right="566"/>
        <w:contextualSpacing w:val="0"/>
        <w:jc w:val="both"/>
        <w:rPr>
          <w:rFonts w:asciiTheme="minorHAnsi" w:hAnsiTheme="minorHAnsi"/>
          <w:sz w:val="20"/>
          <w:szCs w:val="20"/>
          <w:lang w:val="bg-BG"/>
        </w:rPr>
      </w:pPr>
      <w:r w:rsidRPr="001931E6">
        <w:rPr>
          <w:rFonts w:asciiTheme="minorHAnsi" w:hAnsiTheme="minorHAnsi"/>
          <w:sz w:val="20"/>
          <w:szCs w:val="20"/>
          <w:lang w:val="bg-BG"/>
        </w:rPr>
        <w:t xml:space="preserve">През отчетния период е направена проверка на </w:t>
      </w:r>
      <w:r w:rsidR="00C9257A" w:rsidRPr="00C9257A">
        <w:rPr>
          <w:rFonts w:asciiTheme="minorHAnsi" w:hAnsiTheme="minorHAnsi"/>
          <w:sz w:val="20"/>
          <w:szCs w:val="20"/>
          <w:highlight w:val="yellow"/>
          <w:lang w:val="bg-BG"/>
        </w:rPr>
        <w:t>2</w:t>
      </w:r>
      <w:r w:rsidRPr="001931E6">
        <w:rPr>
          <w:rFonts w:asciiTheme="minorHAnsi" w:hAnsiTheme="minorHAnsi"/>
          <w:sz w:val="20"/>
          <w:szCs w:val="20"/>
          <w:highlight w:val="yellow"/>
          <w:lang w:val="bg-BG"/>
        </w:rPr>
        <w:t>%</w:t>
      </w:r>
      <w:r w:rsidRPr="001931E6">
        <w:rPr>
          <w:rFonts w:asciiTheme="minorHAnsi" w:hAnsiTheme="minorHAnsi"/>
          <w:sz w:val="20"/>
          <w:szCs w:val="20"/>
          <w:lang w:val="bg-BG"/>
        </w:rPr>
        <w:t xml:space="preserve"> от заложените договори за кредит, избрани на случаен принцип. Не са установени пропуски или несъответствия между представената на Довереника информация и актуалната информация за кредитите, до която Довереникът има достъп в реално време.</w:t>
      </w:r>
    </w:p>
    <w:p w14:paraId="2D1376F2" w14:textId="77777777" w:rsidR="00286741" w:rsidRPr="001931E6" w:rsidRDefault="0041484B" w:rsidP="001931E6">
      <w:pPr>
        <w:pStyle w:val="ListParagraph"/>
        <w:numPr>
          <w:ilvl w:val="0"/>
          <w:numId w:val="29"/>
        </w:numPr>
        <w:spacing w:after="120"/>
        <w:ind w:right="566"/>
        <w:contextualSpacing w:val="0"/>
        <w:jc w:val="both"/>
        <w:rPr>
          <w:rFonts w:asciiTheme="minorHAnsi" w:hAnsiTheme="minorHAnsi"/>
          <w:sz w:val="20"/>
          <w:szCs w:val="20"/>
          <w:lang w:val="bg-BG"/>
        </w:rPr>
      </w:pPr>
      <w:r w:rsidRPr="001931E6">
        <w:rPr>
          <w:rFonts w:asciiTheme="minorHAnsi" w:hAnsiTheme="minorHAnsi"/>
          <w:sz w:val="20"/>
          <w:szCs w:val="20"/>
          <w:lang w:val="bg-BG"/>
        </w:rPr>
        <w:t xml:space="preserve">През изтеклия период от 01.04.2020 г. до 30.06.2020 г., както и към датата на настоящия доклад, </w:t>
      </w:r>
      <w:r w:rsidR="002C24B5" w:rsidRPr="001931E6">
        <w:rPr>
          <w:rFonts w:asciiTheme="minorHAnsi" w:hAnsiTheme="minorHAnsi"/>
          <w:sz w:val="20"/>
          <w:szCs w:val="20"/>
          <w:lang w:val="bg-BG"/>
        </w:rPr>
        <w:t>предоставеното от „Ай Ти Еф Груп“ АД обезпечение покрива напълно заложените изисквания в условията на облигационната емисия</w:t>
      </w:r>
      <w:r w:rsidRPr="001931E6">
        <w:rPr>
          <w:rFonts w:asciiTheme="minorHAnsi" w:hAnsiTheme="minorHAnsi"/>
          <w:sz w:val="20"/>
          <w:szCs w:val="20"/>
          <w:lang w:val="bg-BG"/>
        </w:rPr>
        <w:t>.</w:t>
      </w:r>
    </w:p>
    <w:p w14:paraId="0AD90E05" w14:textId="77777777" w:rsidR="005A1AA4" w:rsidRDefault="005A1AA4" w:rsidP="001931E6">
      <w:pPr>
        <w:pStyle w:val="bs2"/>
        <w:numPr>
          <w:ilvl w:val="0"/>
          <w:numId w:val="7"/>
        </w:numPr>
        <w:spacing w:before="240" w:after="240"/>
        <w:ind w:left="714" w:hanging="357"/>
        <w:rPr>
          <w:rFonts w:asciiTheme="minorHAnsi" w:hAnsiTheme="minorHAnsi"/>
          <w:sz w:val="22"/>
        </w:rPr>
      </w:pPr>
      <w:r w:rsidRPr="001931E6">
        <w:rPr>
          <w:rFonts w:asciiTheme="minorHAnsi" w:hAnsiTheme="minorHAnsi"/>
          <w:sz w:val="22"/>
        </w:rPr>
        <w:t>Финансово състояние на емитента</w:t>
      </w:r>
    </w:p>
    <w:p w14:paraId="0746AA9A" w14:textId="1DFE8FBF" w:rsidR="001931E6" w:rsidRPr="001931E6" w:rsidRDefault="001931E6" w:rsidP="001931E6">
      <w:pPr>
        <w:pStyle w:val="bs2"/>
        <w:numPr>
          <w:ilvl w:val="1"/>
          <w:numId w:val="7"/>
        </w:numPr>
        <w:spacing w:before="240" w:after="240"/>
        <w:ind w:firstLine="59"/>
        <w:rPr>
          <w:rFonts w:asciiTheme="minorHAnsi" w:hAnsiTheme="minorHAnsi"/>
        </w:rPr>
      </w:pPr>
      <w:r w:rsidRPr="001931E6">
        <w:rPr>
          <w:rFonts w:asciiTheme="minorHAnsi" w:hAnsiTheme="minorHAnsi"/>
        </w:rPr>
        <w:t>Отчет за доходите</w:t>
      </w:r>
    </w:p>
    <w:tbl>
      <w:tblPr>
        <w:tblW w:w="9013" w:type="dxa"/>
        <w:tblLayout w:type="fixed"/>
        <w:tblCellMar>
          <w:left w:w="70" w:type="dxa"/>
          <w:right w:w="70" w:type="dxa"/>
        </w:tblCellMar>
        <w:tblLook w:val="04A0" w:firstRow="1" w:lastRow="0" w:firstColumn="1" w:lastColumn="0" w:noHBand="0" w:noVBand="1"/>
      </w:tblPr>
      <w:tblGrid>
        <w:gridCol w:w="2268"/>
        <w:gridCol w:w="680"/>
        <w:gridCol w:w="680"/>
        <w:gridCol w:w="680"/>
        <w:gridCol w:w="907"/>
        <w:gridCol w:w="907"/>
        <w:gridCol w:w="907"/>
        <w:gridCol w:w="907"/>
        <w:gridCol w:w="1077"/>
      </w:tblGrid>
      <w:tr w:rsidR="001931E6" w:rsidRPr="001931E6" w14:paraId="457DAE40" w14:textId="77777777" w:rsidTr="000D36F4">
        <w:trPr>
          <w:trHeight w:val="720"/>
        </w:trPr>
        <w:tc>
          <w:tcPr>
            <w:tcW w:w="2268" w:type="dxa"/>
            <w:tcBorders>
              <w:top w:val="nil"/>
              <w:left w:val="nil"/>
              <w:bottom w:val="nil"/>
              <w:right w:val="nil"/>
            </w:tcBorders>
            <w:shd w:val="clear" w:color="000000" w:fill="B41E37"/>
            <w:noWrap/>
            <w:vAlign w:val="center"/>
            <w:hideMark/>
          </w:tcPr>
          <w:p w14:paraId="23AAFB8E" w14:textId="46620C23" w:rsidR="001931E6" w:rsidRDefault="001931E6" w:rsidP="001931E6">
            <w:pPr>
              <w:rPr>
                <w:rFonts w:ascii="Calibri" w:hAnsi="Calibri"/>
                <w:b/>
                <w:bCs/>
                <w:color w:val="FFFFFF"/>
                <w:sz w:val="18"/>
                <w:szCs w:val="18"/>
              </w:rPr>
            </w:pPr>
            <w:r>
              <w:rPr>
                <w:rFonts w:ascii="Calibri" w:hAnsi="Calibri"/>
                <w:b/>
                <w:bCs/>
                <w:color w:val="FFFFFF"/>
                <w:sz w:val="18"/>
                <w:szCs w:val="18"/>
              </w:rPr>
              <w:t>Отчет за доходите</w:t>
            </w:r>
          </w:p>
          <w:p w14:paraId="5366A8FF" w14:textId="5F3F8A56" w:rsidR="001931E6" w:rsidRDefault="001931E6" w:rsidP="001931E6">
            <w:pPr>
              <w:rPr>
                <w:rFonts w:ascii="Calibri" w:hAnsi="Calibri"/>
                <w:b/>
                <w:bCs/>
                <w:color w:val="FFFFFF"/>
                <w:sz w:val="18"/>
                <w:szCs w:val="18"/>
              </w:rPr>
            </w:pPr>
            <w:r>
              <w:rPr>
                <w:rFonts w:ascii="Calibri" w:hAnsi="Calibri"/>
                <w:b/>
                <w:bCs/>
                <w:color w:val="FFFFFF"/>
                <w:sz w:val="18"/>
                <w:szCs w:val="18"/>
              </w:rPr>
              <w:t xml:space="preserve"> (в хил. лв.)</w:t>
            </w:r>
          </w:p>
        </w:tc>
        <w:tc>
          <w:tcPr>
            <w:tcW w:w="680" w:type="dxa"/>
            <w:tcBorders>
              <w:top w:val="nil"/>
              <w:left w:val="nil"/>
              <w:bottom w:val="nil"/>
              <w:right w:val="nil"/>
            </w:tcBorders>
            <w:shd w:val="clear" w:color="000000" w:fill="B41E37"/>
            <w:noWrap/>
            <w:vAlign w:val="center"/>
            <w:hideMark/>
          </w:tcPr>
          <w:p w14:paraId="246E18C7" w14:textId="77777777" w:rsidR="001931E6" w:rsidRPr="001931E6" w:rsidRDefault="001931E6">
            <w:pPr>
              <w:jc w:val="right"/>
              <w:rPr>
                <w:rFonts w:ascii="Calibri" w:hAnsi="Calibri"/>
                <w:b/>
                <w:bCs/>
                <w:color w:val="FFFFFF"/>
                <w:sz w:val="16"/>
                <w:szCs w:val="18"/>
              </w:rPr>
            </w:pPr>
            <w:r w:rsidRPr="001931E6">
              <w:rPr>
                <w:rFonts w:ascii="Calibri" w:hAnsi="Calibri"/>
                <w:b/>
                <w:bCs/>
                <w:color w:val="FFFFFF"/>
                <w:sz w:val="16"/>
                <w:szCs w:val="18"/>
              </w:rPr>
              <w:t>2018</w:t>
            </w:r>
          </w:p>
        </w:tc>
        <w:tc>
          <w:tcPr>
            <w:tcW w:w="680" w:type="dxa"/>
            <w:tcBorders>
              <w:top w:val="nil"/>
              <w:left w:val="nil"/>
              <w:bottom w:val="nil"/>
              <w:right w:val="single" w:sz="4" w:space="0" w:color="C00000"/>
            </w:tcBorders>
            <w:shd w:val="clear" w:color="000000" w:fill="B41E37"/>
            <w:noWrap/>
            <w:vAlign w:val="center"/>
            <w:hideMark/>
          </w:tcPr>
          <w:p w14:paraId="2EB9517A" w14:textId="77777777" w:rsidR="001931E6" w:rsidRPr="001931E6" w:rsidRDefault="001931E6">
            <w:pPr>
              <w:jc w:val="right"/>
              <w:rPr>
                <w:rFonts w:ascii="Calibri" w:hAnsi="Calibri"/>
                <w:b/>
                <w:bCs/>
                <w:color w:val="FFFFFF"/>
                <w:sz w:val="16"/>
                <w:szCs w:val="18"/>
              </w:rPr>
            </w:pPr>
            <w:r w:rsidRPr="001931E6">
              <w:rPr>
                <w:rFonts w:ascii="Calibri" w:hAnsi="Calibri"/>
                <w:b/>
                <w:bCs/>
                <w:color w:val="FFFFFF"/>
                <w:sz w:val="16"/>
                <w:szCs w:val="18"/>
              </w:rPr>
              <w:t>2019</w:t>
            </w:r>
          </w:p>
        </w:tc>
        <w:tc>
          <w:tcPr>
            <w:tcW w:w="680" w:type="dxa"/>
            <w:tcBorders>
              <w:top w:val="nil"/>
              <w:left w:val="single" w:sz="4" w:space="0" w:color="C00000"/>
              <w:bottom w:val="nil"/>
              <w:right w:val="single" w:sz="4" w:space="0" w:color="FFFFFF" w:themeColor="background1"/>
            </w:tcBorders>
            <w:shd w:val="clear" w:color="000000" w:fill="B41E37"/>
            <w:vAlign w:val="center"/>
          </w:tcPr>
          <w:p w14:paraId="5500FEBD" w14:textId="4C9FAF0A" w:rsidR="001931E6" w:rsidRPr="001931E6" w:rsidRDefault="001931E6" w:rsidP="001931E6">
            <w:pPr>
              <w:jc w:val="center"/>
              <w:rPr>
                <w:rFonts w:ascii="Calibri" w:hAnsi="Calibri"/>
                <w:b/>
                <w:bCs/>
                <w:color w:val="FFFFFF"/>
                <w:sz w:val="16"/>
                <w:szCs w:val="18"/>
              </w:rPr>
            </w:pPr>
            <w:r w:rsidRPr="001931E6">
              <w:rPr>
                <w:rFonts w:ascii="Calibri" w:hAnsi="Calibri"/>
                <w:b/>
                <w:bCs/>
                <w:color w:val="FFFFFF"/>
                <w:sz w:val="16"/>
                <w:szCs w:val="18"/>
              </w:rPr>
              <w:t>2020</w:t>
            </w:r>
          </w:p>
        </w:tc>
        <w:tc>
          <w:tcPr>
            <w:tcW w:w="907" w:type="dxa"/>
            <w:tcBorders>
              <w:top w:val="nil"/>
              <w:left w:val="single" w:sz="4" w:space="0" w:color="FFFFFF" w:themeColor="background1"/>
              <w:bottom w:val="nil"/>
              <w:right w:val="nil"/>
            </w:tcBorders>
            <w:shd w:val="clear" w:color="000000" w:fill="B41E37"/>
            <w:noWrap/>
            <w:vAlign w:val="center"/>
            <w:hideMark/>
          </w:tcPr>
          <w:p w14:paraId="16777E3A" w14:textId="2DDF9DFC" w:rsidR="001931E6" w:rsidRPr="001931E6" w:rsidRDefault="001931E6" w:rsidP="001931E6">
            <w:pPr>
              <w:jc w:val="right"/>
              <w:rPr>
                <w:rFonts w:ascii="Calibri" w:hAnsi="Calibri"/>
                <w:b/>
                <w:bCs/>
                <w:color w:val="FFFFFF"/>
                <w:sz w:val="16"/>
                <w:szCs w:val="18"/>
              </w:rPr>
            </w:pPr>
            <w:r w:rsidRPr="001931E6">
              <w:rPr>
                <w:rFonts w:ascii="Calibri" w:hAnsi="Calibri"/>
                <w:b/>
                <w:bCs/>
                <w:color w:val="FFFFFF"/>
                <w:sz w:val="16"/>
                <w:szCs w:val="18"/>
              </w:rPr>
              <w:t>30.06.2020</w:t>
            </w:r>
          </w:p>
        </w:tc>
        <w:tc>
          <w:tcPr>
            <w:tcW w:w="907" w:type="dxa"/>
            <w:tcBorders>
              <w:top w:val="nil"/>
              <w:left w:val="nil"/>
              <w:bottom w:val="nil"/>
              <w:right w:val="nil"/>
            </w:tcBorders>
            <w:shd w:val="clear" w:color="000000" w:fill="B41E37"/>
            <w:noWrap/>
            <w:vAlign w:val="center"/>
            <w:hideMark/>
          </w:tcPr>
          <w:p w14:paraId="013246CC" w14:textId="3DC69B75" w:rsidR="001931E6" w:rsidRPr="001931E6" w:rsidRDefault="001931E6" w:rsidP="001931E6">
            <w:pPr>
              <w:jc w:val="right"/>
              <w:rPr>
                <w:rFonts w:ascii="Calibri" w:hAnsi="Calibri"/>
                <w:b/>
                <w:bCs/>
                <w:color w:val="FFFFFF"/>
                <w:sz w:val="16"/>
                <w:szCs w:val="18"/>
              </w:rPr>
            </w:pPr>
            <w:r w:rsidRPr="001931E6">
              <w:rPr>
                <w:rFonts w:ascii="Calibri" w:hAnsi="Calibri"/>
                <w:b/>
                <w:bCs/>
                <w:color w:val="FFFFFF"/>
                <w:sz w:val="16"/>
                <w:szCs w:val="18"/>
              </w:rPr>
              <w:t>30.06.2021</w:t>
            </w:r>
          </w:p>
        </w:tc>
        <w:tc>
          <w:tcPr>
            <w:tcW w:w="907" w:type="dxa"/>
            <w:tcBorders>
              <w:top w:val="nil"/>
              <w:left w:val="nil"/>
              <w:bottom w:val="nil"/>
              <w:right w:val="nil"/>
            </w:tcBorders>
            <w:shd w:val="clear" w:color="000000" w:fill="B41E37"/>
            <w:noWrap/>
            <w:vAlign w:val="center"/>
            <w:hideMark/>
          </w:tcPr>
          <w:p w14:paraId="00D2BDC8" w14:textId="77777777" w:rsidR="001931E6" w:rsidRPr="001931E6" w:rsidRDefault="001931E6">
            <w:pPr>
              <w:jc w:val="right"/>
              <w:rPr>
                <w:rFonts w:ascii="Calibri" w:hAnsi="Calibri"/>
                <w:b/>
                <w:bCs/>
                <w:color w:val="FFFFFF"/>
                <w:sz w:val="16"/>
                <w:szCs w:val="18"/>
              </w:rPr>
            </w:pPr>
            <w:r w:rsidRPr="001931E6">
              <w:rPr>
                <w:rFonts w:ascii="Calibri" w:hAnsi="Calibri"/>
                <w:b/>
                <w:bCs/>
                <w:color w:val="FFFFFF"/>
                <w:sz w:val="16"/>
                <w:szCs w:val="18"/>
              </w:rPr>
              <w:t>TTM</w:t>
            </w:r>
          </w:p>
        </w:tc>
        <w:tc>
          <w:tcPr>
            <w:tcW w:w="907" w:type="dxa"/>
            <w:tcBorders>
              <w:top w:val="nil"/>
              <w:left w:val="nil"/>
              <w:bottom w:val="nil"/>
              <w:right w:val="nil"/>
            </w:tcBorders>
            <w:shd w:val="clear" w:color="000000" w:fill="B41E37"/>
            <w:vAlign w:val="center"/>
            <w:hideMark/>
          </w:tcPr>
          <w:p w14:paraId="2FC74194" w14:textId="77777777" w:rsidR="001931E6" w:rsidRPr="001931E6" w:rsidRDefault="001931E6">
            <w:pPr>
              <w:jc w:val="right"/>
              <w:rPr>
                <w:rFonts w:ascii="Calibri" w:hAnsi="Calibri"/>
                <w:b/>
                <w:bCs/>
                <w:color w:val="FFFFFF"/>
                <w:sz w:val="16"/>
                <w:szCs w:val="18"/>
              </w:rPr>
            </w:pPr>
            <w:r w:rsidRPr="001931E6">
              <w:rPr>
                <w:rFonts w:ascii="Calibri" w:hAnsi="Calibri"/>
                <w:b/>
                <w:bCs/>
                <w:color w:val="FFFFFF"/>
                <w:sz w:val="16"/>
                <w:szCs w:val="18"/>
              </w:rPr>
              <w:t>Изм. 2018/2019 /в %/</w:t>
            </w:r>
          </w:p>
        </w:tc>
        <w:tc>
          <w:tcPr>
            <w:tcW w:w="1077" w:type="dxa"/>
            <w:tcBorders>
              <w:top w:val="nil"/>
              <w:left w:val="nil"/>
              <w:bottom w:val="nil"/>
              <w:right w:val="nil"/>
            </w:tcBorders>
            <w:shd w:val="clear" w:color="000000" w:fill="B41E37"/>
            <w:vAlign w:val="center"/>
            <w:hideMark/>
          </w:tcPr>
          <w:p w14:paraId="0A2B9848" w14:textId="49DD51DA" w:rsidR="001931E6" w:rsidRPr="001931E6" w:rsidRDefault="001931E6">
            <w:pPr>
              <w:jc w:val="right"/>
              <w:rPr>
                <w:rFonts w:ascii="Calibri" w:hAnsi="Calibri"/>
                <w:b/>
                <w:bCs/>
                <w:color w:val="FFFFFF"/>
                <w:sz w:val="16"/>
                <w:szCs w:val="18"/>
              </w:rPr>
            </w:pPr>
            <w:r w:rsidRPr="001931E6">
              <w:rPr>
                <w:rFonts w:ascii="Calibri" w:hAnsi="Calibri"/>
                <w:b/>
                <w:bCs/>
                <w:color w:val="FFFFFF"/>
                <w:sz w:val="16"/>
                <w:szCs w:val="18"/>
              </w:rPr>
              <w:t>Изм.  06.2020/</w:t>
            </w:r>
            <w:r>
              <w:rPr>
                <w:rFonts w:ascii="Calibri" w:hAnsi="Calibri"/>
                <w:b/>
                <w:bCs/>
                <w:color w:val="FFFFFF"/>
                <w:sz w:val="16"/>
                <w:szCs w:val="18"/>
              </w:rPr>
              <w:t xml:space="preserve"> </w:t>
            </w:r>
            <w:r w:rsidRPr="001931E6">
              <w:rPr>
                <w:rFonts w:ascii="Calibri" w:hAnsi="Calibri"/>
                <w:b/>
                <w:bCs/>
                <w:color w:val="FFFFFF"/>
                <w:sz w:val="16"/>
                <w:szCs w:val="18"/>
              </w:rPr>
              <w:t>06.2019 /в %/</w:t>
            </w:r>
          </w:p>
        </w:tc>
      </w:tr>
      <w:tr w:rsidR="000D36F4" w:rsidRPr="001931E6" w14:paraId="2C67FDC0" w14:textId="77777777" w:rsidTr="000D36F4">
        <w:trPr>
          <w:trHeight w:val="240"/>
        </w:trPr>
        <w:tc>
          <w:tcPr>
            <w:tcW w:w="2268" w:type="dxa"/>
            <w:tcBorders>
              <w:top w:val="nil"/>
              <w:left w:val="nil"/>
              <w:bottom w:val="nil"/>
              <w:right w:val="nil"/>
            </w:tcBorders>
            <w:shd w:val="clear" w:color="000000" w:fill="FFFFFF"/>
            <w:noWrap/>
            <w:vAlign w:val="bottom"/>
            <w:hideMark/>
          </w:tcPr>
          <w:p w14:paraId="0192B644" w14:textId="77777777" w:rsidR="000D36F4" w:rsidRPr="006F5DF2" w:rsidRDefault="000D36F4" w:rsidP="000D36F4">
            <w:pPr>
              <w:rPr>
                <w:rFonts w:ascii="Calibri" w:hAnsi="Calibri"/>
                <w:b/>
                <w:bCs/>
                <w:sz w:val="18"/>
                <w:szCs w:val="18"/>
              </w:rPr>
            </w:pPr>
            <w:r w:rsidRPr="006F5DF2">
              <w:rPr>
                <w:rFonts w:ascii="Calibri" w:hAnsi="Calibri"/>
                <w:b/>
                <w:bCs/>
                <w:sz w:val="18"/>
                <w:szCs w:val="18"/>
              </w:rPr>
              <w:t>Приходи от финансови активи</w:t>
            </w:r>
          </w:p>
        </w:tc>
        <w:tc>
          <w:tcPr>
            <w:tcW w:w="680" w:type="dxa"/>
            <w:tcBorders>
              <w:top w:val="nil"/>
              <w:left w:val="nil"/>
              <w:bottom w:val="nil"/>
              <w:right w:val="nil"/>
            </w:tcBorders>
            <w:shd w:val="clear" w:color="000000" w:fill="FFFFFF"/>
            <w:noWrap/>
            <w:vAlign w:val="center"/>
            <w:hideMark/>
          </w:tcPr>
          <w:p w14:paraId="746704CC" w14:textId="77AD3372" w:rsidR="000D36F4" w:rsidRPr="006F5DF2" w:rsidRDefault="000D36F4" w:rsidP="000D36F4">
            <w:pPr>
              <w:jc w:val="right"/>
              <w:rPr>
                <w:rFonts w:ascii="Calibri" w:hAnsi="Calibri"/>
                <w:b/>
                <w:bCs/>
                <w:sz w:val="18"/>
                <w:szCs w:val="18"/>
              </w:rPr>
            </w:pPr>
            <w:r>
              <w:rPr>
                <w:rFonts w:ascii="Calibri" w:hAnsi="Calibri"/>
                <w:b/>
                <w:bCs/>
                <w:color w:val="000000"/>
                <w:sz w:val="18"/>
                <w:szCs w:val="18"/>
              </w:rPr>
              <w:t>4 475</w:t>
            </w:r>
          </w:p>
        </w:tc>
        <w:tc>
          <w:tcPr>
            <w:tcW w:w="680" w:type="dxa"/>
            <w:tcBorders>
              <w:top w:val="nil"/>
              <w:left w:val="nil"/>
              <w:bottom w:val="nil"/>
              <w:right w:val="nil"/>
            </w:tcBorders>
            <w:shd w:val="clear" w:color="000000" w:fill="FFFFFF"/>
            <w:noWrap/>
            <w:vAlign w:val="center"/>
            <w:hideMark/>
          </w:tcPr>
          <w:p w14:paraId="2F300BDC" w14:textId="4F6F6429" w:rsidR="000D36F4" w:rsidRPr="006F5DF2" w:rsidRDefault="000D36F4" w:rsidP="000D36F4">
            <w:pPr>
              <w:jc w:val="right"/>
              <w:rPr>
                <w:rFonts w:ascii="Calibri" w:hAnsi="Calibri"/>
                <w:b/>
                <w:bCs/>
                <w:sz w:val="18"/>
                <w:szCs w:val="18"/>
              </w:rPr>
            </w:pPr>
            <w:r>
              <w:rPr>
                <w:rFonts w:ascii="Calibri" w:hAnsi="Calibri"/>
                <w:b/>
                <w:bCs/>
                <w:color w:val="000000"/>
                <w:sz w:val="18"/>
                <w:szCs w:val="18"/>
              </w:rPr>
              <w:t>4 965</w:t>
            </w:r>
          </w:p>
        </w:tc>
        <w:tc>
          <w:tcPr>
            <w:tcW w:w="680" w:type="dxa"/>
            <w:tcBorders>
              <w:top w:val="nil"/>
              <w:left w:val="nil"/>
              <w:bottom w:val="nil"/>
              <w:right w:val="nil"/>
            </w:tcBorders>
            <w:shd w:val="clear" w:color="000000" w:fill="FFFFFF"/>
            <w:vAlign w:val="center"/>
          </w:tcPr>
          <w:p w14:paraId="13A4EAC0" w14:textId="7F6260E4" w:rsidR="000D36F4" w:rsidRPr="006F5DF2" w:rsidRDefault="000D36F4" w:rsidP="000D36F4">
            <w:pPr>
              <w:jc w:val="right"/>
              <w:rPr>
                <w:rFonts w:ascii="Calibri" w:hAnsi="Calibri"/>
                <w:b/>
                <w:bCs/>
                <w:sz w:val="18"/>
                <w:szCs w:val="18"/>
              </w:rPr>
            </w:pPr>
            <w:r>
              <w:rPr>
                <w:rFonts w:ascii="Calibri" w:hAnsi="Calibri"/>
                <w:b/>
                <w:bCs/>
                <w:color w:val="000000"/>
                <w:sz w:val="18"/>
                <w:szCs w:val="18"/>
              </w:rPr>
              <w:t>6 412</w:t>
            </w:r>
          </w:p>
        </w:tc>
        <w:tc>
          <w:tcPr>
            <w:tcW w:w="907" w:type="dxa"/>
            <w:tcBorders>
              <w:top w:val="nil"/>
              <w:left w:val="nil"/>
              <w:bottom w:val="nil"/>
              <w:right w:val="nil"/>
            </w:tcBorders>
            <w:shd w:val="clear" w:color="000000" w:fill="FFFFFF"/>
            <w:noWrap/>
            <w:vAlign w:val="center"/>
            <w:hideMark/>
          </w:tcPr>
          <w:p w14:paraId="6143BEC7" w14:textId="415C7BE5" w:rsidR="000D36F4" w:rsidRPr="006F5DF2" w:rsidRDefault="000D36F4" w:rsidP="000D36F4">
            <w:pPr>
              <w:jc w:val="right"/>
              <w:rPr>
                <w:rFonts w:ascii="Calibri" w:hAnsi="Calibri"/>
                <w:b/>
                <w:bCs/>
                <w:sz w:val="18"/>
                <w:szCs w:val="18"/>
              </w:rPr>
            </w:pPr>
            <w:r>
              <w:rPr>
                <w:rFonts w:ascii="Calibri" w:hAnsi="Calibri"/>
                <w:b/>
                <w:bCs/>
                <w:color w:val="000000"/>
                <w:sz w:val="18"/>
                <w:szCs w:val="18"/>
              </w:rPr>
              <w:t>3 175</w:t>
            </w:r>
          </w:p>
        </w:tc>
        <w:tc>
          <w:tcPr>
            <w:tcW w:w="907" w:type="dxa"/>
            <w:tcBorders>
              <w:top w:val="nil"/>
              <w:left w:val="nil"/>
              <w:bottom w:val="nil"/>
              <w:right w:val="nil"/>
            </w:tcBorders>
            <w:shd w:val="clear" w:color="000000" w:fill="FFFFFF"/>
            <w:noWrap/>
            <w:vAlign w:val="center"/>
            <w:hideMark/>
          </w:tcPr>
          <w:p w14:paraId="7EFAB98C" w14:textId="576BC8AF" w:rsidR="000D36F4" w:rsidRPr="006F5DF2" w:rsidRDefault="000D36F4" w:rsidP="000D36F4">
            <w:pPr>
              <w:jc w:val="right"/>
              <w:rPr>
                <w:rFonts w:ascii="Calibri" w:hAnsi="Calibri"/>
                <w:b/>
                <w:bCs/>
                <w:sz w:val="18"/>
                <w:szCs w:val="18"/>
              </w:rPr>
            </w:pPr>
            <w:r>
              <w:rPr>
                <w:rFonts w:ascii="Calibri" w:hAnsi="Calibri"/>
                <w:b/>
                <w:bCs/>
                <w:color w:val="000000"/>
                <w:sz w:val="18"/>
                <w:szCs w:val="18"/>
              </w:rPr>
              <w:t>2 895</w:t>
            </w:r>
          </w:p>
        </w:tc>
        <w:tc>
          <w:tcPr>
            <w:tcW w:w="907" w:type="dxa"/>
            <w:tcBorders>
              <w:top w:val="nil"/>
              <w:left w:val="nil"/>
              <w:bottom w:val="nil"/>
              <w:right w:val="nil"/>
            </w:tcBorders>
            <w:shd w:val="clear" w:color="000000" w:fill="FFFFFF"/>
            <w:noWrap/>
            <w:vAlign w:val="center"/>
            <w:hideMark/>
          </w:tcPr>
          <w:p w14:paraId="73AD2738" w14:textId="3390E15F" w:rsidR="000D36F4" w:rsidRPr="006F5DF2" w:rsidRDefault="000D36F4" w:rsidP="000D36F4">
            <w:pPr>
              <w:jc w:val="right"/>
              <w:rPr>
                <w:rFonts w:ascii="Calibri" w:hAnsi="Calibri"/>
                <w:b/>
                <w:bCs/>
                <w:sz w:val="18"/>
                <w:szCs w:val="18"/>
              </w:rPr>
            </w:pPr>
            <w:r>
              <w:rPr>
                <w:rFonts w:ascii="Calibri" w:hAnsi="Calibri"/>
                <w:b/>
                <w:bCs/>
                <w:color w:val="000000"/>
                <w:sz w:val="18"/>
                <w:szCs w:val="18"/>
              </w:rPr>
              <w:t>6 132</w:t>
            </w:r>
          </w:p>
        </w:tc>
        <w:tc>
          <w:tcPr>
            <w:tcW w:w="907" w:type="dxa"/>
            <w:tcBorders>
              <w:top w:val="nil"/>
              <w:left w:val="nil"/>
              <w:bottom w:val="nil"/>
              <w:right w:val="nil"/>
            </w:tcBorders>
            <w:shd w:val="clear" w:color="000000" w:fill="FFFFFF"/>
            <w:noWrap/>
            <w:vAlign w:val="center"/>
            <w:hideMark/>
          </w:tcPr>
          <w:p w14:paraId="54C676D2" w14:textId="481C1782" w:rsidR="000D36F4" w:rsidRPr="006F5DF2" w:rsidRDefault="000D36F4" w:rsidP="000D36F4">
            <w:pPr>
              <w:jc w:val="right"/>
              <w:rPr>
                <w:rFonts w:ascii="Calibri" w:hAnsi="Calibri"/>
                <w:b/>
                <w:bCs/>
                <w:sz w:val="18"/>
                <w:szCs w:val="18"/>
              </w:rPr>
            </w:pPr>
            <w:r>
              <w:rPr>
                <w:rFonts w:ascii="Calibri" w:hAnsi="Calibri"/>
                <w:color w:val="00B050"/>
                <w:sz w:val="18"/>
                <w:szCs w:val="18"/>
              </w:rPr>
              <w:t>-4%</w:t>
            </w:r>
          </w:p>
        </w:tc>
        <w:tc>
          <w:tcPr>
            <w:tcW w:w="1077" w:type="dxa"/>
            <w:tcBorders>
              <w:top w:val="nil"/>
              <w:left w:val="nil"/>
              <w:bottom w:val="nil"/>
              <w:right w:val="nil"/>
            </w:tcBorders>
            <w:shd w:val="clear" w:color="000000" w:fill="FFFFFF"/>
            <w:noWrap/>
            <w:vAlign w:val="center"/>
            <w:hideMark/>
          </w:tcPr>
          <w:p w14:paraId="5CC92A48" w14:textId="4874F6D4" w:rsidR="000D36F4" w:rsidRPr="006F5DF2" w:rsidRDefault="000D36F4" w:rsidP="000D36F4">
            <w:pPr>
              <w:jc w:val="right"/>
              <w:rPr>
                <w:rFonts w:ascii="Calibri" w:hAnsi="Calibri"/>
                <w:b/>
                <w:bCs/>
                <w:sz w:val="18"/>
                <w:szCs w:val="18"/>
              </w:rPr>
            </w:pPr>
            <w:r>
              <w:rPr>
                <w:rFonts w:ascii="Calibri" w:hAnsi="Calibri"/>
                <w:color w:val="00B050"/>
                <w:sz w:val="18"/>
                <w:szCs w:val="18"/>
              </w:rPr>
              <w:t>-9%</w:t>
            </w:r>
          </w:p>
        </w:tc>
      </w:tr>
      <w:tr w:rsidR="000D36F4" w:rsidRPr="001931E6" w14:paraId="795710AC" w14:textId="77777777" w:rsidTr="000D36F4">
        <w:trPr>
          <w:trHeight w:val="240"/>
        </w:trPr>
        <w:tc>
          <w:tcPr>
            <w:tcW w:w="2268" w:type="dxa"/>
            <w:tcBorders>
              <w:top w:val="nil"/>
              <w:left w:val="nil"/>
              <w:bottom w:val="nil"/>
              <w:right w:val="nil"/>
            </w:tcBorders>
            <w:shd w:val="clear" w:color="000000" w:fill="FFFFFF"/>
            <w:noWrap/>
            <w:vAlign w:val="bottom"/>
            <w:hideMark/>
          </w:tcPr>
          <w:p w14:paraId="2C7E7050" w14:textId="77777777" w:rsidR="000D36F4" w:rsidRPr="006F5DF2" w:rsidRDefault="000D36F4" w:rsidP="000D36F4">
            <w:pPr>
              <w:rPr>
                <w:rFonts w:ascii="Calibri" w:hAnsi="Calibri"/>
                <w:b/>
                <w:bCs/>
                <w:sz w:val="18"/>
                <w:szCs w:val="18"/>
              </w:rPr>
            </w:pPr>
            <w:r w:rsidRPr="006F5DF2">
              <w:rPr>
                <w:rFonts w:ascii="Calibri" w:hAnsi="Calibri"/>
                <w:b/>
                <w:bCs/>
                <w:sz w:val="18"/>
                <w:szCs w:val="18"/>
              </w:rPr>
              <w:t>Приходи от договори с клиенти</w:t>
            </w:r>
          </w:p>
        </w:tc>
        <w:tc>
          <w:tcPr>
            <w:tcW w:w="680" w:type="dxa"/>
            <w:tcBorders>
              <w:top w:val="nil"/>
              <w:left w:val="nil"/>
              <w:bottom w:val="nil"/>
              <w:right w:val="nil"/>
            </w:tcBorders>
            <w:shd w:val="clear" w:color="000000" w:fill="FFFFFF"/>
            <w:noWrap/>
            <w:vAlign w:val="center"/>
            <w:hideMark/>
          </w:tcPr>
          <w:p w14:paraId="09A7846F" w14:textId="6086B806" w:rsidR="000D36F4" w:rsidRPr="006F5DF2" w:rsidRDefault="000D36F4" w:rsidP="000D36F4">
            <w:pPr>
              <w:jc w:val="right"/>
              <w:rPr>
                <w:rFonts w:ascii="Calibri" w:hAnsi="Calibri"/>
                <w:b/>
                <w:bCs/>
                <w:sz w:val="18"/>
                <w:szCs w:val="18"/>
              </w:rPr>
            </w:pPr>
            <w:r>
              <w:rPr>
                <w:rFonts w:ascii="Calibri" w:hAnsi="Calibri"/>
                <w:color w:val="000000"/>
                <w:sz w:val="18"/>
                <w:szCs w:val="18"/>
              </w:rPr>
              <w:t>0</w:t>
            </w:r>
          </w:p>
        </w:tc>
        <w:tc>
          <w:tcPr>
            <w:tcW w:w="680" w:type="dxa"/>
            <w:tcBorders>
              <w:top w:val="nil"/>
              <w:left w:val="nil"/>
              <w:bottom w:val="nil"/>
              <w:right w:val="nil"/>
            </w:tcBorders>
            <w:shd w:val="clear" w:color="000000" w:fill="FFFFFF"/>
            <w:noWrap/>
            <w:vAlign w:val="center"/>
            <w:hideMark/>
          </w:tcPr>
          <w:p w14:paraId="7A9041DB" w14:textId="02D9F618" w:rsidR="000D36F4" w:rsidRPr="006F5DF2" w:rsidRDefault="000D36F4" w:rsidP="000D36F4">
            <w:pPr>
              <w:jc w:val="right"/>
              <w:rPr>
                <w:rFonts w:ascii="Calibri" w:hAnsi="Calibri"/>
                <w:b/>
                <w:bCs/>
                <w:sz w:val="18"/>
                <w:szCs w:val="18"/>
              </w:rPr>
            </w:pPr>
            <w:r>
              <w:rPr>
                <w:rFonts w:ascii="Calibri" w:hAnsi="Calibri"/>
                <w:color w:val="000000"/>
                <w:sz w:val="18"/>
                <w:szCs w:val="18"/>
              </w:rPr>
              <w:t>171</w:t>
            </w:r>
          </w:p>
        </w:tc>
        <w:tc>
          <w:tcPr>
            <w:tcW w:w="680" w:type="dxa"/>
            <w:tcBorders>
              <w:top w:val="nil"/>
              <w:left w:val="nil"/>
              <w:bottom w:val="nil"/>
              <w:right w:val="nil"/>
            </w:tcBorders>
            <w:shd w:val="clear" w:color="000000" w:fill="FFFFFF"/>
            <w:vAlign w:val="center"/>
          </w:tcPr>
          <w:p w14:paraId="63B0995F" w14:textId="7EC2A565" w:rsidR="000D36F4" w:rsidRPr="006F5DF2" w:rsidRDefault="000D36F4" w:rsidP="000D36F4">
            <w:pPr>
              <w:jc w:val="right"/>
              <w:rPr>
                <w:rFonts w:ascii="Calibri" w:hAnsi="Calibri"/>
                <w:b/>
                <w:bCs/>
                <w:sz w:val="18"/>
                <w:szCs w:val="18"/>
              </w:rPr>
            </w:pPr>
            <w:r>
              <w:rPr>
                <w:rFonts w:ascii="Calibri" w:hAnsi="Calibri"/>
                <w:color w:val="000000"/>
                <w:sz w:val="18"/>
                <w:szCs w:val="18"/>
              </w:rPr>
              <w:t>2</w:t>
            </w:r>
          </w:p>
        </w:tc>
        <w:tc>
          <w:tcPr>
            <w:tcW w:w="907" w:type="dxa"/>
            <w:tcBorders>
              <w:top w:val="nil"/>
              <w:left w:val="nil"/>
              <w:bottom w:val="nil"/>
              <w:right w:val="nil"/>
            </w:tcBorders>
            <w:shd w:val="clear" w:color="000000" w:fill="FFFFFF"/>
            <w:noWrap/>
            <w:vAlign w:val="center"/>
            <w:hideMark/>
          </w:tcPr>
          <w:p w14:paraId="0B3B5CDB" w14:textId="7806B634" w:rsidR="000D36F4" w:rsidRPr="006F5DF2" w:rsidRDefault="000D36F4" w:rsidP="000D36F4">
            <w:pPr>
              <w:jc w:val="right"/>
              <w:rPr>
                <w:rFonts w:ascii="Calibri" w:hAnsi="Calibri"/>
                <w:b/>
                <w:bCs/>
                <w:sz w:val="18"/>
                <w:szCs w:val="18"/>
              </w:rPr>
            </w:pPr>
            <w:r>
              <w:rPr>
                <w:rFonts w:ascii="Calibri" w:hAnsi="Calibri"/>
                <w:color w:val="000000"/>
                <w:sz w:val="18"/>
                <w:szCs w:val="18"/>
              </w:rPr>
              <w:t>2</w:t>
            </w:r>
          </w:p>
        </w:tc>
        <w:tc>
          <w:tcPr>
            <w:tcW w:w="907" w:type="dxa"/>
            <w:tcBorders>
              <w:top w:val="nil"/>
              <w:left w:val="nil"/>
              <w:bottom w:val="nil"/>
              <w:right w:val="nil"/>
            </w:tcBorders>
            <w:shd w:val="clear" w:color="000000" w:fill="FFFFFF"/>
            <w:noWrap/>
            <w:vAlign w:val="center"/>
            <w:hideMark/>
          </w:tcPr>
          <w:p w14:paraId="7F65FF6B" w14:textId="037CEE3B" w:rsidR="000D36F4" w:rsidRPr="006F5DF2" w:rsidRDefault="000D36F4" w:rsidP="000D36F4">
            <w:pPr>
              <w:jc w:val="right"/>
              <w:rPr>
                <w:rFonts w:ascii="Calibri" w:hAnsi="Calibri"/>
                <w:b/>
                <w:bCs/>
                <w:sz w:val="18"/>
                <w:szCs w:val="18"/>
              </w:rPr>
            </w:pPr>
            <w:r>
              <w:rPr>
                <w:rFonts w:ascii="Calibri" w:hAnsi="Calibri"/>
                <w:color w:val="000000"/>
                <w:sz w:val="18"/>
                <w:szCs w:val="18"/>
              </w:rPr>
              <w:t>0</w:t>
            </w:r>
          </w:p>
        </w:tc>
        <w:tc>
          <w:tcPr>
            <w:tcW w:w="907" w:type="dxa"/>
            <w:tcBorders>
              <w:top w:val="nil"/>
              <w:left w:val="nil"/>
              <w:bottom w:val="nil"/>
              <w:right w:val="nil"/>
            </w:tcBorders>
            <w:shd w:val="clear" w:color="000000" w:fill="FFFFFF"/>
            <w:noWrap/>
            <w:vAlign w:val="center"/>
            <w:hideMark/>
          </w:tcPr>
          <w:p w14:paraId="07049F1D" w14:textId="2F6B5AE5" w:rsidR="000D36F4" w:rsidRPr="006F5DF2" w:rsidRDefault="000D36F4" w:rsidP="000D36F4">
            <w:pPr>
              <w:jc w:val="right"/>
              <w:rPr>
                <w:rFonts w:ascii="Calibri" w:hAnsi="Calibri"/>
                <w:b/>
                <w:bCs/>
                <w:sz w:val="18"/>
                <w:szCs w:val="18"/>
              </w:rPr>
            </w:pPr>
            <w:r>
              <w:rPr>
                <w:rFonts w:ascii="Calibri" w:hAnsi="Calibri"/>
                <w:color w:val="000000"/>
                <w:sz w:val="18"/>
                <w:szCs w:val="18"/>
              </w:rPr>
              <w:t>0</w:t>
            </w:r>
          </w:p>
        </w:tc>
        <w:tc>
          <w:tcPr>
            <w:tcW w:w="907" w:type="dxa"/>
            <w:tcBorders>
              <w:top w:val="nil"/>
              <w:left w:val="nil"/>
              <w:bottom w:val="nil"/>
              <w:right w:val="nil"/>
            </w:tcBorders>
            <w:shd w:val="clear" w:color="000000" w:fill="FFFFFF"/>
            <w:noWrap/>
            <w:vAlign w:val="center"/>
            <w:hideMark/>
          </w:tcPr>
          <w:p w14:paraId="5758DD19" w14:textId="1D349A41" w:rsidR="000D36F4" w:rsidRPr="006F5DF2" w:rsidRDefault="000D36F4" w:rsidP="000D36F4">
            <w:pPr>
              <w:jc w:val="right"/>
              <w:rPr>
                <w:rFonts w:ascii="Calibri" w:hAnsi="Calibri"/>
                <w:b/>
                <w:bCs/>
                <w:sz w:val="18"/>
                <w:szCs w:val="18"/>
              </w:rPr>
            </w:pPr>
            <w:r>
              <w:rPr>
                <w:rFonts w:ascii="Calibri" w:hAnsi="Calibri"/>
                <w:color w:val="00B050"/>
                <w:sz w:val="18"/>
                <w:szCs w:val="18"/>
              </w:rPr>
              <w:t> </w:t>
            </w:r>
          </w:p>
        </w:tc>
        <w:tc>
          <w:tcPr>
            <w:tcW w:w="1077" w:type="dxa"/>
            <w:tcBorders>
              <w:top w:val="nil"/>
              <w:left w:val="nil"/>
              <w:bottom w:val="nil"/>
              <w:right w:val="nil"/>
            </w:tcBorders>
            <w:shd w:val="clear" w:color="000000" w:fill="FFFFFF"/>
            <w:noWrap/>
            <w:vAlign w:val="center"/>
            <w:hideMark/>
          </w:tcPr>
          <w:p w14:paraId="0726DF74" w14:textId="73F318E2" w:rsidR="000D36F4" w:rsidRPr="006F5DF2" w:rsidRDefault="000D36F4" w:rsidP="000D36F4">
            <w:pPr>
              <w:jc w:val="right"/>
              <w:rPr>
                <w:rFonts w:ascii="Calibri" w:hAnsi="Calibri"/>
                <w:b/>
                <w:bCs/>
                <w:sz w:val="18"/>
                <w:szCs w:val="18"/>
              </w:rPr>
            </w:pPr>
            <w:r>
              <w:rPr>
                <w:rFonts w:ascii="Calibri" w:hAnsi="Calibri"/>
                <w:color w:val="00B050"/>
                <w:sz w:val="18"/>
                <w:szCs w:val="18"/>
              </w:rPr>
              <w:t> </w:t>
            </w:r>
          </w:p>
        </w:tc>
      </w:tr>
      <w:tr w:rsidR="000D36F4" w:rsidRPr="001931E6" w14:paraId="7E8A7F6D" w14:textId="77777777" w:rsidTr="000D36F4">
        <w:trPr>
          <w:trHeight w:val="240"/>
        </w:trPr>
        <w:tc>
          <w:tcPr>
            <w:tcW w:w="2268" w:type="dxa"/>
            <w:tcBorders>
              <w:top w:val="nil"/>
              <w:left w:val="nil"/>
              <w:bottom w:val="nil"/>
              <w:right w:val="nil"/>
            </w:tcBorders>
            <w:shd w:val="clear" w:color="000000" w:fill="FFFFFF"/>
            <w:noWrap/>
            <w:vAlign w:val="bottom"/>
            <w:hideMark/>
          </w:tcPr>
          <w:p w14:paraId="1C2784C8" w14:textId="77777777" w:rsidR="000D36F4" w:rsidRPr="006F5DF2" w:rsidRDefault="000D36F4" w:rsidP="000D36F4">
            <w:pPr>
              <w:rPr>
                <w:rFonts w:ascii="Calibri" w:hAnsi="Calibri"/>
                <w:b/>
                <w:bCs/>
                <w:sz w:val="18"/>
                <w:szCs w:val="18"/>
              </w:rPr>
            </w:pPr>
            <w:r w:rsidRPr="006F5DF2">
              <w:rPr>
                <w:rFonts w:ascii="Calibri" w:hAnsi="Calibri"/>
                <w:b/>
                <w:bCs/>
                <w:sz w:val="18"/>
                <w:szCs w:val="18"/>
              </w:rPr>
              <w:t>Разходи за материали и външни услуги</w:t>
            </w:r>
          </w:p>
        </w:tc>
        <w:tc>
          <w:tcPr>
            <w:tcW w:w="680" w:type="dxa"/>
            <w:tcBorders>
              <w:top w:val="nil"/>
              <w:left w:val="nil"/>
              <w:bottom w:val="nil"/>
              <w:right w:val="nil"/>
            </w:tcBorders>
            <w:shd w:val="clear" w:color="000000" w:fill="FFFFFF"/>
            <w:noWrap/>
            <w:vAlign w:val="center"/>
            <w:hideMark/>
          </w:tcPr>
          <w:p w14:paraId="331DAE85" w14:textId="5886D8A7" w:rsidR="000D36F4" w:rsidRPr="006F5DF2" w:rsidRDefault="000D36F4" w:rsidP="000D36F4">
            <w:pPr>
              <w:jc w:val="right"/>
              <w:rPr>
                <w:rFonts w:ascii="Calibri" w:hAnsi="Calibri"/>
                <w:b/>
                <w:bCs/>
                <w:sz w:val="18"/>
                <w:szCs w:val="18"/>
              </w:rPr>
            </w:pPr>
            <w:r>
              <w:rPr>
                <w:rFonts w:ascii="Calibri" w:hAnsi="Calibri"/>
                <w:color w:val="000000"/>
                <w:sz w:val="18"/>
                <w:szCs w:val="18"/>
              </w:rPr>
              <w:t>-972</w:t>
            </w:r>
          </w:p>
        </w:tc>
        <w:tc>
          <w:tcPr>
            <w:tcW w:w="680" w:type="dxa"/>
            <w:tcBorders>
              <w:top w:val="nil"/>
              <w:left w:val="nil"/>
              <w:bottom w:val="nil"/>
              <w:right w:val="nil"/>
            </w:tcBorders>
            <w:shd w:val="clear" w:color="000000" w:fill="FFFFFF"/>
            <w:noWrap/>
            <w:vAlign w:val="center"/>
            <w:hideMark/>
          </w:tcPr>
          <w:p w14:paraId="14BCF132" w14:textId="51CFFE7D" w:rsidR="000D36F4" w:rsidRPr="006F5DF2" w:rsidRDefault="000D36F4" w:rsidP="000D36F4">
            <w:pPr>
              <w:jc w:val="right"/>
              <w:rPr>
                <w:rFonts w:ascii="Calibri" w:hAnsi="Calibri"/>
                <w:b/>
                <w:bCs/>
                <w:sz w:val="18"/>
                <w:szCs w:val="18"/>
              </w:rPr>
            </w:pPr>
            <w:r>
              <w:rPr>
                <w:rFonts w:ascii="Calibri" w:hAnsi="Calibri"/>
                <w:color w:val="000000"/>
                <w:sz w:val="18"/>
                <w:szCs w:val="18"/>
              </w:rPr>
              <w:t>-588</w:t>
            </w:r>
          </w:p>
        </w:tc>
        <w:tc>
          <w:tcPr>
            <w:tcW w:w="680" w:type="dxa"/>
            <w:tcBorders>
              <w:top w:val="nil"/>
              <w:left w:val="nil"/>
              <w:bottom w:val="nil"/>
              <w:right w:val="nil"/>
            </w:tcBorders>
            <w:shd w:val="clear" w:color="000000" w:fill="FFFFFF"/>
            <w:vAlign w:val="center"/>
          </w:tcPr>
          <w:p w14:paraId="48B277C5" w14:textId="3362DE79" w:rsidR="000D36F4" w:rsidRPr="006F5DF2" w:rsidRDefault="000D36F4" w:rsidP="000D36F4">
            <w:pPr>
              <w:jc w:val="right"/>
              <w:rPr>
                <w:rFonts w:ascii="Calibri" w:hAnsi="Calibri"/>
                <w:b/>
                <w:bCs/>
                <w:sz w:val="18"/>
                <w:szCs w:val="18"/>
              </w:rPr>
            </w:pPr>
            <w:r>
              <w:rPr>
                <w:rFonts w:ascii="Calibri" w:hAnsi="Calibri"/>
                <w:color w:val="000000"/>
                <w:sz w:val="18"/>
                <w:szCs w:val="18"/>
              </w:rPr>
              <w:t>-648</w:t>
            </w:r>
          </w:p>
        </w:tc>
        <w:tc>
          <w:tcPr>
            <w:tcW w:w="907" w:type="dxa"/>
            <w:tcBorders>
              <w:top w:val="nil"/>
              <w:left w:val="nil"/>
              <w:bottom w:val="nil"/>
              <w:right w:val="nil"/>
            </w:tcBorders>
            <w:shd w:val="clear" w:color="000000" w:fill="FFFFFF"/>
            <w:noWrap/>
            <w:vAlign w:val="center"/>
            <w:hideMark/>
          </w:tcPr>
          <w:p w14:paraId="2F7DCC94" w14:textId="04E4BB6D" w:rsidR="000D36F4" w:rsidRPr="006F5DF2" w:rsidRDefault="000D36F4" w:rsidP="000D36F4">
            <w:pPr>
              <w:jc w:val="right"/>
              <w:rPr>
                <w:rFonts w:ascii="Calibri" w:hAnsi="Calibri"/>
                <w:b/>
                <w:bCs/>
                <w:sz w:val="18"/>
                <w:szCs w:val="18"/>
              </w:rPr>
            </w:pPr>
            <w:r>
              <w:rPr>
                <w:rFonts w:ascii="Calibri" w:hAnsi="Calibri"/>
                <w:color w:val="000000"/>
                <w:sz w:val="18"/>
                <w:szCs w:val="18"/>
              </w:rPr>
              <w:t>-303</w:t>
            </w:r>
          </w:p>
        </w:tc>
        <w:tc>
          <w:tcPr>
            <w:tcW w:w="907" w:type="dxa"/>
            <w:tcBorders>
              <w:top w:val="nil"/>
              <w:left w:val="nil"/>
              <w:bottom w:val="nil"/>
              <w:right w:val="nil"/>
            </w:tcBorders>
            <w:shd w:val="clear" w:color="000000" w:fill="FFFFFF"/>
            <w:noWrap/>
            <w:vAlign w:val="center"/>
            <w:hideMark/>
          </w:tcPr>
          <w:p w14:paraId="081E1333" w14:textId="7F443AD0" w:rsidR="000D36F4" w:rsidRPr="006F5DF2" w:rsidRDefault="000D36F4" w:rsidP="000D36F4">
            <w:pPr>
              <w:jc w:val="right"/>
              <w:rPr>
                <w:rFonts w:ascii="Calibri" w:hAnsi="Calibri"/>
                <w:b/>
                <w:bCs/>
                <w:sz w:val="18"/>
                <w:szCs w:val="18"/>
              </w:rPr>
            </w:pPr>
            <w:r>
              <w:rPr>
                <w:rFonts w:ascii="Calibri" w:hAnsi="Calibri"/>
                <w:color w:val="000000"/>
                <w:sz w:val="18"/>
                <w:szCs w:val="18"/>
              </w:rPr>
              <w:t>-325</w:t>
            </w:r>
          </w:p>
        </w:tc>
        <w:tc>
          <w:tcPr>
            <w:tcW w:w="907" w:type="dxa"/>
            <w:tcBorders>
              <w:top w:val="nil"/>
              <w:left w:val="nil"/>
              <w:bottom w:val="nil"/>
              <w:right w:val="nil"/>
            </w:tcBorders>
            <w:shd w:val="clear" w:color="000000" w:fill="FFFFFF"/>
            <w:noWrap/>
            <w:vAlign w:val="center"/>
            <w:hideMark/>
          </w:tcPr>
          <w:p w14:paraId="04D33F4F" w14:textId="175AB837" w:rsidR="000D36F4" w:rsidRPr="006F5DF2" w:rsidRDefault="000D36F4" w:rsidP="000D36F4">
            <w:pPr>
              <w:jc w:val="right"/>
              <w:rPr>
                <w:rFonts w:ascii="Calibri" w:hAnsi="Calibri"/>
                <w:b/>
                <w:bCs/>
                <w:sz w:val="18"/>
                <w:szCs w:val="18"/>
              </w:rPr>
            </w:pPr>
            <w:r>
              <w:rPr>
                <w:rFonts w:ascii="Calibri" w:hAnsi="Calibri"/>
                <w:color w:val="000000"/>
                <w:sz w:val="18"/>
                <w:szCs w:val="18"/>
              </w:rPr>
              <w:t>-670</w:t>
            </w:r>
          </w:p>
        </w:tc>
        <w:tc>
          <w:tcPr>
            <w:tcW w:w="907" w:type="dxa"/>
            <w:tcBorders>
              <w:top w:val="nil"/>
              <w:left w:val="nil"/>
              <w:bottom w:val="nil"/>
              <w:right w:val="nil"/>
            </w:tcBorders>
            <w:shd w:val="clear" w:color="000000" w:fill="FFFFFF"/>
            <w:noWrap/>
            <w:vAlign w:val="center"/>
            <w:hideMark/>
          </w:tcPr>
          <w:p w14:paraId="37305A85" w14:textId="27588ABE" w:rsidR="000D36F4" w:rsidRPr="006F5DF2" w:rsidRDefault="000D36F4" w:rsidP="000D36F4">
            <w:pPr>
              <w:jc w:val="right"/>
              <w:rPr>
                <w:rFonts w:ascii="Calibri" w:hAnsi="Calibri"/>
                <w:b/>
                <w:bCs/>
                <w:sz w:val="18"/>
                <w:szCs w:val="18"/>
              </w:rPr>
            </w:pPr>
            <w:r>
              <w:rPr>
                <w:rFonts w:ascii="Calibri" w:hAnsi="Calibri"/>
                <w:color w:val="00B050"/>
                <w:sz w:val="18"/>
                <w:szCs w:val="18"/>
              </w:rPr>
              <w:t>3%</w:t>
            </w:r>
          </w:p>
        </w:tc>
        <w:tc>
          <w:tcPr>
            <w:tcW w:w="1077" w:type="dxa"/>
            <w:tcBorders>
              <w:top w:val="nil"/>
              <w:left w:val="nil"/>
              <w:bottom w:val="nil"/>
              <w:right w:val="nil"/>
            </w:tcBorders>
            <w:shd w:val="clear" w:color="000000" w:fill="FFFFFF"/>
            <w:noWrap/>
            <w:vAlign w:val="center"/>
            <w:hideMark/>
          </w:tcPr>
          <w:p w14:paraId="550D6938" w14:textId="53DA12EC" w:rsidR="000D36F4" w:rsidRPr="006F5DF2" w:rsidRDefault="000D36F4" w:rsidP="000D36F4">
            <w:pPr>
              <w:jc w:val="right"/>
              <w:rPr>
                <w:rFonts w:ascii="Calibri" w:hAnsi="Calibri"/>
                <w:b/>
                <w:bCs/>
                <w:sz w:val="18"/>
                <w:szCs w:val="18"/>
              </w:rPr>
            </w:pPr>
            <w:r>
              <w:rPr>
                <w:rFonts w:ascii="Calibri" w:hAnsi="Calibri"/>
                <w:color w:val="00B050"/>
                <w:sz w:val="18"/>
                <w:szCs w:val="18"/>
              </w:rPr>
              <w:t>7%</w:t>
            </w:r>
          </w:p>
        </w:tc>
      </w:tr>
      <w:tr w:rsidR="000D36F4" w:rsidRPr="001931E6" w14:paraId="599976C7" w14:textId="77777777" w:rsidTr="000D36F4">
        <w:trPr>
          <w:trHeight w:val="240"/>
        </w:trPr>
        <w:tc>
          <w:tcPr>
            <w:tcW w:w="2268" w:type="dxa"/>
            <w:tcBorders>
              <w:top w:val="nil"/>
              <w:left w:val="nil"/>
              <w:bottom w:val="nil"/>
              <w:right w:val="nil"/>
            </w:tcBorders>
            <w:shd w:val="clear" w:color="000000" w:fill="FFFFFF"/>
            <w:noWrap/>
            <w:vAlign w:val="bottom"/>
            <w:hideMark/>
          </w:tcPr>
          <w:p w14:paraId="224782FE" w14:textId="77777777" w:rsidR="000D36F4" w:rsidRPr="006F5DF2" w:rsidRDefault="000D36F4" w:rsidP="000D36F4">
            <w:pPr>
              <w:rPr>
                <w:rFonts w:ascii="Calibri" w:hAnsi="Calibri"/>
                <w:b/>
                <w:bCs/>
                <w:sz w:val="18"/>
                <w:szCs w:val="18"/>
              </w:rPr>
            </w:pPr>
            <w:r w:rsidRPr="006F5DF2">
              <w:rPr>
                <w:rFonts w:ascii="Calibri" w:hAnsi="Calibri"/>
                <w:b/>
                <w:bCs/>
                <w:sz w:val="18"/>
                <w:szCs w:val="18"/>
              </w:rPr>
              <w:t>Разходи за персонала</w:t>
            </w:r>
          </w:p>
        </w:tc>
        <w:tc>
          <w:tcPr>
            <w:tcW w:w="680" w:type="dxa"/>
            <w:tcBorders>
              <w:top w:val="nil"/>
              <w:left w:val="nil"/>
              <w:bottom w:val="nil"/>
              <w:right w:val="nil"/>
            </w:tcBorders>
            <w:shd w:val="clear" w:color="000000" w:fill="FFFFFF"/>
            <w:noWrap/>
            <w:vAlign w:val="center"/>
            <w:hideMark/>
          </w:tcPr>
          <w:p w14:paraId="2C7910A2" w14:textId="6810AD89" w:rsidR="000D36F4" w:rsidRPr="006F5DF2" w:rsidRDefault="000D36F4" w:rsidP="000D36F4">
            <w:pPr>
              <w:jc w:val="right"/>
              <w:rPr>
                <w:rFonts w:ascii="Calibri" w:hAnsi="Calibri"/>
                <w:b/>
                <w:bCs/>
                <w:sz w:val="18"/>
                <w:szCs w:val="18"/>
              </w:rPr>
            </w:pPr>
            <w:r>
              <w:rPr>
                <w:rFonts w:ascii="Calibri" w:hAnsi="Calibri"/>
                <w:color w:val="000000"/>
                <w:sz w:val="18"/>
                <w:szCs w:val="18"/>
              </w:rPr>
              <w:t>-1 866</w:t>
            </w:r>
          </w:p>
        </w:tc>
        <w:tc>
          <w:tcPr>
            <w:tcW w:w="680" w:type="dxa"/>
            <w:tcBorders>
              <w:top w:val="nil"/>
              <w:left w:val="nil"/>
              <w:bottom w:val="nil"/>
              <w:right w:val="nil"/>
            </w:tcBorders>
            <w:shd w:val="clear" w:color="000000" w:fill="FFFFFF"/>
            <w:noWrap/>
            <w:vAlign w:val="center"/>
            <w:hideMark/>
          </w:tcPr>
          <w:p w14:paraId="3B7FDFD5" w14:textId="07A588DC" w:rsidR="000D36F4" w:rsidRPr="006F5DF2" w:rsidRDefault="000D36F4" w:rsidP="000D36F4">
            <w:pPr>
              <w:jc w:val="right"/>
              <w:rPr>
                <w:rFonts w:ascii="Calibri" w:hAnsi="Calibri"/>
                <w:b/>
                <w:bCs/>
                <w:sz w:val="18"/>
                <w:szCs w:val="18"/>
              </w:rPr>
            </w:pPr>
            <w:r>
              <w:rPr>
                <w:rFonts w:ascii="Calibri" w:hAnsi="Calibri"/>
                <w:color w:val="000000"/>
                <w:sz w:val="18"/>
                <w:szCs w:val="18"/>
              </w:rPr>
              <w:t>-2 019</w:t>
            </w:r>
          </w:p>
        </w:tc>
        <w:tc>
          <w:tcPr>
            <w:tcW w:w="680" w:type="dxa"/>
            <w:tcBorders>
              <w:top w:val="nil"/>
              <w:left w:val="nil"/>
              <w:bottom w:val="nil"/>
              <w:right w:val="nil"/>
            </w:tcBorders>
            <w:shd w:val="clear" w:color="000000" w:fill="FFFFFF"/>
            <w:vAlign w:val="center"/>
          </w:tcPr>
          <w:p w14:paraId="62DD3638" w14:textId="7480030F" w:rsidR="000D36F4" w:rsidRPr="006F5DF2" w:rsidRDefault="000D36F4" w:rsidP="000D36F4">
            <w:pPr>
              <w:jc w:val="right"/>
              <w:rPr>
                <w:rFonts w:ascii="Calibri" w:hAnsi="Calibri"/>
                <w:b/>
                <w:bCs/>
                <w:sz w:val="18"/>
                <w:szCs w:val="18"/>
              </w:rPr>
            </w:pPr>
            <w:r>
              <w:rPr>
                <w:rFonts w:ascii="Calibri" w:hAnsi="Calibri"/>
                <w:color w:val="000000"/>
                <w:sz w:val="18"/>
                <w:szCs w:val="18"/>
              </w:rPr>
              <w:t>-2 286</w:t>
            </w:r>
          </w:p>
        </w:tc>
        <w:tc>
          <w:tcPr>
            <w:tcW w:w="907" w:type="dxa"/>
            <w:tcBorders>
              <w:top w:val="nil"/>
              <w:left w:val="nil"/>
              <w:bottom w:val="nil"/>
              <w:right w:val="nil"/>
            </w:tcBorders>
            <w:shd w:val="clear" w:color="000000" w:fill="FFFFFF"/>
            <w:noWrap/>
            <w:vAlign w:val="center"/>
            <w:hideMark/>
          </w:tcPr>
          <w:p w14:paraId="33BAC512" w14:textId="6BD9E9CB" w:rsidR="000D36F4" w:rsidRPr="006F5DF2" w:rsidRDefault="000D36F4" w:rsidP="000D36F4">
            <w:pPr>
              <w:jc w:val="right"/>
              <w:rPr>
                <w:rFonts w:ascii="Calibri" w:hAnsi="Calibri"/>
                <w:b/>
                <w:bCs/>
                <w:sz w:val="18"/>
                <w:szCs w:val="18"/>
              </w:rPr>
            </w:pPr>
            <w:r>
              <w:rPr>
                <w:rFonts w:ascii="Calibri" w:hAnsi="Calibri"/>
                <w:color w:val="000000"/>
                <w:sz w:val="18"/>
                <w:szCs w:val="18"/>
              </w:rPr>
              <w:t>-1 152</w:t>
            </w:r>
          </w:p>
        </w:tc>
        <w:tc>
          <w:tcPr>
            <w:tcW w:w="907" w:type="dxa"/>
            <w:tcBorders>
              <w:top w:val="nil"/>
              <w:left w:val="nil"/>
              <w:bottom w:val="nil"/>
              <w:right w:val="nil"/>
            </w:tcBorders>
            <w:shd w:val="clear" w:color="000000" w:fill="FFFFFF"/>
            <w:noWrap/>
            <w:vAlign w:val="center"/>
            <w:hideMark/>
          </w:tcPr>
          <w:p w14:paraId="1F272373" w14:textId="4F7DA87A" w:rsidR="000D36F4" w:rsidRPr="006F5DF2" w:rsidRDefault="000D36F4" w:rsidP="000D36F4">
            <w:pPr>
              <w:jc w:val="right"/>
              <w:rPr>
                <w:rFonts w:ascii="Calibri" w:hAnsi="Calibri"/>
                <w:b/>
                <w:bCs/>
                <w:sz w:val="18"/>
                <w:szCs w:val="18"/>
              </w:rPr>
            </w:pPr>
            <w:r>
              <w:rPr>
                <w:rFonts w:ascii="Calibri" w:hAnsi="Calibri"/>
                <w:color w:val="000000"/>
                <w:sz w:val="18"/>
                <w:szCs w:val="18"/>
              </w:rPr>
              <w:t>-1 169</w:t>
            </w:r>
          </w:p>
        </w:tc>
        <w:tc>
          <w:tcPr>
            <w:tcW w:w="907" w:type="dxa"/>
            <w:tcBorders>
              <w:top w:val="nil"/>
              <w:left w:val="nil"/>
              <w:bottom w:val="nil"/>
              <w:right w:val="nil"/>
            </w:tcBorders>
            <w:shd w:val="clear" w:color="000000" w:fill="FFFFFF"/>
            <w:noWrap/>
            <w:vAlign w:val="center"/>
            <w:hideMark/>
          </w:tcPr>
          <w:p w14:paraId="3B87B96F" w14:textId="19FCE5A2" w:rsidR="000D36F4" w:rsidRPr="006F5DF2" w:rsidRDefault="000D36F4" w:rsidP="000D36F4">
            <w:pPr>
              <w:jc w:val="right"/>
              <w:rPr>
                <w:rFonts w:ascii="Calibri" w:hAnsi="Calibri"/>
                <w:b/>
                <w:bCs/>
                <w:sz w:val="18"/>
                <w:szCs w:val="18"/>
              </w:rPr>
            </w:pPr>
            <w:r>
              <w:rPr>
                <w:rFonts w:ascii="Calibri" w:hAnsi="Calibri"/>
                <w:color w:val="000000"/>
                <w:sz w:val="18"/>
                <w:szCs w:val="18"/>
              </w:rPr>
              <w:t>-2 303</w:t>
            </w:r>
          </w:p>
        </w:tc>
        <w:tc>
          <w:tcPr>
            <w:tcW w:w="907" w:type="dxa"/>
            <w:tcBorders>
              <w:top w:val="nil"/>
              <w:left w:val="nil"/>
              <w:bottom w:val="nil"/>
              <w:right w:val="nil"/>
            </w:tcBorders>
            <w:shd w:val="clear" w:color="000000" w:fill="FFFFFF"/>
            <w:noWrap/>
            <w:vAlign w:val="center"/>
            <w:hideMark/>
          </w:tcPr>
          <w:p w14:paraId="60E1BC2D" w14:textId="6B5671EB" w:rsidR="000D36F4" w:rsidRPr="006F5DF2" w:rsidRDefault="000D36F4" w:rsidP="000D36F4">
            <w:pPr>
              <w:jc w:val="right"/>
              <w:rPr>
                <w:rFonts w:ascii="Calibri" w:hAnsi="Calibri"/>
                <w:b/>
                <w:bCs/>
                <w:sz w:val="18"/>
                <w:szCs w:val="18"/>
              </w:rPr>
            </w:pPr>
            <w:r>
              <w:rPr>
                <w:rFonts w:ascii="Calibri" w:hAnsi="Calibri"/>
                <w:color w:val="00B050"/>
                <w:sz w:val="18"/>
                <w:szCs w:val="18"/>
              </w:rPr>
              <w:t>1%</w:t>
            </w:r>
          </w:p>
        </w:tc>
        <w:tc>
          <w:tcPr>
            <w:tcW w:w="1077" w:type="dxa"/>
            <w:tcBorders>
              <w:top w:val="nil"/>
              <w:left w:val="nil"/>
              <w:bottom w:val="nil"/>
              <w:right w:val="nil"/>
            </w:tcBorders>
            <w:shd w:val="clear" w:color="000000" w:fill="FFFFFF"/>
            <w:noWrap/>
            <w:vAlign w:val="center"/>
            <w:hideMark/>
          </w:tcPr>
          <w:p w14:paraId="4EFCF6EB" w14:textId="0A8FB391" w:rsidR="000D36F4" w:rsidRPr="006F5DF2" w:rsidRDefault="000D36F4" w:rsidP="000D36F4">
            <w:pPr>
              <w:jc w:val="right"/>
              <w:rPr>
                <w:rFonts w:ascii="Calibri" w:hAnsi="Calibri"/>
                <w:b/>
                <w:bCs/>
                <w:sz w:val="18"/>
                <w:szCs w:val="18"/>
              </w:rPr>
            </w:pPr>
            <w:r>
              <w:rPr>
                <w:rFonts w:ascii="Calibri" w:hAnsi="Calibri"/>
                <w:color w:val="00B050"/>
                <w:sz w:val="18"/>
                <w:szCs w:val="18"/>
              </w:rPr>
              <w:t>1%</w:t>
            </w:r>
          </w:p>
        </w:tc>
      </w:tr>
      <w:tr w:rsidR="000D36F4" w:rsidRPr="001931E6" w14:paraId="28CBF8A5" w14:textId="77777777" w:rsidTr="000D36F4">
        <w:trPr>
          <w:trHeight w:val="240"/>
        </w:trPr>
        <w:tc>
          <w:tcPr>
            <w:tcW w:w="2268" w:type="dxa"/>
            <w:tcBorders>
              <w:top w:val="nil"/>
              <w:left w:val="nil"/>
              <w:bottom w:val="nil"/>
              <w:right w:val="nil"/>
            </w:tcBorders>
            <w:shd w:val="clear" w:color="000000" w:fill="FFFFFF"/>
            <w:noWrap/>
            <w:vAlign w:val="bottom"/>
            <w:hideMark/>
          </w:tcPr>
          <w:p w14:paraId="6F6E8F39" w14:textId="77777777" w:rsidR="000D36F4" w:rsidRPr="006F5DF2" w:rsidRDefault="000D36F4" w:rsidP="000D36F4">
            <w:pPr>
              <w:rPr>
                <w:rFonts w:ascii="Calibri" w:hAnsi="Calibri"/>
                <w:b/>
                <w:bCs/>
                <w:sz w:val="18"/>
                <w:szCs w:val="18"/>
              </w:rPr>
            </w:pPr>
            <w:r w:rsidRPr="006F5DF2">
              <w:rPr>
                <w:rFonts w:ascii="Calibri" w:hAnsi="Calibri"/>
                <w:b/>
                <w:bCs/>
                <w:sz w:val="18"/>
                <w:szCs w:val="18"/>
              </w:rPr>
              <w:t>Разходи за амортизации</w:t>
            </w:r>
          </w:p>
        </w:tc>
        <w:tc>
          <w:tcPr>
            <w:tcW w:w="680" w:type="dxa"/>
            <w:tcBorders>
              <w:top w:val="nil"/>
              <w:left w:val="nil"/>
              <w:bottom w:val="nil"/>
              <w:right w:val="nil"/>
            </w:tcBorders>
            <w:shd w:val="clear" w:color="000000" w:fill="FFFFFF"/>
            <w:noWrap/>
            <w:vAlign w:val="center"/>
            <w:hideMark/>
          </w:tcPr>
          <w:p w14:paraId="7F79833A" w14:textId="7FAFC42F" w:rsidR="000D36F4" w:rsidRPr="006F5DF2" w:rsidRDefault="000D36F4" w:rsidP="000D36F4">
            <w:pPr>
              <w:jc w:val="right"/>
              <w:rPr>
                <w:rFonts w:ascii="Calibri" w:hAnsi="Calibri"/>
                <w:b/>
                <w:bCs/>
                <w:sz w:val="18"/>
                <w:szCs w:val="18"/>
              </w:rPr>
            </w:pPr>
            <w:r>
              <w:rPr>
                <w:rFonts w:ascii="Calibri" w:hAnsi="Calibri"/>
                <w:color w:val="000000"/>
                <w:sz w:val="18"/>
                <w:szCs w:val="18"/>
              </w:rPr>
              <w:t>-52</w:t>
            </w:r>
          </w:p>
        </w:tc>
        <w:tc>
          <w:tcPr>
            <w:tcW w:w="680" w:type="dxa"/>
            <w:tcBorders>
              <w:top w:val="nil"/>
              <w:left w:val="nil"/>
              <w:bottom w:val="nil"/>
              <w:right w:val="nil"/>
            </w:tcBorders>
            <w:shd w:val="clear" w:color="000000" w:fill="FFFFFF"/>
            <w:noWrap/>
            <w:vAlign w:val="center"/>
            <w:hideMark/>
          </w:tcPr>
          <w:p w14:paraId="73AC3C48" w14:textId="2BF595B2" w:rsidR="000D36F4" w:rsidRPr="006F5DF2" w:rsidRDefault="000D36F4" w:rsidP="000D36F4">
            <w:pPr>
              <w:jc w:val="right"/>
              <w:rPr>
                <w:rFonts w:ascii="Calibri" w:hAnsi="Calibri"/>
                <w:b/>
                <w:bCs/>
                <w:sz w:val="18"/>
                <w:szCs w:val="18"/>
              </w:rPr>
            </w:pPr>
            <w:r>
              <w:rPr>
                <w:rFonts w:ascii="Calibri" w:hAnsi="Calibri"/>
                <w:color w:val="000000"/>
                <w:sz w:val="18"/>
                <w:szCs w:val="18"/>
              </w:rPr>
              <w:t>-246</w:t>
            </w:r>
          </w:p>
        </w:tc>
        <w:tc>
          <w:tcPr>
            <w:tcW w:w="680" w:type="dxa"/>
            <w:tcBorders>
              <w:top w:val="nil"/>
              <w:left w:val="nil"/>
              <w:bottom w:val="nil"/>
              <w:right w:val="nil"/>
            </w:tcBorders>
            <w:shd w:val="clear" w:color="000000" w:fill="FFFFFF"/>
            <w:vAlign w:val="center"/>
          </w:tcPr>
          <w:p w14:paraId="554A602A" w14:textId="077CA017" w:rsidR="000D36F4" w:rsidRPr="006F5DF2" w:rsidRDefault="000D36F4" w:rsidP="000D36F4">
            <w:pPr>
              <w:jc w:val="right"/>
              <w:rPr>
                <w:rFonts w:ascii="Calibri" w:hAnsi="Calibri"/>
                <w:b/>
                <w:bCs/>
                <w:sz w:val="18"/>
                <w:szCs w:val="18"/>
              </w:rPr>
            </w:pPr>
            <w:r>
              <w:rPr>
                <w:rFonts w:ascii="Calibri" w:hAnsi="Calibri"/>
                <w:color w:val="000000"/>
                <w:sz w:val="18"/>
                <w:szCs w:val="18"/>
              </w:rPr>
              <w:t>-362</w:t>
            </w:r>
          </w:p>
        </w:tc>
        <w:tc>
          <w:tcPr>
            <w:tcW w:w="907" w:type="dxa"/>
            <w:tcBorders>
              <w:top w:val="nil"/>
              <w:left w:val="nil"/>
              <w:bottom w:val="nil"/>
              <w:right w:val="nil"/>
            </w:tcBorders>
            <w:shd w:val="clear" w:color="000000" w:fill="FFFFFF"/>
            <w:noWrap/>
            <w:vAlign w:val="center"/>
            <w:hideMark/>
          </w:tcPr>
          <w:p w14:paraId="31918BDF" w14:textId="17625AFC" w:rsidR="000D36F4" w:rsidRPr="006F5DF2" w:rsidRDefault="000D36F4" w:rsidP="000D36F4">
            <w:pPr>
              <w:jc w:val="right"/>
              <w:rPr>
                <w:rFonts w:ascii="Calibri" w:hAnsi="Calibri"/>
                <w:b/>
                <w:bCs/>
                <w:sz w:val="18"/>
                <w:szCs w:val="18"/>
              </w:rPr>
            </w:pPr>
            <w:r>
              <w:rPr>
                <w:rFonts w:ascii="Calibri" w:hAnsi="Calibri"/>
                <w:color w:val="000000"/>
                <w:sz w:val="18"/>
                <w:szCs w:val="18"/>
              </w:rPr>
              <w:t>-174</w:t>
            </w:r>
          </w:p>
        </w:tc>
        <w:tc>
          <w:tcPr>
            <w:tcW w:w="907" w:type="dxa"/>
            <w:tcBorders>
              <w:top w:val="nil"/>
              <w:left w:val="nil"/>
              <w:bottom w:val="nil"/>
              <w:right w:val="nil"/>
            </w:tcBorders>
            <w:shd w:val="clear" w:color="000000" w:fill="FFFFFF"/>
            <w:noWrap/>
            <w:vAlign w:val="center"/>
            <w:hideMark/>
          </w:tcPr>
          <w:p w14:paraId="37AFAB46" w14:textId="1CEAAC7C" w:rsidR="000D36F4" w:rsidRPr="006F5DF2" w:rsidRDefault="000D36F4" w:rsidP="000D36F4">
            <w:pPr>
              <w:jc w:val="right"/>
              <w:rPr>
                <w:rFonts w:ascii="Calibri" w:hAnsi="Calibri"/>
                <w:b/>
                <w:bCs/>
                <w:sz w:val="18"/>
                <w:szCs w:val="18"/>
              </w:rPr>
            </w:pPr>
            <w:r>
              <w:rPr>
                <w:rFonts w:ascii="Calibri" w:hAnsi="Calibri"/>
                <w:color w:val="000000"/>
                <w:sz w:val="18"/>
                <w:szCs w:val="18"/>
              </w:rPr>
              <w:t>-163</w:t>
            </w:r>
          </w:p>
        </w:tc>
        <w:tc>
          <w:tcPr>
            <w:tcW w:w="907" w:type="dxa"/>
            <w:tcBorders>
              <w:top w:val="nil"/>
              <w:left w:val="nil"/>
              <w:bottom w:val="nil"/>
              <w:right w:val="nil"/>
            </w:tcBorders>
            <w:shd w:val="clear" w:color="000000" w:fill="FFFFFF"/>
            <w:noWrap/>
            <w:vAlign w:val="center"/>
            <w:hideMark/>
          </w:tcPr>
          <w:p w14:paraId="694A7E49" w14:textId="6816E48D" w:rsidR="000D36F4" w:rsidRPr="006F5DF2" w:rsidRDefault="000D36F4" w:rsidP="000D36F4">
            <w:pPr>
              <w:jc w:val="right"/>
              <w:rPr>
                <w:rFonts w:ascii="Calibri" w:hAnsi="Calibri"/>
                <w:b/>
                <w:bCs/>
                <w:sz w:val="18"/>
                <w:szCs w:val="18"/>
              </w:rPr>
            </w:pPr>
            <w:r>
              <w:rPr>
                <w:rFonts w:ascii="Calibri" w:hAnsi="Calibri"/>
                <w:color w:val="000000"/>
                <w:sz w:val="18"/>
                <w:szCs w:val="18"/>
              </w:rPr>
              <w:t>-351</w:t>
            </w:r>
          </w:p>
        </w:tc>
        <w:tc>
          <w:tcPr>
            <w:tcW w:w="907" w:type="dxa"/>
            <w:tcBorders>
              <w:top w:val="nil"/>
              <w:left w:val="nil"/>
              <w:bottom w:val="nil"/>
              <w:right w:val="nil"/>
            </w:tcBorders>
            <w:shd w:val="clear" w:color="000000" w:fill="FFFFFF"/>
            <w:noWrap/>
            <w:vAlign w:val="center"/>
            <w:hideMark/>
          </w:tcPr>
          <w:p w14:paraId="69DB98E6" w14:textId="3FB6D64F" w:rsidR="000D36F4" w:rsidRPr="006F5DF2" w:rsidRDefault="000D36F4" w:rsidP="000D36F4">
            <w:pPr>
              <w:jc w:val="right"/>
              <w:rPr>
                <w:rFonts w:ascii="Calibri" w:hAnsi="Calibri"/>
                <w:b/>
                <w:bCs/>
                <w:sz w:val="18"/>
                <w:szCs w:val="18"/>
              </w:rPr>
            </w:pPr>
            <w:r>
              <w:rPr>
                <w:rFonts w:ascii="Calibri" w:hAnsi="Calibri"/>
                <w:color w:val="00B050"/>
                <w:sz w:val="18"/>
                <w:szCs w:val="18"/>
              </w:rPr>
              <w:t>-3%</w:t>
            </w:r>
          </w:p>
        </w:tc>
        <w:tc>
          <w:tcPr>
            <w:tcW w:w="1077" w:type="dxa"/>
            <w:tcBorders>
              <w:top w:val="nil"/>
              <w:left w:val="nil"/>
              <w:bottom w:val="nil"/>
              <w:right w:val="nil"/>
            </w:tcBorders>
            <w:shd w:val="clear" w:color="000000" w:fill="FFFFFF"/>
            <w:noWrap/>
            <w:vAlign w:val="center"/>
            <w:hideMark/>
          </w:tcPr>
          <w:p w14:paraId="28859C5A" w14:textId="4B18A68B" w:rsidR="000D36F4" w:rsidRPr="006F5DF2" w:rsidRDefault="000D36F4" w:rsidP="000D36F4">
            <w:pPr>
              <w:jc w:val="right"/>
              <w:rPr>
                <w:rFonts w:ascii="Calibri" w:hAnsi="Calibri"/>
                <w:b/>
                <w:bCs/>
                <w:sz w:val="18"/>
                <w:szCs w:val="18"/>
              </w:rPr>
            </w:pPr>
            <w:r>
              <w:rPr>
                <w:rFonts w:ascii="Calibri" w:hAnsi="Calibri"/>
                <w:color w:val="00B050"/>
                <w:sz w:val="18"/>
                <w:szCs w:val="18"/>
              </w:rPr>
              <w:t>-6%</w:t>
            </w:r>
          </w:p>
        </w:tc>
      </w:tr>
      <w:tr w:rsidR="000D36F4" w:rsidRPr="001931E6" w14:paraId="418A7AD1" w14:textId="77777777" w:rsidTr="000D36F4">
        <w:trPr>
          <w:trHeight w:val="240"/>
        </w:trPr>
        <w:tc>
          <w:tcPr>
            <w:tcW w:w="2268" w:type="dxa"/>
            <w:tcBorders>
              <w:top w:val="nil"/>
              <w:left w:val="nil"/>
              <w:bottom w:val="nil"/>
              <w:right w:val="nil"/>
            </w:tcBorders>
            <w:shd w:val="clear" w:color="000000" w:fill="FFFFFF"/>
            <w:noWrap/>
            <w:vAlign w:val="bottom"/>
            <w:hideMark/>
          </w:tcPr>
          <w:p w14:paraId="340EA483" w14:textId="77777777" w:rsidR="000D36F4" w:rsidRPr="006F5DF2" w:rsidRDefault="000D36F4" w:rsidP="000D36F4">
            <w:pPr>
              <w:rPr>
                <w:rFonts w:ascii="Calibri" w:hAnsi="Calibri"/>
                <w:b/>
                <w:bCs/>
                <w:sz w:val="18"/>
                <w:szCs w:val="18"/>
              </w:rPr>
            </w:pPr>
            <w:r w:rsidRPr="006F5DF2">
              <w:rPr>
                <w:rFonts w:ascii="Calibri" w:hAnsi="Calibri"/>
                <w:b/>
                <w:bCs/>
                <w:sz w:val="18"/>
                <w:szCs w:val="18"/>
              </w:rPr>
              <w:t>Други разходи за дейността</w:t>
            </w:r>
          </w:p>
        </w:tc>
        <w:tc>
          <w:tcPr>
            <w:tcW w:w="680" w:type="dxa"/>
            <w:tcBorders>
              <w:top w:val="nil"/>
              <w:left w:val="nil"/>
              <w:bottom w:val="nil"/>
              <w:right w:val="nil"/>
            </w:tcBorders>
            <w:shd w:val="clear" w:color="000000" w:fill="FFFFFF"/>
            <w:noWrap/>
            <w:vAlign w:val="center"/>
            <w:hideMark/>
          </w:tcPr>
          <w:p w14:paraId="30CA15E0" w14:textId="7ADE2C38" w:rsidR="000D36F4" w:rsidRPr="006F5DF2" w:rsidRDefault="000D36F4" w:rsidP="000D36F4">
            <w:pPr>
              <w:jc w:val="right"/>
              <w:rPr>
                <w:rFonts w:ascii="Calibri" w:hAnsi="Calibri"/>
                <w:b/>
                <w:bCs/>
                <w:sz w:val="18"/>
                <w:szCs w:val="18"/>
              </w:rPr>
            </w:pPr>
            <w:r>
              <w:rPr>
                <w:rFonts w:ascii="Calibri" w:hAnsi="Calibri"/>
                <w:color w:val="000000"/>
                <w:sz w:val="18"/>
                <w:szCs w:val="18"/>
              </w:rPr>
              <w:t>-365</w:t>
            </w:r>
          </w:p>
        </w:tc>
        <w:tc>
          <w:tcPr>
            <w:tcW w:w="680" w:type="dxa"/>
            <w:tcBorders>
              <w:top w:val="nil"/>
              <w:left w:val="nil"/>
              <w:bottom w:val="nil"/>
              <w:right w:val="nil"/>
            </w:tcBorders>
            <w:shd w:val="clear" w:color="000000" w:fill="FFFFFF"/>
            <w:noWrap/>
            <w:vAlign w:val="center"/>
            <w:hideMark/>
          </w:tcPr>
          <w:p w14:paraId="53B5F583" w14:textId="708679CB" w:rsidR="000D36F4" w:rsidRPr="006F5DF2" w:rsidRDefault="000D36F4" w:rsidP="000D36F4">
            <w:pPr>
              <w:jc w:val="right"/>
              <w:rPr>
                <w:rFonts w:ascii="Calibri" w:hAnsi="Calibri"/>
                <w:b/>
                <w:bCs/>
                <w:sz w:val="18"/>
                <w:szCs w:val="18"/>
              </w:rPr>
            </w:pPr>
            <w:r>
              <w:rPr>
                <w:rFonts w:ascii="Calibri" w:hAnsi="Calibri"/>
                <w:color w:val="000000"/>
                <w:sz w:val="18"/>
                <w:szCs w:val="18"/>
              </w:rPr>
              <w:t>-524</w:t>
            </w:r>
          </w:p>
        </w:tc>
        <w:tc>
          <w:tcPr>
            <w:tcW w:w="680" w:type="dxa"/>
            <w:tcBorders>
              <w:top w:val="nil"/>
              <w:left w:val="nil"/>
              <w:bottom w:val="nil"/>
              <w:right w:val="nil"/>
            </w:tcBorders>
            <w:shd w:val="clear" w:color="000000" w:fill="FFFFFF"/>
            <w:vAlign w:val="center"/>
          </w:tcPr>
          <w:p w14:paraId="49861938" w14:textId="71FB65D1" w:rsidR="000D36F4" w:rsidRPr="006F5DF2" w:rsidRDefault="000D36F4" w:rsidP="000D36F4">
            <w:pPr>
              <w:jc w:val="right"/>
              <w:rPr>
                <w:rFonts w:ascii="Calibri" w:hAnsi="Calibri"/>
                <w:b/>
                <w:bCs/>
                <w:sz w:val="18"/>
                <w:szCs w:val="18"/>
              </w:rPr>
            </w:pPr>
            <w:r>
              <w:rPr>
                <w:rFonts w:ascii="Calibri" w:hAnsi="Calibri"/>
                <w:color w:val="000000"/>
                <w:sz w:val="18"/>
                <w:szCs w:val="18"/>
              </w:rPr>
              <w:t>-280</w:t>
            </w:r>
          </w:p>
        </w:tc>
        <w:tc>
          <w:tcPr>
            <w:tcW w:w="907" w:type="dxa"/>
            <w:tcBorders>
              <w:top w:val="nil"/>
              <w:left w:val="nil"/>
              <w:bottom w:val="nil"/>
              <w:right w:val="nil"/>
            </w:tcBorders>
            <w:shd w:val="clear" w:color="000000" w:fill="FFFFFF"/>
            <w:noWrap/>
            <w:vAlign w:val="center"/>
            <w:hideMark/>
          </w:tcPr>
          <w:p w14:paraId="069872D8" w14:textId="7EF4F5A2" w:rsidR="000D36F4" w:rsidRPr="006F5DF2" w:rsidRDefault="000D36F4" w:rsidP="000D36F4">
            <w:pPr>
              <w:jc w:val="right"/>
              <w:rPr>
                <w:rFonts w:ascii="Calibri" w:hAnsi="Calibri"/>
                <w:b/>
                <w:bCs/>
                <w:sz w:val="18"/>
                <w:szCs w:val="18"/>
              </w:rPr>
            </w:pPr>
            <w:r>
              <w:rPr>
                <w:rFonts w:ascii="Calibri" w:hAnsi="Calibri"/>
                <w:color w:val="000000"/>
                <w:sz w:val="18"/>
                <w:szCs w:val="18"/>
              </w:rPr>
              <w:t>-160</w:t>
            </w:r>
          </w:p>
        </w:tc>
        <w:tc>
          <w:tcPr>
            <w:tcW w:w="907" w:type="dxa"/>
            <w:tcBorders>
              <w:top w:val="nil"/>
              <w:left w:val="nil"/>
              <w:bottom w:val="nil"/>
              <w:right w:val="nil"/>
            </w:tcBorders>
            <w:shd w:val="clear" w:color="000000" w:fill="FFFFFF"/>
            <w:noWrap/>
            <w:vAlign w:val="center"/>
            <w:hideMark/>
          </w:tcPr>
          <w:p w14:paraId="217A6A30" w14:textId="4F8D531C" w:rsidR="000D36F4" w:rsidRPr="006F5DF2" w:rsidRDefault="000D36F4" w:rsidP="000D36F4">
            <w:pPr>
              <w:jc w:val="right"/>
              <w:rPr>
                <w:rFonts w:ascii="Calibri" w:hAnsi="Calibri"/>
                <w:b/>
                <w:bCs/>
                <w:sz w:val="18"/>
                <w:szCs w:val="18"/>
              </w:rPr>
            </w:pPr>
            <w:r>
              <w:rPr>
                <w:rFonts w:ascii="Calibri" w:hAnsi="Calibri"/>
                <w:color w:val="000000"/>
                <w:sz w:val="18"/>
                <w:szCs w:val="18"/>
              </w:rPr>
              <w:t>-104</w:t>
            </w:r>
          </w:p>
        </w:tc>
        <w:tc>
          <w:tcPr>
            <w:tcW w:w="907" w:type="dxa"/>
            <w:tcBorders>
              <w:top w:val="nil"/>
              <w:left w:val="nil"/>
              <w:bottom w:val="nil"/>
              <w:right w:val="nil"/>
            </w:tcBorders>
            <w:shd w:val="clear" w:color="000000" w:fill="FFFFFF"/>
            <w:noWrap/>
            <w:vAlign w:val="center"/>
            <w:hideMark/>
          </w:tcPr>
          <w:p w14:paraId="7048833C" w14:textId="31D6652B" w:rsidR="000D36F4" w:rsidRPr="006F5DF2" w:rsidRDefault="000D36F4" w:rsidP="000D36F4">
            <w:pPr>
              <w:jc w:val="right"/>
              <w:rPr>
                <w:rFonts w:ascii="Calibri" w:hAnsi="Calibri"/>
                <w:b/>
                <w:bCs/>
                <w:sz w:val="18"/>
                <w:szCs w:val="18"/>
              </w:rPr>
            </w:pPr>
            <w:r>
              <w:rPr>
                <w:rFonts w:ascii="Calibri" w:hAnsi="Calibri"/>
                <w:color w:val="000000"/>
                <w:sz w:val="18"/>
                <w:szCs w:val="18"/>
              </w:rPr>
              <w:t>-224</w:t>
            </w:r>
          </w:p>
        </w:tc>
        <w:tc>
          <w:tcPr>
            <w:tcW w:w="907" w:type="dxa"/>
            <w:tcBorders>
              <w:top w:val="nil"/>
              <w:left w:val="nil"/>
              <w:bottom w:val="nil"/>
              <w:right w:val="nil"/>
            </w:tcBorders>
            <w:shd w:val="clear" w:color="000000" w:fill="FFFFFF"/>
            <w:noWrap/>
            <w:vAlign w:val="center"/>
            <w:hideMark/>
          </w:tcPr>
          <w:p w14:paraId="28DF7FCC" w14:textId="105A6CE0" w:rsidR="000D36F4" w:rsidRPr="006F5DF2" w:rsidRDefault="000D36F4" w:rsidP="000D36F4">
            <w:pPr>
              <w:jc w:val="right"/>
              <w:rPr>
                <w:rFonts w:ascii="Calibri" w:hAnsi="Calibri"/>
                <w:b/>
                <w:bCs/>
                <w:sz w:val="18"/>
                <w:szCs w:val="18"/>
              </w:rPr>
            </w:pPr>
            <w:r>
              <w:rPr>
                <w:rFonts w:ascii="Calibri" w:hAnsi="Calibri"/>
                <w:color w:val="00B050"/>
                <w:sz w:val="18"/>
                <w:szCs w:val="18"/>
              </w:rPr>
              <w:t>-20%</w:t>
            </w:r>
          </w:p>
        </w:tc>
        <w:tc>
          <w:tcPr>
            <w:tcW w:w="1077" w:type="dxa"/>
            <w:tcBorders>
              <w:top w:val="nil"/>
              <w:left w:val="nil"/>
              <w:bottom w:val="nil"/>
              <w:right w:val="nil"/>
            </w:tcBorders>
            <w:shd w:val="clear" w:color="000000" w:fill="FFFFFF"/>
            <w:noWrap/>
            <w:vAlign w:val="center"/>
            <w:hideMark/>
          </w:tcPr>
          <w:p w14:paraId="21367746" w14:textId="04E90738" w:rsidR="000D36F4" w:rsidRPr="006F5DF2" w:rsidRDefault="000D36F4" w:rsidP="000D36F4">
            <w:pPr>
              <w:jc w:val="right"/>
              <w:rPr>
                <w:rFonts w:ascii="Calibri" w:hAnsi="Calibri"/>
                <w:b/>
                <w:bCs/>
                <w:sz w:val="18"/>
                <w:szCs w:val="18"/>
              </w:rPr>
            </w:pPr>
            <w:r>
              <w:rPr>
                <w:rFonts w:ascii="Calibri" w:hAnsi="Calibri"/>
                <w:color w:val="00B050"/>
                <w:sz w:val="18"/>
                <w:szCs w:val="18"/>
              </w:rPr>
              <w:t>-35%</w:t>
            </w:r>
          </w:p>
        </w:tc>
      </w:tr>
      <w:tr w:rsidR="000D36F4" w:rsidRPr="001931E6" w14:paraId="779AB790" w14:textId="77777777" w:rsidTr="000D36F4">
        <w:trPr>
          <w:trHeight w:val="240"/>
        </w:trPr>
        <w:tc>
          <w:tcPr>
            <w:tcW w:w="2268" w:type="dxa"/>
            <w:tcBorders>
              <w:top w:val="nil"/>
              <w:left w:val="nil"/>
              <w:bottom w:val="nil"/>
              <w:right w:val="nil"/>
            </w:tcBorders>
            <w:shd w:val="clear" w:color="000000" w:fill="FFFFFF"/>
            <w:noWrap/>
            <w:vAlign w:val="bottom"/>
            <w:hideMark/>
          </w:tcPr>
          <w:p w14:paraId="78967B37" w14:textId="77777777" w:rsidR="000D36F4" w:rsidRPr="006F5DF2" w:rsidRDefault="000D36F4" w:rsidP="000D36F4">
            <w:pPr>
              <w:rPr>
                <w:rFonts w:ascii="Calibri" w:hAnsi="Calibri"/>
                <w:b/>
                <w:bCs/>
                <w:sz w:val="18"/>
                <w:szCs w:val="18"/>
              </w:rPr>
            </w:pPr>
            <w:r w:rsidRPr="006F5DF2">
              <w:rPr>
                <w:rFonts w:ascii="Calibri" w:hAnsi="Calibri"/>
                <w:b/>
                <w:bCs/>
                <w:sz w:val="18"/>
                <w:szCs w:val="18"/>
              </w:rPr>
              <w:t>Разходи за обезценка на предоставени кредити, нетно</w:t>
            </w:r>
          </w:p>
        </w:tc>
        <w:tc>
          <w:tcPr>
            <w:tcW w:w="680" w:type="dxa"/>
            <w:tcBorders>
              <w:top w:val="nil"/>
              <w:left w:val="nil"/>
              <w:bottom w:val="nil"/>
              <w:right w:val="nil"/>
            </w:tcBorders>
            <w:shd w:val="clear" w:color="000000" w:fill="FFFFFF"/>
            <w:noWrap/>
            <w:vAlign w:val="center"/>
            <w:hideMark/>
          </w:tcPr>
          <w:p w14:paraId="4001DE46" w14:textId="2EFFBF61" w:rsidR="000D36F4" w:rsidRPr="006F5DF2" w:rsidRDefault="000D36F4" w:rsidP="000D36F4">
            <w:pPr>
              <w:jc w:val="right"/>
              <w:rPr>
                <w:rFonts w:ascii="Calibri" w:hAnsi="Calibri"/>
                <w:b/>
                <w:bCs/>
                <w:sz w:val="18"/>
                <w:szCs w:val="18"/>
              </w:rPr>
            </w:pPr>
            <w:r>
              <w:rPr>
                <w:rFonts w:ascii="Calibri" w:hAnsi="Calibri"/>
                <w:color w:val="000000"/>
                <w:sz w:val="18"/>
                <w:szCs w:val="18"/>
              </w:rPr>
              <w:t>-426</w:t>
            </w:r>
          </w:p>
        </w:tc>
        <w:tc>
          <w:tcPr>
            <w:tcW w:w="680" w:type="dxa"/>
            <w:tcBorders>
              <w:top w:val="nil"/>
              <w:left w:val="nil"/>
              <w:bottom w:val="nil"/>
              <w:right w:val="nil"/>
            </w:tcBorders>
            <w:shd w:val="clear" w:color="000000" w:fill="FFFFFF"/>
            <w:noWrap/>
            <w:vAlign w:val="center"/>
            <w:hideMark/>
          </w:tcPr>
          <w:p w14:paraId="22B8EF7C" w14:textId="3B2BCE75" w:rsidR="000D36F4" w:rsidRPr="006F5DF2" w:rsidRDefault="000D36F4" w:rsidP="000D36F4">
            <w:pPr>
              <w:jc w:val="right"/>
              <w:rPr>
                <w:rFonts w:ascii="Calibri" w:hAnsi="Calibri"/>
                <w:b/>
                <w:bCs/>
                <w:sz w:val="18"/>
                <w:szCs w:val="18"/>
              </w:rPr>
            </w:pPr>
            <w:r>
              <w:rPr>
                <w:rFonts w:ascii="Calibri" w:hAnsi="Calibri"/>
                <w:color w:val="000000"/>
                <w:sz w:val="18"/>
                <w:szCs w:val="18"/>
              </w:rPr>
              <w:t>-673</w:t>
            </w:r>
          </w:p>
        </w:tc>
        <w:tc>
          <w:tcPr>
            <w:tcW w:w="680" w:type="dxa"/>
            <w:tcBorders>
              <w:top w:val="nil"/>
              <w:left w:val="nil"/>
              <w:bottom w:val="nil"/>
              <w:right w:val="nil"/>
            </w:tcBorders>
            <w:shd w:val="clear" w:color="000000" w:fill="FFFFFF"/>
            <w:vAlign w:val="center"/>
          </w:tcPr>
          <w:p w14:paraId="7A288A78" w14:textId="1A9C33B3" w:rsidR="000D36F4" w:rsidRPr="006F5DF2" w:rsidRDefault="000D36F4" w:rsidP="000D36F4">
            <w:pPr>
              <w:jc w:val="right"/>
              <w:rPr>
                <w:rFonts w:ascii="Calibri" w:hAnsi="Calibri"/>
                <w:b/>
                <w:bCs/>
                <w:sz w:val="18"/>
                <w:szCs w:val="18"/>
              </w:rPr>
            </w:pPr>
            <w:r>
              <w:rPr>
                <w:rFonts w:ascii="Calibri" w:hAnsi="Calibri"/>
                <w:color w:val="000000"/>
                <w:sz w:val="18"/>
                <w:szCs w:val="18"/>
              </w:rPr>
              <w:t>-692</w:t>
            </w:r>
          </w:p>
        </w:tc>
        <w:tc>
          <w:tcPr>
            <w:tcW w:w="907" w:type="dxa"/>
            <w:tcBorders>
              <w:top w:val="nil"/>
              <w:left w:val="nil"/>
              <w:bottom w:val="nil"/>
              <w:right w:val="nil"/>
            </w:tcBorders>
            <w:shd w:val="clear" w:color="000000" w:fill="FFFFFF"/>
            <w:noWrap/>
            <w:vAlign w:val="center"/>
            <w:hideMark/>
          </w:tcPr>
          <w:p w14:paraId="2BC82989" w14:textId="1CB01CC0" w:rsidR="000D36F4" w:rsidRPr="006F5DF2" w:rsidRDefault="000D36F4" w:rsidP="000D36F4">
            <w:pPr>
              <w:jc w:val="right"/>
              <w:rPr>
                <w:rFonts w:ascii="Calibri" w:hAnsi="Calibri"/>
                <w:b/>
                <w:bCs/>
                <w:sz w:val="18"/>
                <w:szCs w:val="18"/>
              </w:rPr>
            </w:pPr>
            <w:r>
              <w:rPr>
                <w:rFonts w:ascii="Calibri" w:hAnsi="Calibri"/>
                <w:color w:val="000000"/>
                <w:sz w:val="18"/>
                <w:szCs w:val="18"/>
              </w:rPr>
              <w:t>-553</w:t>
            </w:r>
          </w:p>
        </w:tc>
        <w:tc>
          <w:tcPr>
            <w:tcW w:w="907" w:type="dxa"/>
            <w:tcBorders>
              <w:top w:val="nil"/>
              <w:left w:val="nil"/>
              <w:bottom w:val="nil"/>
              <w:right w:val="nil"/>
            </w:tcBorders>
            <w:shd w:val="clear" w:color="000000" w:fill="FFFFFF"/>
            <w:noWrap/>
            <w:vAlign w:val="center"/>
            <w:hideMark/>
          </w:tcPr>
          <w:p w14:paraId="38EE3D2B" w14:textId="10986D8A" w:rsidR="000D36F4" w:rsidRPr="006F5DF2" w:rsidRDefault="000D36F4" w:rsidP="000D36F4">
            <w:pPr>
              <w:jc w:val="right"/>
              <w:rPr>
                <w:rFonts w:ascii="Calibri" w:hAnsi="Calibri"/>
                <w:b/>
                <w:bCs/>
                <w:sz w:val="18"/>
                <w:szCs w:val="18"/>
              </w:rPr>
            </w:pPr>
            <w:r>
              <w:rPr>
                <w:rFonts w:ascii="Calibri" w:hAnsi="Calibri"/>
                <w:color w:val="000000"/>
                <w:sz w:val="18"/>
                <w:szCs w:val="18"/>
              </w:rPr>
              <w:t>-620</w:t>
            </w:r>
          </w:p>
        </w:tc>
        <w:tc>
          <w:tcPr>
            <w:tcW w:w="907" w:type="dxa"/>
            <w:tcBorders>
              <w:top w:val="nil"/>
              <w:left w:val="nil"/>
              <w:bottom w:val="nil"/>
              <w:right w:val="nil"/>
            </w:tcBorders>
            <w:shd w:val="clear" w:color="000000" w:fill="FFFFFF"/>
            <w:noWrap/>
            <w:vAlign w:val="center"/>
            <w:hideMark/>
          </w:tcPr>
          <w:p w14:paraId="26AD70A4" w14:textId="4CD9CF77" w:rsidR="000D36F4" w:rsidRPr="006F5DF2" w:rsidRDefault="000D36F4" w:rsidP="000D36F4">
            <w:pPr>
              <w:jc w:val="right"/>
              <w:rPr>
                <w:rFonts w:ascii="Calibri" w:hAnsi="Calibri"/>
                <w:b/>
                <w:bCs/>
                <w:sz w:val="18"/>
                <w:szCs w:val="18"/>
              </w:rPr>
            </w:pPr>
            <w:r>
              <w:rPr>
                <w:rFonts w:ascii="Calibri" w:hAnsi="Calibri"/>
                <w:color w:val="000000"/>
                <w:sz w:val="18"/>
                <w:szCs w:val="18"/>
              </w:rPr>
              <w:t>-759</w:t>
            </w:r>
          </w:p>
        </w:tc>
        <w:tc>
          <w:tcPr>
            <w:tcW w:w="907" w:type="dxa"/>
            <w:tcBorders>
              <w:top w:val="nil"/>
              <w:left w:val="nil"/>
              <w:bottom w:val="nil"/>
              <w:right w:val="nil"/>
            </w:tcBorders>
            <w:shd w:val="clear" w:color="000000" w:fill="FFFFFF"/>
            <w:noWrap/>
            <w:vAlign w:val="center"/>
            <w:hideMark/>
          </w:tcPr>
          <w:p w14:paraId="66C70B22" w14:textId="1A530F36" w:rsidR="000D36F4" w:rsidRPr="006F5DF2" w:rsidRDefault="000D36F4" w:rsidP="000D36F4">
            <w:pPr>
              <w:jc w:val="right"/>
              <w:rPr>
                <w:rFonts w:ascii="Calibri" w:hAnsi="Calibri"/>
                <w:b/>
                <w:bCs/>
                <w:sz w:val="18"/>
                <w:szCs w:val="18"/>
              </w:rPr>
            </w:pPr>
            <w:r>
              <w:rPr>
                <w:rFonts w:ascii="Calibri" w:hAnsi="Calibri"/>
                <w:color w:val="00B050"/>
                <w:sz w:val="18"/>
                <w:szCs w:val="18"/>
              </w:rPr>
              <w:t>10%</w:t>
            </w:r>
          </w:p>
        </w:tc>
        <w:tc>
          <w:tcPr>
            <w:tcW w:w="1077" w:type="dxa"/>
            <w:tcBorders>
              <w:top w:val="nil"/>
              <w:left w:val="nil"/>
              <w:bottom w:val="nil"/>
              <w:right w:val="nil"/>
            </w:tcBorders>
            <w:shd w:val="clear" w:color="000000" w:fill="FFFFFF"/>
            <w:noWrap/>
            <w:vAlign w:val="center"/>
            <w:hideMark/>
          </w:tcPr>
          <w:p w14:paraId="7D030318" w14:textId="39120D79" w:rsidR="000D36F4" w:rsidRPr="006F5DF2" w:rsidRDefault="000D36F4" w:rsidP="000D36F4">
            <w:pPr>
              <w:jc w:val="right"/>
              <w:rPr>
                <w:rFonts w:ascii="Calibri" w:hAnsi="Calibri"/>
                <w:b/>
                <w:bCs/>
                <w:sz w:val="18"/>
                <w:szCs w:val="18"/>
              </w:rPr>
            </w:pPr>
            <w:r>
              <w:rPr>
                <w:rFonts w:ascii="Calibri" w:hAnsi="Calibri"/>
                <w:color w:val="00B050"/>
                <w:sz w:val="18"/>
                <w:szCs w:val="18"/>
              </w:rPr>
              <w:t>12%</w:t>
            </w:r>
          </w:p>
        </w:tc>
      </w:tr>
      <w:tr w:rsidR="000D36F4" w:rsidRPr="001931E6" w14:paraId="263E6620" w14:textId="77777777" w:rsidTr="000D36F4">
        <w:trPr>
          <w:trHeight w:val="240"/>
        </w:trPr>
        <w:tc>
          <w:tcPr>
            <w:tcW w:w="2268" w:type="dxa"/>
            <w:tcBorders>
              <w:top w:val="nil"/>
              <w:left w:val="nil"/>
              <w:bottom w:val="nil"/>
              <w:right w:val="nil"/>
            </w:tcBorders>
            <w:shd w:val="clear" w:color="000000" w:fill="FFFFFF"/>
            <w:noWrap/>
            <w:vAlign w:val="bottom"/>
            <w:hideMark/>
          </w:tcPr>
          <w:p w14:paraId="0580F54B" w14:textId="77777777" w:rsidR="000D36F4" w:rsidRPr="006F5DF2" w:rsidRDefault="000D36F4" w:rsidP="000D36F4">
            <w:pPr>
              <w:rPr>
                <w:rFonts w:ascii="Calibri" w:hAnsi="Calibri"/>
                <w:b/>
                <w:bCs/>
                <w:sz w:val="18"/>
                <w:szCs w:val="18"/>
              </w:rPr>
            </w:pPr>
            <w:r w:rsidRPr="006F5DF2">
              <w:rPr>
                <w:rFonts w:ascii="Calibri" w:hAnsi="Calibri"/>
                <w:b/>
                <w:bCs/>
                <w:sz w:val="18"/>
                <w:szCs w:val="18"/>
              </w:rPr>
              <w:t>Нетна загуба от продажба на вземания по предоставени вземания</w:t>
            </w:r>
          </w:p>
        </w:tc>
        <w:tc>
          <w:tcPr>
            <w:tcW w:w="680" w:type="dxa"/>
            <w:tcBorders>
              <w:top w:val="nil"/>
              <w:left w:val="nil"/>
              <w:bottom w:val="nil"/>
              <w:right w:val="nil"/>
            </w:tcBorders>
            <w:shd w:val="clear" w:color="000000" w:fill="FFFFFF"/>
            <w:noWrap/>
            <w:vAlign w:val="center"/>
            <w:hideMark/>
          </w:tcPr>
          <w:p w14:paraId="3F4EF9F7" w14:textId="645CC8D0" w:rsidR="000D36F4" w:rsidRPr="006F5DF2" w:rsidRDefault="000D36F4" w:rsidP="000D36F4">
            <w:pPr>
              <w:jc w:val="right"/>
              <w:rPr>
                <w:rFonts w:ascii="Calibri" w:hAnsi="Calibri"/>
                <w:b/>
                <w:bCs/>
                <w:sz w:val="18"/>
                <w:szCs w:val="18"/>
              </w:rPr>
            </w:pPr>
            <w:r>
              <w:rPr>
                <w:rFonts w:ascii="Calibri" w:hAnsi="Calibri"/>
                <w:color w:val="000000"/>
                <w:sz w:val="18"/>
                <w:szCs w:val="18"/>
              </w:rPr>
              <w:t> </w:t>
            </w:r>
          </w:p>
        </w:tc>
        <w:tc>
          <w:tcPr>
            <w:tcW w:w="680" w:type="dxa"/>
            <w:tcBorders>
              <w:top w:val="nil"/>
              <w:left w:val="nil"/>
              <w:bottom w:val="nil"/>
              <w:right w:val="nil"/>
            </w:tcBorders>
            <w:shd w:val="clear" w:color="000000" w:fill="FFFFFF"/>
            <w:noWrap/>
            <w:vAlign w:val="center"/>
            <w:hideMark/>
          </w:tcPr>
          <w:p w14:paraId="53D849A7" w14:textId="0C38A1F7" w:rsidR="000D36F4" w:rsidRPr="006F5DF2" w:rsidRDefault="000D36F4" w:rsidP="000D36F4">
            <w:pPr>
              <w:jc w:val="right"/>
              <w:rPr>
                <w:rFonts w:ascii="Calibri" w:hAnsi="Calibri"/>
                <w:b/>
                <w:bCs/>
                <w:sz w:val="18"/>
                <w:szCs w:val="18"/>
              </w:rPr>
            </w:pPr>
            <w:r>
              <w:rPr>
                <w:rFonts w:ascii="Calibri" w:hAnsi="Calibri"/>
                <w:color w:val="000000"/>
                <w:sz w:val="18"/>
                <w:szCs w:val="18"/>
              </w:rPr>
              <w:t>-112</w:t>
            </w:r>
          </w:p>
        </w:tc>
        <w:tc>
          <w:tcPr>
            <w:tcW w:w="680" w:type="dxa"/>
            <w:tcBorders>
              <w:top w:val="nil"/>
              <w:left w:val="nil"/>
              <w:bottom w:val="nil"/>
              <w:right w:val="nil"/>
            </w:tcBorders>
            <w:shd w:val="clear" w:color="000000" w:fill="FFFFFF"/>
            <w:vAlign w:val="center"/>
          </w:tcPr>
          <w:p w14:paraId="59F2490C" w14:textId="73AA424A" w:rsidR="000D36F4" w:rsidRPr="006F5DF2" w:rsidRDefault="000D36F4" w:rsidP="000D36F4">
            <w:pPr>
              <w:jc w:val="right"/>
              <w:rPr>
                <w:rFonts w:ascii="Calibri" w:hAnsi="Calibri"/>
                <w:b/>
                <w:bCs/>
                <w:sz w:val="18"/>
                <w:szCs w:val="18"/>
              </w:rPr>
            </w:pPr>
            <w:r>
              <w:rPr>
                <w:rFonts w:ascii="Calibri" w:hAnsi="Calibri"/>
                <w:color w:val="000000"/>
                <w:sz w:val="18"/>
                <w:szCs w:val="18"/>
              </w:rPr>
              <w:t>-557</w:t>
            </w:r>
          </w:p>
        </w:tc>
        <w:tc>
          <w:tcPr>
            <w:tcW w:w="907" w:type="dxa"/>
            <w:tcBorders>
              <w:top w:val="nil"/>
              <w:left w:val="nil"/>
              <w:bottom w:val="nil"/>
              <w:right w:val="nil"/>
            </w:tcBorders>
            <w:shd w:val="clear" w:color="000000" w:fill="FFFFFF"/>
            <w:noWrap/>
            <w:vAlign w:val="center"/>
            <w:hideMark/>
          </w:tcPr>
          <w:p w14:paraId="2B8E6C1A" w14:textId="47436F15" w:rsidR="000D36F4" w:rsidRPr="006F5DF2" w:rsidRDefault="000D36F4" w:rsidP="000D36F4">
            <w:pPr>
              <w:jc w:val="right"/>
              <w:rPr>
                <w:rFonts w:ascii="Calibri" w:hAnsi="Calibri"/>
                <w:b/>
                <w:bCs/>
                <w:sz w:val="18"/>
                <w:szCs w:val="18"/>
              </w:rPr>
            </w:pPr>
            <w:r>
              <w:rPr>
                <w:rFonts w:ascii="Calibri" w:hAnsi="Calibri"/>
                <w:color w:val="000000"/>
                <w:sz w:val="18"/>
                <w:szCs w:val="18"/>
              </w:rPr>
              <w:t>0</w:t>
            </w:r>
          </w:p>
        </w:tc>
        <w:tc>
          <w:tcPr>
            <w:tcW w:w="907" w:type="dxa"/>
            <w:tcBorders>
              <w:top w:val="nil"/>
              <w:left w:val="nil"/>
              <w:bottom w:val="nil"/>
              <w:right w:val="nil"/>
            </w:tcBorders>
            <w:shd w:val="clear" w:color="000000" w:fill="FFFFFF"/>
            <w:noWrap/>
            <w:vAlign w:val="center"/>
            <w:hideMark/>
          </w:tcPr>
          <w:p w14:paraId="11D5F285" w14:textId="5D153E1E" w:rsidR="000D36F4" w:rsidRPr="006F5DF2" w:rsidRDefault="000D36F4" w:rsidP="000D36F4">
            <w:pPr>
              <w:jc w:val="right"/>
              <w:rPr>
                <w:rFonts w:ascii="Calibri" w:hAnsi="Calibri"/>
                <w:b/>
                <w:bCs/>
                <w:sz w:val="18"/>
                <w:szCs w:val="18"/>
              </w:rPr>
            </w:pPr>
            <w:r>
              <w:rPr>
                <w:rFonts w:ascii="Calibri" w:hAnsi="Calibri"/>
                <w:color w:val="000000"/>
                <w:sz w:val="18"/>
                <w:szCs w:val="18"/>
              </w:rPr>
              <w:t>0</w:t>
            </w:r>
          </w:p>
        </w:tc>
        <w:tc>
          <w:tcPr>
            <w:tcW w:w="907" w:type="dxa"/>
            <w:tcBorders>
              <w:top w:val="nil"/>
              <w:left w:val="nil"/>
              <w:bottom w:val="nil"/>
              <w:right w:val="nil"/>
            </w:tcBorders>
            <w:shd w:val="clear" w:color="000000" w:fill="FFFFFF"/>
            <w:noWrap/>
            <w:vAlign w:val="center"/>
            <w:hideMark/>
          </w:tcPr>
          <w:p w14:paraId="57C5A052" w14:textId="0DE508AA" w:rsidR="000D36F4" w:rsidRPr="006F5DF2" w:rsidRDefault="000D36F4" w:rsidP="000D36F4">
            <w:pPr>
              <w:jc w:val="right"/>
              <w:rPr>
                <w:rFonts w:ascii="Calibri" w:hAnsi="Calibri"/>
                <w:b/>
                <w:bCs/>
                <w:sz w:val="18"/>
                <w:szCs w:val="18"/>
              </w:rPr>
            </w:pPr>
            <w:r>
              <w:rPr>
                <w:rFonts w:ascii="Calibri" w:hAnsi="Calibri"/>
                <w:color w:val="000000"/>
                <w:sz w:val="18"/>
                <w:szCs w:val="18"/>
              </w:rPr>
              <w:t>-557</w:t>
            </w:r>
          </w:p>
        </w:tc>
        <w:tc>
          <w:tcPr>
            <w:tcW w:w="907" w:type="dxa"/>
            <w:tcBorders>
              <w:top w:val="nil"/>
              <w:left w:val="nil"/>
              <w:bottom w:val="nil"/>
              <w:right w:val="nil"/>
            </w:tcBorders>
            <w:shd w:val="clear" w:color="000000" w:fill="FFFFFF"/>
            <w:noWrap/>
            <w:vAlign w:val="center"/>
            <w:hideMark/>
          </w:tcPr>
          <w:p w14:paraId="53A458FB" w14:textId="1C06DD55" w:rsidR="000D36F4" w:rsidRPr="006F5DF2" w:rsidRDefault="000D36F4" w:rsidP="000D36F4">
            <w:pPr>
              <w:jc w:val="right"/>
              <w:rPr>
                <w:rFonts w:ascii="Calibri" w:hAnsi="Calibri"/>
                <w:b/>
                <w:bCs/>
                <w:sz w:val="18"/>
                <w:szCs w:val="18"/>
              </w:rPr>
            </w:pPr>
            <w:r>
              <w:rPr>
                <w:rFonts w:ascii="Calibri" w:hAnsi="Calibri"/>
                <w:color w:val="00B050"/>
                <w:sz w:val="18"/>
                <w:szCs w:val="18"/>
              </w:rPr>
              <w:t>0%</w:t>
            </w:r>
          </w:p>
        </w:tc>
        <w:tc>
          <w:tcPr>
            <w:tcW w:w="1077" w:type="dxa"/>
            <w:tcBorders>
              <w:top w:val="nil"/>
              <w:left w:val="nil"/>
              <w:bottom w:val="nil"/>
              <w:right w:val="nil"/>
            </w:tcBorders>
            <w:shd w:val="clear" w:color="000000" w:fill="FFFFFF"/>
            <w:noWrap/>
            <w:vAlign w:val="center"/>
            <w:hideMark/>
          </w:tcPr>
          <w:p w14:paraId="62F6844D" w14:textId="3008E3C8" w:rsidR="000D36F4" w:rsidRPr="006F5DF2" w:rsidRDefault="000D36F4" w:rsidP="000D36F4">
            <w:pPr>
              <w:jc w:val="right"/>
              <w:rPr>
                <w:rFonts w:ascii="Calibri" w:hAnsi="Calibri"/>
                <w:b/>
                <w:bCs/>
                <w:sz w:val="18"/>
                <w:szCs w:val="18"/>
              </w:rPr>
            </w:pPr>
            <w:r>
              <w:rPr>
                <w:rFonts w:ascii="Calibri" w:hAnsi="Calibri"/>
                <w:color w:val="00B050"/>
                <w:sz w:val="18"/>
                <w:szCs w:val="18"/>
              </w:rPr>
              <w:t> </w:t>
            </w:r>
          </w:p>
        </w:tc>
      </w:tr>
      <w:tr w:rsidR="000D36F4" w:rsidRPr="001931E6" w14:paraId="11A04432" w14:textId="77777777" w:rsidTr="000D36F4">
        <w:trPr>
          <w:trHeight w:val="240"/>
        </w:trPr>
        <w:tc>
          <w:tcPr>
            <w:tcW w:w="2268" w:type="dxa"/>
            <w:tcBorders>
              <w:top w:val="nil"/>
              <w:left w:val="nil"/>
              <w:bottom w:val="nil"/>
              <w:right w:val="nil"/>
            </w:tcBorders>
            <w:shd w:val="clear" w:color="000000" w:fill="FFFFFF"/>
            <w:noWrap/>
            <w:vAlign w:val="bottom"/>
            <w:hideMark/>
          </w:tcPr>
          <w:p w14:paraId="42E09F89" w14:textId="77777777" w:rsidR="000D36F4" w:rsidRPr="006F5DF2" w:rsidRDefault="000D36F4" w:rsidP="000D36F4">
            <w:pPr>
              <w:rPr>
                <w:rFonts w:ascii="Calibri" w:hAnsi="Calibri"/>
                <w:b/>
                <w:bCs/>
                <w:sz w:val="18"/>
                <w:szCs w:val="18"/>
              </w:rPr>
            </w:pPr>
            <w:r w:rsidRPr="006F5DF2">
              <w:rPr>
                <w:rFonts w:ascii="Calibri" w:hAnsi="Calibri"/>
                <w:b/>
                <w:bCs/>
                <w:sz w:val="18"/>
                <w:szCs w:val="18"/>
              </w:rPr>
              <w:t>Разходи за лихви и други финансови разходи</w:t>
            </w:r>
          </w:p>
        </w:tc>
        <w:tc>
          <w:tcPr>
            <w:tcW w:w="680" w:type="dxa"/>
            <w:tcBorders>
              <w:top w:val="nil"/>
              <w:left w:val="nil"/>
              <w:bottom w:val="nil"/>
              <w:right w:val="nil"/>
            </w:tcBorders>
            <w:shd w:val="clear" w:color="000000" w:fill="FFFFFF"/>
            <w:noWrap/>
            <w:vAlign w:val="center"/>
            <w:hideMark/>
          </w:tcPr>
          <w:p w14:paraId="3E55104E" w14:textId="78B05BB4" w:rsidR="000D36F4" w:rsidRPr="006F5DF2" w:rsidRDefault="000D36F4" w:rsidP="000D36F4">
            <w:pPr>
              <w:jc w:val="right"/>
              <w:rPr>
                <w:rFonts w:ascii="Calibri" w:hAnsi="Calibri"/>
                <w:b/>
                <w:bCs/>
                <w:sz w:val="18"/>
                <w:szCs w:val="18"/>
              </w:rPr>
            </w:pPr>
            <w:r>
              <w:rPr>
                <w:rFonts w:ascii="Calibri" w:hAnsi="Calibri"/>
                <w:color w:val="000000"/>
                <w:sz w:val="18"/>
                <w:szCs w:val="18"/>
              </w:rPr>
              <w:t>-385</w:t>
            </w:r>
          </w:p>
        </w:tc>
        <w:tc>
          <w:tcPr>
            <w:tcW w:w="680" w:type="dxa"/>
            <w:tcBorders>
              <w:top w:val="nil"/>
              <w:left w:val="nil"/>
              <w:bottom w:val="nil"/>
              <w:right w:val="nil"/>
            </w:tcBorders>
            <w:shd w:val="clear" w:color="000000" w:fill="FFFFFF"/>
            <w:noWrap/>
            <w:vAlign w:val="center"/>
            <w:hideMark/>
          </w:tcPr>
          <w:p w14:paraId="605F4964" w14:textId="3EE16806" w:rsidR="000D36F4" w:rsidRPr="006F5DF2" w:rsidRDefault="000D36F4" w:rsidP="000D36F4">
            <w:pPr>
              <w:jc w:val="right"/>
              <w:rPr>
                <w:rFonts w:ascii="Calibri" w:hAnsi="Calibri"/>
                <w:b/>
                <w:bCs/>
                <w:sz w:val="18"/>
                <w:szCs w:val="18"/>
              </w:rPr>
            </w:pPr>
            <w:r>
              <w:rPr>
                <w:rFonts w:ascii="Calibri" w:hAnsi="Calibri"/>
                <w:color w:val="000000"/>
                <w:sz w:val="18"/>
                <w:szCs w:val="18"/>
              </w:rPr>
              <w:t>-509</w:t>
            </w:r>
          </w:p>
        </w:tc>
        <w:tc>
          <w:tcPr>
            <w:tcW w:w="680" w:type="dxa"/>
            <w:tcBorders>
              <w:top w:val="nil"/>
              <w:left w:val="nil"/>
              <w:bottom w:val="nil"/>
              <w:right w:val="nil"/>
            </w:tcBorders>
            <w:shd w:val="clear" w:color="000000" w:fill="FFFFFF"/>
            <w:vAlign w:val="center"/>
          </w:tcPr>
          <w:p w14:paraId="158C5CA9" w14:textId="6860791B" w:rsidR="000D36F4" w:rsidRPr="006F5DF2" w:rsidRDefault="000D36F4" w:rsidP="000D36F4">
            <w:pPr>
              <w:jc w:val="right"/>
              <w:rPr>
                <w:rFonts w:ascii="Calibri" w:hAnsi="Calibri"/>
                <w:b/>
                <w:bCs/>
                <w:sz w:val="18"/>
                <w:szCs w:val="18"/>
              </w:rPr>
            </w:pPr>
            <w:r>
              <w:rPr>
                <w:rFonts w:ascii="Calibri" w:hAnsi="Calibri"/>
                <w:color w:val="000000"/>
                <w:sz w:val="18"/>
                <w:szCs w:val="18"/>
              </w:rPr>
              <w:t>-820</w:t>
            </w:r>
          </w:p>
        </w:tc>
        <w:tc>
          <w:tcPr>
            <w:tcW w:w="907" w:type="dxa"/>
            <w:tcBorders>
              <w:top w:val="nil"/>
              <w:left w:val="nil"/>
              <w:bottom w:val="nil"/>
              <w:right w:val="nil"/>
            </w:tcBorders>
            <w:shd w:val="clear" w:color="000000" w:fill="FFFFFF"/>
            <w:noWrap/>
            <w:vAlign w:val="center"/>
            <w:hideMark/>
          </w:tcPr>
          <w:p w14:paraId="428F5EFD" w14:textId="6A09B98E" w:rsidR="000D36F4" w:rsidRPr="006F5DF2" w:rsidRDefault="000D36F4" w:rsidP="000D36F4">
            <w:pPr>
              <w:jc w:val="right"/>
              <w:rPr>
                <w:rFonts w:ascii="Calibri" w:hAnsi="Calibri"/>
                <w:b/>
                <w:bCs/>
                <w:sz w:val="18"/>
                <w:szCs w:val="18"/>
              </w:rPr>
            </w:pPr>
            <w:r>
              <w:rPr>
                <w:rFonts w:ascii="Calibri" w:hAnsi="Calibri"/>
                <w:color w:val="000000"/>
                <w:sz w:val="18"/>
                <w:szCs w:val="18"/>
              </w:rPr>
              <w:t>-411</w:t>
            </w:r>
          </w:p>
        </w:tc>
        <w:tc>
          <w:tcPr>
            <w:tcW w:w="907" w:type="dxa"/>
            <w:tcBorders>
              <w:top w:val="nil"/>
              <w:left w:val="nil"/>
              <w:bottom w:val="nil"/>
              <w:right w:val="nil"/>
            </w:tcBorders>
            <w:shd w:val="clear" w:color="000000" w:fill="FFFFFF"/>
            <w:noWrap/>
            <w:vAlign w:val="center"/>
            <w:hideMark/>
          </w:tcPr>
          <w:p w14:paraId="113BEBB3" w14:textId="01F5F35B" w:rsidR="000D36F4" w:rsidRPr="006F5DF2" w:rsidRDefault="000D36F4" w:rsidP="000D36F4">
            <w:pPr>
              <w:jc w:val="right"/>
              <w:rPr>
                <w:rFonts w:ascii="Calibri" w:hAnsi="Calibri"/>
                <w:b/>
                <w:bCs/>
                <w:sz w:val="18"/>
                <w:szCs w:val="18"/>
              </w:rPr>
            </w:pPr>
            <w:r>
              <w:rPr>
                <w:rFonts w:ascii="Calibri" w:hAnsi="Calibri"/>
                <w:color w:val="000000"/>
                <w:sz w:val="18"/>
                <w:szCs w:val="18"/>
              </w:rPr>
              <w:t>-358</w:t>
            </w:r>
          </w:p>
        </w:tc>
        <w:tc>
          <w:tcPr>
            <w:tcW w:w="907" w:type="dxa"/>
            <w:tcBorders>
              <w:top w:val="nil"/>
              <w:left w:val="nil"/>
              <w:bottom w:val="nil"/>
              <w:right w:val="nil"/>
            </w:tcBorders>
            <w:shd w:val="clear" w:color="000000" w:fill="FFFFFF"/>
            <w:noWrap/>
            <w:vAlign w:val="center"/>
            <w:hideMark/>
          </w:tcPr>
          <w:p w14:paraId="42CDF90F" w14:textId="453C0200" w:rsidR="000D36F4" w:rsidRPr="006F5DF2" w:rsidRDefault="000D36F4" w:rsidP="000D36F4">
            <w:pPr>
              <w:jc w:val="right"/>
              <w:rPr>
                <w:rFonts w:ascii="Calibri" w:hAnsi="Calibri"/>
                <w:b/>
                <w:bCs/>
                <w:sz w:val="18"/>
                <w:szCs w:val="18"/>
              </w:rPr>
            </w:pPr>
            <w:r>
              <w:rPr>
                <w:rFonts w:ascii="Calibri" w:hAnsi="Calibri"/>
                <w:color w:val="000000"/>
                <w:sz w:val="18"/>
                <w:szCs w:val="18"/>
              </w:rPr>
              <w:t>-767</w:t>
            </w:r>
          </w:p>
        </w:tc>
        <w:tc>
          <w:tcPr>
            <w:tcW w:w="907" w:type="dxa"/>
            <w:tcBorders>
              <w:top w:val="nil"/>
              <w:left w:val="nil"/>
              <w:bottom w:val="nil"/>
              <w:right w:val="nil"/>
            </w:tcBorders>
            <w:shd w:val="clear" w:color="000000" w:fill="FFFFFF"/>
            <w:noWrap/>
            <w:vAlign w:val="center"/>
            <w:hideMark/>
          </w:tcPr>
          <w:p w14:paraId="72D895C7" w14:textId="7D7D5E18" w:rsidR="000D36F4" w:rsidRPr="006F5DF2" w:rsidRDefault="000D36F4" w:rsidP="000D36F4">
            <w:pPr>
              <w:jc w:val="right"/>
              <w:rPr>
                <w:rFonts w:ascii="Calibri" w:hAnsi="Calibri"/>
                <w:b/>
                <w:bCs/>
                <w:sz w:val="18"/>
                <w:szCs w:val="18"/>
              </w:rPr>
            </w:pPr>
            <w:r>
              <w:rPr>
                <w:rFonts w:ascii="Calibri" w:hAnsi="Calibri"/>
                <w:color w:val="00B050"/>
                <w:sz w:val="18"/>
                <w:szCs w:val="18"/>
              </w:rPr>
              <w:t>-6%</w:t>
            </w:r>
          </w:p>
        </w:tc>
        <w:tc>
          <w:tcPr>
            <w:tcW w:w="1077" w:type="dxa"/>
            <w:tcBorders>
              <w:top w:val="nil"/>
              <w:left w:val="nil"/>
              <w:bottom w:val="nil"/>
              <w:right w:val="nil"/>
            </w:tcBorders>
            <w:shd w:val="clear" w:color="000000" w:fill="FFFFFF"/>
            <w:noWrap/>
            <w:vAlign w:val="center"/>
            <w:hideMark/>
          </w:tcPr>
          <w:p w14:paraId="79F6F19E" w14:textId="1EE9D211" w:rsidR="000D36F4" w:rsidRPr="006F5DF2" w:rsidRDefault="000D36F4" w:rsidP="000D36F4">
            <w:pPr>
              <w:jc w:val="right"/>
              <w:rPr>
                <w:rFonts w:ascii="Calibri" w:hAnsi="Calibri"/>
                <w:b/>
                <w:bCs/>
                <w:sz w:val="18"/>
                <w:szCs w:val="18"/>
              </w:rPr>
            </w:pPr>
            <w:r>
              <w:rPr>
                <w:rFonts w:ascii="Calibri" w:hAnsi="Calibri"/>
                <w:color w:val="00B050"/>
                <w:sz w:val="18"/>
                <w:szCs w:val="18"/>
              </w:rPr>
              <w:t>-13%</w:t>
            </w:r>
          </w:p>
        </w:tc>
      </w:tr>
      <w:tr w:rsidR="000D36F4" w:rsidRPr="001931E6" w14:paraId="37F9FCD2" w14:textId="77777777" w:rsidTr="000D36F4">
        <w:trPr>
          <w:trHeight w:val="240"/>
        </w:trPr>
        <w:tc>
          <w:tcPr>
            <w:tcW w:w="2268" w:type="dxa"/>
            <w:tcBorders>
              <w:top w:val="nil"/>
              <w:left w:val="nil"/>
              <w:bottom w:val="nil"/>
              <w:right w:val="nil"/>
            </w:tcBorders>
            <w:shd w:val="clear" w:color="000000" w:fill="FFFFFF"/>
            <w:noWrap/>
            <w:vAlign w:val="bottom"/>
            <w:hideMark/>
          </w:tcPr>
          <w:p w14:paraId="4C64E723" w14:textId="77777777" w:rsidR="000D36F4" w:rsidRPr="006F5DF2" w:rsidRDefault="000D36F4" w:rsidP="000D36F4">
            <w:pPr>
              <w:rPr>
                <w:rFonts w:ascii="Calibri" w:hAnsi="Calibri"/>
                <w:b/>
                <w:bCs/>
                <w:sz w:val="18"/>
                <w:szCs w:val="18"/>
              </w:rPr>
            </w:pPr>
            <w:r w:rsidRPr="006F5DF2">
              <w:rPr>
                <w:rFonts w:ascii="Calibri" w:hAnsi="Calibri"/>
                <w:b/>
                <w:bCs/>
                <w:sz w:val="18"/>
                <w:szCs w:val="18"/>
              </w:rPr>
              <w:t>Печалба преди данъчно облагане</w:t>
            </w:r>
          </w:p>
        </w:tc>
        <w:tc>
          <w:tcPr>
            <w:tcW w:w="680" w:type="dxa"/>
            <w:tcBorders>
              <w:top w:val="nil"/>
              <w:left w:val="nil"/>
              <w:bottom w:val="nil"/>
              <w:right w:val="nil"/>
            </w:tcBorders>
            <w:shd w:val="clear" w:color="000000" w:fill="FFFFFF"/>
            <w:noWrap/>
            <w:vAlign w:val="center"/>
            <w:hideMark/>
          </w:tcPr>
          <w:p w14:paraId="560413AA" w14:textId="49419F77" w:rsidR="000D36F4" w:rsidRPr="006F5DF2" w:rsidRDefault="000D36F4" w:rsidP="000D36F4">
            <w:pPr>
              <w:jc w:val="right"/>
              <w:rPr>
                <w:rFonts w:ascii="Calibri" w:hAnsi="Calibri"/>
                <w:b/>
                <w:bCs/>
                <w:sz w:val="18"/>
                <w:szCs w:val="18"/>
              </w:rPr>
            </w:pPr>
            <w:r>
              <w:rPr>
                <w:rFonts w:ascii="Calibri" w:hAnsi="Calibri"/>
                <w:b/>
                <w:bCs/>
                <w:color w:val="000000"/>
                <w:sz w:val="18"/>
                <w:szCs w:val="18"/>
              </w:rPr>
              <w:t>409</w:t>
            </w:r>
          </w:p>
        </w:tc>
        <w:tc>
          <w:tcPr>
            <w:tcW w:w="680" w:type="dxa"/>
            <w:tcBorders>
              <w:top w:val="nil"/>
              <w:left w:val="nil"/>
              <w:bottom w:val="nil"/>
              <w:right w:val="nil"/>
            </w:tcBorders>
            <w:shd w:val="clear" w:color="000000" w:fill="FFFFFF"/>
            <w:noWrap/>
            <w:vAlign w:val="center"/>
            <w:hideMark/>
          </w:tcPr>
          <w:p w14:paraId="75733473" w14:textId="1C17C2B4" w:rsidR="000D36F4" w:rsidRPr="006F5DF2" w:rsidRDefault="000D36F4" w:rsidP="000D36F4">
            <w:pPr>
              <w:jc w:val="right"/>
              <w:rPr>
                <w:rFonts w:ascii="Calibri" w:hAnsi="Calibri"/>
                <w:b/>
                <w:bCs/>
                <w:sz w:val="18"/>
                <w:szCs w:val="18"/>
              </w:rPr>
            </w:pPr>
            <w:r>
              <w:rPr>
                <w:rFonts w:ascii="Calibri" w:hAnsi="Calibri"/>
                <w:b/>
                <w:bCs/>
                <w:color w:val="000000"/>
                <w:sz w:val="18"/>
                <w:szCs w:val="18"/>
              </w:rPr>
              <w:t>465</w:t>
            </w:r>
          </w:p>
        </w:tc>
        <w:tc>
          <w:tcPr>
            <w:tcW w:w="680" w:type="dxa"/>
            <w:tcBorders>
              <w:top w:val="nil"/>
              <w:left w:val="nil"/>
              <w:bottom w:val="nil"/>
              <w:right w:val="nil"/>
            </w:tcBorders>
            <w:shd w:val="clear" w:color="000000" w:fill="FFFFFF"/>
            <w:vAlign w:val="center"/>
          </w:tcPr>
          <w:p w14:paraId="4F0DA3A3" w14:textId="56953759" w:rsidR="000D36F4" w:rsidRPr="006F5DF2" w:rsidRDefault="000D36F4" w:rsidP="000D36F4">
            <w:pPr>
              <w:jc w:val="right"/>
              <w:rPr>
                <w:rFonts w:ascii="Calibri" w:hAnsi="Calibri"/>
                <w:b/>
                <w:bCs/>
                <w:sz w:val="18"/>
                <w:szCs w:val="18"/>
              </w:rPr>
            </w:pPr>
            <w:r>
              <w:rPr>
                <w:rFonts w:ascii="Calibri" w:hAnsi="Calibri"/>
                <w:b/>
                <w:bCs/>
                <w:color w:val="000000"/>
                <w:sz w:val="18"/>
                <w:szCs w:val="18"/>
              </w:rPr>
              <w:t>769</w:t>
            </w:r>
          </w:p>
        </w:tc>
        <w:tc>
          <w:tcPr>
            <w:tcW w:w="907" w:type="dxa"/>
            <w:tcBorders>
              <w:top w:val="nil"/>
              <w:left w:val="nil"/>
              <w:bottom w:val="nil"/>
              <w:right w:val="nil"/>
            </w:tcBorders>
            <w:shd w:val="clear" w:color="000000" w:fill="FFFFFF"/>
            <w:noWrap/>
            <w:vAlign w:val="center"/>
            <w:hideMark/>
          </w:tcPr>
          <w:p w14:paraId="5FB01BDB" w14:textId="08C6F721" w:rsidR="000D36F4" w:rsidRPr="006F5DF2" w:rsidRDefault="000D36F4" w:rsidP="000D36F4">
            <w:pPr>
              <w:jc w:val="right"/>
              <w:rPr>
                <w:rFonts w:ascii="Calibri" w:hAnsi="Calibri"/>
                <w:b/>
                <w:bCs/>
                <w:sz w:val="18"/>
                <w:szCs w:val="18"/>
              </w:rPr>
            </w:pPr>
            <w:r>
              <w:rPr>
                <w:rFonts w:ascii="Calibri" w:hAnsi="Calibri"/>
                <w:b/>
                <w:bCs/>
                <w:color w:val="000000"/>
                <w:sz w:val="18"/>
                <w:szCs w:val="18"/>
              </w:rPr>
              <w:t>424</w:t>
            </w:r>
          </w:p>
        </w:tc>
        <w:tc>
          <w:tcPr>
            <w:tcW w:w="907" w:type="dxa"/>
            <w:tcBorders>
              <w:top w:val="nil"/>
              <w:left w:val="nil"/>
              <w:bottom w:val="nil"/>
              <w:right w:val="nil"/>
            </w:tcBorders>
            <w:shd w:val="clear" w:color="000000" w:fill="FFFFFF"/>
            <w:noWrap/>
            <w:vAlign w:val="center"/>
            <w:hideMark/>
          </w:tcPr>
          <w:p w14:paraId="022998F9" w14:textId="1FB5711F" w:rsidR="000D36F4" w:rsidRPr="006F5DF2" w:rsidRDefault="000D36F4" w:rsidP="000D36F4">
            <w:pPr>
              <w:jc w:val="right"/>
              <w:rPr>
                <w:rFonts w:ascii="Calibri" w:hAnsi="Calibri"/>
                <w:b/>
                <w:bCs/>
                <w:sz w:val="18"/>
                <w:szCs w:val="18"/>
              </w:rPr>
            </w:pPr>
            <w:r>
              <w:rPr>
                <w:rFonts w:ascii="Calibri" w:hAnsi="Calibri"/>
                <w:b/>
                <w:bCs/>
                <w:color w:val="000000"/>
                <w:sz w:val="18"/>
                <w:szCs w:val="18"/>
              </w:rPr>
              <w:t>156</w:t>
            </w:r>
          </w:p>
        </w:tc>
        <w:tc>
          <w:tcPr>
            <w:tcW w:w="907" w:type="dxa"/>
            <w:tcBorders>
              <w:top w:val="nil"/>
              <w:left w:val="nil"/>
              <w:bottom w:val="nil"/>
              <w:right w:val="nil"/>
            </w:tcBorders>
            <w:shd w:val="clear" w:color="000000" w:fill="FFFFFF"/>
            <w:noWrap/>
            <w:vAlign w:val="center"/>
            <w:hideMark/>
          </w:tcPr>
          <w:p w14:paraId="10DE37F7" w14:textId="2F2355E8" w:rsidR="000D36F4" w:rsidRPr="006F5DF2" w:rsidRDefault="000D36F4" w:rsidP="000D36F4">
            <w:pPr>
              <w:jc w:val="right"/>
              <w:rPr>
                <w:rFonts w:ascii="Calibri" w:hAnsi="Calibri"/>
                <w:b/>
                <w:bCs/>
                <w:sz w:val="18"/>
                <w:szCs w:val="18"/>
              </w:rPr>
            </w:pPr>
            <w:r>
              <w:rPr>
                <w:rFonts w:ascii="Calibri" w:hAnsi="Calibri"/>
                <w:b/>
                <w:bCs/>
                <w:color w:val="000000"/>
                <w:sz w:val="18"/>
                <w:szCs w:val="18"/>
              </w:rPr>
              <w:t>501</w:t>
            </w:r>
          </w:p>
        </w:tc>
        <w:tc>
          <w:tcPr>
            <w:tcW w:w="907" w:type="dxa"/>
            <w:tcBorders>
              <w:top w:val="nil"/>
              <w:left w:val="nil"/>
              <w:bottom w:val="nil"/>
              <w:right w:val="nil"/>
            </w:tcBorders>
            <w:shd w:val="clear" w:color="000000" w:fill="FFFFFF"/>
            <w:noWrap/>
            <w:vAlign w:val="center"/>
            <w:hideMark/>
          </w:tcPr>
          <w:p w14:paraId="3815B85A" w14:textId="0FA70191" w:rsidR="000D36F4" w:rsidRPr="006F5DF2" w:rsidRDefault="000D36F4" w:rsidP="000D36F4">
            <w:pPr>
              <w:jc w:val="right"/>
              <w:rPr>
                <w:rFonts w:ascii="Calibri" w:hAnsi="Calibri"/>
                <w:b/>
                <w:bCs/>
                <w:sz w:val="18"/>
                <w:szCs w:val="18"/>
              </w:rPr>
            </w:pPr>
            <w:r>
              <w:rPr>
                <w:rFonts w:ascii="Calibri" w:hAnsi="Calibri"/>
                <w:b/>
                <w:bCs/>
                <w:color w:val="00B050"/>
                <w:sz w:val="18"/>
                <w:szCs w:val="18"/>
              </w:rPr>
              <w:t>-35%</w:t>
            </w:r>
          </w:p>
        </w:tc>
        <w:tc>
          <w:tcPr>
            <w:tcW w:w="1077" w:type="dxa"/>
            <w:tcBorders>
              <w:top w:val="nil"/>
              <w:left w:val="nil"/>
              <w:bottom w:val="nil"/>
              <w:right w:val="nil"/>
            </w:tcBorders>
            <w:shd w:val="clear" w:color="000000" w:fill="FFFFFF"/>
            <w:noWrap/>
            <w:vAlign w:val="center"/>
            <w:hideMark/>
          </w:tcPr>
          <w:p w14:paraId="344E3953" w14:textId="69A8531C" w:rsidR="000D36F4" w:rsidRPr="006F5DF2" w:rsidRDefault="000D36F4" w:rsidP="000D36F4">
            <w:pPr>
              <w:jc w:val="right"/>
              <w:rPr>
                <w:rFonts w:ascii="Calibri" w:hAnsi="Calibri"/>
                <w:b/>
                <w:bCs/>
                <w:sz w:val="18"/>
                <w:szCs w:val="18"/>
              </w:rPr>
            </w:pPr>
            <w:r>
              <w:rPr>
                <w:rFonts w:ascii="Calibri" w:hAnsi="Calibri"/>
                <w:color w:val="00B050"/>
                <w:sz w:val="18"/>
                <w:szCs w:val="18"/>
              </w:rPr>
              <w:t>-63%</w:t>
            </w:r>
          </w:p>
        </w:tc>
      </w:tr>
      <w:tr w:rsidR="000D36F4" w:rsidRPr="001931E6" w14:paraId="315C2BA7" w14:textId="77777777" w:rsidTr="000D36F4">
        <w:trPr>
          <w:trHeight w:val="240"/>
        </w:trPr>
        <w:tc>
          <w:tcPr>
            <w:tcW w:w="2268" w:type="dxa"/>
            <w:tcBorders>
              <w:top w:val="nil"/>
              <w:left w:val="nil"/>
              <w:bottom w:val="nil"/>
              <w:right w:val="nil"/>
            </w:tcBorders>
            <w:shd w:val="clear" w:color="000000" w:fill="FFFFFF"/>
            <w:noWrap/>
            <w:vAlign w:val="bottom"/>
            <w:hideMark/>
          </w:tcPr>
          <w:p w14:paraId="0C64CBB3" w14:textId="77777777" w:rsidR="000D36F4" w:rsidRPr="006F5DF2" w:rsidRDefault="000D36F4" w:rsidP="000D36F4">
            <w:pPr>
              <w:rPr>
                <w:rFonts w:ascii="Calibri" w:hAnsi="Calibri"/>
                <w:b/>
                <w:bCs/>
                <w:sz w:val="18"/>
                <w:szCs w:val="18"/>
              </w:rPr>
            </w:pPr>
            <w:r w:rsidRPr="006F5DF2">
              <w:rPr>
                <w:rFonts w:ascii="Calibri" w:hAnsi="Calibri"/>
                <w:b/>
                <w:bCs/>
                <w:sz w:val="18"/>
                <w:szCs w:val="18"/>
              </w:rPr>
              <w:t> </w:t>
            </w:r>
          </w:p>
        </w:tc>
        <w:tc>
          <w:tcPr>
            <w:tcW w:w="680" w:type="dxa"/>
            <w:tcBorders>
              <w:top w:val="nil"/>
              <w:left w:val="nil"/>
              <w:bottom w:val="nil"/>
              <w:right w:val="nil"/>
            </w:tcBorders>
            <w:shd w:val="clear" w:color="000000" w:fill="FFFFFF"/>
            <w:noWrap/>
            <w:vAlign w:val="center"/>
            <w:hideMark/>
          </w:tcPr>
          <w:p w14:paraId="11E7497A" w14:textId="24E04D6E" w:rsidR="000D36F4" w:rsidRPr="006F5DF2" w:rsidRDefault="000D36F4" w:rsidP="000D36F4">
            <w:pPr>
              <w:jc w:val="right"/>
              <w:rPr>
                <w:rFonts w:ascii="Calibri" w:hAnsi="Calibri"/>
                <w:b/>
                <w:bCs/>
                <w:sz w:val="18"/>
                <w:szCs w:val="18"/>
              </w:rPr>
            </w:pPr>
            <w:r>
              <w:rPr>
                <w:rFonts w:ascii="Calibri" w:hAnsi="Calibri"/>
                <w:b/>
                <w:bCs/>
                <w:color w:val="000000"/>
                <w:sz w:val="18"/>
                <w:szCs w:val="18"/>
              </w:rPr>
              <w:t>4 475</w:t>
            </w:r>
          </w:p>
        </w:tc>
        <w:tc>
          <w:tcPr>
            <w:tcW w:w="680" w:type="dxa"/>
            <w:tcBorders>
              <w:top w:val="nil"/>
              <w:left w:val="nil"/>
              <w:bottom w:val="nil"/>
              <w:right w:val="nil"/>
            </w:tcBorders>
            <w:shd w:val="clear" w:color="000000" w:fill="FFFFFF"/>
            <w:noWrap/>
            <w:vAlign w:val="center"/>
            <w:hideMark/>
          </w:tcPr>
          <w:p w14:paraId="70FA90AE" w14:textId="4ADD9464" w:rsidR="000D36F4" w:rsidRPr="006F5DF2" w:rsidRDefault="000D36F4" w:rsidP="000D36F4">
            <w:pPr>
              <w:jc w:val="right"/>
              <w:rPr>
                <w:rFonts w:ascii="Calibri" w:hAnsi="Calibri"/>
                <w:b/>
                <w:bCs/>
                <w:sz w:val="18"/>
                <w:szCs w:val="18"/>
              </w:rPr>
            </w:pPr>
            <w:r>
              <w:rPr>
                <w:rFonts w:ascii="Calibri" w:hAnsi="Calibri"/>
                <w:b/>
                <w:bCs/>
                <w:color w:val="000000"/>
                <w:sz w:val="18"/>
                <w:szCs w:val="18"/>
              </w:rPr>
              <w:t>4 965</w:t>
            </w:r>
          </w:p>
        </w:tc>
        <w:tc>
          <w:tcPr>
            <w:tcW w:w="680" w:type="dxa"/>
            <w:tcBorders>
              <w:top w:val="nil"/>
              <w:left w:val="nil"/>
              <w:bottom w:val="nil"/>
              <w:right w:val="nil"/>
            </w:tcBorders>
            <w:shd w:val="clear" w:color="000000" w:fill="FFFFFF"/>
            <w:vAlign w:val="center"/>
          </w:tcPr>
          <w:p w14:paraId="3F7A98E8" w14:textId="3192A901" w:rsidR="000D36F4" w:rsidRPr="006F5DF2" w:rsidRDefault="000D36F4" w:rsidP="000D36F4">
            <w:pPr>
              <w:jc w:val="right"/>
              <w:rPr>
                <w:rFonts w:ascii="Calibri" w:hAnsi="Calibri"/>
                <w:b/>
                <w:bCs/>
                <w:sz w:val="18"/>
                <w:szCs w:val="18"/>
              </w:rPr>
            </w:pPr>
            <w:r>
              <w:rPr>
                <w:rFonts w:ascii="Calibri" w:hAnsi="Calibri"/>
                <w:b/>
                <w:bCs/>
                <w:color w:val="000000"/>
                <w:sz w:val="18"/>
                <w:szCs w:val="18"/>
              </w:rPr>
              <w:t>6 412</w:t>
            </w:r>
          </w:p>
        </w:tc>
        <w:tc>
          <w:tcPr>
            <w:tcW w:w="907" w:type="dxa"/>
            <w:tcBorders>
              <w:top w:val="nil"/>
              <w:left w:val="nil"/>
              <w:bottom w:val="nil"/>
              <w:right w:val="nil"/>
            </w:tcBorders>
            <w:shd w:val="clear" w:color="000000" w:fill="FFFFFF"/>
            <w:noWrap/>
            <w:vAlign w:val="center"/>
            <w:hideMark/>
          </w:tcPr>
          <w:p w14:paraId="578D485D" w14:textId="254C3DFD" w:rsidR="000D36F4" w:rsidRPr="006F5DF2" w:rsidRDefault="000D36F4" w:rsidP="000D36F4">
            <w:pPr>
              <w:jc w:val="right"/>
              <w:rPr>
                <w:rFonts w:ascii="Calibri" w:hAnsi="Calibri"/>
                <w:b/>
                <w:bCs/>
                <w:sz w:val="18"/>
                <w:szCs w:val="18"/>
              </w:rPr>
            </w:pPr>
            <w:r>
              <w:rPr>
                <w:rFonts w:ascii="Calibri" w:hAnsi="Calibri"/>
                <w:b/>
                <w:bCs/>
                <w:color w:val="000000"/>
                <w:sz w:val="18"/>
                <w:szCs w:val="18"/>
              </w:rPr>
              <w:t>3 175</w:t>
            </w:r>
          </w:p>
        </w:tc>
        <w:tc>
          <w:tcPr>
            <w:tcW w:w="907" w:type="dxa"/>
            <w:tcBorders>
              <w:top w:val="nil"/>
              <w:left w:val="nil"/>
              <w:bottom w:val="nil"/>
              <w:right w:val="nil"/>
            </w:tcBorders>
            <w:shd w:val="clear" w:color="000000" w:fill="FFFFFF"/>
            <w:noWrap/>
            <w:vAlign w:val="center"/>
            <w:hideMark/>
          </w:tcPr>
          <w:p w14:paraId="621DFA04" w14:textId="18520BDE" w:rsidR="000D36F4" w:rsidRPr="006F5DF2" w:rsidRDefault="000D36F4" w:rsidP="000D36F4">
            <w:pPr>
              <w:jc w:val="right"/>
              <w:rPr>
                <w:rFonts w:ascii="Calibri" w:hAnsi="Calibri"/>
                <w:b/>
                <w:bCs/>
                <w:sz w:val="18"/>
                <w:szCs w:val="18"/>
              </w:rPr>
            </w:pPr>
            <w:r>
              <w:rPr>
                <w:rFonts w:ascii="Calibri" w:hAnsi="Calibri"/>
                <w:b/>
                <w:bCs/>
                <w:color w:val="000000"/>
                <w:sz w:val="18"/>
                <w:szCs w:val="18"/>
              </w:rPr>
              <w:t>2 895</w:t>
            </w:r>
          </w:p>
        </w:tc>
        <w:tc>
          <w:tcPr>
            <w:tcW w:w="907" w:type="dxa"/>
            <w:tcBorders>
              <w:top w:val="nil"/>
              <w:left w:val="nil"/>
              <w:bottom w:val="nil"/>
              <w:right w:val="nil"/>
            </w:tcBorders>
            <w:shd w:val="clear" w:color="000000" w:fill="FFFFFF"/>
            <w:noWrap/>
            <w:vAlign w:val="center"/>
            <w:hideMark/>
          </w:tcPr>
          <w:p w14:paraId="330D4A50" w14:textId="2ECD84E6" w:rsidR="000D36F4" w:rsidRPr="006F5DF2" w:rsidRDefault="000D36F4" w:rsidP="000D36F4">
            <w:pPr>
              <w:jc w:val="right"/>
              <w:rPr>
                <w:rFonts w:ascii="Calibri" w:hAnsi="Calibri"/>
                <w:b/>
                <w:bCs/>
                <w:sz w:val="18"/>
                <w:szCs w:val="18"/>
              </w:rPr>
            </w:pPr>
            <w:r>
              <w:rPr>
                <w:rFonts w:ascii="Calibri" w:hAnsi="Calibri"/>
                <w:b/>
                <w:bCs/>
                <w:color w:val="000000"/>
                <w:sz w:val="18"/>
                <w:szCs w:val="18"/>
              </w:rPr>
              <w:t>6 132</w:t>
            </w:r>
          </w:p>
        </w:tc>
        <w:tc>
          <w:tcPr>
            <w:tcW w:w="907" w:type="dxa"/>
            <w:tcBorders>
              <w:top w:val="nil"/>
              <w:left w:val="nil"/>
              <w:bottom w:val="nil"/>
              <w:right w:val="nil"/>
            </w:tcBorders>
            <w:shd w:val="clear" w:color="000000" w:fill="FFFFFF"/>
            <w:noWrap/>
            <w:vAlign w:val="center"/>
            <w:hideMark/>
          </w:tcPr>
          <w:p w14:paraId="1FE8B741" w14:textId="766B0DA3" w:rsidR="000D36F4" w:rsidRPr="006F5DF2" w:rsidRDefault="000D36F4" w:rsidP="000D36F4">
            <w:pPr>
              <w:jc w:val="right"/>
              <w:rPr>
                <w:rFonts w:ascii="Calibri" w:hAnsi="Calibri"/>
                <w:b/>
                <w:bCs/>
                <w:sz w:val="18"/>
                <w:szCs w:val="18"/>
              </w:rPr>
            </w:pPr>
            <w:r>
              <w:rPr>
                <w:rFonts w:ascii="Calibri" w:hAnsi="Calibri"/>
                <w:color w:val="00B050"/>
                <w:sz w:val="18"/>
                <w:szCs w:val="18"/>
              </w:rPr>
              <w:t>-4%</w:t>
            </w:r>
          </w:p>
        </w:tc>
        <w:tc>
          <w:tcPr>
            <w:tcW w:w="1077" w:type="dxa"/>
            <w:tcBorders>
              <w:top w:val="nil"/>
              <w:left w:val="nil"/>
              <w:bottom w:val="nil"/>
              <w:right w:val="nil"/>
            </w:tcBorders>
            <w:shd w:val="clear" w:color="000000" w:fill="FFFFFF"/>
            <w:noWrap/>
            <w:vAlign w:val="center"/>
            <w:hideMark/>
          </w:tcPr>
          <w:p w14:paraId="3DCB0A6F" w14:textId="3AC071AC" w:rsidR="000D36F4" w:rsidRPr="006F5DF2" w:rsidRDefault="000D36F4" w:rsidP="000D36F4">
            <w:pPr>
              <w:jc w:val="right"/>
              <w:rPr>
                <w:rFonts w:ascii="Calibri" w:hAnsi="Calibri"/>
                <w:b/>
                <w:bCs/>
                <w:sz w:val="18"/>
                <w:szCs w:val="18"/>
              </w:rPr>
            </w:pPr>
            <w:r>
              <w:rPr>
                <w:rFonts w:ascii="Calibri" w:hAnsi="Calibri"/>
                <w:color w:val="00B050"/>
                <w:sz w:val="18"/>
                <w:szCs w:val="18"/>
              </w:rPr>
              <w:t>-9%</w:t>
            </w:r>
          </w:p>
        </w:tc>
      </w:tr>
      <w:tr w:rsidR="000D36F4" w:rsidRPr="001931E6" w14:paraId="7FC8EC53" w14:textId="77777777" w:rsidTr="000D36F4">
        <w:trPr>
          <w:trHeight w:val="240"/>
        </w:trPr>
        <w:tc>
          <w:tcPr>
            <w:tcW w:w="2268" w:type="dxa"/>
            <w:tcBorders>
              <w:top w:val="nil"/>
              <w:left w:val="nil"/>
              <w:bottom w:val="nil"/>
              <w:right w:val="nil"/>
            </w:tcBorders>
            <w:shd w:val="clear" w:color="000000" w:fill="FFFFFF"/>
            <w:noWrap/>
            <w:vAlign w:val="bottom"/>
            <w:hideMark/>
          </w:tcPr>
          <w:p w14:paraId="38036BA7" w14:textId="77777777" w:rsidR="000D36F4" w:rsidRPr="006F5DF2" w:rsidRDefault="000D36F4" w:rsidP="000D36F4">
            <w:pPr>
              <w:rPr>
                <w:rFonts w:ascii="Calibri" w:hAnsi="Calibri"/>
                <w:b/>
                <w:bCs/>
                <w:sz w:val="18"/>
                <w:szCs w:val="18"/>
              </w:rPr>
            </w:pPr>
            <w:r w:rsidRPr="006F5DF2">
              <w:rPr>
                <w:rFonts w:ascii="Calibri" w:hAnsi="Calibri"/>
                <w:b/>
                <w:bCs/>
                <w:sz w:val="18"/>
                <w:szCs w:val="18"/>
              </w:rPr>
              <w:t>Данъци върху доходите</w:t>
            </w:r>
          </w:p>
        </w:tc>
        <w:tc>
          <w:tcPr>
            <w:tcW w:w="680" w:type="dxa"/>
            <w:tcBorders>
              <w:top w:val="nil"/>
              <w:left w:val="nil"/>
              <w:bottom w:val="nil"/>
              <w:right w:val="nil"/>
            </w:tcBorders>
            <w:shd w:val="clear" w:color="000000" w:fill="FFFFFF"/>
            <w:noWrap/>
            <w:vAlign w:val="center"/>
            <w:hideMark/>
          </w:tcPr>
          <w:p w14:paraId="7645B22B" w14:textId="359E0F63" w:rsidR="000D36F4" w:rsidRPr="006F5DF2" w:rsidRDefault="000D36F4" w:rsidP="000D36F4">
            <w:pPr>
              <w:jc w:val="right"/>
              <w:rPr>
                <w:rFonts w:ascii="Calibri" w:hAnsi="Calibri"/>
                <w:b/>
                <w:bCs/>
                <w:sz w:val="18"/>
                <w:szCs w:val="18"/>
              </w:rPr>
            </w:pPr>
            <w:r>
              <w:rPr>
                <w:rFonts w:ascii="Calibri" w:hAnsi="Calibri"/>
                <w:color w:val="000000"/>
                <w:sz w:val="18"/>
                <w:szCs w:val="18"/>
              </w:rPr>
              <w:t>0</w:t>
            </w:r>
          </w:p>
        </w:tc>
        <w:tc>
          <w:tcPr>
            <w:tcW w:w="680" w:type="dxa"/>
            <w:tcBorders>
              <w:top w:val="nil"/>
              <w:left w:val="nil"/>
              <w:bottom w:val="nil"/>
              <w:right w:val="nil"/>
            </w:tcBorders>
            <w:shd w:val="clear" w:color="000000" w:fill="FFFFFF"/>
            <w:noWrap/>
            <w:vAlign w:val="center"/>
            <w:hideMark/>
          </w:tcPr>
          <w:p w14:paraId="6AD106EB" w14:textId="0BC5A5FC" w:rsidR="000D36F4" w:rsidRPr="006F5DF2" w:rsidRDefault="000D36F4" w:rsidP="000D36F4">
            <w:pPr>
              <w:jc w:val="right"/>
              <w:rPr>
                <w:rFonts w:ascii="Calibri" w:hAnsi="Calibri"/>
                <w:b/>
                <w:bCs/>
                <w:sz w:val="18"/>
                <w:szCs w:val="18"/>
              </w:rPr>
            </w:pPr>
            <w:r>
              <w:rPr>
                <w:rFonts w:ascii="Calibri" w:hAnsi="Calibri"/>
                <w:color w:val="000000"/>
                <w:sz w:val="18"/>
                <w:szCs w:val="18"/>
              </w:rPr>
              <w:t>171</w:t>
            </w:r>
          </w:p>
        </w:tc>
        <w:tc>
          <w:tcPr>
            <w:tcW w:w="680" w:type="dxa"/>
            <w:tcBorders>
              <w:top w:val="nil"/>
              <w:left w:val="nil"/>
              <w:bottom w:val="nil"/>
              <w:right w:val="nil"/>
            </w:tcBorders>
            <w:shd w:val="clear" w:color="000000" w:fill="FFFFFF"/>
            <w:vAlign w:val="center"/>
          </w:tcPr>
          <w:p w14:paraId="4CE3E519" w14:textId="387D70CA" w:rsidR="000D36F4" w:rsidRPr="006F5DF2" w:rsidRDefault="000D36F4" w:rsidP="000D36F4">
            <w:pPr>
              <w:jc w:val="right"/>
              <w:rPr>
                <w:rFonts w:ascii="Calibri" w:hAnsi="Calibri"/>
                <w:b/>
                <w:bCs/>
                <w:sz w:val="18"/>
                <w:szCs w:val="18"/>
              </w:rPr>
            </w:pPr>
            <w:r>
              <w:rPr>
                <w:rFonts w:ascii="Calibri" w:hAnsi="Calibri"/>
                <w:color w:val="000000"/>
                <w:sz w:val="18"/>
                <w:szCs w:val="18"/>
              </w:rPr>
              <w:t>2</w:t>
            </w:r>
          </w:p>
        </w:tc>
        <w:tc>
          <w:tcPr>
            <w:tcW w:w="907" w:type="dxa"/>
            <w:tcBorders>
              <w:top w:val="nil"/>
              <w:left w:val="nil"/>
              <w:bottom w:val="nil"/>
              <w:right w:val="nil"/>
            </w:tcBorders>
            <w:shd w:val="clear" w:color="000000" w:fill="FFFFFF"/>
            <w:noWrap/>
            <w:vAlign w:val="center"/>
            <w:hideMark/>
          </w:tcPr>
          <w:p w14:paraId="70034367" w14:textId="66C00CCA" w:rsidR="000D36F4" w:rsidRPr="006F5DF2" w:rsidRDefault="000D36F4" w:rsidP="000D36F4">
            <w:pPr>
              <w:jc w:val="right"/>
              <w:rPr>
                <w:rFonts w:ascii="Calibri" w:hAnsi="Calibri"/>
                <w:b/>
                <w:bCs/>
                <w:sz w:val="18"/>
                <w:szCs w:val="18"/>
              </w:rPr>
            </w:pPr>
            <w:r>
              <w:rPr>
                <w:rFonts w:ascii="Calibri" w:hAnsi="Calibri"/>
                <w:color w:val="000000"/>
                <w:sz w:val="18"/>
                <w:szCs w:val="18"/>
              </w:rPr>
              <w:t>2</w:t>
            </w:r>
          </w:p>
        </w:tc>
        <w:tc>
          <w:tcPr>
            <w:tcW w:w="907" w:type="dxa"/>
            <w:tcBorders>
              <w:top w:val="nil"/>
              <w:left w:val="nil"/>
              <w:bottom w:val="nil"/>
              <w:right w:val="nil"/>
            </w:tcBorders>
            <w:shd w:val="clear" w:color="000000" w:fill="FFFFFF"/>
            <w:noWrap/>
            <w:vAlign w:val="center"/>
            <w:hideMark/>
          </w:tcPr>
          <w:p w14:paraId="483DC51F" w14:textId="4ED313C5" w:rsidR="000D36F4" w:rsidRPr="006F5DF2" w:rsidRDefault="000D36F4" w:rsidP="000D36F4">
            <w:pPr>
              <w:jc w:val="right"/>
              <w:rPr>
                <w:rFonts w:ascii="Calibri" w:hAnsi="Calibri"/>
                <w:b/>
                <w:bCs/>
                <w:sz w:val="18"/>
                <w:szCs w:val="18"/>
              </w:rPr>
            </w:pPr>
            <w:r>
              <w:rPr>
                <w:rFonts w:ascii="Calibri" w:hAnsi="Calibri"/>
                <w:color w:val="000000"/>
                <w:sz w:val="18"/>
                <w:szCs w:val="18"/>
              </w:rPr>
              <w:t>0</w:t>
            </w:r>
          </w:p>
        </w:tc>
        <w:tc>
          <w:tcPr>
            <w:tcW w:w="907" w:type="dxa"/>
            <w:tcBorders>
              <w:top w:val="nil"/>
              <w:left w:val="nil"/>
              <w:bottom w:val="nil"/>
              <w:right w:val="nil"/>
            </w:tcBorders>
            <w:shd w:val="clear" w:color="000000" w:fill="FFFFFF"/>
            <w:noWrap/>
            <w:vAlign w:val="center"/>
            <w:hideMark/>
          </w:tcPr>
          <w:p w14:paraId="04C01619" w14:textId="2830E2E8" w:rsidR="000D36F4" w:rsidRPr="006F5DF2" w:rsidRDefault="000D36F4" w:rsidP="000D36F4">
            <w:pPr>
              <w:jc w:val="right"/>
              <w:rPr>
                <w:rFonts w:ascii="Calibri" w:hAnsi="Calibri"/>
                <w:b/>
                <w:bCs/>
                <w:sz w:val="18"/>
                <w:szCs w:val="18"/>
              </w:rPr>
            </w:pPr>
            <w:r>
              <w:rPr>
                <w:rFonts w:ascii="Calibri" w:hAnsi="Calibri"/>
                <w:color w:val="000000"/>
                <w:sz w:val="18"/>
                <w:szCs w:val="18"/>
              </w:rPr>
              <w:t>0</w:t>
            </w:r>
          </w:p>
        </w:tc>
        <w:tc>
          <w:tcPr>
            <w:tcW w:w="907" w:type="dxa"/>
            <w:tcBorders>
              <w:top w:val="nil"/>
              <w:left w:val="nil"/>
              <w:bottom w:val="nil"/>
              <w:right w:val="nil"/>
            </w:tcBorders>
            <w:shd w:val="clear" w:color="000000" w:fill="FFFFFF"/>
            <w:noWrap/>
            <w:vAlign w:val="center"/>
            <w:hideMark/>
          </w:tcPr>
          <w:p w14:paraId="581C7CC5" w14:textId="4B39468B" w:rsidR="000D36F4" w:rsidRPr="006F5DF2" w:rsidRDefault="000D36F4" w:rsidP="000D36F4">
            <w:pPr>
              <w:jc w:val="right"/>
              <w:rPr>
                <w:rFonts w:ascii="Calibri" w:hAnsi="Calibri"/>
                <w:b/>
                <w:bCs/>
                <w:sz w:val="18"/>
                <w:szCs w:val="18"/>
              </w:rPr>
            </w:pPr>
            <w:r>
              <w:rPr>
                <w:rFonts w:ascii="Calibri" w:hAnsi="Calibri"/>
                <w:color w:val="00B050"/>
                <w:sz w:val="18"/>
                <w:szCs w:val="18"/>
              </w:rPr>
              <w:t> </w:t>
            </w:r>
          </w:p>
        </w:tc>
        <w:tc>
          <w:tcPr>
            <w:tcW w:w="1077" w:type="dxa"/>
            <w:tcBorders>
              <w:top w:val="nil"/>
              <w:left w:val="nil"/>
              <w:bottom w:val="nil"/>
              <w:right w:val="nil"/>
            </w:tcBorders>
            <w:shd w:val="clear" w:color="000000" w:fill="FFFFFF"/>
            <w:noWrap/>
            <w:vAlign w:val="center"/>
            <w:hideMark/>
          </w:tcPr>
          <w:p w14:paraId="57EB7A8A" w14:textId="09D85505" w:rsidR="000D36F4" w:rsidRPr="006F5DF2" w:rsidRDefault="000D36F4" w:rsidP="000D36F4">
            <w:pPr>
              <w:jc w:val="right"/>
              <w:rPr>
                <w:rFonts w:ascii="Calibri" w:hAnsi="Calibri"/>
                <w:b/>
                <w:bCs/>
                <w:sz w:val="18"/>
                <w:szCs w:val="18"/>
              </w:rPr>
            </w:pPr>
            <w:r>
              <w:rPr>
                <w:rFonts w:ascii="Calibri" w:hAnsi="Calibri"/>
                <w:color w:val="00B050"/>
                <w:sz w:val="18"/>
                <w:szCs w:val="18"/>
              </w:rPr>
              <w:t> </w:t>
            </w:r>
          </w:p>
        </w:tc>
      </w:tr>
      <w:tr w:rsidR="000D36F4" w:rsidRPr="001931E6" w14:paraId="4B467E78" w14:textId="77777777" w:rsidTr="000D36F4">
        <w:trPr>
          <w:trHeight w:val="252"/>
        </w:trPr>
        <w:tc>
          <w:tcPr>
            <w:tcW w:w="2268" w:type="dxa"/>
            <w:tcBorders>
              <w:top w:val="nil"/>
              <w:left w:val="nil"/>
              <w:bottom w:val="double" w:sz="6" w:space="0" w:color="auto"/>
              <w:right w:val="nil"/>
            </w:tcBorders>
            <w:shd w:val="clear" w:color="000000" w:fill="FFFFFF"/>
            <w:noWrap/>
            <w:vAlign w:val="bottom"/>
            <w:hideMark/>
          </w:tcPr>
          <w:p w14:paraId="5A1F3771" w14:textId="77777777" w:rsidR="000D36F4" w:rsidRPr="006F5DF2" w:rsidRDefault="000D36F4" w:rsidP="000D36F4">
            <w:pPr>
              <w:rPr>
                <w:rFonts w:ascii="Calibri" w:hAnsi="Calibri"/>
                <w:b/>
                <w:bCs/>
                <w:sz w:val="18"/>
                <w:szCs w:val="18"/>
              </w:rPr>
            </w:pPr>
            <w:r w:rsidRPr="006F5DF2">
              <w:rPr>
                <w:rFonts w:ascii="Calibri" w:hAnsi="Calibri"/>
                <w:b/>
                <w:bCs/>
                <w:sz w:val="18"/>
                <w:szCs w:val="18"/>
              </w:rPr>
              <w:t>Печалба за годината</w:t>
            </w:r>
          </w:p>
        </w:tc>
        <w:tc>
          <w:tcPr>
            <w:tcW w:w="680" w:type="dxa"/>
            <w:tcBorders>
              <w:top w:val="nil"/>
              <w:left w:val="nil"/>
              <w:bottom w:val="double" w:sz="4" w:space="0" w:color="auto"/>
              <w:right w:val="nil"/>
            </w:tcBorders>
            <w:shd w:val="clear" w:color="000000" w:fill="FFFFFF"/>
            <w:noWrap/>
            <w:vAlign w:val="center"/>
            <w:hideMark/>
          </w:tcPr>
          <w:p w14:paraId="7A9EDDA9" w14:textId="4B498BAD" w:rsidR="000D36F4" w:rsidRPr="006F5DF2" w:rsidRDefault="000D36F4" w:rsidP="000D36F4">
            <w:pPr>
              <w:jc w:val="right"/>
              <w:rPr>
                <w:rFonts w:ascii="Calibri" w:hAnsi="Calibri"/>
                <w:b/>
                <w:bCs/>
                <w:sz w:val="18"/>
                <w:szCs w:val="18"/>
              </w:rPr>
            </w:pPr>
            <w:r>
              <w:rPr>
                <w:rFonts w:ascii="Calibri" w:hAnsi="Calibri"/>
                <w:color w:val="000000"/>
                <w:sz w:val="18"/>
                <w:szCs w:val="18"/>
              </w:rPr>
              <w:t>-972</w:t>
            </w:r>
          </w:p>
        </w:tc>
        <w:tc>
          <w:tcPr>
            <w:tcW w:w="680" w:type="dxa"/>
            <w:tcBorders>
              <w:top w:val="nil"/>
              <w:left w:val="nil"/>
              <w:bottom w:val="double" w:sz="4" w:space="0" w:color="auto"/>
              <w:right w:val="nil"/>
            </w:tcBorders>
            <w:shd w:val="clear" w:color="000000" w:fill="FFFFFF"/>
            <w:noWrap/>
            <w:vAlign w:val="center"/>
            <w:hideMark/>
          </w:tcPr>
          <w:p w14:paraId="3BAAA703" w14:textId="56D6046B" w:rsidR="000D36F4" w:rsidRPr="006F5DF2" w:rsidRDefault="000D36F4" w:rsidP="000D36F4">
            <w:pPr>
              <w:jc w:val="right"/>
              <w:rPr>
                <w:rFonts w:ascii="Calibri" w:hAnsi="Calibri"/>
                <w:b/>
                <w:bCs/>
                <w:sz w:val="18"/>
                <w:szCs w:val="18"/>
              </w:rPr>
            </w:pPr>
            <w:r>
              <w:rPr>
                <w:rFonts w:ascii="Calibri" w:hAnsi="Calibri"/>
                <w:color w:val="000000"/>
                <w:sz w:val="18"/>
                <w:szCs w:val="18"/>
              </w:rPr>
              <w:t>-588</w:t>
            </w:r>
          </w:p>
        </w:tc>
        <w:tc>
          <w:tcPr>
            <w:tcW w:w="680" w:type="dxa"/>
            <w:tcBorders>
              <w:top w:val="nil"/>
              <w:left w:val="nil"/>
              <w:bottom w:val="double" w:sz="4" w:space="0" w:color="auto"/>
              <w:right w:val="nil"/>
            </w:tcBorders>
            <w:shd w:val="clear" w:color="000000" w:fill="FFFFFF"/>
            <w:vAlign w:val="center"/>
          </w:tcPr>
          <w:p w14:paraId="632B78DC" w14:textId="6B746997" w:rsidR="000D36F4" w:rsidRPr="006F5DF2" w:rsidRDefault="000D36F4" w:rsidP="000D36F4">
            <w:pPr>
              <w:jc w:val="right"/>
              <w:rPr>
                <w:rFonts w:ascii="Calibri" w:hAnsi="Calibri"/>
                <w:b/>
                <w:bCs/>
                <w:sz w:val="18"/>
                <w:szCs w:val="18"/>
              </w:rPr>
            </w:pPr>
            <w:r>
              <w:rPr>
                <w:rFonts w:ascii="Calibri" w:hAnsi="Calibri"/>
                <w:color w:val="000000"/>
                <w:sz w:val="18"/>
                <w:szCs w:val="18"/>
              </w:rPr>
              <w:t>-648</w:t>
            </w:r>
          </w:p>
        </w:tc>
        <w:tc>
          <w:tcPr>
            <w:tcW w:w="907" w:type="dxa"/>
            <w:tcBorders>
              <w:top w:val="nil"/>
              <w:left w:val="nil"/>
              <w:bottom w:val="double" w:sz="4" w:space="0" w:color="auto"/>
              <w:right w:val="nil"/>
            </w:tcBorders>
            <w:shd w:val="clear" w:color="000000" w:fill="FFFFFF"/>
            <w:noWrap/>
            <w:vAlign w:val="center"/>
            <w:hideMark/>
          </w:tcPr>
          <w:p w14:paraId="1CD5F96E" w14:textId="654B3C5E" w:rsidR="000D36F4" w:rsidRPr="006F5DF2" w:rsidRDefault="000D36F4" w:rsidP="000D36F4">
            <w:pPr>
              <w:jc w:val="right"/>
              <w:rPr>
                <w:rFonts w:ascii="Calibri" w:hAnsi="Calibri"/>
                <w:b/>
                <w:bCs/>
                <w:sz w:val="18"/>
                <w:szCs w:val="18"/>
              </w:rPr>
            </w:pPr>
            <w:r>
              <w:rPr>
                <w:rFonts w:ascii="Calibri" w:hAnsi="Calibri"/>
                <w:color w:val="000000"/>
                <w:sz w:val="18"/>
                <w:szCs w:val="18"/>
              </w:rPr>
              <w:t>-303</w:t>
            </w:r>
          </w:p>
        </w:tc>
        <w:tc>
          <w:tcPr>
            <w:tcW w:w="907" w:type="dxa"/>
            <w:tcBorders>
              <w:top w:val="nil"/>
              <w:left w:val="nil"/>
              <w:bottom w:val="double" w:sz="4" w:space="0" w:color="auto"/>
              <w:right w:val="nil"/>
            </w:tcBorders>
            <w:shd w:val="clear" w:color="000000" w:fill="FFFFFF"/>
            <w:noWrap/>
            <w:vAlign w:val="center"/>
            <w:hideMark/>
          </w:tcPr>
          <w:p w14:paraId="57CEB48C" w14:textId="4DD607EC" w:rsidR="000D36F4" w:rsidRPr="006F5DF2" w:rsidRDefault="000D36F4" w:rsidP="000D36F4">
            <w:pPr>
              <w:jc w:val="right"/>
              <w:rPr>
                <w:rFonts w:ascii="Calibri" w:hAnsi="Calibri"/>
                <w:b/>
                <w:bCs/>
                <w:sz w:val="18"/>
                <w:szCs w:val="18"/>
              </w:rPr>
            </w:pPr>
            <w:r>
              <w:rPr>
                <w:rFonts w:ascii="Calibri" w:hAnsi="Calibri"/>
                <w:color w:val="000000"/>
                <w:sz w:val="18"/>
                <w:szCs w:val="18"/>
              </w:rPr>
              <w:t>-325</w:t>
            </w:r>
          </w:p>
        </w:tc>
        <w:tc>
          <w:tcPr>
            <w:tcW w:w="907" w:type="dxa"/>
            <w:tcBorders>
              <w:top w:val="nil"/>
              <w:left w:val="nil"/>
              <w:bottom w:val="double" w:sz="4" w:space="0" w:color="auto"/>
              <w:right w:val="nil"/>
            </w:tcBorders>
            <w:shd w:val="clear" w:color="000000" w:fill="FFFFFF"/>
            <w:noWrap/>
            <w:vAlign w:val="center"/>
            <w:hideMark/>
          </w:tcPr>
          <w:p w14:paraId="2FF1328E" w14:textId="7E2C85E1" w:rsidR="000D36F4" w:rsidRPr="006F5DF2" w:rsidRDefault="000D36F4" w:rsidP="000D36F4">
            <w:pPr>
              <w:jc w:val="right"/>
              <w:rPr>
                <w:rFonts w:ascii="Calibri" w:hAnsi="Calibri"/>
                <w:b/>
                <w:bCs/>
                <w:sz w:val="18"/>
                <w:szCs w:val="18"/>
              </w:rPr>
            </w:pPr>
            <w:r>
              <w:rPr>
                <w:rFonts w:ascii="Calibri" w:hAnsi="Calibri"/>
                <w:color w:val="000000"/>
                <w:sz w:val="18"/>
                <w:szCs w:val="18"/>
              </w:rPr>
              <w:t>-670</w:t>
            </w:r>
          </w:p>
        </w:tc>
        <w:tc>
          <w:tcPr>
            <w:tcW w:w="907" w:type="dxa"/>
            <w:tcBorders>
              <w:top w:val="nil"/>
              <w:left w:val="nil"/>
              <w:bottom w:val="double" w:sz="4" w:space="0" w:color="auto"/>
              <w:right w:val="nil"/>
            </w:tcBorders>
            <w:shd w:val="clear" w:color="000000" w:fill="FFFFFF"/>
            <w:noWrap/>
            <w:vAlign w:val="center"/>
            <w:hideMark/>
          </w:tcPr>
          <w:p w14:paraId="532D474E" w14:textId="14A6D53B" w:rsidR="000D36F4" w:rsidRPr="006F5DF2" w:rsidRDefault="000D36F4" w:rsidP="000D36F4">
            <w:pPr>
              <w:jc w:val="right"/>
              <w:rPr>
                <w:rFonts w:ascii="Calibri" w:hAnsi="Calibri"/>
                <w:b/>
                <w:bCs/>
                <w:sz w:val="18"/>
                <w:szCs w:val="18"/>
              </w:rPr>
            </w:pPr>
            <w:r>
              <w:rPr>
                <w:rFonts w:ascii="Calibri" w:hAnsi="Calibri"/>
                <w:color w:val="00B050"/>
                <w:sz w:val="18"/>
                <w:szCs w:val="18"/>
              </w:rPr>
              <w:t>3%</w:t>
            </w:r>
          </w:p>
        </w:tc>
        <w:tc>
          <w:tcPr>
            <w:tcW w:w="1077" w:type="dxa"/>
            <w:tcBorders>
              <w:top w:val="nil"/>
              <w:left w:val="nil"/>
              <w:bottom w:val="double" w:sz="4" w:space="0" w:color="auto"/>
              <w:right w:val="nil"/>
            </w:tcBorders>
            <w:shd w:val="clear" w:color="000000" w:fill="FFFFFF"/>
            <w:noWrap/>
            <w:vAlign w:val="center"/>
            <w:hideMark/>
          </w:tcPr>
          <w:p w14:paraId="0B154D63" w14:textId="74551D70" w:rsidR="000D36F4" w:rsidRPr="006F5DF2" w:rsidRDefault="000D36F4" w:rsidP="000D36F4">
            <w:pPr>
              <w:jc w:val="right"/>
              <w:rPr>
                <w:rFonts w:ascii="Calibri" w:hAnsi="Calibri"/>
                <w:b/>
                <w:bCs/>
                <w:sz w:val="18"/>
                <w:szCs w:val="18"/>
              </w:rPr>
            </w:pPr>
            <w:r>
              <w:rPr>
                <w:rFonts w:ascii="Calibri" w:hAnsi="Calibri"/>
                <w:color w:val="00B050"/>
                <w:sz w:val="18"/>
                <w:szCs w:val="18"/>
              </w:rPr>
              <w:t>7%</w:t>
            </w:r>
          </w:p>
        </w:tc>
      </w:tr>
    </w:tbl>
    <w:p w14:paraId="6A6EA193" w14:textId="77777777" w:rsidR="00D850F9" w:rsidRPr="00F061CA" w:rsidRDefault="00F061CA" w:rsidP="001931E6">
      <w:pPr>
        <w:ind w:right="566"/>
        <w:jc w:val="right"/>
        <w:rPr>
          <w:rFonts w:asciiTheme="minorHAnsi" w:hAnsiTheme="minorHAnsi"/>
          <w:sz w:val="16"/>
        </w:rPr>
      </w:pPr>
      <w:r w:rsidRPr="00F061CA">
        <w:rPr>
          <w:rFonts w:asciiTheme="minorHAnsi" w:hAnsiTheme="minorHAnsi"/>
          <w:sz w:val="16"/>
        </w:rPr>
        <w:t>Източник : Ай Ти Еф Груп АД</w:t>
      </w:r>
    </w:p>
    <w:p w14:paraId="04CC7511" w14:textId="32A13317" w:rsidR="000E0D36" w:rsidRPr="00FA0376" w:rsidRDefault="00855B74" w:rsidP="00E62A83">
      <w:pPr>
        <w:pStyle w:val="ListParagraph"/>
        <w:spacing w:before="240" w:after="120"/>
        <w:ind w:left="0" w:right="567"/>
        <w:contextualSpacing w:val="0"/>
        <w:jc w:val="both"/>
        <w:rPr>
          <w:rFonts w:asciiTheme="minorHAnsi" w:hAnsiTheme="minorHAnsi"/>
          <w:sz w:val="20"/>
          <w:szCs w:val="20"/>
          <w:lang w:val="bg-BG"/>
        </w:rPr>
      </w:pPr>
      <w:r w:rsidRPr="00FA0376">
        <w:rPr>
          <w:rFonts w:asciiTheme="minorHAnsi" w:hAnsiTheme="minorHAnsi"/>
          <w:sz w:val="20"/>
          <w:szCs w:val="20"/>
          <w:lang w:val="bg-BG"/>
        </w:rPr>
        <w:t xml:space="preserve">През първото полугодие на 2020 г. „Ай Ти Еф Груп“ АД е реализирал приходи от финансови активи под формата на потребителски заеми в размер на </w:t>
      </w:r>
      <w:r w:rsidR="00936CD9" w:rsidRPr="00FA0376">
        <w:rPr>
          <w:rFonts w:asciiTheme="minorHAnsi" w:hAnsiTheme="minorHAnsi"/>
          <w:sz w:val="20"/>
          <w:szCs w:val="20"/>
          <w:lang w:val="bg-BG"/>
        </w:rPr>
        <w:t>2 895</w:t>
      </w:r>
      <w:r w:rsidRPr="00FA0376">
        <w:rPr>
          <w:rFonts w:asciiTheme="minorHAnsi" w:hAnsiTheme="minorHAnsi"/>
          <w:sz w:val="20"/>
          <w:szCs w:val="20"/>
          <w:lang w:val="bg-BG"/>
        </w:rPr>
        <w:t xml:space="preserve"> хил</w:t>
      </w:r>
      <w:r w:rsidR="005A469C" w:rsidRPr="00FA0376">
        <w:rPr>
          <w:rFonts w:asciiTheme="minorHAnsi" w:hAnsiTheme="minorHAnsi"/>
          <w:sz w:val="20"/>
          <w:szCs w:val="20"/>
          <w:lang w:val="bg-BG"/>
        </w:rPr>
        <w:t>.</w:t>
      </w:r>
      <w:r w:rsidRPr="00FA0376">
        <w:rPr>
          <w:rFonts w:asciiTheme="minorHAnsi" w:hAnsiTheme="minorHAnsi"/>
          <w:sz w:val="20"/>
          <w:szCs w:val="20"/>
          <w:lang w:val="bg-BG"/>
        </w:rPr>
        <w:t xml:space="preserve"> лв. или </w:t>
      </w:r>
      <w:r w:rsidR="00936CD9" w:rsidRPr="00FA0376">
        <w:rPr>
          <w:rFonts w:asciiTheme="minorHAnsi" w:hAnsiTheme="minorHAnsi"/>
          <w:sz w:val="20"/>
          <w:szCs w:val="20"/>
          <w:lang w:val="bg-BG"/>
        </w:rPr>
        <w:t>с 9</w:t>
      </w:r>
      <w:r w:rsidRPr="00FA0376">
        <w:rPr>
          <w:rFonts w:asciiTheme="minorHAnsi" w:hAnsiTheme="minorHAnsi"/>
          <w:sz w:val="20"/>
          <w:szCs w:val="20"/>
          <w:lang w:val="bg-BG"/>
        </w:rPr>
        <w:t xml:space="preserve">% </w:t>
      </w:r>
      <w:r w:rsidR="00936CD9" w:rsidRPr="00FA0376">
        <w:rPr>
          <w:rFonts w:asciiTheme="minorHAnsi" w:hAnsiTheme="minorHAnsi"/>
          <w:sz w:val="20"/>
          <w:szCs w:val="20"/>
          <w:lang w:val="bg-BG"/>
        </w:rPr>
        <w:t>по-малко</w:t>
      </w:r>
      <w:r w:rsidRPr="00FA0376">
        <w:rPr>
          <w:rFonts w:asciiTheme="minorHAnsi" w:hAnsiTheme="minorHAnsi"/>
          <w:sz w:val="20"/>
          <w:szCs w:val="20"/>
          <w:lang w:val="bg-BG"/>
        </w:rPr>
        <w:t xml:space="preserve"> спрямо същия период година по-рано. </w:t>
      </w:r>
      <w:r w:rsidR="000E0D36" w:rsidRPr="00FA0376">
        <w:rPr>
          <w:rFonts w:asciiTheme="minorHAnsi" w:hAnsiTheme="minorHAnsi"/>
          <w:sz w:val="20"/>
          <w:szCs w:val="20"/>
          <w:lang w:val="bg-BG"/>
        </w:rPr>
        <w:t xml:space="preserve">Основен фактор за </w:t>
      </w:r>
      <w:r w:rsidR="00041EDA" w:rsidRPr="00FA0376">
        <w:rPr>
          <w:rFonts w:asciiTheme="minorHAnsi" w:hAnsiTheme="minorHAnsi"/>
          <w:sz w:val="20"/>
          <w:szCs w:val="20"/>
          <w:lang w:val="bg-BG"/>
        </w:rPr>
        <w:t>по-ниските приходи е промяната в структурата на отпуснатите заеми където вече преобладава</w:t>
      </w:r>
      <w:r w:rsidR="00FA0376" w:rsidRPr="00FA0376">
        <w:rPr>
          <w:rFonts w:asciiTheme="minorHAnsi" w:hAnsiTheme="minorHAnsi"/>
          <w:sz w:val="20"/>
          <w:szCs w:val="20"/>
          <w:lang w:val="bg-BG"/>
        </w:rPr>
        <w:t xml:space="preserve"> по-дългосрочния</w:t>
      </w:r>
      <w:r w:rsidR="00041EDA" w:rsidRPr="00FA0376">
        <w:rPr>
          <w:rFonts w:asciiTheme="minorHAnsi" w:hAnsiTheme="minorHAnsi"/>
          <w:sz w:val="20"/>
          <w:szCs w:val="20"/>
          <w:lang w:val="bg-BG"/>
        </w:rPr>
        <w:t xml:space="preserve"> „Кредит на вноски“</w:t>
      </w:r>
      <w:r w:rsidR="00FA0376" w:rsidRPr="00FA0376">
        <w:rPr>
          <w:rFonts w:asciiTheme="minorHAnsi" w:hAnsiTheme="minorHAnsi"/>
          <w:sz w:val="20"/>
          <w:szCs w:val="20"/>
          <w:lang w:val="bg-BG"/>
        </w:rPr>
        <w:t>, при който приходите са разсрочени във времето.</w:t>
      </w:r>
      <w:r w:rsidR="00041EDA" w:rsidRPr="00FA0376">
        <w:rPr>
          <w:rFonts w:asciiTheme="minorHAnsi" w:hAnsiTheme="minorHAnsi"/>
          <w:sz w:val="20"/>
          <w:szCs w:val="20"/>
          <w:lang w:val="bg-BG"/>
        </w:rPr>
        <w:t xml:space="preserve"> </w:t>
      </w:r>
    </w:p>
    <w:p w14:paraId="31D779C1" w14:textId="2846FBF4" w:rsidR="00A3166F" w:rsidRPr="00FA0376" w:rsidRDefault="00A3166F" w:rsidP="001931E6">
      <w:pPr>
        <w:pStyle w:val="ListParagraph"/>
        <w:spacing w:after="120"/>
        <w:ind w:left="0" w:right="566"/>
        <w:contextualSpacing w:val="0"/>
        <w:jc w:val="both"/>
        <w:rPr>
          <w:rFonts w:asciiTheme="minorHAnsi" w:hAnsiTheme="minorHAnsi"/>
          <w:sz w:val="20"/>
          <w:szCs w:val="20"/>
          <w:lang w:val="bg-BG"/>
        </w:rPr>
      </w:pPr>
      <w:r w:rsidRPr="00FA0376">
        <w:rPr>
          <w:rFonts w:asciiTheme="minorHAnsi" w:hAnsiTheme="minorHAnsi"/>
          <w:sz w:val="20"/>
          <w:szCs w:val="20"/>
          <w:lang w:val="bg-BG"/>
        </w:rPr>
        <w:t>Пре</w:t>
      </w:r>
      <w:r w:rsidR="00FA0376" w:rsidRPr="00FA0376">
        <w:rPr>
          <w:rFonts w:asciiTheme="minorHAnsi" w:hAnsiTheme="minorHAnsi"/>
          <w:sz w:val="20"/>
          <w:szCs w:val="20"/>
          <w:lang w:val="bg-BG"/>
        </w:rPr>
        <w:t>з</w:t>
      </w:r>
      <w:r w:rsidRPr="00FA0376">
        <w:rPr>
          <w:rFonts w:asciiTheme="minorHAnsi" w:hAnsiTheme="minorHAnsi"/>
          <w:sz w:val="20"/>
          <w:szCs w:val="20"/>
          <w:lang w:val="bg-BG"/>
        </w:rPr>
        <w:t xml:space="preserve"> периода разходите за обезценка на предоставените от Дружеството заеми възлизат на </w:t>
      </w:r>
      <w:r w:rsidR="00936CD9" w:rsidRPr="00FA0376">
        <w:rPr>
          <w:rFonts w:asciiTheme="minorHAnsi" w:hAnsiTheme="minorHAnsi"/>
          <w:sz w:val="20"/>
          <w:szCs w:val="20"/>
          <w:lang w:val="bg-BG"/>
        </w:rPr>
        <w:t>620</w:t>
      </w:r>
      <w:r w:rsidRPr="00FA0376">
        <w:rPr>
          <w:rFonts w:asciiTheme="minorHAnsi" w:hAnsiTheme="minorHAnsi"/>
          <w:sz w:val="20"/>
          <w:szCs w:val="20"/>
          <w:lang w:val="bg-BG"/>
        </w:rPr>
        <w:t xml:space="preserve"> хил. лв. или със </w:t>
      </w:r>
      <w:r w:rsidR="00E62A83" w:rsidRPr="00FA0376">
        <w:rPr>
          <w:rFonts w:asciiTheme="minorHAnsi" w:hAnsiTheme="minorHAnsi"/>
          <w:sz w:val="20"/>
          <w:szCs w:val="20"/>
          <w:lang w:val="bg-BG"/>
        </w:rPr>
        <w:t>12</w:t>
      </w:r>
      <w:r w:rsidRPr="00FA0376">
        <w:rPr>
          <w:rFonts w:asciiTheme="minorHAnsi" w:hAnsiTheme="minorHAnsi"/>
          <w:sz w:val="20"/>
          <w:szCs w:val="20"/>
          <w:lang w:val="bg-BG"/>
        </w:rPr>
        <w:t>% повече спрямо същия период на миналата година.</w:t>
      </w:r>
      <w:r w:rsidR="00C3555D" w:rsidRPr="00FA0376">
        <w:rPr>
          <w:rFonts w:asciiTheme="minorHAnsi" w:hAnsiTheme="minorHAnsi"/>
          <w:sz w:val="20"/>
          <w:szCs w:val="20"/>
          <w:lang w:val="bg-BG"/>
        </w:rPr>
        <w:t xml:space="preserve"> </w:t>
      </w:r>
    </w:p>
    <w:p w14:paraId="50CFCDEE" w14:textId="5D95F132" w:rsidR="00E62A83" w:rsidRPr="00E62A83" w:rsidRDefault="00E62A83" w:rsidP="001931E6">
      <w:pPr>
        <w:pStyle w:val="ListParagraph"/>
        <w:spacing w:after="120"/>
        <w:ind w:left="0" w:right="566"/>
        <w:contextualSpacing w:val="0"/>
        <w:jc w:val="both"/>
        <w:rPr>
          <w:rFonts w:asciiTheme="minorHAnsi" w:hAnsiTheme="minorHAnsi"/>
          <w:sz w:val="20"/>
          <w:szCs w:val="20"/>
          <w:lang w:val="bg-BG"/>
        </w:rPr>
      </w:pPr>
      <w:r w:rsidRPr="00E62A83">
        <w:rPr>
          <w:rFonts w:asciiTheme="minorHAnsi" w:hAnsiTheme="minorHAnsi"/>
          <w:sz w:val="20"/>
          <w:szCs w:val="20"/>
          <w:lang w:val="bg-BG"/>
        </w:rPr>
        <w:t>Останалите оперативни разходи на Дружеството намаляват с 2% най-вече вследствие на по-ниската стойност на разходите за амортизация и другите разходи.</w:t>
      </w:r>
    </w:p>
    <w:p w14:paraId="2A91EF24" w14:textId="2B28A1B1" w:rsidR="009703C8" w:rsidRPr="001931E6" w:rsidRDefault="00E62A83" w:rsidP="001931E6">
      <w:pPr>
        <w:pStyle w:val="ListParagraph"/>
        <w:spacing w:after="120"/>
        <w:ind w:left="0" w:right="566"/>
        <w:contextualSpacing w:val="0"/>
        <w:jc w:val="both"/>
        <w:rPr>
          <w:rFonts w:asciiTheme="minorHAnsi" w:hAnsiTheme="minorHAnsi"/>
          <w:sz w:val="20"/>
          <w:szCs w:val="20"/>
          <w:lang w:val="bg-BG"/>
        </w:rPr>
      </w:pPr>
      <w:r w:rsidRPr="00E62A83">
        <w:rPr>
          <w:rFonts w:asciiTheme="minorHAnsi" w:hAnsiTheme="minorHAnsi"/>
          <w:sz w:val="20"/>
          <w:szCs w:val="20"/>
          <w:lang w:val="bg-BG"/>
        </w:rPr>
        <w:t>В резултат на описаното по-горе, н</w:t>
      </w:r>
      <w:r w:rsidR="009703C8" w:rsidRPr="00E62A83">
        <w:rPr>
          <w:rFonts w:asciiTheme="minorHAnsi" w:hAnsiTheme="minorHAnsi"/>
          <w:sz w:val="20"/>
          <w:szCs w:val="20"/>
          <w:lang w:val="bg-BG"/>
        </w:rPr>
        <w:t xml:space="preserve">етната печалба на „Ай Ти Еф Груп“ </w:t>
      </w:r>
      <w:r w:rsidRPr="00E62A83">
        <w:rPr>
          <w:rFonts w:asciiTheme="minorHAnsi" w:hAnsiTheme="minorHAnsi"/>
          <w:sz w:val="20"/>
          <w:szCs w:val="20"/>
          <w:lang w:val="bg-BG"/>
        </w:rPr>
        <w:t>намалява</w:t>
      </w:r>
      <w:r w:rsidR="009703C8" w:rsidRPr="00E62A83">
        <w:rPr>
          <w:rFonts w:asciiTheme="minorHAnsi" w:hAnsiTheme="minorHAnsi"/>
          <w:sz w:val="20"/>
          <w:szCs w:val="20"/>
          <w:lang w:val="bg-BG"/>
        </w:rPr>
        <w:t xml:space="preserve"> с цели </w:t>
      </w:r>
      <w:r w:rsidRPr="00E62A83">
        <w:rPr>
          <w:rFonts w:asciiTheme="minorHAnsi" w:hAnsiTheme="minorHAnsi"/>
          <w:sz w:val="20"/>
          <w:szCs w:val="20"/>
          <w:lang w:val="bg-BG"/>
        </w:rPr>
        <w:t>63</w:t>
      </w:r>
      <w:r w:rsidR="009703C8" w:rsidRPr="00E62A83">
        <w:rPr>
          <w:rFonts w:asciiTheme="minorHAnsi" w:hAnsiTheme="minorHAnsi"/>
          <w:sz w:val="20"/>
          <w:szCs w:val="20"/>
          <w:lang w:val="bg-BG"/>
        </w:rPr>
        <w:t xml:space="preserve">% спрямо същия период на миналата година </w:t>
      </w:r>
      <w:r w:rsidRPr="00E62A83">
        <w:rPr>
          <w:rFonts w:asciiTheme="minorHAnsi" w:hAnsiTheme="minorHAnsi"/>
          <w:sz w:val="20"/>
          <w:szCs w:val="20"/>
          <w:lang w:val="bg-BG"/>
        </w:rPr>
        <w:t>до</w:t>
      </w:r>
      <w:r w:rsidR="009703C8" w:rsidRPr="00E62A83">
        <w:rPr>
          <w:rFonts w:asciiTheme="minorHAnsi" w:hAnsiTheme="minorHAnsi"/>
          <w:sz w:val="20"/>
          <w:szCs w:val="20"/>
          <w:lang w:val="bg-BG"/>
        </w:rPr>
        <w:t xml:space="preserve"> </w:t>
      </w:r>
      <w:r w:rsidRPr="00E62A83">
        <w:rPr>
          <w:rFonts w:asciiTheme="minorHAnsi" w:hAnsiTheme="minorHAnsi"/>
          <w:sz w:val="20"/>
          <w:szCs w:val="20"/>
          <w:lang w:val="bg-BG"/>
        </w:rPr>
        <w:t>156</w:t>
      </w:r>
      <w:r w:rsidR="009703C8" w:rsidRPr="00E62A83">
        <w:rPr>
          <w:rFonts w:asciiTheme="minorHAnsi" w:hAnsiTheme="minorHAnsi"/>
          <w:sz w:val="20"/>
          <w:szCs w:val="20"/>
          <w:lang w:val="bg-BG"/>
        </w:rPr>
        <w:t xml:space="preserve"> хил</w:t>
      </w:r>
      <w:r w:rsidRPr="00E62A83">
        <w:rPr>
          <w:rFonts w:asciiTheme="minorHAnsi" w:hAnsiTheme="minorHAnsi"/>
          <w:sz w:val="20"/>
          <w:szCs w:val="20"/>
          <w:lang w:val="bg-BG"/>
        </w:rPr>
        <w:t>.</w:t>
      </w:r>
      <w:r w:rsidR="009703C8" w:rsidRPr="00E62A83">
        <w:rPr>
          <w:rFonts w:asciiTheme="minorHAnsi" w:hAnsiTheme="minorHAnsi"/>
          <w:sz w:val="20"/>
          <w:szCs w:val="20"/>
          <w:lang w:val="bg-BG"/>
        </w:rPr>
        <w:t xml:space="preserve"> лв.</w:t>
      </w:r>
    </w:p>
    <w:p w14:paraId="1F460A7B" w14:textId="0F45FC17" w:rsidR="00A90250" w:rsidRPr="00192CB3" w:rsidRDefault="00EB26F8" w:rsidP="00041EDA">
      <w:pPr>
        <w:pStyle w:val="bs2"/>
        <w:numPr>
          <w:ilvl w:val="1"/>
          <w:numId w:val="7"/>
        </w:numPr>
        <w:spacing w:before="240" w:after="120"/>
        <w:ind w:left="794" w:firstLine="57"/>
        <w:rPr>
          <w:rFonts w:asciiTheme="minorHAnsi" w:hAnsiTheme="minorHAnsi"/>
        </w:rPr>
      </w:pPr>
      <w:r w:rsidRPr="00192CB3">
        <w:rPr>
          <w:rFonts w:asciiTheme="minorHAnsi" w:hAnsiTheme="minorHAnsi"/>
        </w:rPr>
        <w:t>Баланс</w:t>
      </w:r>
    </w:p>
    <w:tbl>
      <w:tblPr>
        <w:tblW w:w="9097" w:type="dxa"/>
        <w:tblLayout w:type="fixed"/>
        <w:tblCellMar>
          <w:left w:w="70" w:type="dxa"/>
          <w:right w:w="70" w:type="dxa"/>
        </w:tblCellMar>
        <w:tblLook w:val="04A0" w:firstRow="1" w:lastRow="0" w:firstColumn="1" w:lastColumn="0" w:noHBand="0" w:noVBand="1"/>
      </w:tblPr>
      <w:tblGrid>
        <w:gridCol w:w="3969"/>
        <w:gridCol w:w="737"/>
        <w:gridCol w:w="737"/>
        <w:gridCol w:w="737"/>
        <w:gridCol w:w="972"/>
        <w:gridCol w:w="972"/>
        <w:gridCol w:w="973"/>
      </w:tblGrid>
      <w:tr w:rsidR="00192CB3" w:rsidRPr="00192CB3" w14:paraId="2311D35A" w14:textId="77777777" w:rsidTr="00FC23B1">
        <w:trPr>
          <w:trHeight w:val="720"/>
        </w:trPr>
        <w:tc>
          <w:tcPr>
            <w:tcW w:w="3969" w:type="dxa"/>
            <w:tcBorders>
              <w:top w:val="nil"/>
              <w:left w:val="nil"/>
              <w:bottom w:val="nil"/>
              <w:right w:val="nil"/>
            </w:tcBorders>
            <w:shd w:val="clear" w:color="000000" w:fill="B41E37"/>
            <w:noWrap/>
            <w:vAlign w:val="center"/>
            <w:hideMark/>
          </w:tcPr>
          <w:p w14:paraId="5D0CC2A9" w14:textId="77777777" w:rsidR="00192CB3" w:rsidRPr="00192CB3" w:rsidRDefault="00192CB3">
            <w:pPr>
              <w:rPr>
                <w:rFonts w:ascii="Calibri" w:hAnsi="Calibri"/>
                <w:b/>
                <w:bCs/>
                <w:color w:val="FFFFFF"/>
                <w:sz w:val="16"/>
                <w:szCs w:val="18"/>
              </w:rPr>
            </w:pPr>
            <w:r w:rsidRPr="00192CB3">
              <w:rPr>
                <w:rFonts w:ascii="Calibri" w:hAnsi="Calibri"/>
                <w:b/>
                <w:bCs/>
                <w:color w:val="FFFFFF"/>
                <w:sz w:val="16"/>
                <w:szCs w:val="18"/>
              </w:rPr>
              <w:t>Счетоводен баланс (в хил. лв.)</w:t>
            </w:r>
          </w:p>
        </w:tc>
        <w:tc>
          <w:tcPr>
            <w:tcW w:w="737" w:type="dxa"/>
            <w:tcBorders>
              <w:top w:val="nil"/>
              <w:left w:val="nil"/>
              <w:bottom w:val="nil"/>
              <w:right w:val="nil"/>
            </w:tcBorders>
            <w:shd w:val="clear" w:color="000000" w:fill="B41E37"/>
            <w:noWrap/>
            <w:vAlign w:val="center"/>
            <w:hideMark/>
          </w:tcPr>
          <w:p w14:paraId="4D94AD27" w14:textId="77777777" w:rsidR="00192CB3" w:rsidRPr="00192CB3" w:rsidRDefault="00192CB3">
            <w:pPr>
              <w:jc w:val="right"/>
              <w:rPr>
                <w:rFonts w:ascii="Calibri" w:hAnsi="Calibri"/>
                <w:b/>
                <w:bCs/>
                <w:color w:val="FFFFFF"/>
                <w:sz w:val="16"/>
                <w:szCs w:val="18"/>
              </w:rPr>
            </w:pPr>
            <w:r w:rsidRPr="00192CB3">
              <w:rPr>
                <w:rFonts w:ascii="Calibri" w:hAnsi="Calibri"/>
                <w:b/>
                <w:bCs/>
                <w:color w:val="FFFFFF"/>
                <w:sz w:val="16"/>
                <w:szCs w:val="18"/>
              </w:rPr>
              <w:t>2018</w:t>
            </w:r>
          </w:p>
        </w:tc>
        <w:tc>
          <w:tcPr>
            <w:tcW w:w="737" w:type="dxa"/>
            <w:tcBorders>
              <w:top w:val="nil"/>
              <w:left w:val="nil"/>
              <w:bottom w:val="nil"/>
              <w:right w:val="nil"/>
            </w:tcBorders>
            <w:shd w:val="clear" w:color="000000" w:fill="B41E37"/>
            <w:noWrap/>
            <w:vAlign w:val="center"/>
            <w:hideMark/>
          </w:tcPr>
          <w:p w14:paraId="5BC39040" w14:textId="77777777" w:rsidR="00192CB3" w:rsidRPr="00192CB3" w:rsidRDefault="00192CB3">
            <w:pPr>
              <w:jc w:val="right"/>
              <w:rPr>
                <w:rFonts w:ascii="Calibri" w:hAnsi="Calibri"/>
                <w:b/>
                <w:bCs/>
                <w:color w:val="FFFFFF"/>
                <w:sz w:val="16"/>
                <w:szCs w:val="18"/>
              </w:rPr>
            </w:pPr>
            <w:r w:rsidRPr="00192CB3">
              <w:rPr>
                <w:rFonts w:ascii="Calibri" w:hAnsi="Calibri"/>
                <w:b/>
                <w:bCs/>
                <w:color w:val="FFFFFF"/>
                <w:sz w:val="16"/>
                <w:szCs w:val="18"/>
              </w:rPr>
              <w:t>2019</w:t>
            </w:r>
          </w:p>
        </w:tc>
        <w:tc>
          <w:tcPr>
            <w:tcW w:w="737" w:type="dxa"/>
            <w:tcBorders>
              <w:top w:val="nil"/>
              <w:left w:val="nil"/>
              <w:bottom w:val="nil"/>
              <w:right w:val="nil"/>
            </w:tcBorders>
            <w:shd w:val="clear" w:color="000000" w:fill="B41E37"/>
            <w:noWrap/>
            <w:vAlign w:val="center"/>
            <w:hideMark/>
          </w:tcPr>
          <w:p w14:paraId="7881D458" w14:textId="177B57D5" w:rsidR="00192CB3" w:rsidRPr="00192CB3" w:rsidRDefault="00192CB3">
            <w:pPr>
              <w:jc w:val="right"/>
              <w:rPr>
                <w:rFonts w:ascii="Calibri" w:hAnsi="Calibri"/>
                <w:b/>
                <w:bCs/>
                <w:color w:val="FFFFFF"/>
                <w:sz w:val="16"/>
                <w:szCs w:val="18"/>
              </w:rPr>
            </w:pPr>
            <w:r w:rsidRPr="00192CB3">
              <w:rPr>
                <w:rFonts w:ascii="Calibri" w:hAnsi="Calibri"/>
                <w:b/>
                <w:bCs/>
                <w:color w:val="FFFFFF"/>
                <w:sz w:val="16"/>
                <w:szCs w:val="18"/>
              </w:rPr>
              <w:t>2020</w:t>
            </w:r>
          </w:p>
        </w:tc>
        <w:tc>
          <w:tcPr>
            <w:tcW w:w="972" w:type="dxa"/>
            <w:tcBorders>
              <w:top w:val="nil"/>
              <w:left w:val="nil"/>
              <w:bottom w:val="nil"/>
              <w:right w:val="nil"/>
            </w:tcBorders>
            <w:shd w:val="clear" w:color="000000" w:fill="B41E37"/>
            <w:vAlign w:val="center"/>
          </w:tcPr>
          <w:p w14:paraId="2D5D1B61" w14:textId="1EC72D6D" w:rsidR="00192CB3" w:rsidRPr="00192CB3" w:rsidRDefault="00192CB3" w:rsidP="00192CB3">
            <w:pPr>
              <w:jc w:val="center"/>
              <w:rPr>
                <w:rFonts w:ascii="Calibri" w:hAnsi="Calibri"/>
                <w:b/>
                <w:bCs/>
                <w:color w:val="FFFFFF"/>
                <w:sz w:val="16"/>
                <w:szCs w:val="18"/>
              </w:rPr>
            </w:pPr>
            <w:r w:rsidRPr="00192CB3">
              <w:rPr>
                <w:rFonts w:ascii="Calibri" w:hAnsi="Calibri"/>
                <w:b/>
                <w:bCs/>
                <w:color w:val="FFFFFF"/>
                <w:sz w:val="16"/>
                <w:szCs w:val="18"/>
              </w:rPr>
              <w:t>30.06.2021</w:t>
            </w:r>
          </w:p>
        </w:tc>
        <w:tc>
          <w:tcPr>
            <w:tcW w:w="972" w:type="dxa"/>
            <w:tcBorders>
              <w:top w:val="nil"/>
              <w:left w:val="nil"/>
              <w:bottom w:val="nil"/>
              <w:right w:val="nil"/>
            </w:tcBorders>
            <w:shd w:val="clear" w:color="000000" w:fill="B41E37"/>
            <w:vAlign w:val="center"/>
            <w:hideMark/>
          </w:tcPr>
          <w:p w14:paraId="771C70E8" w14:textId="1213B076" w:rsidR="00192CB3" w:rsidRPr="00192CB3" w:rsidRDefault="00192CB3" w:rsidP="00192CB3">
            <w:pPr>
              <w:jc w:val="right"/>
              <w:rPr>
                <w:rFonts w:ascii="Calibri" w:hAnsi="Calibri"/>
                <w:b/>
                <w:bCs/>
                <w:color w:val="FFFFFF"/>
                <w:sz w:val="16"/>
                <w:szCs w:val="18"/>
              </w:rPr>
            </w:pPr>
            <w:r w:rsidRPr="00192CB3">
              <w:rPr>
                <w:rFonts w:ascii="Calibri" w:hAnsi="Calibri"/>
                <w:b/>
                <w:bCs/>
                <w:color w:val="FFFFFF"/>
                <w:sz w:val="16"/>
                <w:szCs w:val="18"/>
              </w:rPr>
              <w:t>Изм. 2020/2019 /в %/</w:t>
            </w:r>
          </w:p>
        </w:tc>
        <w:tc>
          <w:tcPr>
            <w:tcW w:w="973" w:type="dxa"/>
            <w:tcBorders>
              <w:top w:val="nil"/>
              <w:left w:val="nil"/>
              <w:bottom w:val="nil"/>
              <w:right w:val="nil"/>
            </w:tcBorders>
            <w:shd w:val="clear" w:color="000000" w:fill="B41E37"/>
            <w:vAlign w:val="center"/>
            <w:hideMark/>
          </w:tcPr>
          <w:p w14:paraId="19245D09" w14:textId="44E1E1CC" w:rsidR="00192CB3" w:rsidRPr="00192CB3" w:rsidRDefault="00192CB3" w:rsidP="00C14561">
            <w:pPr>
              <w:jc w:val="right"/>
              <w:rPr>
                <w:rFonts w:ascii="Calibri" w:hAnsi="Calibri"/>
                <w:b/>
                <w:bCs/>
                <w:color w:val="FFFFFF"/>
                <w:sz w:val="16"/>
                <w:szCs w:val="18"/>
              </w:rPr>
            </w:pPr>
            <w:r w:rsidRPr="00192CB3">
              <w:rPr>
                <w:rFonts w:ascii="Calibri" w:hAnsi="Calibri"/>
                <w:b/>
                <w:bCs/>
                <w:color w:val="FFFFFF"/>
                <w:sz w:val="16"/>
                <w:szCs w:val="18"/>
              </w:rPr>
              <w:t>Изм. 30</w:t>
            </w:r>
            <w:r w:rsidR="00C14561">
              <w:rPr>
                <w:rFonts w:ascii="Calibri" w:hAnsi="Calibri"/>
                <w:b/>
                <w:bCs/>
                <w:color w:val="FFFFFF"/>
                <w:sz w:val="16"/>
                <w:szCs w:val="18"/>
                <w:lang w:val="en-US"/>
              </w:rPr>
              <w:t>.</w:t>
            </w:r>
            <w:r w:rsidRPr="00192CB3">
              <w:rPr>
                <w:rFonts w:ascii="Calibri" w:hAnsi="Calibri"/>
                <w:b/>
                <w:bCs/>
                <w:color w:val="FFFFFF"/>
                <w:sz w:val="16"/>
                <w:szCs w:val="18"/>
              </w:rPr>
              <w:t>06</w:t>
            </w:r>
            <w:r w:rsidR="00C14561">
              <w:rPr>
                <w:rFonts w:ascii="Calibri" w:hAnsi="Calibri"/>
                <w:b/>
                <w:bCs/>
                <w:color w:val="FFFFFF"/>
                <w:sz w:val="16"/>
                <w:szCs w:val="18"/>
                <w:lang w:val="en-US"/>
              </w:rPr>
              <w:t>.</w:t>
            </w:r>
            <w:r w:rsidRPr="00192CB3">
              <w:rPr>
                <w:rFonts w:ascii="Calibri" w:hAnsi="Calibri"/>
                <w:b/>
                <w:bCs/>
                <w:color w:val="FFFFFF"/>
                <w:sz w:val="16"/>
                <w:szCs w:val="18"/>
              </w:rPr>
              <w:t>2021/2020 /в %/</w:t>
            </w:r>
          </w:p>
        </w:tc>
      </w:tr>
      <w:tr w:rsidR="00192CB3" w14:paraId="3C6CBA4A" w14:textId="77777777" w:rsidTr="00FC23B1">
        <w:trPr>
          <w:trHeight w:val="240"/>
        </w:trPr>
        <w:tc>
          <w:tcPr>
            <w:tcW w:w="3969" w:type="dxa"/>
            <w:tcBorders>
              <w:top w:val="nil"/>
              <w:left w:val="nil"/>
              <w:bottom w:val="nil"/>
              <w:right w:val="nil"/>
            </w:tcBorders>
            <w:shd w:val="clear" w:color="000000" w:fill="FFFFFF"/>
            <w:noWrap/>
            <w:vAlign w:val="bottom"/>
            <w:hideMark/>
          </w:tcPr>
          <w:p w14:paraId="7DE5D632" w14:textId="77777777" w:rsidR="00192CB3" w:rsidRDefault="00192CB3">
            <w:pPr>
              <w:rPr>
                <w:rFonts w:ascii="Calibri" w:hAnsi="Calibri"/>
                <w:b/>
                <w:bCs/>
                <w:color w:val="000000"/>
                <w:sz w:val="18"/>
                <w:szCs w:val="18"/>
              </w:rPr>
            </w:pPr>
            <w:r>
              <w:rPr>
                <w:rFonts w:ascii="Calibri" w:hAnsi="Calibri"/>
                <w:b/>
                <w:bCs/>
                <w:color w:val="000000"/>
                <w:sz w:val="18"/>
                <w:szCs w:val="18"/>
              </w:rPr>
              <w:t>Нетекущи активи</w:t>
            </w:r>
          </w:p>
        </w:tc>
        <w:tc>
          <w:tcPr>
            <w:tcW w:w="737" w:type="dxa"/>
            <w:tcBorders>
              <w:top w:val="nil"/>
              <w:left w:val="nil"/>
              <w:bottom w:val="nil"/>
              <w:right w:val="nil"/>
            </w:tcBorders>
            <w:shd w:val="clear" w:color="000000" w:fill="FFFFFF"/>
            <w:noWrap/>
            <w:vAlign w:val="bottom"/>
            <w:hideMark/>
          </w:tcPr>
          <w:p w14:paraId="75572656" w14:textId="77777777" w:rsidR="00192CB3" w:rsidRDefault="00192CB3">
            <w:pPr>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bottom"/>
            <w:hideMark/>
          </w:tcPr>
          <w:p w14:paraId="2B6699EB" w14:textId="77777777" w:rsidR="00192CB3" w:rsidRDefault="00192CB3">
            <w:pPr>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bottom"/>
            <w:hideMark/>
          </w:tcPr>
          <w:p w14:paraId="1A2B9CC6" w14:textId="77777777" w:rsidR="00192CB3" w:rsidRDefault="00192CB3">
            <w:pPr>
              <w:rPr>
                <w:rFonts w:ascii="Calibri" w:hAnsi="Calibri"/>
                <w:color w:val="000000"/>
                <w:sz w:val="18"/>
                <w:szCs w:val="18"/>
              </w:rPr>
            </w:pPr>
            <w:r>
              <w:rPr>
                <w:rFonts w:ascii="Calibri" w:hAnsi="Calibri"/>
                <w:color w:val="000000"/>
                <w:sz w:val="18"/>
                <w:szCs w:val="18"/>
              </w:rPr>
              <w:t> </w:t>
            </w:r>
          </w:p>
        </w:tc>
        <w:tc>
          <w:tcPr>
            <w:tcW w:w="972" w:type="dxa"/>
            <w:tcBorders>
              <w:top w:val="nil"/>
              <w:left w:val="nil"/>
              <w:bottom w:val="nil"/>
              <w:right w:val="nil"/>
            </w:tcBorders>
            <w:shd w:val="clear" w:color="000000" w:fill="FFFFFF"/>
          </w:tcPr>
          <w:p w14:paraId="03EC2462" w14:textId="77777777" w:rsidR="00192CB3" w:rsidRDefault="00192CB3">
            <w:pPr>
              <w:rPr>
                <w:rFonts w:ascii="Calibri" w:hAnsi="Calibri"/>
                <w:color w:val="000000"/>
                <w:sz w:val="18"/>
                <w:szCs w:val="18"/>
              </w:rPr>
            </w:pPr>
          </w:p>
        </w:tc>
        <w:tc>
          <w:tcPr>
            <w:tcW w:w="972" w:type="dxa"/>
            <w:tcBorders>
              <w:top w:val="nil"/>
              <w:left w:val="nil"/>
              <w:bottom w:val="nil"/>
              <w:right w:val="nil"/>
            </w:tcBorders>
            <w:shd w:val="clear" w:color="000000" w:fill="FFFFFF"/>
            <w:noWrap/>
            <w:vAlign w:val="bottom"/>
            <w:hideMark/>
          </w:tcPr>
          <w:p w14:paraId="6571CD0C" w14:textId="67F02C9B" w:rsidR="00192CB3" w:rsidRDefault="00192CB3">
            <w:pPr>
              <w:rPr>
                <w:rFonts w:ascii="Calibri" w:hAnsi="Calibri"/>
                <w:color w:val="000000"/>
                <w:sz w:val="18"/>
                <w:szCs w:val="18"/>
              </w:rPr>
            </w:pPr>
            <w:r>
              <w:rPr>
                <w:rFonts w:ascii="Calibri" w:hAnsi="Calibri"/>
                <w:color w:val="000000"/>
                <w:sz w:val="18"/>
                <w:szCs w:val="18"/>
              </w:rPr>
              <w:t> </w:t>
            </w:r>
          </w:p>
        </w:tc>
        <w:tc>
          <w:tcPr>
            <w:tcW w:w="973" w:type="dxa"/>
            <w:tcBorders>
              <w:top w:val="nil"/>
              <w:left w:val="nil"/>
              <w:bottom w:val="nil"/>
              <w:right w:val="nil"/>
            </w:tcBorders>
            <w:shd w:val="clear" w:color="000000" w:fill="FFFFFF"/>
            <w:noWrap/>
            <w:vAlign w:val="bottom"/>
            <w:hideMark/>
          </w:tcPr>
          <w:p w14:paraId="59D4311B" w14:textId="77777777" w:rsidR="00192CB3" w:rsidRDefault="00192CB3">
            <w:pPr>
              <w:rPr>
                <w:rFonts w:ascii="Calibri" w:hAnsi="Calibri"/>
                <w:color w:val="000000"/>
                <w:sz w:val="18"/>
                <w:szCs w:val="18"/>
              </w:rPr>
            </w:pPr>
            <w:r>
              <w:rPr>
                <w:rFonts w:ascii="Calibri" w:hAnsi="Calibri"/>
                <w:color w:val="000000"/>
                <w:sz w:val="18"/>
                <w:szCs w:val="18"/>
              </w:rPr>
              <w:t> </w:t>
            </w:r>
          </w:p>
        </w:tc>
      </w:tr>
      <w:tr w:rsidR="00C14561" w14:paraId="1D1E6CF1" w14:textId="77777777" w:rsidTr="00FC23B1">
        <w:trPr>
          <w:trHeight w:val="240"/>
        </w:trPr>
        <w:tc>
          <w:tcPr>
            <w:tcW w:w="3969" w:type="dxa"/>
            <w:tcBorders>
              <w:top w:val="nil"/>
              <w:left w:val="nil"/>
              <w:bottom w:val="nil"/>
              <w:right w:val="nil"/>
            </w:tcBorders>
            <w:shd w:val="clear" w:color="000000" w:fill="FFFFFF"/>
            <w:noWrap/>
            <w:vAlign w:val="bottom"/>
            <w:hideMark/>
          </w:tcPr>
          <w:p w14:paraId="32338EC9" w14:textId="77777777" w:rsidR="00C14561" w:rsidRDefault="00C14561" w:rsidP="00C14561">
            <w:pPr>
              <w:rPr>
                <w:rFonts w:ascii="Calibri" w:hAnsi="Calibri"/>
                <w:color w:val="000000"/>
                <w:sz w:val="18"/>
                <w:szCs w:val="18"/>
              </w:rPr>
            </w:pPr>
            <w:r>
              <w:rPr>
                <w:rFonts w:ascii="Calibri" w:hAnsi="Calibri"/>
                <w:color w:val="000000"/>
                <w:sz w:val="18"/>
                <w:szCs w:val="18"/>
              </w:rPr>
              <w:t>Нематериални активи, машини и оборудване</w:t>
            </w:r>
          </w:p>
        </w:tc>
        <w:tc>
          <w:tcPr>
            <w:tcW w:w="737" w:type="dxa"/>
            <w:tcBorders>
              <w:top w:val="nil"/>
              <w:left w:val="nil"/>
              <w:bottom w:val="nil"/>
              <w:right w:val="nil"/>
            </w:tcBorders>
            <w:shd w:val="clear" w:color="000000" w:fill="FFFFFF"/>
            <w:noWrap/>
            <w:vAlign w:val="center"/>
            <w:hideMark/>
          </w:tcPr>
          <w:p w14:paraId="7EF9900E" w14:textId="77777777" w:rsidR="00C14561" w:rsidRDefault="00C14561" w:rsidP="00C14561">
            <w:pPr>
              <w:jc w:val="right"/>
              <w:rPr>
                <w:rFonts w:ascii="Calibri" w:hAnsi="Calibri"/>
                <w:color w:val="000000"/>
                <w:sz w:val="18"/>
                <w:szCs w:val="18"/>
              </w:rPr>
            </w:pPr>
            <w:r>
              <w:rPr>
                <w:rFonts w:ascii="Calibri" w:hAnsi="Calibri"/>
                <w:color w:val="000000"/>
                <w:sz w:val="18"/>
                <w:szCs w:val="18"/>
              </w:rPr>
              <w:t>685</w:t>
            </w:r>
          </w:p>
        </w:tc>
        <w:tc>
          <w:tcPr>
            <w:tcW w:w="737" w:type="dxa"/>
            <w:tcBorders>
              <w:top w:val="nil"/>
              <w:left w:val="nil"/>
              <w:bottom w:val="nil"/>
              <w:right w:val="nil"/>
            </w:tcBorders>
            <w:shd w:val="clear" w:color="000000" w:fill="FFFFFF"/>
            <w:noWrap/>
            <w:vAlign w:val="center"/>
            <w:hideMark/>
          </w:tcPr>
          <w:p w14:paraId="47185D86" w14:textId="77777777" w:rsidR="00C14561" w:rsidRDefault="00C14561" w:rsidP="00C14561">
            <w:pPr>
              <w:jc w:val="right"/>
              <w:rPr>
                <w:rFonts w:ascii="Calibri" w:hAnsi="Calibri"/>
                <w:color w:val="000000"/>
                <w:sz w:val="18"/>
                <w:szCs w:val="18"/>
              </w:rPr>
            </w:pPr>
            <w:r>
              <w:rPr>
                <w:rFonts w:ascii="Calibri" w:hAnsi="Calibri"/>
                <w:color w:val="000000"/>
                <w:sz w:val="18"/>
                <w:szCs w:val="18"/>
              </w:rPr>
              <w:t>1,073</w:t>
            </w:r>
          </w:p>
        </w:tc>
        <w:tc>
          <w:tcPr>
            <w:tcW w:w="737" w:type="dxa"/>
            <w:tcBorders>
              <w:top w:val="nil"/>
              <w:left w:val="nil"/>
              <w:bottom w:val="nil"/>
              <w:right w:val="nil"/>
            </w:tcBorders>
            <w:shd w:val="clear" w:color="000000" w:fill="FFFFFF"/>
            <w:noWrap/>
            <w:vAlign w:val="center"/>
          </w:tcPr>
          <w:p w14:paraId="0CC8C203" w14:textId="332E3D50" w:rsidR="00C14561" w:rsidRDefault="00C14561" w:rsidP="00C14561">
            <w:pPr>
              <w:jc w:val="right"/>
              <w:rPr>
                <w:rFonts w:ascii="Calibri" w:hAnsi="Calibri"/>
                <w:color w:val="000000"/>
                <w:sz w:val="18"/>
                <w:szCs w:val="18"/>
              </w:rPr>
            </w:pPr>
            <w:r>
              <w:rPr>
                <w:rFonts w:ascii="Calibri" w:hAnsi="Calibri"/>
                <w:color w:val="000000"/>
                <w:sz w:val="18"/>
                <w:szCs w:val="18"/>
              </w:rPr>
              <w:t>1 115</w:t>
            </w:r>
          </w:p>
        </w:tc>
        <w:tc>
          <w:tcPr>
            <w:tcW w:w="972" w:type="dxa"/>
            <w:tcBorders>
              <w:top w:val="nil"/>
              <w:left w:val="nil"/>
              <w:bottom w:val="nil"/>
              <w:right w:val="nil"/>
            </w:tcBorders>
            <w:shd w:val="clear" w:color="000000" w:fill="FFFFFF"/>
            <w:vAlign w:val="center"/>
          </w:tcPr>
          <w:p w14:paraId="4AB6F730" w14:textId="0FF30706" w:rsidR="00C14561" w:rsidRDefault="00C14561" w:rsidP="00C14561">
            <w:pPr>
              <w:jc w:val="right"/>
              <w:rPr>
                <w:rFonts w:ascii="Calibri" w:hAnsi="Calibri"/>
                <w:color w:val="00B050"/>
                <w:sz w:val="18"/>
                <w:szCs w:val="18"/>
              </w:rPr>
            </w:pPr>
            <w:r>
              <w:rPr>
                <w:rFonts w:ascii="Calibri" w:hAnsi="Calibri"/>
                <w:color w:val="000000"/>
                <w:sz w:val="18"/>
                <w:szCs w:val="18"/>
              </w:rPr>
              <w:t>1 095</w:t>
            </w:r>
          </w:p>
        </w:tc>
        <w:tc>
          <w:tcPr>
            <w:tcW w:w="972" w:type="dxa"/>
            <w:tcBorders>
              <w:top w:val="nil"/>
              <w:left w:val="nil"/>
              <w:bottom w:val="nil"/>
              <w:right w:val="nil"/>
            </w:tcBorders>
            <w:shd w:val="clear" w:color="000000" w:fill="FFFFFF"/>
            <w:noWrap/>
            <w:vAlign w:val="center"/>
            <w:hideMark/>
          </w:tcPr>
          <w:p w14:paraId="62A6BDFE" w14:textId="1F2B6CE6" w:rsidR="00C14561" w:rsidRDefault="00C14561" w:rsidP="00C14561">
            <w:pPr>
              <w:jc w:val="right"/>
              <w:rPr>
                <w:rFonts w:ascii="Calibri" w:hAnsi="Calibri"/>
                <w:color w:val="00B050"/>
                <w:sz w:val="18"/>
                <w:szCs w:val="18"/>
              </w:rPr>
            </w:pPr>
            <w:r>
              <w:rPr>
                <w:rFonts w:ascii="Calibri" w:hAnsi="Calibri"/>
                <w:color w:val="00B050"/>
                <w:sz w:val="18"/>
                <w:szCs w:val="18"/>
              </w:rPr>
              <w:t>4%</w:t>
            </w:r>
          </w:p>
        </w:tc>
        <w:tc>
          <w:tcPr>
            <w:tcW w:w="973" w:type="dxa"/>
            <w:tcBorders>
              <w:top w:val="nil"/>
              <w:left w:val="nil"/>
              <w:bottom w:val="nil"/>
              <w:right w:val="nil"/>
            </w:tcBorders>
            <w:shd w:val="clear" w:color="000000" w:fill="FFFFFF"/>
            <w:noWrap/>
            <w:vAlign w:val="center"/>
            <w:hideMark/>
          </w:tcPr>
          <w:p w14:paraId="31D39596" w14:textId="1A99AAB9" w:rsidR="00C14561" w:rsidRDefault="00C14561" w:rsidP="00C14561">
            <w:pPr>
              <w:jc w:val="right"/>
              <w:rPr>
                <w:rFonts w:ascii="Calibri" w:hAnsi="Calibri"/>
                <w:color w:val="00B050"/>
                <w:sz w:val="18"/>
                <w:szCs w:val="18"/>
              </w:rPr>
            </w:pPr>
            <w:r>
              <w:rPr>
                <w:rFonts w:ascii="Calibri" w:hAnsi="Calibri"/>
                <w:color w:val="00B050"/>
                <w:sz w:val="18"/>
                <w:szCs w:val="18"/>
              </w:rPr>
              <w:t>-2%</w:t>
            </w:r>
          </w:p>
        </w:tc>
      </w:tr>
      <w:tr w:rsidR="00C14561" w14:paraId="61670DBA" w14:textId="77777777" w:rsidTr="00FC23B1">
        <w:trPr>
          <w:trHeight w:val="240"/>
        </w:trPr>
        <w:tc>
          <w:tcPr>
            <w:tcW w:w="3969" w:type="dxa"/>
            <w:tcBorders>
              <w:top w:val="nil"/>
              <w:left w:val="nil"/>
              <w:bottom w:val="nil"/>
              <w:right w:val="nil"/>
            </w:tcBorders>
            <w:shd w:val="clear" w:color="000000" w:fill="FFFFFF"/>
            <w:noWrap/>
            <w:vAlign w:val="bottom"/>
            <w:hideMark/>
          </w:tcPr>
          <w:p w14:paraId="33461E09" w14:textId="77777777" w:rsidR="00C14561" w:rsidRDefault="00C14561" w:rsidP="00C14561">
            <w:pPr>
              <w:rPr>
                <w:rFonts w:ascii="Calibri" w:hAnsi="Calibri"/>
                <w:color w:val="000000"/>
                <w:sz w:val="18"/>
                <w:szCs w:val="18"/>
              </w:rPr>
            </w:pPr>
            <w:r>
              <w:rPr>
                <w:rFonts w:ascii="Calibri" w:hAnsi="Calibri"/>
                <w:color w:val="000000"/>
                <w:sz w:val="18"/>
                <w:szCs w:val="18"/>
              </w:rPr>
              <w:t>Активи с право на ползване</w:t>
            </w:r>
          </w:p>
        </w:tc>
        <w:tc>
          <w:tcPr>
            <w:tcW w:w="737" w:type="dxa"/>
            <w:tcBorders>
              <w:top w:val="nil"/>
              <w:left w:val="nil"/>
              <w:bottom w:val="nil"/>
              <w:right w:val="nil"/>
            </w:tcBorders>
            <w:shd w:val="clear" w:color="000000" w:fill="FFFFFF"/>
            <w:noWrap/>
            <w:vAlign w:val="center"/>
            <w:hideMark/>
          </w:tcPr>
          <w:p w14:paraId="23FB19DC" w14:textId="77777777" w:rsidR="00C14561" w:rsidRDefault="00C14561" w:rsidP="00C14561">
            <w:pPr>
              <w:jc w:val="right"/>
              <w:rPr>
                <w:rFonts w:ascii="Calibri" w:hAnsi="Calibri"/>
                <w:color w:val="000000"/>
                <w:sz w:val="18"/>
                <w:szCs w:val="18"/>
              </w:rPr>
            </w:pPr>
            <w:r>
              <w:rPr>
                <w:rFonts w:ascii="Calibri" w:hAnsi="Calibri"/>
                <w:color w:val="000000"/>
                <w:sz w:val="18"/>
                <w:szCs w:val="18"/>
              </w:rPr>
              <w:t>0</w:t>
            </w:r>
          </w:p>
        </w:tc>
        <w:tc>
          <w:tcPr>
            <w:tcW w:w="737" w:type="dxa"/>
            <w:tcBorders>
              <w:top w:val="nil"/>
              <w:left w:val="nil"/>
              <w:bottom w:val="nil"/>
              <w:right w:val="nil"/>
            </w:tcBorders>
            <w:shd w:val="clear" w:color="000000" w:fill="FFFFFF"/>
            <w:noWrap/>
            <w:vAlign w:val="center"/>
            <w:hideMark/>
          </w:tcPr>
          <w:p w14:paraId="731BD78C" w14:textId="77777777" w:rsidR="00C14561" w:rsidRDefault="00C14561" w:rsidP="00C14561">
            <w:pPr>
              <w:jc w:val="right"/>
              <w:rPr>
                <w:rFonts w:ascii="Calibri" w:hAnsi="Calibri"/>
                <w:color w:val="000000"/>
                <w:sz w:val="18"/>
                <w:szCs w:val="18"/>
              </w:rPr>
            </w:pPr>
            <w:r>
              <w:rPr>
                <w:rFonts w:ascii="Calibri" w:hAnsi="Calibri"/>
                <w:color w:val="000000"/>
                <w:sz w:val="18"/>
                <w:szCs w:val="18"/>
              </w:rPr>
              <w:t>420</w:t>
            </w:r>
          </w:p>
        </w:tc>
        <w:tc>
          <w:tcPr>
            <w:tcW w:w="737" w:type="dxa"/>
            <w:tcBorders>
              <w:top w:val="nil"/>
              <w:left w:val="nil"/>
              <w:bottom w:val="nil"/>
              <w:right w:val="nil"/>
            </w:tcBorders>
            <w:shd w:val="clear" w:color="000000" w:fill="FFFFFF"/>
            <w:noWrap/>
            <w:vAlign w:val="center"/>
          </w:tcPr>
          <w:p w14:paraId="0E2912C5" w14:textId="09355620" w:rsidR="00C14561" w:rsidRDefault="00C14561" w:rsidP="00C14561">
            <w:pPr>
              <w:jc w:val="right"/>
              <w:rPr>
                <w:rFonts w:ascii="Calibri" w:hAnsi="Calibri"/>
                <w:color w:val="000000"/>
                <w:sz w:val="18"/>
                <w:szCs w:val="18"/>
              </w:rPr>
            </w:pPr>
            <w:r>
              <w:rPr>
                <w:rFonts w:ascii="Calibri" w:hAnsi="Calibri"/>
                <w:color w:val="000000"/>
                <w:sz w:val="18"/>
                <w:szCs w:val="18"/>
              </w:rPr>
              <w:t>292</w:t>
            </w:r>
          </w:p>
        </w:tc>
        <w:tc>
          <w:tcPr>
            <w:tcW w:w="972" w:type="dxa"/>
            <w:tcBorders>
              <w:top w:val="nil"/>
              <w:left w:val="nil"/>
              <w:bottom w:val="nil"/>
              <w:right w:val="nil"/>
            </w:tcBorders>
            <w:shd w:val="clear" w:color="000000" w:fill="FFFFFF"/>
            <w:vAlign w:val="center"/>
          </w:tcPr>
          <w:p w14:paraId="73EFED59" w14:textId="5E35C44B" w:rsidR="00C14561" w:rsidRDefault="00C14561" w:rsidP="00C14561">
            <w:pPr>
              <w:jc w:val="right"/>
              <w:rPr>
                <w:rFonts w:ascii="Calibri" w:hAnsi="Calibri"/>
                <w:color w:val="00B050"/>
                <w:sz w:val="18"/>
                <w:szCs w:val="18"/>
              </w:rPr>
            </w:pPr>
            <w:r>
              <w:rPr>
                <w:rFonts w:ascii="Calibri" w:hAnsi="Calibri"/>
                <w:color w:val="000000"/>
                <w:sz w:val="18"/>
                <w:szCs w:val="18"/>
              </w:rPr>
              <w:t>206</w:t>
            </w:r>
          </w:p>
        </w:tc>
        <w:tc>
          <w:tcPr>
            <w:tcW w:w="972" w:type="dxa"/>
            <w:tcBorders>
              <w:top w:val="nil"/>
              <w:left w:val="nil"/>
              <w:bottom w:val="nil"/>
              <w:right w:val="nil"/>
            </w:tcBorders>
            <w:shd w:val="clear" w:color="000000" w:fill="FFFFFF"/>
            <w:noWrap/>
            <w:vAlign w:val="center"/>
            <w:hideMark/>
          </w:tcPr>
          <w:p w14:paraId="1B395C1F" w14:textId="262BC88C" w:rsidR="00C14561" w:rsidRDefault="00C14561" w:rsidP="00C14561">
            <w:pPr>
              <w:jc w:val="right"/>
              <w:rPr>
                <w:rFonts w:ascii="Calibri" w:hAnsi="Calibri"/>
                <w:color w:val="00B050"/>
                <w:sz w:val="18"/>
                <w:szCs w:val="18"/>
              </w:rPr>
            </w:pPr>
            <w:r>
              <w:rPr>
                <w:rFonts w:ascii="Calibri" w:hAnsi="Calibri"/>
                <w:color w:val="00B050"/>
                <w:sz w:val="18"/>
                <w:szCs w:val="18"/>
              </w:rPr>
              <w:t>-30%</w:t>
            </w:r>
          </w:p>
        </w:tc>
        <w:tc>
          <w:tcPr>
            <w:tcW w:w="973" w:type="dxa"/>
            <w:tcBorders>
              <w:top w:val="nil"/>
              <w:left w:val="nil"/>
              <w:bottom w:val="nil"/>
              <w:right w:val="nil"/>
            </w:tcBorders>
            <w:shd w:val="clear" w:color="000000" w:fill="FFFFFF"/>
            <w:noWrap/>
            <w:vAlign w:val="center"/>
            <w:hideMark/>
          </w:tcPr>
          <w:p w14:paraId="028FCAE3" w14:textId="7BE6B3BE" w:rsidR="00C14561" w:rsidRDefault="00C14561" w:rsidP="00C14561">
            <w:pPr>
              <w:jc w:val="right"/>
              <w:rPr>
                <w:rFonts w:ascii="Calibri" w:hAnsi="Calibri"/>
                <w:color w:val="00B050"/>
                <w:sz w:val="18"/>
                <w:szCs w:val="18"/>
              </w:rPr>
            </w:pPr>
            <w:r>
              <w:rPr>
                <w:rFonts w:ascii="Calibri" w:hAnsi="Calibri"/>
                <w:color w:val="00B050"/>
                <w:sz w:val="18"/>
                <w:szCs w:val="18"/>
              </w:rPr>
              <w:t>-29%</w:t>
            </w:r>
          </w:p>
        </w:tc>
      </w:tr>
      <w:tr w:rsidR="00C14561" w14:paraId="54DA3F04" w14:textId="77777777" w:rsidTr="00FC23B1">
        <w:trPr>
          <w:trHeight w:val="240"/>
        </w:trPr>
        <w:tc>
          <w:tcPr>
            <w:tcW w:w="3969" w:type="dxa"/>
            <w:tcBorders>
              <w:top w:val="nil"/>
              <w:left w:val="nil"/>
              <w:bottom w:val="nil"/>
              <w:right w:val="nil"/>
            </w:tcBorders>
            <w:shd w:val="clear" w:color="000000" w:fill="FFFFFF"/>
            <w:noWrap/>
            <w:vAlign w:val="bottom"/>
            <w:hideMark/>
          </w:tcPr>
          <w:p w14:paraId="4986794E" w14:textId="77777777" w:rsidR="00C14561" w:rsidRDefault="00C14561" w:rsidP="00C14561">
            <w:pPr>
              <w:rPr>
                <w:rFonts w:ascii="Calibri" w:hAnsi="Calibri"/>
                <w:color w:val="000000"/>
                <w:sz w:val="18"/>
                <w:szCs w:val="18"/>
              </w:rPr>
            </w:pPr>
            <w:r>
              <w:rPr>
                <w:rFonts w:ascii="Calibri" w:hAnsi="Calibri"/>
                <w:color w:val="000000"/>
                <w:sz w:val="18"/>
                <w:szCs w:val="18"/>
              </w:rPr>
              <w:t>Активи по отсрочени данъци</w:t>
            </w:r>
          </w:p>
        </w:tc>
        <w:tc>
          <w:tcPr>
            <w:tcW w:w="737" w:type="dxa"/>
            <w:tcBorders>
              <w:top w:val="nil"/>
              <w:left w:val="nil"/>
              <w:bottom w:val="nil"/>
              <w:right w:val="nil"/>
            </w:tcBorders>
            <w:shd w:val="clear" w:color="000000" w:fill="FFFFFF"/>
            <w:noWrap/>
            <w:vAlign w:val="center"/>
            <w:hideMark/>
          </w:tcPr>
          <w:p w14:paraId="46E882EC" w14:textId="77777777" w:rsidR="00C14561" w:rsidRDefault="00C14561" w:rsidP="00C14561">
            <w:pPr>
              <w:jc w:val="right"/>
              <w:rPr>
                <w:rFonts w:ascii="Calibri" w:hAnsi="Calibri"/>
                <w:color w:val="000000"/>
                <w:sz w:val="18"/>
                <w:szCs w:val="18"/>
              </w:rPr>
            </w:pPr>
            <w:r>
              <w:rPr>
                <w:rFonts w:ascii="Calibri" w:hAnsi="Calibri"/>
                <w:color w:val="000000"/>
                <w:sz w:val="18"/>
                <w:szCs w:val="18"/>
              </w:rPr>
              <w:t>5</w:t>
            </w:r>
          </w:p>
        </w:tc>
        <w:tc>
          <w:tcPr>
            <w:tcW w:w="737" w:type="dxa"/>
            <w:tcBorders>
              <w:top w:val="nil"/>
              <w:left w:val="nil"/>
              <w:bottom w:val="nil"/>
              <w:right w:val="nil"/>
            </w:tcBorders>
            <w:shd w:val="clear" w:color="000000" w:fill="FFFFFF"/>
            <w:noWrap/>
            <w:vAlign w:val="center"/>
            <w:hideMark/>
          </w:tcPr>
          <w:p w14:paraId="60F36C8D" w14:textId="77777777" w:rsidR="00C14561" w:rsidRDefault="00C14561" w:rsidP="00C14561">
            <w:pPr>
              <w:jc w:val="right"/>
              <w:rPr>
                <w:rFonts w:ascii="Calibri" w:hAnsi="Calibri"/>
                <w:color w:val="000000"/>
                <w:sz w:val="18"/>
                <w:szCs w:val="18"/>
              </w:rPr>
            </w:pPr>
            <w:r>
              <w:rPr>
                <w:rFonts w:ascii="Calibri" w:hAnsi="Calibri"/>
                <w:color w:val="000000"/>
                <w:sz w:val="18"/>
                <w:szCs w:val="18"/>
              </w:rPr>
              <w:t>10</w:t>
            </w:r>
          </w:p>
        </w:tc>
        <w:tc>
          <w:tcPr>
            <w:tcW w:w="737" w:type="dxa"/>
            <w:tcBorders>
              <w:top w:val="nil"/>
              <w:left w:val="nil"/>
              <w:bottom w:val="nil"/>
              <w:right w:val="nil"/>
            </w:tcBorders>
            <w:shd w:val="clear" w:color="000000" w:fill="FFFFFF"/>
            <w:noWrap/>
            <w:vAlign w:val="center"/>
          </w:tcPr>
          <w:p w14:paraId="75984EBC" w14:textId="5400352B" w:rsidR="00C14561" w:rsidRDefault="00C14561" w:rsidP="00C14561">
            <w:pPr>
              <w:jc w:val="right"/>
              <w:rPr>
                <w:rFonts w:ascii="Calibri" w:hAnsi="Calibri"/>
                <w:color w:val="000000"/>
                <w:sz w:val="18"/>
                <w:szCs w:val="18"/>
              </w:rPr>
            </w:pPr>
            <w:r>
              <w:rPr>
                <w:rFonts w:ascii="Calibri" w:hAnsi="Calibri"/>
                <w:color w:val="000000"/>
                <w:sz w:val="18"/>
                <w:szCs w:val="18"/>
              </w:rPr>
              <w:t>9</w:t>
            </w:r>
          </w:p>
        </w:tc>
        <w:tc>
          <w:tcPr>
            <w:tcW w:w="972" w:type="dxa"/>
            <w:tcBorders>
              <w:top w:val="nil"/>
              <w:left w:val="nil"/>
              <w:bottom w:val="nil"/>
              <w:right w:val="nil"/>
            </w:tcBorders>
            <w:shd w:val="clear" w:color="000000" w:fill="FFFFFF"/>
            <w:vAlign w:val="center"/>
          </w:tcPr>
          <w:p w14:paraId="56A025A9" w14:textId="27048E7C" w:rsidR="00C14561" w:rsidRDefault="00C14561" w:rsidP="00C14561">
            <w:pPr>
              <w:jc w:val="right"/>
              <w:rPr>
                <w:rFonts w:ascii="Calibri" w:hAnsi="Calibri"/>
                <w:color w:val="00B050"/>
                <w:sz w:val="18"/>
                <w:szCs w:val="18"/>
              </w:rPr>
            </w:pPr>
            <w:r>
              <w:rPr>
                <w:rFonts w:ascii="Calibri" w:hAnsi="Calibri"/>
                <w:color w:val="000000"/>
                <w:sz w:val="18"/>
                <w:szCs w:val="22"/>
                <w:lang w:val="en-US" w:eastAsia="en-GB"/>
              </w:rPr>
              <w:t>9</w:t>
            </w:r>
          </w:p>
        </w:tc>
        <w:tc>
          <w:tcPr>
            <w:tcW w:w="972" w:type="dxa"/>
            <w:tcBorders>
              <w:top w:val="nil"/>
              <w:left w:val="nil"/>
              <w:bottom w:val="nil"/>
              <w:right w:val="nil"/>
            </w:tcBorders>
            <w:shd w:val="clear" w:color="000000" w:fill="FFFFFF"/>
            <w:noWrap/>
            <w:vAlign w:val="center"/>
            <w:hideMark/>
          </w:tcPr>
          <w:p w14:paraId="0ED94E0A" w14:textId="48FB7C18" w:rsidR="00C14561" w:rsidRDefault="00C14561" w:rsidP="00C14561">
            <w:pPr>
              <w:jc w:val="right"/>
              <w:rPr>
                <w:rFonts w:ascii="Calibri" w:hAnsi="Calibri"/>
                <w:color w:val="00B050"/>
                <w:sz w:val="18"/>
                <w:szCs w:val="18"/>
              </w:rPr>
            </w:pPr>
            <w:r>
              <w:rPr>
                <w:rFonts w:ascii="Calibri" w:hAnsi="Calibri"/>
                <w:color w:val="00B050"/>
                <w:sz w:val="18"/>
                <w:szCs w:val="18"/>
              </w:rPr>
              <w:t>-10%</w:t>
            </w:r>
          </w:p>
        </w:tc>
        <w:tc>
          <w:tcPr>
            <w:tcW w:w="973" w:type="dxa"/>
            <w:tcBorders>
              <w:top w:val="nil"/>
              <w:left w:val="nil"/>
              <w:bottom w:val="nil"/>
              <w:right w:val="nil"/>
            </w:tcBorders>
            <w:shd w:val="clear" w:color="000000" w:fill="FFFFFF"/>
            <w:noWrap/>
            <w:vAlign w:val="center"/>
            <w:hideMark/>
          </w:tcPr>
          <w:p w14:paraId="41938ECE" w14:textId="5AA3C12B" w:rsidR="00C14561" w:rsidRDefault="00C14561" w:rsidP="00C14561">
            <w:pPr>
              <w:jc w:val="right"/>
              <w:rPr>
                <w:rFonts w:ascii="Calibri" w:hAnsi="Calibri"/>
                <w:color w:val="00B050"/>
                <w:sz w:val="18"/>
                <w:szCs w:val="18"/>
              </w:rPr>
            </w:pPr>
            <w:r>
              <w:rPr>
                <w:rFonts w:ascii="Calibri" w:hAnsi="Calibri"/>
                <w:color w:val="00B050"/>
                <w:sz w:val="18"/>
                <w:szCs w:val="18"/>
              </w:rPr>
              <w:t>0%</w:t>
            </w:r>
          </w:p>
        </w:tc>
      </w:tr>
      <w:tr w:rsidR="00C14561" w14:paraId="67059B7A" w14:textId="77777777" w:rsidTr="00FC23B1">
        <w:trPr>
          <w:trHeight w:val="240"/>
        </w:trPr>
        <w:tc>
          <w:tcPr>
            <w:tcW w:w="3969" w:type="dxa"/>
            <w:tcBorders>
              <w:top w:val="nil"/>
              <w:left w:val="nil"/>
              <w:bottom w:val="nil"/>
              <w:right w:val="nil"/>
            </w:tcBorders>
            <w:shd w:val="clear" w:color="000000" w:fill="FFFFFF"/>
            <w:noWrap/>
            <w:vAlign w:val="bottom"/>
            <w:hideMark/>
          </w:tcPr>
          <w:p w14:paraId="53B04F8C" w14:textId="77777777" w:rsidR="00C14561" w:rsidRDefault="00C14561" w:rsidP="00C14561">
            <w:pPr>
              <w:rPr>
                <w:rFonts w:ascii="Calibri" w:hAnsi="Calibri"/>
                <w:color w:val="000000"/>
                <w:sz w:val="18"/>
                <w:szCs w:val="18"/>
              </w:rPr>
            </w:pPr>
            <w:r>
              <w:rPr>
                <w:rFonts w:ascii="Calibri" w:hAnsi="Calibri"/>
                <w:color w:val="000000"/>
                <w:sz w:val="18"/>
                <w:szCs w:val="18"/>
              </w:rPr>
              <w:t>Инвестиции в дъщерни дружества</w:t>
            </w:r>
          </w:p>
        </w:tc>
        <w:tc>
          <w:tcPr>
            <w:tcW w:w="737" w:type="dxa"/>
            <w:tcBorders>
              <w:top w:val="nil"/>
              <w:left w:val="nil"/>
              <w:bottom w:val="nil"/>
              <w:right w:val="nil"/>
            </w:tcBorders>
            <w:shd w:val="clear" w:color="000000" w:fill="FFFFFF"/>
            <w:noWrap/>
            <w:vAlign w:val="center"/>
            <w:hideMark/>
          </w:tcPr>
          <w:p w14:paraId="2DE8988F" w14:textId="77777777" w:rsidR="00C14561" w:rsidRDefault="00C14561" w:rsidP="00C14561">
            <w:pPr>
              <w:jc w:val="right"/>
              <w:rPr>
                <w:rFonts w:ascii="Calibri" w:hAnsi="Calibri"/>
                <w:color w:val="000000"/>
                <w:sz w:val="18"/>
                <w:szCs w:val="18"/>
              </w:rPr>
            </w:pPr>
            <w:r>
              <w:rPr>
                <w:rFonts w:ascii="Calibri" w:hAnsi="Calibri"/>
                <w:color w:val="000000"/>
                <w:sz w:val="18"/>
                <w:szCs w:val="18"/>
              </w:rPr>
              <w:t>7</w:t>
            </w:r>
          </w:p>
        </w:tc>
        <w:tc>
          <w:tcPr>
            <w:tcW w:w="737" w:type="dxa"/>
            <w:tcBorders>
              <w:top w:val="nil"/>
              <w:left w:val="nil"/>
              <w:bottom w:val="nil"/>
              <w:right w:val="nil"/>
            </w:tcBorders>
            <w:shd w:val="clear" w:color="000000" w:fill="FFFFFF"/>
            <w:noWrap/>
            <w:vAlign w:val="center"/>
            <w:hideMark/>
          </w:tcPr>
          <w:p w14:paraId="4F31729A" w14:textId="77777777" w:rsidR="00C14561" w:rsidRDefault="00C14561" w:rsidP="00C14561">
            <w:pPr>
              <w:jc w:val="right"/>
              <w:rPr>
                <w:rFonts w:ascii="Calibri" w:hAnsi="Calibri"/>
                <w:color w:val="000000"/>
                <w:sz w:val="18"/>
                <w:szCs w:val="18"/>
              </w:rPr>
            </w:pPr>
            <w:r>
              <w:rPr>
                <w:rFonts w:ascii="Calibri" w:hAnsi="Calibri"/>
                <w:color w:val="000000"/>
                <w:sz w:val="18"/>
                <w:szCs w:val="18"/>
              </w:rPr>
              <w:t>-</w:t>
            </w:r>
          </w:p>
        </w:tc>
        <w:tc>
          <w:tcPr>
            <w:tcW w:w="737" w:type="dxa"/>
            <w:tcBorders>
              <w:top w:val="nil"/>
              <w:left w:val="nil"/>
              <w:bottom w:val="nil"/>
              <w:right w:val="nil"/>
            </w:tcBorders>
            <w:shd w:val="clear" w:color="000000" w:fill="FFFFFF"/>
            <w:noWrap/>
            <w:vAlign w:val="center"/>
          </w:tcPr>
          <w:p w14:paraId="370650D1" w14:textId="64B5B4B8" w:rsidR="00C14561" w:rsidRDefault="00C14561" w:rsidP="00C14561">
            <w:pPr>
              <w:jc w:val="right"/>
              <w:rPr>
                <w:rFonts w:ascii="Calibri" w:hAnsi="Calibri"/>
                <w:color w:val="000000"/>
                <w:sz w:val="18"/>
                <w:szCs w:val="18"/>
              </w:rPr>
            </w:pPr>
            <w:r>
              <w:rPr>
                <w:rFonts w:ascii="Calibri" w:hAnsi="Calibri"/>
                <w:color w:val="000000"/>
                <w:sz w:val="18"/>
                <w:szCs w:val="18"/>
              </w:rPr>
              <w:t>0</w:t>
            </w:r>
          </w:p>
        </w:tc>
        <w:tc>
          <w:tcPr>
            <w:tcW w:w="972" w:type="dxa"/>
            <w:tcBorders>
              <w:top w:val="nil"/>
              <w:left w:val="nil"/>
              <w:bottom w:val="nil"/>
              <w:right w:val="nil"/>
            </w:tcBorders>
            <w:shd w:val="clear" w:color="000000" w:fill="FFFFFF"/>
            <w:vAlign w:val="center"/>
          </w:tcPr>
          <w:p w14:paraId="7C5159BC" w14:textId="29E2E3F1" w:rsidR="00C14561" w:rsidRDefault="00C14561" w:rsidP="00C14561">
            <w:pPr>
              <w:jc w:val="right"/>
              <w:rPr>
                <w:rFonts w:ascii="Calibri" w:hAnsi="Calibri"/>
                <w:color w:val="00B050"/>
                <w:sz w:val="18"/>
                <w:szCs w:val="18"/>
              </w:rPr>
            </w:pPr>
            <w:r>
              <w:rPr>
                <w:rFonts w:ascii="Calibri" w:hAnsi="Calibri"/>
                <w:color w:val="000000"/>
                <w:sz w:val="18"/>
                <w:szCs w:val="18"/>
              </w:rPr>
              <w:t>0</w:t>
            </w:r>
          </w:p>
        </w:tc>
        <w:tc>
          <w:tcPr>
            <w:tcW w:w="972" w:type="dxa"/>
            <w:tcBorders>
              <w:top w:val="nil"/>
              <w:left w:val="nil"/>
              <w:bottom w:val="nil"/>
              <w:right w:val="nil"/>
            </w:tcBorders>
            <w:shd w:val="clear" w:color="000000" w:fill="FFFFFF"/>
            <w:noWrap/>
            <w:vAlign w:val="center"/>
            <w:hideMark/>
          </w:tcPr>
          <w:p w14:paraId="150166DD" w14:textId="5C949113" w:rsidR="00C14561" w:rsidRDefault="00C14561" w:rsidP="00C14561">
            <w:pPr>
              <w:jc w:val="right"/>
              <w:rPr>
                <w:rFonts w:ascii="Calibri" w:hAnsi="Calibri"/>
                <w:color w:val="00B050"/>
                <w:sz w:val="18"/>
                <w:szCs w:val="18"/>
              </w:rPr>
            </w:pPr>
            <w:r>
              <w:rPr>
                <w:rFonts w:ascii="Calibri" w:hAnsi="Calibri"/>
                <w:color w:val="00B050"/>
                <w:sz w:val="18"/>
                <w:szCs w:val="18"/>
              </w:rPr>
              <w:t> </w:t>
            </w:r>
          </w:p>
        </w:tc>
        <w:tc>
          <w:tcPr>
            <w:tcW w:w="973" w:type="dxa"/>
            <w:tcBorders>
              <w:top w:val="nil"/>
              <w:left w:val="nil"/>
              <w:bottom w:val="nil"/>
              <w:right w:val="nil"/>
            </w:tcBorders>
            <w:shd w:val="clear" w:color="000000" w:fill="FFFFFF"/>
            <w:noWrap/>
            <w:vAlign w:val="center"/>
            <w:hideMark/>
          </w:tcPr>
          <w:p w14:paraId="71D3D7AA" w14:textId="536EC885" w:rsidR="00C14561" w:rsidRDefault="00C14561" w:rsidP="00C14561">
            <w:pPr>
              <w:jc w:val="right"/>
              <w:rPr>
                <w:rFonts w:ascii="Calibri" w:hAnsi="Calibri"/>
                <w:color w:val="00B050"/>
                <w:sz w:val="18"/>
                <w:szCs w:val="18"/>
              </w:rPr>
            </w:pPr>
            <w:r>
              <w:rPr>
                <w:rFonts w:ascii="Calibri" w:hAnsi="Calibri"/>
                <w:color w:val="00B050"/>
                <w:sz w:val="18"/>
                <w:szCs w:val="18"/>
              </w:rPr>
              <w:t> </w:t>
            </w:r>
          </w:p>
        </w:tc>
      </w:tr>
      <w:tr w:rsidR="00C14561" w14:paraId="4DBADF48" w14:textId="77777777" w:rsidTr="00FC23B1">
        <w:trPr>
          <w:trHeight w:val="240"/>
        </w:trPr>
        <w:tc>
          <w:tcPr>
            <w:tcW w:w="3969" w:type="dxa"/>
            <w:tcBorders>
              <w:top w:val="nil"/>
              <w:left w:val="nil"/>
              <w:bottom w:val="nil"/>
              <w:right w:val="nil"/>
            </w:tcBorders>
            <w:shd w:val="clear" w:color="000000" w:fill="FFFFFF"/>
            <w:noWrap/>
            <w:vAlign w:val="bottom"/>
            <w:hideMark/>
          </w:tcPr>
          <w:p w14:paraId="5D2A87F0" w14:textId="77777777" w:rsidR="00C14561" w:rsidRDefault="00C14561" w:rsidP="00C14561">
            <w:pPr>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hideMark/>
          </w:tcPr>
          <w:p w14:paraId="43ADDC40" w14:textId="77777777" w:rsidR="00C14561" w:rsidRDefault="00C14561" w:rsidP="00C14561">
            <w:pPr>
              <w:jc w:val="right"/>
              <w:rPr>
                <w:rFonts w:ascii="Calibri" w:hAnsi="Calibri"/>
                <w:b/>
                <w:bCs/>
                <w:color w:val="000000"/>
                <w:sz w:val="18"/>
                <w:szCs w:val="18"/>
              </w:rPr>
            </w:pPr>
            <w:r>
              <w:rPr>
                <w:rFonts w:ascii="Calibri" w:hAnsi="Calibri"/>
                <w:b/>
                <w:bCs/>
                <w:color w:val="000000"/>
                <w:sz w:val="18"/>
                <w:szCs w:val="18"/>
              </w:rPr>
              <w:t>697</w:t>
            </w:r>
          </w:p>
        </w:tc>
        <w:tc>
          <w:tcPr>
            <w:tcW w:w="737" w:type="dxa"/>
            <w:tcBorders>
              <w:top w:val="nil"/>
              <w:left w:val="nil"/>
              <w:bottom w:val="nil"/>
              <w:right w:val="nil"/>
            </w:tcBorders>
            <w:shd w:val="clear" w:color="000000" w:fill="FFFFFF"/>
            <w:noWrap/>
            <w:vAlign w:val="center"/>
            <w:hideMark/>
          </w:tcPr>
          <w:p w14:paraId="7FE769D3" w14:textId="77777777" w:rsidR="00C14561" w:rsidRDefault="00C14561" w:rsidP="00C14561">
            <w:pPr>
              <w:jc w:val="right"/>
              <w:rPr>
                <w:rFonts w:ascii="Calibri" w:hAnsi="Calibri"/>
                <w:b/>
                <w:bCs/>
                <w:color w:val="000000"/>
                <w:sz w:val="18"/>
                <w:szCs w:val="18"/>
              </w:rPr>
            </w:pPr>
            <w:r>
              <w:rPr>
                <w:rFonts w:ascii="Calibri" w:hAnsi="Calibri"/>
                <w:b/>
                <w:bCs/>
                <w:color w:val="000000"/>
                <w:sz w:val="18"/>
                <w:szCs w:val="18"/>
              </w:rPr>
              <w:t>1,503</w:t>
            </w:r>
          </w:p>
        </w:tc>
        <w:tc>
          <w:tcPr>
            <w:tcW w:w="737" w:type="dxa"/>
            <w:tcBorders>
              <w:top w:val="nil"/>
              <w:left w:val="nil"/>
              <w:bottom w:val="nil"/>
              <w:right w:val="nil"/>
            </w:tcBorders>
            <w:shd w:val="clear" w:color="000000" w:fill="FFFFFF"/>
            <w:noWrap/>
            <w:vAlign w:val="center"/>
          </w:tcPr>
          <w:p w14:paraId="6BD3B70A" w14:textId="2C5D9D03" w:rsidR="00C14561" w:rsidRDefault="00C14561" w:rsidP="00C14561">
            <w:pPr>
              <w:jc w:val="right"/>
              <w:rPr>
                <w:rFonts w:ascii="Calibri" w:hAnsi="Calibri"/>
                <w:b/>
                <w:bCs/>
                <w:color w:val="000000"/>
                <w:sz w:val="18"/>
                <w:szCs w:val="18"/>
              </w:rPr>
            </w:pPr>
            <w:r>
              <w:rPr>
                <w:rFonts w:ascii="Calibri" w:hAnsi="Calibri"/>
                <w:b/>
                <w:bCs/>
                <w:color w:val="000000"/>
                <w:sz w:val="18"/>
                <w:szCs w:val="18"/>
              </w:rPr>
              <w:t>1 416</w:t>
            </w:r>
          </w:p>
        </w:tc>
        <w:tc>
          <w:tcPr>
            <w:tcW w:w="972" w:type="dxa"/>
            <w:tcBorders>
              <w:top w:val="nil"/>
              <w:left w:val="nil"/>
              <w:bottom w:val="nil"/>
              <w:right w:val="nil"/>
            </w:tcBorders>
            <w:shd w:val="clear" w:color="000000" w:fill="FFFFFF"/>
            <w:vAlign w:val="center"/>
          </w:tcPr>
          <w:p w14:paraId="2481DC15" w14:textId="1E5D55EE" w:rsidR="00C14561" w:rsidRDefault="00C14561" w:rsidP="00C14561">
            <w:pPr>
              <w:jc w:val="right"/>
              <w:rPr>
                <w:rFonts w:ascii="Calibri" w:hAnsi="Calibri"/>
                <w:color w:val="00B050"/>
                <w:sz w:val="18"/>
                <w:szCs w:val="18"/>
              </w:rPr>
            </w:pPr>
            <w:r>
              <w:rPr>
                <w:rFonts w:ascii="Calibri" w:hAnsi="Calibri"/>
                <w:b/>
                <w:bCs/>
                <w:color w:val="000000"/>
                <w:sz w:val="18"/>
                <w:szCs w:val="18"/>
              </w:rPr>
              <w:t>1 310</w:t>
            </w:r>
          </w:p>
        </w:tc>
        <w:tc>
          <w:tcPr>
            <w:tcW w:w="972" w:type="dxa"/>
            <w:tcBorders>
              <w:top w:val="nil"/>
              <w:left w:val="nil"/>
              <w:bottom w:val="nil"/>
              <w:right w:val="nil"/>
            </w:tcBorders>
            <w:shd w:val="clear" w:color="000000" w:fill="FFFFFF"/>
            <w:noWrap/>
            <w:vAlign w:val="center"/>
            <w:hideMark/>
          </w:tcPr>
          <w:p w14:paraId="150E4799" w14:textId="5B48126C" w:rsidR="00C14561" w:rsidRDefault="00C14561" w:rsidP="00C14561">
            <w:pPr>
              <w:jc w:val="right"/>
              <w:rPr>
                <w:rFonts w:ascii="Calibri" w:hAnsi="Calibri"/>
                <w:color w:val="00B050"/>
                <w:sz w:val="18"/>
                <w:szCs w:val="18"/>
              </w:rPr>
            </w:pPr>
            <w:r>
              <w:rPr>
                <w:rFonts w:ascii="Calibri" w:hAnsi="Calibri"/>
                <w:color w:val="00B050"/>
                <w:sz w:val="18"/>
                <w:szCs w:val="18"/>
              </w:rPr>
              <w:t>-6%</w:t>
            </w:r>
          </w:p>
        </w:tc>
        <w:tc>
          <w:tcPr>
            <w:tcW w:w="973" w:type="dxa"/>
            <w:tcBorders>
              <w:top w:val="nil"/>
              <w:left w:val="nil"/>
              <w:bottom w:val="nil"/>
              <w:right w:val="nil"/>
            </w:tcBorders>
            <w:shd w:val="clear" w:color="000000" w:fill="FFFFFF"/>
            <w:noWrap/>
            <w:vAlign w:val="center"/>
            <w:hideMark/>
          </w:tcPr>
          <w:p w14:paraId="5FDD7413" w14:textId="1298942A" w:rsidR="00C14561" w:rsidRDefault="00C14561" w:rsidP="00C14561">
            <w:pPr>
              <w:jc w:val="right"/>
              <w:rPr>
                <w:rFonts w:ascii="Calibri" w:hAnsi="Calibri"/>
                <w:color w:val="00B050"/>
                <w:sz w:val="18"/>
                <w:szCs w:val="18"/>
              </w:rPr>
            </w:pPr>
            <w:r>
              <w:rPr>
                <w:rFonts w:ascii="Calibri" w:hAnsi="Calibri"/>
                <w:color w:val="00B050"/>
                <w:sz w:val="18"/>
                <w:szCs w:val="18"/>
              </w:rPr>
              <w:t>-7%</w:t>
            </w:r>
          </w:p>
        </w:tc>
      </w:tr>
      <w:tr w:rsidR="00192CB3" w14:paraId="792B56BD" w14:textId="77777777" w:rsidTr="00FC23B1">
        <w:trPr>
          <w:trHeight w:val="240"/>
        </w:trPr>
        <w:tc>
          <w:tcPr>
            <w:tcW w:w="3969" w:type="dxa"/>
            <w:tcBorders>
              <w:top w:val="nil"/>
              <w:left w:val="nil"/>
              <w:bottom w:val="nil"/>
              <w:right w:val="nil"/>
            </w:tcBorders>
            <w:shd w:val="clear" w:color="000000" w:fill="FFFFFF"/>
            <w:noWrap/>
            <w:vAlign w:val="bottom"/>
            <w:hideMark/>
          </w:tcPr>
          <w:p w14:paraId="1514B9F4" w14:textId="77777777" w:rsidR="00192CB3" w:rsidRDefault="00192CB3">
            <w:pPr>
              <w:rPr>
                <w:rFonts w:ascii="Calibri" w:hAnsi="Calibri"/>
                <w:b/>
                <w:bCs/>
                <w:color w:val="000000"/>
                <w:sz w:val="18"/>
                <w:szCs w:val="18"/>
              </w:rPr>
            </w:pPr>
            <w:r>
              <w:rPr>
                <w:rFonts w:ascii="Calibri" w:hAnsi="Calibri"/>
                <w:b/>
                <w:bCs/>
                <w:color w:val="000000"/>
                <w:sz w:val="18"/>
                <w:szCs w:val="18"/>
              </w:rPr>
              <w:t>Текущи активи</w:t>
            </w:r>
          </w:p>
        </w:tc>
        <w:tc>
          <w:tcPr>
            <w:tcW w:w="737" w:type="dxa"/>
            <w:tcBorders>
              <w:top w:val="nil"/>
              <w:left w:val="nil"/>
              <w:bottom w:val="nil"/>
              <w:right w:val="nil"/>
            </w:tcBorders>
            <w:shd w:val="clear" w:color="000000" w:fill="FFFFFF"/>
            <w:noWrap/>
            <w:vAlign w:val="center"/>
            <w:hideMark/>
          </w:tcPr>
          <w:p w14:paraId="572E9597" w14:textId="77777777" w:rsidR="00192CB3" w:rsidRDefault="00192CB3">
            <w:pPr>
              <w:jc w:val="right"/>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hideMark/>
          </w:tcPr>
          <w:p w14:paraId="312D946D" w14:textId="77777777" w:rsidR="00192CB3" w:rsidRDefault="00192CB3">
            <w:pPr>
              <w:jc w:val="right"/>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tcPr>
          <w:p w14:paraId="3CA3F9E2" w14:textId="11862A63" w:rsidR="00192CB3" w:rsidRDefault="00192CB3">
            <w:pPr>
              <w:jc w:val="right"/>
              <w:rPr>
                <w:rFonts w:ascii="Calibri" w:hAnsi="Calibri"/>
                <w:color w:val="000000"/>
                <w:sz w:val="18"/>
                <w:szCs w:val="18"/>
              </w:rPr>
            </w:pPr>
          </w:p>
        </w:tc>
        <w:tc>
          <w:tcPr>
            <w:tcW w:w="972" w:type="dxa"/>
            <w:tcBorders>
              <w:top w:val="nil"/>
              <w:left w:val="nil"/>
              <w:bottom w:val="nil"/>
              <w:right w:val="nil"/>
            </w:tcBorders>
            <w:shd w:val="clear" w:color="000000" w:fill="FFFFFF"/>
          </w:tcPr>
          <w:p w14:paraId="7B38E2A3" w14:textId="77777777" w:rsidR="00192CB3" w:rsidRDefault="00192CB3">
            <w:pPr>
              <w:jc w:val="right"/>
              <w:rPr>
                <w:rFonts w:ascii="Calibri" w:hAnsi="Calibri"/>
                <w:color w:val="00B050"/>
                <w:sz w:val="18"/>
                <w:szCs w:val="18"/>
              </w:rPr>
            </w:pPr>
          </w:p>
        </w:tc>
        <w:tc>
          <w:tcPr>
            <w:tcW w:w="972" w:type="dxa"/>
            <w:tcBorders>
              <w:top w:val="nil"/>
              <w:left w:val="nil"/>
              <w:bottom w:val="nil"/>
              <w:right w:val="nil"/>
            </w:tcBorders>
            <w:shd w:val="clear" w:color="000000" w:fill="FFFFFF"/>
            <w:noWrap/>
            <w:vAlign w:val="center"/>
            <w:hideMark/>
          </w:tcPr>
          <w:p w14:paraId="597FF268" w14:textId="24E4DE82" w:rsidR="00192CB3" w:rsidRDefault="00192CB3">
            <w:pPr>
              <w:jc w:val="right"/>
              <w:rPr>
                <w:rFonts w:ascii="Calibri" w:hAnsi="Calibri"/>
                <w:color w:val="00B050"/>
                <w:sz w:val="18"/>
                <w:szCs w:val="18"/>
              </w:rPr>
            </w:pPr>
            <w:r>
              <w:rPr>
                <w:rFonts w:ascii="Calibri" w:hAnsi="Calibri"/>
                <w:color w:val="00B050"/>
                <w:sz w:val="18"/>
                <w:szCs w:val="18"/>
              </w:rPr>
              <w:t> </w:t>
            </w:r>
          </w:p>
        </w:tc>
        <w:tc>
          <w:tcPr>
            <w:tcW w:w="973" w:type="dxa"/>
            <w:tcBorders>
              <w:top w:val="nil"/>
              <w:left w:val="nil"/>
              <w:bottom w:val="nil"/>
              <w:right w:val="nil"/>
            </w:tcBorders>
            <w:shd w:val="clear" w:color="000000" w:fill="FFFFFF"/>
            <w:noWrap/>
            <w:vAlign w:val="center"/>
            <w:hideMark/>
          </w:tcPr>
          <w:p w14:paraId="1C836E4E" w14:textId="77777777" w:rsidR="00192CB3" w:rsidRDefault="00192CB3">
            <w:pPr>
              <w:jc w:val="right"/>
              <w:rPr>
                <w:rFonts w:ascii="Calibri" w:hAnsi="Calibri"/>
                <w:color w:val="00B050"/>
                <w:sz w:val="18"/>
                <w:szCs w:val="18"/>
              </w:rPr>
            </w:pPr>
            <w:r>
              <w:rPr>
                <w:rFonts w:ascii="Calibri" w:hAnsi="Calibri"/>
                <w:color w:val="00B050"/>
                <w:sz w:val="18"/>
                <w:szCs w:val="18"/>
              </w:rPr>
              <w:t> </w:t>
            </w:r>
          </w:p>
        </w:tc>
      </w:tr>
      <w:tr w:rsidR="00C14561" w14:paraId="1026869D" w14:textId="77777777" w:rsidTr="00FC23B1">
        <w:trPr>
          <w:trHeight w:val="240"/>
        </w:trPr>
        <w:tc>
          <w:tcPr>
            <w:tcW w:w="3969" w:type="dxa"/>
            <w:tcBorders>
              <w:top w:val="nil"/>
              <w:left w:val="nil"/>
              <w:bottom w:val="nil"/>
              <w:right w:val="nil"/>
            </w:tcBorders>
            <w:shd w:val="clear" w:color="000000" w:fill="FFFFFF"/>
            <w:noWrap/>
            <w:vAlign w:val="bottom"/>
            <w:hideMark/>
          </w:tcPr>
          <w:p w14:paraId="0EAB778A" w14:textId="77777777" w:rsidR="00C14561" w:rsidRDefault="00C14561" w:rsidP="00C14561">
            <w:pPr>
              <w:rPr>
                <w:rFonts w:ascii="Calibri" w:hAnsi="Calibri"/>
                <w:color w:val="000000"/>
                <w:sz w:val="18"/>
                <w:szCs w:val="18"/>
              </w:rPr>
            </w:pPr>
            <w:r>
              <w:rPr>
                <w:rFonts w:ascii="Calibri" w:hAnsi="Calibri"/>
                <w:color w:val="000000"/>
                <w:sz w:val="18"/>
                <w:szCs w:val="18"/>
              </w:rPr>
              <w:t xml:space="preserve">Вземания по предоставени кредити </w:t>
            </w:r>
          </w:p>
        </w:tc>
        <w:tc>
          <w:tcPr>
            <w:tcW w:w="737" w:type="dxa"/>
            <w:tcBorders>
              <w:top w:val="nil"/>
              <w:left w:val="nil"/>
              <w:bottom w:val="nil"/>
              <w:right w:val="nil"/>
            </w:tcBorders>
            <w:shd w:val="clear" w:color="000000" w:fill="FFFFFF"/>
            <w:noWrap/>
            <w:vAlign w:val="center"/>
            <w:hideMark/>
          </w:tcPr>
          <w:p w14:paraId="6315ABBE" w14:textId="77777777" w:rsidR="00C14561" w:rsidRDefault="00C14561" w:rsidP="00C14561">
            <w:pPr>
              <w:jc w:val="right"/>
              <w:rPr>
                <w:rFonts w:ascii="Calibri" w:hAnsi="Calibri"/>
                <w:color w:val="000000"/>
                <w:sz w:val="18"/>
                <w:szCs w:val="18"/>
              </w:rPr>
            </w:pPr>
            <w:r>
              <w:rPr>
                <w:rFonts w:ascii="Calibri" w:hAnsi="Calibri"/>
                <w:color w:val="000000"/>
                <w:sz w:val="18"/>
                <w:szCs w:val="18"/>
              </w:rPr>
              <w:t>5,217</w:t>
            </w:r>
          </w:p>
        </w:tc>
        <w:tc>
          <w:tcPr>
            <w:tcW w:w="737" w:type="dxa"/>
            <w:tcBorders>
              <w:top w:val="nil"/>
              <w:left w:val="nil"/>
              <w:bottom w:val="nil"/>
              <w:right w:val="nil"/>
            </w:tcBorders>
            <w:shd w:val="clear" w:color="000000" w:fill="FFFFFF"/>
            <w:noWrap/>
            <w:vAlign w:val="center"/>
            <w:hideMark/>
          </w:tcPr>
          <w:p w14:paraId="516A8438" w14:textId="77777777" w:rsidR="00C14561" w:rsidRDefault="00C14561" w:rsidP="00C14561">
            <w:pPr>
              <w:jc w:val="right"/>
              <w:rPr>
                <w:rFonts w:ascii="Calibri" w:hAnsi="Calibri"/>
                <w:color w:val="000000"/>
                <w:sz w:val="18"/>
                <w:szCs w:val="18"/>
              </w:rPr>
            </w:pPr>
            <w:r>
              <w:rPr>
                <w:rFonts w:ascii="Calibri" w:hAnsi="Calibri"/>
                <w:color w:val="000000"/>
                <w:sz w:val="18"/>
                <w:szCs w:val="18"/>
              </w:rPr>
              <w:t>7,166</w:t>
            </w:r>
          </w:p>
        </w:tc>
        <w:tc>
          <w:tcPr>
            <w:tcW w:w="737" w:type="dxa"/>
            <w:tcBorders>
              <w:top w:val="nil"/>
              <w:left w:val="nil"/>
              <w:bottom w:val="nil"/>
              <w:right w:val="nil"/>
            </w:tcBorders>
            <w:shd w:val="clear" w:color="000000" w:fill="FFFFFF"/>
            <w:noWrap/>
            <w:vAlign w:val="center"/>
          </w:tcPr>
          <w:p w14:paraId="7E5F3D45" w14:textId="23A0185B" w:rsidR="00C14561" w:rsidRDefault="00C14561" w:rsidP="00C14561">
            <w:pPr>
              <w:jc w:val="right"/>
              <w:rPr>
                <w:rFonts w:ascii="Calibri" w:hAnsi="Calibri"/>
                <w:color w:val="000000"/>
                <w:sz w:val="18"/>
                <w:szCs w:val="18"/>
              </w:rPr>
            </w:pPr>
            <w:r>
              <w:rPr>
                <w:rFonts w:ascii="Calibri" w:hAnsi="Calibri"/>
                <w:color w:val="000000"/>
                <w:sz w:val="18"/>
                <w:szCs w:val="18"/>
              </w:rPr>
              <w:t>9 536</w:t>
            </w:r>
          </w:p>
        </w:tc>
        <w:tc>
          <w:tcPr>
            <w:tcW w:w="972" w:type="dxa"/>
            <w:tcBorders>
              <w:top w:val="nil"/>
              <w:left w:val="nil"/>
              <w:bottom w:val="nil"/>
              <w:right w:val="nil"/>
            </w:tcBorders>
            <w:shd w:val="clear" w:color="000000" w:fill="FFFFFF"/>
            <w:vAlign w:val="center"/>
          </w:tcPr>
          <w:p w14:paraId="5FF161DD" w14:textId="4FD3114E" w:rsidR="00C14561" w:rsidRDefault="00C14561" w:rsidP="00C14561">
            <w:pPr>
              <w:jc w:val="right"/>
              <w:rPr>
                <w:rFonts w:ascii="Calibri" w:hAnsi="Calibri"/>
                <w:color w:val="00B050"/>
                <w:sz w:val="18"/>
                <w:szCs w:val="18"/>
              </w:rPr>
            </w:pPr>
            <w:r>
              <w:rPr>
                <w:rFonts w:ascii="Calibri" w:hAnsi="Calibri"/>
                <w:color w:val="000000"/>
                <w:sz w:val="18"/>
                <w:szCs w:val="22"/>
              </w:rPr>
              <w:t>10 063</w:t>
            </w:r>
          </w:p>
        </w:tc>
        <w:tc>
          <w:tcPr>
            <w:tcW w:w="972" w:type="dxa"/>
            <w:tcBorders>
              <w:top w:val="nil"/>
              <w:left w:val="nil"/>
              <w:bottom w:val="nil"/>
              <w:right w:val="nil"/>
            </w:tcBorders>
            <w:shd w:val="clear" w:color="000000" w:fill="FFFFFF"/>
            <w:noWrap/>
            <w:vAlign w:val="center"/>
            <w:hideMark/>
          </w:tcPr>
          <w:p w14:paraId="7365DEBE" w14:textId="1DD3637E" w:rsidR="00C14561" w:rsidRDefault="00C14561" w:rsidP="00C14561">
            <w:pPr>
              <w:jc w:val="right"/>
              <w:rPr>
                <w:rFonts w:ascii="Calibri" w:hAnsi="Calibri"/>
                <w:color w:val="00B050"/>
                <w:sz w:val="18"/>
                <w:szCs w:val="18"/>
              </w:rPr>
            </w:pPr>
            <w:r>
              <w:rPr>
                <w:rFonts w:ascii="Calibri" w:hAnsi="Calibri"/>
                <w:color w:val="00B050"/>
                <w:sz w:val="18"/>
                <w:szCs w:val="18"/>
              </w:rPr>
              <w:t>33%</w:t>
            </w:r>
          </w:p>
        </w:tc>
        <w:tc>
          <w:tcPr>
            <w:tcW w:w="973" w:type="dxa"/>
            <w:tcBorders>
              <w:top w:val="nil"/>
              <w:left w:val="nil"/>
              <w:bottom w:val="nil"/>
              <w:right w:val="nil"/>
            </w:tcBorders>
            <w:shd w:val="clear" w:color="000000" w:fill="FFFFFF"/>
            <w:noWrap/>
            <w:vAlign w:val="center"/>
            <w:hideMark/>
          </w:tcPr>
          <w:p w14:paraId="261F0C45" w14:textId="7F07D60C" w:rsidR="00C14561" w:rsidRDefault="00C14561" w:rsidP="00C14561">
            <w:pPr>
              <w:jc w:val="right"/>
              <w:rPr>
                <w:rFonts w:ascii="Calibri" w:hAnsi="Calibri"/>
                <w:color w:val="00B050"/>
                <w:sz w:val="18"/>
                <w:szCs w:val="18"/>
              </w:rPr>
            </w:pPr>
            <w:r>
              <w:rPr>
                <w:rFonts w:ascii="Calibri" w:hAnsi="Calibri"/>
                <w:color w:val="00B050"/>
                <w:sz w:val="18"/>
                <w:szCs w:val="18"/>
              </w:rPr>
              <w:t>6%</w:t>
            </w:r>
          </w:p>
        </w:tc>
      </w:tr>
      <w:tr w:rsidR="00C14561" w14:paraId="0FE68F19" w14:textId="77777777" w:rsidTr="00FC23B1">
        <w:trPr>
          <w:trHeight w:val="240"/>
        </w:trPr>
        <w:tc>
          <w:tcPr>
            <w:tcW w:w="3969" w:type="dxa"/>
            <w:tcBorders>
              <w:top w:val="nil"/>
              <w:left w:val="nil"/>
              <w:bottom w:val="nil"/>
              <w:right w:val="nil"/>
            </w:tcBorders>
            <w:shd w:val="clear" w:color="000000" w:fill="FFFFFF"/>
            <w:noWrap/>
            <w:vAlign w:val="bottom"/>
            <w:hideMark/>
          </w:tcPr>
          <w:p w14:paraId="3106FCD1" w14:textId="77777777" w:rsidR="00C14561" w:rsidRDefault="00C14561" w:rsidP="00C14561">
            <w:pPr>
              <w:rPr>
                <w:rFonts w:ascii="Calibri" w:hAnsi="Calibri"/>
                <w:color w:val="000000"/>
                <w:sz w:val="18"/>
                <w:szCs w:val="18"/>
              </w:rPr>
            </w:pPr>
            <w:r>
              <w:rPr>
                <w:rFonts w:ascii="Calibri" w:hAnsi="Calibri"/>
                <w:color w:val="000000"/>
                <w:sz w:val="18"/>
                <w:szCs w:val="18"/>
              </w:rPr>
              <w:t>Вземания от свързани лица</w:t>
            </w:r>
          </w:p>
        </w:tc>
        <w:tc>
          <w:tcPr>
            <w:tcW w:w="737" w:type="dxa"/>
            <w:tcBorders>
              <w:top w:val="nil"/>
              <w:left w:val="nil"/>
              <w:bottom w:val="nil"/>
              <w:right w:val="nil"/>
            </w:tcBorders>
            <w:shd w:val="clear" w:color="000000" w:fill="FFFFFF"/>
            <w:noWrap/>
            <w:vAlign w:val="center"/>
            <w:hideMark/>
          </w:tcPr>
          <w:p w14:paraId="741DB836" w14:textId="77777777" w:rsidR="00C14561" w:rsidRDefault="00C14561" w:rsidP="00C14561">
            <w:pPr>
              <w:jc w:val="right"/>
              <w:rPr>
                <w:rFonts w:ascii="Calibri" w:hAnsi="Calibri"/>
                <w:color w:val="000000"/>
                <w:sz w:val="18"/>
                <w:szCs w:val="18"/>
              </w:rPr>
            </w:pPr>
            <w:r>
              <w:rPr>
                <w:rFonts w:ascii="Calibri" w:hAnsi="Calibri"/>
                <w:color w:val="000000"/>
                <w:sz w:val="18"/>
                <w:szCs w:val="18"/>
              </w:rPr>
              <w:t>73</w:t>
            </w:r>
          </w:p>
        </w:tc>
        <w:tc>
          <w:tcPr>
            <w:tcW w:w="737" w:type="dxa"/>
            <w:tcBorders>
              <w:top w:val="nil"/>
              <w:left w:val="nil"/>
              <w:bottom w:val="nil"/>
              <w:right w:val="nil"/>
            </w:tcBorders>
            <w:shd w:val="clear" w:color="000000" w:fill="FFFFFF"/>
            <w:noWrap/>
            <w:vAlign w:val="center"/>
            <w:hideMark/>
          </w:tcPr>
          <w:p w14:paraId="3330EB1A" w14:textId="77777777" w:rsidR="00C14561" w:rsidRDefault="00C14561" w:rsidP="00C14561">
            <w:pPr>
              <w:jc w:val="right"/>
              <w:rPr>
                <w:rFonts w:ascii="Calibri" w:hAnsi="Calibri"/>
                <w:color w:val="000000"/>
                <w:sz w:val="18"/>
                <w:szCs w:val="18"/>
              </w:rPr>
            </w:pPr>
            <w:r>
              <w:rPr>
                <w:rFonts w:ascii="Calibri" w:hAnsi="Calibri"/>
                <w:color w:val="000000"/>
                <w:sz w:val="18"/>
                <w:szCs w:val="18"/>
              </w:rPr>
              <w:t>83</w:t>
            </w:r>
          </w:p>
        </w:tc>
        <w:tc>
          <w:tcPr>
            <w:tcW w:w="737" w:type="dxa"/>
            <w:tcBorders>
              <w:top w:val="nil"/>
              <w:left w:val="nil"/>
              <w:bottom w:val="nil"/>
              <w:right w:val="nil"/>
            </w:tcBorders>
            <w:shd w:val="clear" w:color="000000" w:fill="FFFFFF"/>
            <w:noWrap/>
            <w:vAlign w:val="center"/>
          </w:tcPr>
          <w:p w14:paraId="76B8051B" w14:textId="6F4BCAA7" w:rsidR="00C14561" w:rsidRDefault="00C14561" w:rsidP="00C14561">
            <w:pPr>
              <w:jc w:val="right"/>
              <w:rPr>
                <w:rFonts w:ascii="Calibri" w:hAnsi="Calibri"/>
                <w:color w:val="000000"/>
                <w:sz w:val="18"/>
                <w:szCs w:val="18"/>
              </w:rPr>
            </w:pPr>
            <w:r>
              <w:rPr>
                <w:rFonts w:ascii="Calibri" w:hAnsi="Calibri"/>
                <w:color w:val="000000"/>
                <w:sz w:val="18"/>
                <w:szCs w:val="18"/>
              </w:rPr>
              <w:t>45</w:t>
            </w:r>
          </w:p>
        </w:tc>
        <w:tc>
          <w:tcPr>
            <w:tcW w:w="972" w:type="dxa"/>
            <w:tcBorders>
              <w:top w:val="nil"/>
              <w:left w:val="nil"/>
              <w:bottom w:val="nil"/>
              <w:right w:val="nil"/>
            </w:tcBorders>
            <w:shd w:val="clear" w:color="000000" w:fill="FFFFFF"/>
            <w:vAlign w:val="center"/>
          </w:tcPr>
          <w:p w14:paraId="38AADC49" w14:textId="49AA6965" w:rsidR="00C14561" w:rsidRDefault="00C14561" w:rsidP="00C14561">
            <w:pPr>
              <w:jc w:val="right"/>
              <w:rPr>
                <w:rFonts w:ascii="Calibri" w:hAnsi="Calibri"/>
                <w:color w:val="00B050"/>
                <w:sz w:val="18"/>
                <w:szCs w:val="18"/>
              </w:rPr>
            </w:pPr>
            <w:r>
              <w:rPr>
                <w:rFonts w:ascii="Calibri" w:hAnsi="Calibri"/>
                <w:color w:val="000000"/>
                <w:sz w:val="18"/>
                <w:szCs w:val="18"/>
              </w:rPr>
              <w:t>69</w:t>
            </w:r>
          </w:p>
        </w:tc>
        <w:tc>
          <w:tcPr>
            <w:tcW w:w="972" w:type="dxa"/>
            <w:tcBorders>
              <w:top w:val="nil"/>
              <w:left w:val="nil"/>
              <w:bottom w:val="nil"/>
              <w:right w:val="nil"/>
            </w:tcBorders>
            <w:shd w:val="clear" w:color="000000" w:fill="FFFFFF"/>
            <w:noWrap/>
            <w:vAlign w:val="center"/>
            <w:hideMark/>
          </w:tcPr>
          <w:p w14:paraId="43CC3E14" w14:textId="4FD6002B" w:rsidR="00C14561" w:rsidRDefault="00C14561" w:rsidP="00C14561">
            <w:pPr>
              <w:jc w:val="right"/>
              <w:rPr>
                <w:rFonts w:ascii="Calibri" w:hAnsi="Calibri"/>
                <w:color w:val="00B050"/>
                <w:sz w:val="18"/>
                <w:szCs w:val="18"/>
              </w:rPr>
            </w:pPr>
            <w:r>
              <w:rPr>
                <w:rFonts w:ascii="Calibri" w:hAnsi="Calibri"/>
                <w:color w:val="00B050"/>
                <w:sz w:val="18"/>
                <w:szCs w:val="18"/>
              </w:rPr>
              <w:t>-46%</w:t>
            </w:r>
          </w:p>
        </w:tc>
        <w:tc>
          <w:tcPr>
            <w:tcW w:w="973" w:type="dxa"/>
            <w:tcBorders>
              <w:top w:val="nil"/>
              <w:left w:val="nil"/>
              <w:bottom w:val="nil"/>
              <w:right w:val="nil"/>
            </w:tcBorders>
            <w:shd w:val="clear" w:color="000000" w:fill="FFFFFF"/>
            <w:noWrap/>
            <w:vAlign w:val="center"/>
            <w:hideMark/>
          </w:tcPr>
          <w:p w14:paraId="0D7656A4" w14:textId="7BB8DA7E" w:rsidR="00C14561" w:rsidRDefault="00C14561" w:rsidP="00C14561">
            <w:pPr>
              <w:jc w:val="right"/>
              <w:rPr>
                <w:rFonts w:ascii="Calibri" w:hAnsi="Calibri"/>
                <w:color w:val="00B050"/>
                <w:sz w:val="18"/>
                <w:szCs w:val="18"/>
              </w:rPr>
            </w:pPr>
            <w:r>
              <w:rPr>
                <w:rFonts w:ascii="Calibri" w:hAnsi="Calibri"/>
                <w:color w:val="00B050"/>
                <w:sz w:val="18"/>
                <w:szCs w:val="18"/>
              </w:rPr>
              <w:t>53%</w:t>
            </w:r>
          </w:p>
        </w:tc>
      </w:tr>
      <w:tr w:rsidR="00C14561" w14:paraId="22C68B24" w14:textId="77777777" w:rsidTr="00FC23B1">
        <w:trPr>
          <w:trHeight w:val="240"/>
        </w:trPr>
        <w:tc>
          <w:tcPr>
            <w:tcW w:w="3969" w:type="dxa"/>
            <w:tcBorders>
              <w:top w:val="nil"/>
              <w:left w:val="nil"/>
              <w:bottom w:val="nil"/>
              <w:right w:val="nil"/>
            </w:tcBorders>
            <w:shd w:val="clear" w:color="000000" w:fill="FFFFFF"/>
            <w:noWrap/>
            <w:vAlign w:val="bottom"/>
            <w:hideMark/>
          </w:tcPr>
          <w:p w14:paraId="1B0C6A6E" w14:textId="77777777" w:rsidR="00C14561" w:rsidRDefault="00C14561" w:rsidP="00C14561">
            <w:pPr>
              <w:rPr>
                <w:rFonts w:ascii="Calibri" w:hAnsi="Calibri"/>
                <w:color w:val="000000"/>
                <w:sz w:val="18"/>
                <w:szCs w:val="18"/>
              </w:rPr>
            </w:pPr>
            <w:r>
              <w:rPr>
                <w:rFonts w:ascii="Calibri" w:hAnsi="Calibri"/>
                <w:color w:val="000000"/>
                <w:sz w:val="18"/>
                <w:szCs w:val="18"/>
              </w:rPr>
              <w:t>Търговски вземания</w:t>
            </w:r>
          </w:p>
        </w:tc>
        <w:tc>
          <w:tcPr>
            <w:tcW w:w="737" w:type="dxa"/>
            <w:tcBorders>
              <w:top w:val="nil"/>
              <w:left w:val="nil"/>
              <w:bottom w:val="nil"/>
              <w:right w:val="nil"/>
            </w:tcBorders>
            <w:shd w:val="clear" w:color="000000" w:fill="FFFFFF"/>
            <w:noWrap/>
            <w:vAlign w:val="center"/>
            <w:hideMark/>
          </w:tcPr>
          <w:p w14:paraId="465BC837" w14:textId="77777777" w:rsidR="00C14561" w:rsidRDefault="00C14561" w:rsidP="00C14561">
            <w:pPr>
              <w:jc w:val="right"/>
              <w:rPr>
                <w:rFonts w:ascii="Calibri" w:hAnsi="Calibri"/>
                <w:color w:val="000000"/>
                <w:sz w:val="18"/>
                <w:szCs w:val="18"/>
              </w:rPr>
            </w:pPr>
            <w:r>
              <w:rPr>
                <w:rFonts w:ascii="Calibri" w:hAnsi="Calibri"/>
                <w:color w:val="000000"/>
                <w:sz w:val="18"/>
                <w:szCs w:val="18"/>
              </w:rPr>
              <w:t>10</w:t>
            </w:r>
          </w:p>
        </w:tc>
        <w:tc>
          <w:tcPr>
            <w:tcW w:w="737" w:type="dxa"/>
            <w:tcBorders>
              <w:top w:val="nil"/>
              <w:left w:val="nil"/>
              <w:bottom w:val="nil"/>
              <w:right w:val="nil"/>
            </w:tcBorders>
            <w:shd w:val="clear" w:color="000000" w:fill="FFFFFF"/>
            <w:noWrap/>
            <w:vAlign w:val="center"/>
            <w:hideMark/>
          </w:tcPr>
          <w:p w14:paraId="4A1CC00B" w14:textId="77777777" w:rsidR="00C14561" w:rsidRDefault="00C14561" w:rsidP="00C14561">
            <w:pPr>
              <w:jc w:val="right"/>
              <w:rPr>
                <w:rFonts w:ascii="Calibri" w:hAnsi="Calibri"/>
                <w:color w:val="000000"/>
                <w:sz w:val="18"/>
                <w:szCs w:val="18"/>
              </w:rPr>
            </w:pPr>
            <w:r>
              <w:rPr>
                <w:rFonts w:ascii="Calibri" w:hAnsi="Calibri"/>
                <w:color w:val="000000"/>
                <w:sz w:val="18"/>
                <w:szCs w:val="18"/>
              </w:rPr>
              <w:t>17</w:t>
            </w:r>
          </w:p>
        </w:tc>
        <w:tc>
          <w:tcPr>
            <w:tcW w:w="737" w:type="dxa"/>
            <w:tcBorders>
              <w:top w:val="nil"/>
              <w:left w:val="nil"/>
              <w:bottom w:val="nil"/>
              <w:right w:val="nil"/>
            </w:tcBorders>
            <w:shd w:val="clear" w:color="000000" w:fill="FFFFFF"/>
            <w:noWrap/>
            <w:vAlign w:val="center"/>
          </w:tcPr>
          <w:p w14:paraId="4C004C93" w14:textId="299A23EE" w:rsidR="00C14561" w:rsidRDefault="00C14561" w:rsidP="00C14561">
            <w:pPr>
              <w:jc w:val="right"/>
              <w:rPr>
                <w:rFonts w:ascii="Calibri" w:hAnsi="Calibri"/>
                <w:color w:val="000000"/>
                <w:sz w:val="18"/>
                <w:szCs w:val="18"/>
              </w:rPr>
            </w:pPr>
            <w:r>
              <w:rPr>
                <w:rFonts w:ascii="Calibri" w:hAnsi="Calibri"/>
                <w:color w:val="000000"/>
                <w:sz w:val="18"/>
                <w:szCs w:val="18"/>
              </w:rPr>
              <w:t>9</w:t>
            </w:r>
          </w:p>
        </w:tc>
        <w:tc>
          <w:tcPr>
            <w:tcW w:w="972" w:type="dxa"/>
            <w:tcBorders>
              <w:top w:val="nil"/>
              <w:left w:val="nil"/>
              <w:bottom w:val="nil"/>
              <w:right w:val="nil"/>
            </w:tcBorders>
            <w:shd w:val="clear" w:color="000000" w:fill="FFFFFF"/>
            <w:vAlign w:val="center"/>
          </w:tcPr>
          <w:p w14:paraId="3FC9AA8E" w14:textId="19612BF1" w:rsidR="00C14561" w:rsidRDefault="00C14561" w:rsidP="00C14561">
            <w:pPr>
              <w:jc w:val="right"/>
              <w:rPr>
                <w:rFonts w:ascii="Calibri" w:hAnsi="Calibri"/>
                <w:color w:val="00B050"/>
                <w:sz w:val="18"/>
                <w:szCs w:val="18"/>
              </w:rPr>
            </w:pPr>
            <w:r>
              <w:rPr>
                <w:rFonts w:ascii="Calibri" w:hAnsi="Calibri"/>
                <w:color w:val="000000"/>
                <w:sz w:val="18"/>
                <w:szCs w:val="18"/>
              </w:rPr>
              <w:t>156</w:t>
            </w:r>
          </w:p>
        </w:tc>
        <w:tc>
          <w:tcPr>
            <w:tcW w:w="972" w:type="dxa"/>
            <w:tcBorders>
              <w:top w:val="nil"/>
              <w:left w:val="nil"/>
              <w:bottom w:val="nil"/>
              <w:right w:val="nil"/>
            </w:tcBorders>
            <w:shd w:val="clear" w:color="000000" w:fill="FFFFFF"/>
            <w:noWrap/>
            <w:vAlign w:val="center"/>
            <w:hideMark/>
          </w:tcPr>
          <w:p w14:paraId="3A93FB50" w14:textId="731A1CCF" w:rsidR="00C14561" w:rsidRDefault="00C14561" w:rsidP="00C14561">
            <w:pPr>
              <w:jc w:val="right"/>
              <w:rPr>
                <w:rFonts w:ascii="Calibri" w:hAnsi="Calibri"/>
                <w:color w:val="00B050"/>
                <w:sz w:val="18"/>
                <w:szCs w:val="18"/>
              </w:rPr>
            </w:pPr>
            <w:r>
              <w:rPr>
                <w:rFonts w:ascii="Calibri" w:hAnsi="Calibri"/>
                <w:color w:val="00B050"/>
                <w:sz w:val="18"/>
                <w:szCs w:val="18"/>
              </w:rPr>
              <w:t>-47%</w:t>
            </w:r>
          </w:p>
        </w:tc>
        <w:tc>
          <w:tcPr>
            <w:tcW w:w="973" w:type="dxa"/>
            <w:tcBorders>
              <w:top w:val="nil"/>
              <w:left w:val="nil"/>
              <w:bottom w:val="nil"/>
              <w:right w:val="nil"/>
            </w:tcBorders>
            <w:shd w:val="clear" w:color="000000" w:fill="FFFFFF"/>
            <w:noWrap/>
            <w:vAlign w:val="center"/>
            <w:hideMark/>
          </w:tcPr>
          <w:p w14:paraId="5A1CED40" w14:textId="0D548A8C" w:rsidR="00C14561" w:rsidRDefault="00C14561" w:rsidP="00C14561">
            <w:pPr>
              <w:jc w:val="right"/>
              <w:rPr>
                <w:rFonts w:ascii="Calibri" w:hAnsi="Calibri"/>
                <w:color w:val="00B050"/>
                <w:sz w:val="18"/>
                <w:szCs w:val="18"/>
              </w:rPr>
            </w:pPr>
            <w:r>
              <w:rPr>
                <w:rFonts w:ascii="Calibri" w:hAnsi="Calibri"/>
                <w:color w:val="00B050"/>
                <w:sz w:val="18"/>
                <w:szCs w:val="18"/>
              </w:rPr>
              <w:t>1633%</w:t>
            </w:r>
          </w:p>
        </w:tc>
      </w:tr>
      <w:tr w:rsidR="00C14561" w14:paraId="717E960E" w14:textId="77777777" w:rsidTr="00FC23B1">
        <w:trPr>
          <w:trHeight w:val="240"/>
        </w:trPr>
        <w:tc>
          <w:tcPr>
            <w:tcW w:w="3969" w:type="dxa"/>
            <w:tcBorders>
              <w:top w:val="nil"/>
              <w:left w:val="nil"/>
              <w:bottom w:val="nil"/>
              <w:right w:val="nil"/>
            </w:tcBorders>
            <w:shd w:val="clear" w:color="000000" w:fill="FFFFFF"/>
            <w:noWrap/>
            <w:vAlign w:val="bottom"/>
            <w:hideMark/>
          </w:tcPr>
          <w:p w14:paraId="35D4A438" w14:textId="77777777" w:rsidR="00C14561" w:rsidRDefault="00C14561" w:rsidP="00C14561">
            <w:pPr>
              <w:rPr>
                <w:rFonts w:ascii="Calibri" w:hAnsi="Calibri"/>
                <w:color w:val="000000"/>
                <w:sz w:val="18"/>
                <w:szCs w:val="18"/>
              </w:rPr>
            </w:pPr>
            <w:r>
              <w:rPr>
                <w:rFonts w:ascii="Calibri" w:hAnsi="Calibri"/>
                <w:color w:val="000000"/>
                <w:sz w:val="18"/>
                <w:szCs w:val="18"/>
              </w:rPr>
              <w:t>Други текущи активи</w:t>
            </w:r>
          </w:p>
        </w:tc>
        <w:tc>
          <w:tcPr>
            <w:tcW w:w="737" w:type="dxa"/>
            <w:tcBorders>
              <w:top w:val="nil"/>
              <w:left w:val="nil"/>
              <w:bottom w:val="nil"/>
              <w:right w:val="nil"/>
            </w:tcBorders>
            <w:shd w:val="clear" w:color="000000" w:fill="FFFFFF"/>
            <w:noWrap/>
            <w:vAlign w:val="center"/>
            <w:hideMark/>
          </w:tcPr>
          <w:p w14:paraId="39ACBE67" w14:textId="77777777" w:rsidR="00C14561" w:rsidRDefault="00C14561" w:rsidP="00C14561">
            <w:pPr>
              <w:jc w:val="right"/>
              <w:rPr>
                <w:rFonts w:ascii="Calibri" w:hAnsi="Calibri"/>
                <w:color w:val="000000"/>
                <w:sz w:val="18"/>
                <w:szCs w:val="18"/>
              </w:rPr>
            </w:pPr>
            <w:r>
              <w:rPr>
                <w:rFonts w:ascii="Calibri" w:hAnsi="Calibri"/>
                <w:color w:val="000000"/>
                <w:sz w:val="18"/>
                <w:szCs w:val="18"/>
              </w:rPr>
              <w:t>313</w:t>
            </w:r>
          </w:p>
        </w:tc>
        <w:tc>
          <w:tcPr>
            <w:tcW w:w="737" w:type="dxa"/>
            <w:tcBorders>
              <w:top w:val="nil"/>
              <w:left w:val="nil"/>
              <w:bottom w:val="nil"/>
              <w:right w:val="nil"/>
            </w:tcBorders>
            <w:shd w:val="clear" w:color="000000" w:fill="FFFFFF"/>
            <w:noWrap/>
            <w:vAlign w:val="center"/>
            <w:hideMark/>
          </w:tcPr>
          <w:p w14:paraId="331148E4" w14:textId="77777777" w:rsidR="00C14561" w:rsidRDefault="00C14561" w:rsidP="00C14561">
            <w:pPr>
              <w:jc w:val="right"/>
              <w:rPr>
                <w:rFonts w:ascii="Calibri" w:hAnsi="Calibri"/>
                <w:color w:val="000000"/>
                <w:sz w:val="18"/>
                <w:szCs w:val="18"/>
              </w:rPr>
            </w:pPr>
            <w:r>
              <w:rPr>
                <w:rFonts w:ascii="Calibri" w:hAnsi="Calibri"/>
                <w:color w:val="000000"/>
                <w:sz w:val="18"/>
                <w:szCs w:val="18"/>
              </w:rPr>
              <w:t>83</w:t>
            </w:r>
          </w:p>
        </w:tc>
        <w:tc>
          <w:tcPr>
            <w:tcW w:w="737" w:type="dxa"/>
            <w:tcBorders>
              <w:top w:val="nil"/>
              <w:left w:val="nil"/>
              <w:bottom w:val="nil"/>
              <w:right w:val="nil"/>
            </w:tcBorders>
            <w:shd w:val="clear" w:color="000000" w:fill="FFFFFF"/>
            <w:noWrap/>
            <w:vAlign w:val="center"/>
          </w:tcPr>
          <w:p w14:paraId="392613A4" w14:textId="3FDF8528" w:rsidR="00C14561" w:rsidRDefault="00C14561" w:rsidP="00C14561">
            <w:pPr>
              <w:jc w:val="right"/>
              <w:rPr>
                <w:rFonts w:ascii="Calibri" w:hAnsi="Calibri"/>
                <w:color w:val="000000"/>
                <w:sz w:val="18"/>
                <w:szCs w:val="18"/>
              </w:rPr>
            </w:pPr>
            <w:r>
              <w:rPr>
                <w:rFonts w:ascii="Calibri" w:hAnsi="Calibri"/>
                <w:color w:val="000000"/>
                <w:sz w:val="18"/>
                <w:szCs w:val="18"/>
              </w:rPr>
              <w:t>25</w:t>
            </w:r>
          </w:p>
        </w:tc>
        <w:tc>
          <w:tcPr>
            <w:tcW w:w="972" w:type="dxa"/>
            <w:tcBorders>
              <w:top w:val="nil"/>
              <w:left w:val="nil"/>
              <w:bottom w:val="nil"/>
              <w:right w:val="nil"/>
            </w:tcBorders>
            <w:shd w:val="clear" w:color="000000" w:fill="FFFFFF"/>
            <w:vAlign w:val="center"/>
          </w:tcPr>
          <w:p w14:paraId="52536006" w14:textId="7D0429BE" w:rsidR="00C14561" w:rsidRDefault="00C14561" w:rsidP="00C14561">
            <w:pPr>
              <w:jc w:val="right"/>
              <w:rPr>
                <w:rFonts w:ascii="Calibri" w:hAnsi="Calibri"/>
                <w:color w:val="00B050"/>
                <w:sz w:val="18"/>
                <w:szCs w:val="18"/>
              </w:rPr>
            </w:pPr>
            <w:r>
              <w:rPr>
                <w:rFonts w:ascii="Calibri" w:hAnsi="Calibri"/>
                <w:color w:val="000000"/>
                <w:sz w:val="18"/>
                <w:szCs w:val="18"/>
              </w:rPr>
              <w:t>80</w:t>
            </w:r>
          </w:p>
        </w:tc>
        <w:tc>
          <w:tcPr>
            <w:tcW w:w="972" w:type="dxa"/>
            <w:tcBorders>
              <w:top w:val="nil"/>
              <w:left w:val="nil"/>
              <w:bottom w:val="nil"/>
              <w:right w:val="nil"/>
            </w:tcBorders>
            <w:shd w:val="clear" w:color="000000" w:fill="FFFFFF"/>
            <w:noWrap/>
            <w:vAlign w:val="center"/>
            <w:hideMark/>
          </w:tcPr>
          <w:p w14:paraId="2E7EB6A8" w14:textId="4E5ADA2E" w:rsidR="00C14561" w:rsidRDefault="00C14561" w:rsidP="00C14561">
            <w:pPr>
              <w:jc w:val="right"/>
              <w:rPr>
                <w:rFonts w:ascii="Calibri" w:hAnsi="Calibri"/>
                <w:color w:val="00B050"/>
                <w:sz w:val="18"/>
                <w:szCs w:val="18"/>
              </w:rPr>
            </w:pPr>
            <w:r>
              <w:rPr>
                <w:rFonts w:ascii="Calibri" w:hAnsi="Calibri"/>
                <w:color w:val="00B050"/>
                <w:sz w:val="18"/>
                <w:szCs w:val="18"/>
              </w:rPr>
              <w:t>-70%</w:t>
            </w:r>
          </w:p>
        </w:tc>
        <w:tc>
          <w:tcPr>
            <w:tcW w:w="973" w:type="dxa"/>
            <w:tcBorders>
              <w:top w:val="nil"/>
              <w:left w:val="nil"/>
              <w:bottom w:val="nil"/>
              <w:right w:val="nil"/>
            </w:tcBorders>
            <w:shd w:val="clear" w:color="000000" w:fill="FFFFFF"/>
            <w:noWrap/>
            <w:vAlign w:val="center"/>
            <w:hideMark/>
          </w:tcPr>
          <w:p w14:paraId="4E320F37" w14:textId="1E365DFC" w:rsidR="00C14561" w:rsidRDefault="00C14561" w:rsidP="00C14561">
            <w:pPr>
              <w:jc w:val="right"/>
              <w:rPr>
                <w:rFonts w:ascii="Calibri" w:hAnsi="Calibri"/>
                <w:color w:val="00B050"/>
                <w:sz w:val="18"/>
                <w:szCs w:val="18"/>
              </w:rPr>
            </w:pPr>
            <w:r>
              <w:rPr>
                <w:rFonts w:ascii="Calibri" w:hAnsi="Calibri"/>
                <w:color w:val="00B050"/>
                <w:sz w:val="18"/>
                <w:szCs w:val="18"/>
              </w:rPr>
              <w:t>220%</w:t>
            </w:r>
          </w:p>
        </w:tc>
      </w:tr>
      <w:tr w:rsidR="00C14561" w14:paraId="0B34C80B" w14:textId="77777777" w:rsidTr="00FC23B1">
        <w:trPr>
          <w:trHeight w:val="240"/>
        </w:trPr>
        <w:tc>
          <w:tcPr>
            <w:tcW w:w="3969" w:type="dxa"/>
            <w:tcBorders>
              <w:top w:val="nil"/>
              <w:left w:val="nil"/>
              <w:bottom w:val="nil"/>
              <w:right w:val="nil"/>
            </w:tcBorders>
            <w:shd w:val="clear" w:color="000000" w:fill="FFFFFF"/>
            <w:noWrap/>
            <w:vAlign w:val="bottom"/>
            <w:hideMark/>
          </w:tcPr>
          <w:p w14:paraId="204F9890" w14:textId="77777777" w:rsidR="00C14561" w:rsidRDefault="00C14561" w:rsidP="00C14561">
            <w:pPr>
              <w:rPr>
                <w:rFonts w:ascii="Calibri" w:hAnsi="Calibri"/>
                <w:color w:val="000000"/>
                <w:sz w:val="18"/>
                <w:szCs w:val="18"/>
              </w:rPr>
            </w:pPr>
            <w:r>
              <w:rPr>
                <w:rFonts w:ascii="Calibri" w:hAnsi="Calibri"/>
                <w:color w:val="000000"/>
                <w:sz w:val="18"/>
                <w:szCs w:val="18"/>
              </w:rPr>
              <w:t>Предоставени гаранции</w:t>
            </w:r>
          </w:p>
        </w:tc>
        <w:tc>
          <w:tcPr>
            <w:tcW w:w="737" w:type="dxa"/>
            <w:tcBorders>
              <w:top w:val="nil"/>
              <w:left w:val="nil"/>
              <w:bottom w:val="nil"/>
              <w:right w:val="nil"/>
            </w:tcBorders>
            <w:shd w:val="clear" w:color="000000" w:fill="FFFFFF"/>
            <w:noWrap/>
            <w:vAlign w:val="center"/>
            <w:hideMark/>
          </w:tcPr>
          <w:p w14:paraId="289CA15C" w14:textId="77777777" w:rsidR="00C14561" w:rsidRDefault="00C14561" w:rsidP="00C14561">
            <w:pPr>
              <w:jc w:val="right"/>
              <w:rPr>
                <w:rFonts w:ascii="Calibri" w:hAnsi="Calibri"/>
                <w:color w:val="000000"/>
                <w:sz w:val="18"/>
                <w:szCs w:val="18"/>
              </w:rPr>
            </w:pPr>
            <w:r>
              <w:rPr>
                <w:rFonts w:ascii="Calibri" w:hAnsi="Calibri"/>
                <w:color w:val="000000"/>
                <w:sz w:val="18"/>
                <w:szCs w:val="18"/>
              </w:rPr>
              <w:t>41</w:t>
            </w:r>
          </w:p>
        </w:tc>
        <w:tc>
          <w:tcPr>
            <w:tcW w:w="737" w:type="dxa"/>
            <w:tcBorders>
              <w:top w:val="nil"/>
              <w:left w:val="nil"/>
              <w:bottom w:val="nil"/>
              <w:right w:val="nil"/>
            </w:tcBorders>
            <w:shd w:val="clear" w:color="000000" w:fill="FFFFFF"/>
            <w:noWrap/>
            <w:vAlign w:val="center"/>
            <w:hideMark/>
          </w:tcPr>
          <w:p w14:paraId="1BE7001F" w14:textId="77777777" w:rsidR="00C14561" w:rsidRDefault="00C14561" w:rsidP="00C14561">
            <w:pPr>
              <w:jc w:val="right"/>
              <w:rPr>
                <w:rFonts w:ascii="Calibri" w:hAnsi="Calibri"/>
                <w:color w:val="000000"/>
                <w:sz w:val="18"/>
                <w:szCs w:val="18"/>
              </w:rPr>
            </w:pPr>
            <w:r>
              <w:rPr>
                <w:rFonts w:ascii="Calibri" w:hAnsi="Calibri"/>
                <w:color w:val="000000"/>
                <w:sz w:val="18"/>
                <w:szCs w:val="18"/>
              </w:rPr>
              <w:t>45</w:t>
            </w:r>
          </w:p>
        </w:tc>
        <w:tc>
          <w:tcPr>
            <w:tcW w:w="737" w:type="dxa"/>
            <w:tcBorders>
              <w:top w:val="nil"/>
              <w:left w:val="nil"/>
              <w:bottom w:val="nil"/>
              <w:right w:val="nil"/>
            </w:tcBorders>
            <w:shd w:val="clear" w:color="000000" w:fill="FFFFFF"/>
            <w:noWrap/>
            <w:vAlign w:val="center"/>
          </w:tcPr>
          <w:p w14:paraId="07FC537F" w14:textId="23C2528A" w:rsidR="00C14561" w:rsidRDefault="00C14561" w:rsidP="00C14561">
            <w:pPr>
              <w:jc w:val="right"/>
              <w:rPr>
                <w:rFonts w:ascii="Calibri" w:hAnsi="Calibri"/>
                <w:color w:val="000000"/>
                <w:sz w:val="18"/>
                <w:szCs w:val="18"/>
              </w:rPr>
            </w:pPr>
            <w:r>
              <w:rPr>
                <w:rFonts w:ascii="Calibri" w:hAnsi="Calibri"/>
                <w:color w:val="000000"/>
                <w:sz w:val="18"/>
                <w:szCs w:val="18"/>
              </w:rPr>
              <w:t>42</w:t>
            </w:r>
          </w:p>
        </w:tc>
        <w:tc>
          <w:tcPr>
            <w:tcW w:w="972" w:type="dxa"/>
            <w:tcBorders>
              <w:top w:val="nil"/>
              <w:left w:val="nil"/>
              <w:bottom w:val="nil"/>
              <w:right w:val="nil"/>
            </w:tcBorders>
            <w:shd w:val="clear" w:color="000000" w:fill="FFFFFF"/>
            <w:vAlign w:val="center"/>
          </w:tcPr>
          <w:p w14:paraId="4B080FCF" w14:textId="70E53CFD" w:rsidR="00C14561" w:rsidRDefault="00C14561" w:rsidP="00C14561">
            <w:pPr>
              <w:jc w:val="right"/>
              <w:rPr>
                <w:rFonts w:ascii="Calibri" w:hAnsi="Calibri"/>
                <w:color w:val="00B050"/>
                <w:sz w:val="18"/>
                <w:szCs w:val="18"/>
              </w:rPr>
            </w:pPr>
            <w:r>
              <w:rPr>
                <w:rFonts w:ascii="Calibri" w:hAnsi="Calibri"/>
                <w:color w:val="000000"/>
                <w:sz w:val="18"/>
                <w:szCs w:val="18"/>
                <w:lang w:val="en-GB"/>
              </w:rPr>
              <w:t>42</w:t>
            </w:r>
          </w:p>
        </w:tc>
        <w:tc>
          <w:tcPr>
            <w:tcW w:w="972" w:type="dxa"/>
            <w:tcBorders>
              <w:top w:val="nil"/>
              <w:left w:val="nil"/>
              <w:bottom w:val="nil"/>
              <w:right w:val="nil"/>
            </w:tcBorders>
            <w:shd w:val="clear" w:color="000000" w:fill="FFFFFF"/>
            <w:noWrap/>
            <w:vAlign w:val="center"/>
            <w:hideMark/>
          </w:tcPr>
          <w:p w14:paraId="273BCDEC" w14:textId="37DAFE0F" w:rsidR="00C14561" w:rsidRDefault="00C14561" w:rsidP="00C14561">
            <w:pPr>
              <w:jc w:val="right"/>
              <w:rPr>
                <w:rFonts w:ascii="Calibri" w:hAnsi="Calibri"/>
                <w:color w:val="00B050"/>
                <w:sz w:val="18"/>
                <w:szCs w:val="18"/>
              </w:rPr>
            </w:pPr>
            <w:r>
              <w:rPr>
                <w:rFonts w:ascii="Calibri" w:hAnsi="Calibri"/>
                <w:color w:val="00B050"/>
                <w:sz w:val="18"/>
                <w:szCs w:val="18"/>
              </w:rPr>
              <w:t>-7%</w:t>
            </w:r>
          </w:p>
        </w:tc>
        <w:tc>
          <w:tcPr>
            <w:tcW w:w="973" w:type="dxa"/>
            <w:tcBorders>
              <w:top w:val="nil"/>
              <w:left w:val="nil"/>
              <w:bottom w:val="nil"/>
              <w:right w:val="nil"/>
            </w:tcBorders>
            <w:shd w:val="clear" w:color="000000" w:fill="FFFFFF"/>
            <w:noWrap/>
            <w:vAlign w:val="center"/>
            <w:hideMark/>
          </w:tcPr>
          <w:p w14:paraId="3C57B12C" w14:textId="389621FC" w:rsidR="00C14561" w:rsidRDefault="00C14561" w:rsidP="00C14561">
            <w:pPr>
              <w:jc w:val="right"/>
              <w:rPr>
                <w:rFonts w:ascii="Calibri" w:hAnsi="Calibri"/>
                <w:color w:val="00B050"/>
                <w:sz w:val="18"/>
                <w:szCs w:val="18"/>
              </w:rPr>
            </w:pPr>
            <w:r>
              <w:rPr>
                <w:rFonts w:ascii="Calibri" w:hAnsi="Calibri"/>
                <w:color w:val="00B050"/>
                <w:sz w:val="18"/>
                <w:szCs w:val="18"/>
              </w:rPr>
              <w:t>0%</w:t>
            </w:r>
          </w:p>
        </w:tc>
      </w:tr>
      <w:tr w:rsidR="00C14561" w14:paraId="07187E8B" w14:textId="77777777" w:rsidTr="00FC23B1">
        <w:trPr>
          <w:trHeight w:val="240"/>
        </w:trPr>
        <w:tc>
          <w:tcPr>
            <w:tcW w:w="3969" w:type="dxa"/>
            <w:tcBorders>
              <w:top w:val="nil"/>
              <w:left w:val="nil"/>
              <w:bottom w:val="nil"/>
              <w:right w:val="nil"/>
            </w:tcBorders>
            <w:shd w:val="clear" w:color="000000" w:fill="FFFFFF"/>
            <w:noWrap/>
            <w:vAlign w:val="bottom"/>
            <w:hideMark/>
          </w:tcPr>
          <w:p w14:paraId="02EB066C" w14:textId="77777777" w:rsidR="00C14561" w:rsidRDefault="00C14561" w:rsidP="00C14561">
            <w:pPr>
              <w:rPr>
                <w:rFonts w:ascii="Calibri" w:hAnsi="Calibri"/>
                <w:color w:val="000000"/>
                <w:sz w:val="18"/>
                <w:szCs w:val="18"/>
              </w:rPr>
            </w:pPr>
            <w:r>
              <w:rPr>
                <w:rFonts w:ascii="Calibri" w:hAnsi="Calibri"/>
                <w:color w:val="000000"/>
                <w:sz w:val="18"/>
                <w:szCs w:val="18"/>
              </w:rPr>
              <w:t>Парични средства и парични еквиваленти</w:t>
            </w:r>
          </w:p>
        </w:tc>
        <w:tc>
          <w:tcPr>
            <w:tcW w:w="737" w:type="dxa"/>
            <w:tcBorders>
              <w:top w:val="nil"/>
              <w:left w:val="nil"/>
              <w:bottom w:val="nil"/>
              <w:right w:val="nil"/>
            </w:tcBorders>
            <w:shd w:val="clear" w:color="000000" w:fill="FFFFFF"/>
            <w:noWrap/>
            <w:vAlign w:val="center"/>
            <w:hideMark/>
          </w:tcPr>
          <w:p w14:paraId="0D620819" w14:textId="77777777" w:rsidR="00C14561" w:rsidRDefault="00C14561" w:rsidP="00C14561">
            <w:pPr>
              <w:jc w:val="right"/>
              <w:rPr>
                <w:rFonts w:ascii="Calibri" w:hAnsi="Calibri"/>
                <w:color w:val="000000"/>
                <w:sz w:val="18"/>
                <w:szCs w:val="18"/>
              </w:rPr>
            </w:pPr>
            <w:r>
              <w:rPr>
                <w:rFonts w:ascii="Calibri" w:hAnsi="Calibri"/>
                <w:color w:val="000000"/>
                <w:sz w:val="18"/>
                <w:szCs w:val="18"/>
              </w:rPr>
              <w:t>158</w:t>
            </w:r>
          </w:p>
        </w:tc>
        <w:tc>
          <w:tcPr>
            <w:tcW w:w="737" w:type="dxa"/>
            <w:tcBorders>
              <w:top w:val="nil"/>
              <w:left w:val="nil"/>
              <w:bottom w:val="nil"/>
              <w:right w:val="nil"/>
            </w:tcBorders>
            <w:shd w:val="clear" w:color="000000" w:fill="FFFFFF"/>
            <w:noWrap/>
            <w:vAlign w:val="center"/>
            <w:hideMark/>
          </w:tcPr>
          <w:p w14:paraId="04DD56AB" w14:textId="77777777" w:rsidR="00C14561" w:rsidRDefault="00C14561" w:rsidP="00C14561">
            <w:pPr>
              <w:jc w:val="right"/>
              <w:rPr>
                <w:rFonts w:ascii="Calibri" w:hAnsi="Calibri"/>
                <w:color w:val="000000"/>
                <w:sz w:val="18"/>
                <w:szCs w:val="18"/>
              </w:rPr>
            </w:pPr>
            <w:r>
              <w:rPr>
                <w:rFonts w:ascii="Calibri" w:hAnsi="Calibri"/>
                <w:color w:val="000000"/>
                <w:sz w:val="18"/>
                <w:szCs w:val="18"/>
              </w:rPr>
              <w:t>3,912</w:t>
            </w:r>
          </w:p>
        </w:tc>
        <w:tc>
          <w:tcPr>
            <w:tcW w:w="737" w:type="dxa"/>
            <w:tcBorders>
              <w:top w:val="nil"/>
              <w:left w:val="nil"/>
              <w:bottom w:val="nil"/>
              <w:right w:val="nil"/>
            </w:tcBorders>
            <w:shd w:val="clear" w:color="000000" w:fill="FFFFFF"/>
            <w:noWrap/>
            <w:vAlign w:val="center"/>
          </w:tcPr>
          <w:p w14:paraId="3A528F5A" w14:textId="2561B358" w:rsidR="00C14561" w:rsidRDefault="00C14561" w:rsidP="00C14561">
            <w:pPr>
              <w:jc w:val="right"/>
              <w:rPr>
                <w:rFonts w:ascii="Calibri" w:hAnsi="Calibri"/>
                <w:color w:val="000000"/>
                <w:sz w:val="18"/>
                <w:szCs w:val="18"/>
              </w:rPr>
            </w:pPr>
            <w:r>
              <w:rPr>
                <w:rFonts w:ascii="Calibri" w:hAnsi="Calibri"/>
                <w:color w:val="000000"/>
                <w:sz w:val="18"/>
                <w:szCs w:val="18"/>
              </w:rPr>
              <w:t>294</w:t>
            </w:r>
          </w:p>
        </w:tc>
        <w:tc>
          <w:tcPr>
            <w:tcW w:w="972" w:type="dxa"/>
            <w:tcBorders>
              <w:top w:val="nil"/>
              <w:left w:val="nil"/>
              <w:bottom w:val="nil"/>
              <w:right w:val="nil"/>
            </w:tcBorders>
            <w:shd w:val="clear" w:color="000000" w:fill="FFFFFF"/>
            <w:vAlign w:val="center"/>
          </w:tcPr>
          <w:p w14:paraId="08265656" w14:textId="3029ED25" w:rsidR="00C14561" w:rsidRDefault="00C14561" w:rsidP="00C14561">
            <w:pPr>
              <w:jc w:val="right"/>
              <w:rPr>
                <w:rFonts w:ascii="Calibri" w:hAnsi="Calibri"/>
                <w:color w:val="00B050"/>
                <w:sz w:val="18"/>
                <w:szCs w:val="18"/>
              </w:rPr>
            </w:pPr>
            <w:r>
              <w:rPr>
                <w:rFonts w:ascii="Calibri" w:hAnsi="Calibri"/>
                <w:color w:val="000000"/>
                <w:sz w:val="18"/>
                <w:szCs w:val="18"/>
              </w:rPr>
              <w:t>310</w:t>
            </w:r>
          </w:p>
        </w:tc>
        <w:tc>
          <w:tcPr>
            <w:tcW w:w="972" w:type="dxa"/>
            <w:tcBorders>
              <w:top w:val="nil"/>
              <w:left w:val="nil"/>
              <w:bottom w:val="nil"/>
              <w:right w:val="nil"/>
            </w:tcBorders>
            <w:shd w:val="clear" w:color="000000" w:fill="FFFFFF"/>
            <w:noWrap/>
            <w:vAlign w:val="center"/>
            <w:hideMark/>
          </w:tcPr>
          <w:p w14:paraId="480D6A48" w14:textId="6343170C" w:rsidR="00C14561" w:rsidRDefault="00C14561" w:rsidP="00C14561">
            <w:pPr>
              <w:jc w:val="right"/>
              <w:rPr>
                <w:rFonts w:ascii="Calibri" w:hAnsi="Calibri"/>
                <w:color w:val="00B050"/>
                <w:sz w:val="18"/>
                <w:szCs w:val="18"/>
              </w:rPr>
            </w:pPr>
            <w:r>
              <w:rPr>
                <w:rFonts w:ascii="Calibri" w:hAnsi="Calibri"/>
                <w:color w:val="00B050"/>
                <w:sz w:val="18"/>
                <w:szCs w:val="18"/>
              </w:rPr>
              <w:t>-92%</w:t>
            </w:r>
          </w:p>
        </w:tc>
        <w:tc>
          <w:tcPr>
            <w:tcW w:w="973" w:type="dxa"/>
            <w:tcBorders>
              <w:top w:val="nil"/>
              <w:left w:val="nil"/>
              <w:bottom w:val="nil"/>
              <w:right w:val="nil"/>
            </w:tcBorders>
            <w:shd w:val="clear" w:color="000000" w:fill="FFFFFF"/>
            <w:noWrap/>
            <w:vAlign w:val="center"/>
            <w:hideMark/>
          </w:tcPr>
          <w:p w14:paraId="45B33581" w14:textId="418C9B55" w:rsidR="00C14561" w:rsidRDefault="00C14561" w:rsidP="00C14561">
            <w:pPr>
              <w:jc w:val="right"/>
              <w:rPr>
                <w:rFonts w:ascii="Calibri" w:hAnsi="Calibri"/>
                <w:color w:val="00B050"/>
                <w:sz w:val="18"/>
                <w:szCs w:val="18"/>
              </w:rPr>
            </w:pPr>
            <w:r>
              <w:rPr>
                <w:rFonts w:ascii="Calibri" w:hAnsi="Calibri"/>
                <w:color w:val="00B050"/>
                <w:sz w:val="18"/>
                <w:szCs w:val="18"/>
              </w:rPr>
              <w:t>5%</w:t>
            </w:r>
          </w:p>
        </w:tc>
      </w:tr>
      <w:tr w:rsidR="00C14561" w14:paraId="7C16AC0F" w14:textId="77777777" w:rsidTr="00FC23B1">
        <w:trPr>
          <w:trHeight w:val="240"/>
        </w:trPr>
        <w:tc>
          <w:tcPr>
            <w:tcW w:w="3969" w:type="dxa"/>
            <w:tcBorders>
              <w:top w:val="nil"/>
              <w:left w:val="nil"/>
              <w:bottom w:val="nil"/>
              <w:right w:val="nil"/>
            </w:tcBorders>
            <w:shd w:val="clear" w:color="000000" w:fill="FFFFFF"/>
            <w:noWrap/>
            <w:vAlign w:val="bottom"/>
            <w:hideMark/>
          </w:tcPr>
          <w:p w14:paraId="51BB4475" w14:textId="77777777" w:rsidR="00C14561" w:rsidRDefault="00C14561" w:rsidP="00C14561">
            <w:pPr>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hideMark/>
          </w:tcPr>
          <w:p w14:paraId="183E0B8E" w14:textId="77777777" w:rsidR="00C14561" w:rsidRDefault="00C14561" w:rsidP="00C14561">
            <w:pPr>
              <w:jc w:val="right"/>
              <w:rPr>
                <w:rFonts w:ascii="Calibri" w:hAnsi="Calibri"/>
                <w:b/>
                <w:bCs/>
                <w:color w:val="000000"/>
                <w:sz w:val="18"/>
                <w:szCs w:val="18"/>
              </w:rPr>
            </w:pPr>
            <w:r>
              <w:rPr>
                <w:rFonts w:ascii="Calibri" w:hAnsi="Calibri"/>
                <w:b/>
                <w:bCs/>
                <w:color w:val="000000"/>
                <w:sz w:val="18"/>
                <w:szCs w:val="18"/>
              </w:rPr>
              <w:t>5,812</w:t>
            </w:r>
          </w:p>
        </w:tc>
        <w:tc>
          <w:tcPr>
            <w:tcW w:w="737" w:type="dxa"/>
            <w:tcBorders>
              <w:top w:val="nil"/>
              <w:left w:val="nil"/>
              <w:bottom w:val="nil"/>
              <w:right w:val="nil"/>
            </w:tcBorders>
            <w:shd w:val="clear" w:color="000000" w:fill="FFFFFF"/>
            <w:noWrap/>
            <w:vAlign w:val="center"/>
            <w:hideMark/>
          </w:tcPr>
          <w:p w14:paraId="1F4E1244" w14:textId="77777777" w:rsidR="00C14561" w:rsidRDefault="00C14561" w:rsidP="00C14561">
            <w:pPr>
              <w:jc w:val="right"/>
              <w:rPr>
                <w:rFonts w:ascii="Calibri" w:hAnsi="Calibri"/>
                <w:b/>
                <w:bCs/>
                <w:color w:val="000000"/>
                <w:sz w:val="18"/>
                <w:szCs w:val="18"/>
              </w:rPr>
            </w:pPr>
            <w:r>
              <w:rPr>
                <w:rFonts w:ascii="Calibri" w:hAnsi="Calibri"/>
                <w:b/>
                <w:bCs/>
                <w:color w:val="000000"/>
                <w:sz w:val="18"/>
                <w:szCs w:val="18"/>
              </w:rPr>
              <w:t>11,306</w:t>
            </w:r>
          </w:p>
        </w:tc>
        <w:tc>
          <w:tcPr>
            <w:tcW w:w="737" w:type="dxa"/>
            <w:tcBorders>
              <w:top w:val="nil"/>
              <w:left w:val="nil"/>
              <w:bottom w:val="nil"/>
              <w:right w:val="nil"/>
            </w:tcBorders>
            <w:shd w:val="clear" w:color="000000" w:fill="FFFFFF"/>
            <w:noWrap/>
            <w:vAlign w:val="center"/>
          </w:tcPr>
          <w:p w14:paraId="111F7FB7" w14:textId="537B646E" w:rsidR="00C14561" w:rsidRDefault="00C14561" w:rsidP="00C14561">
            <w:pPr>
              <w:jc w:val="right"/>
              <w:rPr>
                <w:rFonts w:ascii="Calibri" w:hAnsi="Calibri"/>
                <w:b/>
                <w:bCs/>
                <w:color w:val="000000"/>
                <w:sz w:val="18"/>
                <w:szCs w:val="18"/>
              </w:rPr>
            </w:pPr>
            <w:r>
              <w:rPr>
                <w:rFonts w:ascii="Calibri" w:hAnsi="Calibri"/>
                <w:b/>
                <w:bCs/>
                <w:color w:val="000000"/>
                <w:sz w:val="18"/>
                <w:szCs w:val="18"/>
              </w:rPr>
              <w:t>9 951</w:t>
            </w:r>
          </w:p>
        </w:tc>
        <w:tc>
          <w:tcPr>
            <w:tcW w:w="972" w:type="dxa"/>
            <w:tcBorders>
              <w:top w:val="nil"/>
              <w:left w:val="nil"/>
              <w:bottom w:val="nil"/>
              <w:right w:val="nil"/>
            </w:tcBorders>
            <w:shd w:val="clear" w:color="000000" w:fill="FFFFFF"/>
            <w:vAlign w:val="center"/>
          </w:tcPr>
          <w:p w14:paraId="1FD62B6B" w14:textId="3FC8AE72" w:rsidR="00C14561" w:rsidRDefault="00C14561" w:rsidP="00C14561">
            <w:pPr>
              <w:jc w:val="right"/>
              <w:rPr>
                <w:rFonts w:ascii="Calibri" w:hAnsi="Calibri"/>
                <w:color w:val="00B050"/>
                <w:sz w:val="18"/>
                <w:szCs w:val="18"/>
              </w:rPr>
            </w:pPr>
            <w:r>
              <w:rPr>
                <w:rFonts w:ascii="Calibri" w:hAnsi="Calibri"/>
                <w:b/>
                <w:bCs/>
                <w:color w:val="000000"/>
                <w:sz w:val="18"/>
                <w:szCs w:val="18"/>
              </w:rPr>
              <w:t>10 720</w:t>
            </w:r>
          </w:p>
        </w:tc>
        <w:tc>
          <w:tcPr>
            <w:tcW w:w="972" w:type="dxa"/>
            <w:tcBorders>
              <w:top w:val="nil"/>
              <w:left w:val="nil"/>
              <w:bottom w:val="nil"/>
              <w:right w:val="nil"/>
            </w:tcBorders>
            <w:shd w:val="clear" w:color="000000" w:fill="FFFFFF"/>
            <w:noWrap/>
            <w:vAlign w:val="center"/>
            <w:hideMark/>
          </w:tcPr>
          <w:p w14:paraId="6288CF68" w14:textId="28257131" w:rsidR="00C14561" w:rsidRDefault="00C14561" w:rsidP="00C14561">
            <w:pPr>
              <w:jc w:val="right"/>
              <w:rPr>
                <w:rFonts w:ascii="Calibri" w:hAnsi="Calibri"/>
                <w:color w:val="00B050"/>
                <w:sz w:val="18"/>
                <w:szCs w:val="18"/>
              </w:rPr>
            </w:pPr>
            <w:r>
              <w:rPr>
                <w:rFonts w:ascii="Calibri" w:hAnsi="Calibri"/>
                <w:color w:val="00B050"/>
                <w:sz w:val="18"/>
                <w:szCs w:val="18"/>
              </w:rPr>
              <w:t>-12%</w:t>
            </w:r>
          </w:p>
        </w:tc>
        <w:tc>
          <w:tcPr>
            <w:tcW w:w="973" w:type="dxa"/>
            <w:tcBorders>
              <w:top w:val="nil"/>
              <w:left w:val="nil"/>
              <w:bottom w:val="nil"/>
              <w:right w:val="nil"/>
            </w:tcBorders>
            <w:shd w:val="clear" w:color="000000" w:fill="FFFFFF"/>
            <w:noWrap/>
            <w:vAlign w:val="center"/>
            <w:hideMark/>
          </w:tcPr>
          <w:p w14:paraId="3589A1F3" w14:textId="69716CCD" w:rsidR="00C14561" w:rsidRDefault="00C14561" w:rsidP="00C14561">
            <w:pPr>
              <w:jc w:val="right"/>
              <w:rPr>
                <w:rFonts w:ascii="Calibri" w:hAnsi="Calibri"/>
                <w:color w:val="00B050"/>
                <w:sz w:val="18"/>
                <w:szCs w:val="18"/>
              </w:rPr>
            </w:pPr>
            <w:r>
              <w:rPr>
                <w:rFonts w:ascii="Calibri" w:hAnsi="Calibri"/>
                <w:color w:val="00B050"/>
                <w:sz w:val="18"/>
                <w:szCs w:val="18"/>
              </w:rPr>
              <w:t>8%</w:t>
            </w:r>
          </w:p>
        </w:tc>
      </w:tr>
      <w:tr w:rsidR="00C14561" w14:paraId="31225B89" w14:textId="77777777" w:rsidTr="00FC23B1">
        <w:trPr>
          <w:trHeight w:val="252"/>
        </w:trPr>
        <w:tc>
          <w:tcPr>
            <w:tcW w:w="3969" w:type="dxa"/>
            <w:tcBorders>
              <w:top w:val="nil"/>
              <w:left w:val="nil"/>
              <w:bottom w:val="double" w:sz="6" w:space="0" w:color="auto"/>
              <w:right w:val="nil"/>
            </w:tcBorders>
            <w:shd w:val="clear" w:color="000000" w:fill="FFFFFF"/>
            <w:noWrap/>
            <w:vAlign w:val="bottom"/>
            <w:hideMark/>
          </w:tcPr>
          <w:p w14:paraId="0CD3B1EA" w14:textId="77777777" w:rsidR="00C14561" w:rsidRDefault="00C14561" w:rsidP="00C14561">
            <w:pPr>
              <w:rPr>
                <w:rFonts w:ascii="Calibri" w:hAnsi="Calibri"/>
                <w:b/>
                <w:bCs/>
                <w:color w:val="000000"/>
                <w:sz w:val="18"/>
                <w:szCs w:val="18"/>
              </w:rPr>
            </w:pPr>
            <w:r>
              <w:rPr>
                <w:rFonts w:ascii="Calibri" w:hAnsi="Calibri"/>
                <w:b/>
                <w:bCs/>
                <w:color w:val="000000"/>
                <w:sz w:val="18"/>
                <w:szCs w:val="18"/>
              </w:rPr>
              <w:t>ОБЩО АКТИВИ</w:t>
            </w:r>
          </w:p>
        </w:tc>
        <w:tc>
          <w:tcPr>
            <w:tcW w:w="737" w:type="dxa"/>
            <w:tcBorders>
              <w:top w:val="nil"/>
              <w:left w:val="nil"/>
              <w:bottom w:val="double" w:sz="6" w:space="0" w:color="auto"/>
              <w:right w:val="nil"/>
            </w:tcBorders>
            <w:shd w:val="clear" w:color="000000" w:fill="FFFFFF"/>
            <w:noWrap/>
            <w:vAlign w:val="center"/>
            <w:hideMark/>
          </w:tcPr>
          <w:p w14:paraId="305D183A" w14:textId="77777777" w:rsidR="00C14561" w:rsidRDefault="00C14561" w:rsidP="00C14561">
            <w:pPr>
              <w:jc w:val="right"/>
              <w:rPr>
                <w:rFonts w:ascii="Calibri" w:hAnsi="Calibri"/>
                <w:b/>
                <w:bCs/>
                <w:color w:val="000000"/>
                <w:sz w:val="18"/>
                <w:szCs w:val="18"/>
              </w:rPr>
            </w:pPr>
            <w:r>
              <w:rPr>
                <w:rFonts w:ascii="Calibri" w:hAnsi="Calibri"/>
                <w:b/>
                <w:bCs/>
                <w:color w:val="000000"/>
                <w:sz w:val="18"/>
                <w:szCs w:val="18"/>
              </w:rPr>
              <w:t>6,509</w:t>
            </w:r>
          </w:p>
        </w:tc>
        <w:tc>
          <w:tcPr>
            <w:tcW w:w="737" w:type="dxa"/>
            <w:tcBorders>
              <w:top w:val="nil"/>
              <w:left w:val="nil"/>
              <w:bottom w:val="double" w:sz="6" w:space="0" w:color="auto"/>
              <w:right w:val="nil"/>
            </w:tcBorders>
            <w:shd w:val="clear" w:color="000000" w:fill="FFFFFF"/>
            <w:noWrap/>
            <w:vAlign w:val="center"/>
            <w:hideMark/>
          </w:tcPr>
          <w:p w14:paraId="7E774813" w14:textId="77777777" w:rsidR="00C14561" w:rsidRDefault="00C14561" w:rsidP="00C14561">
            <w:pPr>
              <w:jc w:val="right"/>
              <w:rPr>
                <w:rFonts w:ascii="Calibri" w:hAnsi="Calibri"/>
                <w:b/>
                <w:bCs/>
                <w:color w:val="000000"/>
                <w:sz w:val="18"/>
                <w:szCs w:val="18"/>
              </w:rPr>
            </w:pPr>
            <w:r>
              <w:rPr>
                <w:rFonts w:ascii="Calibri" w:hAnsi="Calibri"/>
                <w:b/>
                <w:bCs/>
                <w:color w:val="000000"/>
                <w:sz w:val="18"/>
                <w:szCs w:val="18"/>
              </w:rPr>
              <w:t>12,809</w:t>
            </w:r>
          </w:p>
        </w:tc>
        <w:tc>
          <w:tcPr>
            <w:tcW w:w="737" w:type="dxa"/>
            <w:tcBorders>
              <w:top w:val="nil"/>
              <w:left w:val="nil"/>
              <w:bottom w:val="double" w:sz="6" w:space="0" w:color="auto"/>
              <w:right w:val="nil"/>
            </w:tcBorders>
            <w:shd w:val="clear" w:color="000000" w:fill="FFFFFF"/>
            <w:noWrap/>
            <w:vAlign w:val="center"/>
          </w:tcPr>
          <w:p w14:paraId="41150D65" w14:textId="10D92721" w:rsidR="00C14561" w:rsidRDefault="00C14561" w:rsidP="00C14561">
            <w:pPr>
              <w:jc w:val="right"/>
              <w:rPr>
                <w:rFonts w:ascii="Calibri" w:hAnsi="Calibri"/>
                <w:b/>
                <w:bCs/>
                <w:color w:val="000000"/>
                <w:sz w:val="18"/>
                <w:szCs w:val="18"/>
              </w:rPr>
            </w:pPr>
            <w:r>
              <w:rPr>
                <w:rFonts w:ascii="Calibri" w:hAnsi="Calibri"/>
                <w:b/>
                <w:bCs/>
                <w:color w:val="000000"/>
                <w:sz w:val="18"/>
                <w:szCs w:val="18"/>
              </w:rPr>
              <w:t>11 367</w:t>
            </w:r>
          </w:p>
        </w:tc>
        <w:tc>
          <w:tcPr>
            <w:tcW w:w="972" w:type="dxa"/>
            <w:tcBorders>
              <w:top w:val="nil"/>
              <w:left w:val="nil"/>
              <w:bottom w:val="double" w:sz="6" w:space="0" w:color="auto"/>
              <w:right w:val="nil"/>
            </w:tcBorders>
            <w:shd w:val="clear" w:color="000000" w:fill="FFFFFF"/>
            <w:vAlign w:val="center"/>
          </w:tcPr>
          <w:p w14:paraId="6F0DA0D0" w14:textId="75BEDD0D" w:rsidR="00C14561" w:rsidRDefault="00C14561" w:rsidP="00C14561">
            <w:pPr>
              <w:jc w:val="right"/>
              <w:rPr>
                <w:rFonts w:ascii="Calibri" w:hAnsi="Calibri"/>
                <w:color w:val="00B050"/>
                <w:sz w:val="18"/>
                <w:szCs w:val="18"/>
              </w:rPr>
            </w:pPr>
            <w:r>
              <w:rPr>
                <w:rFonts w:ascii="Calibri" w:hAnsi="Calibri"/>
                <w:b/>
                <w:bCs/>
                <w:color w:val="000000"/>
                <w:sz w:val="18"/>
                <w:szCs w:val="18"/>
              </w:rPr>
              <w:t>12 030</w:t>
            </w:r>
          </w:p>
        </w:tc>
        <w:tc>
          <w:tcPr>
            <w:tcW w:w="972" w:type="dxa"/>
            <w:tcBorders>
              <w:top w:val="nil"/>
              <w:left w:val="nil"/>
              <w:bottom w:val="double" w:sz="6" w:space="0" w:color="auto"/>
              <w:right w:val="nil"/>
            </w:tcBorders>
            <w:shd w:val="clear" w:color="000000" w:fill="FFFFFF"/>
            <w:noWrap/>
            <w:vAlign w:val="center"/>
            <w:hideMark/>
          </w:tcPr>
          <w:p w14:paraId="70671003" w14:textId="0DFAD260" w:rsidR="00C14561" w:rsidRDefault="00C14561" w:rsidP="00C14561">
            <w:pPr>
              <w:jc w:val="right"/>
              <w:rPr>
                <w:rFonts w:ascii="Calibri" w:hAnsi="Calibri"/>
                <w:color w:val="00B050"/>
                <w:sz w:val="18"/>
                <w:szCs w:val="18"/>
              </w:rPr>
            </w:pPr>
            <w:r>
              <w:rPr>
                <w:rFonts w:ascii="Calibri" w:hAnsi="Calibri"/>
                <w:color w:val="00B050"/>
                <w:sz w:val="18"/>
                <w:szCs w:val="18"/>
              </w:rPr>
              <w:t>-11%</w:t>
            </w:r>
          </w:p>
        </w:tc>
        <w:tc>
          <w:tcPr>
            <w:tcW w:w="973" w:type="dxa"/>
            <w:tcBorders>
              <w:top w:val="nil"/>
              <w:left w:val="nil"/>
              <w:bottom w:val="double" w:sz="6" w:space="0" w:color="auto"/>
              <w:right w:val="nil"/>
            </w:tcBorders>
            <w:shd w:val="clear" w:color="000000" w:fill="FFFFFF"/>
            <w:noWrap/>
            <w:vAlign w:val="center"/>
            <w:hideMark/>
          </w:tcPr>
          <w:p w14:paraId="3CDE2446" w14:textId="4CA73FF4" w:rsidR="00C14561" w:rsidRDefault="00C14561" w:rsidP="00C14561">
            <w:pPr>
              <w:jc w:val="right"/>
              <w:rPr>
                <w:rFonts w:ascii="Calibri" w:hAnsi="Calibri"/>
                <w:color w:val="00B050"/>
                <w:sz w:val="18"/>
                <w:szCs w:val="18"/>
              </w:rPr>
            </w:pPr>
            <w:r>
              <w:rPr>
                <w:rFonts w:ascii="Calibri" w:hAnsi="Calibri"/>
                <w:color w:val="00B050"/>
                <w:sz w:val="18"/>
                <w:szCs w:val="18"/>
              </w:rPr>
              <w:t>6%</w:t>
            </w:r>
          </w:p>
        </w:tc>
      </w:tr>
      <w:tr w:rsidR="00C14561" w:rsidRPr="00041EDA" w14:paraId="08FAF147" w14:textId="77777777" w:rsidTr="00FC23B1">
        <w:trPr>
          <w:trHeight w:val="240"/>
        </w:trPr>
        <w:tc>
          <w:tcPr>
            <w:tcW w:w="3969" w:type="dxa"/>
            <w:tcBorders>
              <w:top w:val="nil"/>
              <w:left w:val="nil"/>
              <w:bottom w:val="nil"/>
              <w:right w:val="nil"/>
            </w:tcBorders>
            <w:shd w:val="clear" w:color="000000" w:fill="FFFFFF"/>
            <w:noWrap/>
            <w:vAlign w:val="bottom"/>
          </w:tcPr>
          <w:p w14:paraId="0E1E62E6" w14:textId="77777777" w:rsidR="00C14561" w:rsidRPr="00041EDA" w:rsidRDefault="00C14561" w:rsidP="00C14561">
            <w:pPr>
              <w:rPr>
                <w:rFonts w:ascii="Calibri" w:hAnsi="Calibri"/>
                <w:b/>
                <w:bCs/>
                <w:color w:val="000000"/>
                <w:sz w:val="12"/>
                <w:szCs w:val="18"/>
              </w:rPr>
            </w:pPr>
          </w:p>
        </w:tc>
        <w:tc>
          <w:tcPr>
            <w:tcW w:w="737" w:type="dxa"/>
            <w:tcBorders>
              <w:top w:val="nil"/>
              <w:left w:val="nil"/>
              <w:bottom w:val="nil"/>
              <w:right w:val="nil"/>
            </w:tcBorders>
            <w:shd w:val="clear" w:color="000000" w:fill="FFFFFF"/>
            <w:noWrap/>
            <w:vAlign w:val="bottom"/>
            <w:hideMark/>
          </w:tcPr>
          <w:p w14:paraId="3EC4DA03" w14:textId="77777777" w:rsidR="00C14561" w:rsidRPr="00041EDA" w:rsidRDefault="00C14561" w:rsidP="00C14561">
            <w:pPr>
              <w:rPr>
                <w:rFonts w:ascii="Calibri" w:hAnsi="Calibri"/>
                <w:color w:val="000000"/>
                <w:sz w:val="12"/>
                <w:szCs w:val="18"/>
              </w:rPr>
            </w:pPr>
            <w:r w:rsidRPr="00041EDA">
              <w:rPr>
                <w:rFonts w:ascii="Calibri" w:hAnsi="Calibri"/>
                <w:color w:val="000000"/>
                <w:sz w:val="12"/>
                <w:szCs w:val="18"/>
              </w:rPr>
              <w:t> </w:t>
            </w:r>
          </w:p>
        </w:tc>
        <w:tc>
          <w:tcPr>
            <w:tcW w:w="737" w:type="dxa"/>
            <w:tcBorders>
              <w:top w:val="nil"/>
              <w:left w:val="nil"/>
              <w:bottom w:val="nil"/>
              <w:right w:val="nil"/>
            </w:tcBorders>
            <w:shd w:val="clear" w:color="000000" w:fill="FFFFFF"/>
            <w:noWrap/>
            <w:vAlign w:val="bottom"/>
            <w:hideMark/>
          </w:tcPr>
          <w:p w14:paraId="20EC715E" w14:textId="77777777" w:rsidR="00C14561" w:rsidRPr="00041EDA" w:rsidRDefault="00C14561" w:rsidP="00C14561">
            <w:pPr>
              <w:rPr>
                <w:rFonts w:ascii="Calibri" w:hAnsi="Calibri"/>
                <w:color w:val="000000"/>
                <w:sz w:val="12"/>
                <w:szCs w:val="18"/>
              </w:rPr>
            </w:pPr>
            <w:r w:rsidRPr="00041EDA">
              <w:rPr>
                <w:rFonts w:ascii="Calibri" w:hAnsi="Calibri"/>
                <w:color w:val="000000"/>
                <w:sz w:val="12"/>
                <w:szCs w:val="18"/>
              </w:rPr>
              <w:t> </w:t>
            </w:r>
          </w:p>
        </w:tc>
        <w:tc>
          <w:tcPr>
            <w:tcW w:w="737" w:type="dxa"/>
            <w:tcBorders>
              <w:top w:val="nil"/>
              <w:left w:val="nil"/>
              <w:bottom w:val="nil"/>
              <w:right w:val="nil"/>
            </w:tcBorders>
            <w:shd w:val="clear" w:color="000000" w:fill="FFFFFF"/>
            <w:noWrap/>
            <w:vAlign w:val="bottom"/>
          </w:tcPr>
          <w:p w14:paraId="29C5F98B" w14:textId="1D5D1449" w:rsidR="00C14561" w:rsidRPr="00041EDA" w:rsidRDefault="00C14561" w:rsidP="00C14561">
            <w:pPr>
              <w:rPr>
                <w:rFonts w:ascii="Calibri" w:hAnsi="Calibri"/>
                <w:color w:val="000000"/>
                <w:sz w:val="12"/>
                <w:szCs w:val="18"/>
              </w:rPr>
            </w:pPr>
          </w:p>
        </w:tc>
        <w:tc>
          <w:tcPr>
            <w:tcW w:w="972" w:type="dxa"/>
            <w:tcBorders>
              <w:top w:val="nil"/>
              <w:left w:val="nil"/>
              <w:bottom w:val="nil"/>
              <w:right w:val="nil"/>
            </w:tcBorders>
            <w:shd w:val="clear" w:color="000000" w:fill="FFFFFF"/>
          </w:tcPr>
          <w:p w14:paraId="294DB13F" w14:textId="77777777" w:rsidR="00C14561" w:rsidRPr="00041EDA" w:rsidRDefault="00C14561" w:rsidP="00C14561">
            <w:pPr>
              <w:rPr>
                <w:rFonts w:ascii="Calibri" w:hAnsi="Calibri"/>
                <w:color w:val="00B050"/>
                <w:sz w:val="12"/>
                <w:szCs w:val="18"/>
              </w:rPr>
            </w:pPr>
          </w:p>
        </w:tc>
        <w:tc>
          <w:tcPr>
            <w:tcW w:w="972" w:type="dxa"/>
            <w:tcBorders>
              <w:top w:val="nil"/>
              <w:left w:val="nil"/>
              <w:bottom w:val="nil"/>
              <w:right w:val="nil"/>
            </w:tcBorders>
            <w:shd w:val="clear" w:color="000000" w:fill="FFFFFF"/>
            <w:noWrap/>
            <w:vAlign w:val="bottom"/>
            <w:hideMark/>
          </w:tcPr>
          <w:p w14:paraId="2F2AF18D" w14:textId="78DF4B03" w:rsidR="00C14561" w:rsidRPr="00041EDA" w:rsidRDefault="00C14561" w:rsidP="00C14561">
            <w:pPr>
              <w:rPr>
                <w:rFonts w:ascii="Calibri" w:hAnsi="Calibri"/>
                <w:color w:val="00B050"/>
                <w:sz w:val="12"/>
                <w:szCs w:val="18"/>
              </w:rPr>
            </w:pPr>
            <w:r w:rsidRPr="00041EDA">
              <w:rPr>
                <w:rFonts w:ascii="Calibri" w:hAnsi="Calibri"/>
                <w:color w:val="00B050"/>
                <w:sz w:val="12"/>
                <w:szCs w:val="18"/>
              </w:rPr>
              <w:t> </w:t>
            </w:r>
          </w:p>
        </w:tc>
        <w:tc>
          <w:tcPr>
            <w:tcW w:w="973" w:type="dxa"/>
            <w:tcBorders>
              <w:top w:val="nil"/>
              <w:left w:val="nil"/>
              <w:bottom w:val="nil"/>
              <w:right w:val="nil"/>
            </w:tcBorders>
            <w:shd w:val="clear" w:color="000000" w:fill="FFFFFF"/>
            <w:noWrap/>
            <w:vAlign w:val="bottom"/>
            <w:hideMark/>
          </w:tcPr>
          <w:p w14:paraId="1D816B37" w14:textId="77777777" w:rsidR="00C14561" w:rsidRPr="00041EDA" w:rsidRDefault="00C14561" w:rsidP="00C14561">
            <w:pPr>
              <w:rPr>
                <w:rFonts w:ascii="Calibri" w:hAnsi="Calibri"/>
                <w:color w:val="00B050"/>
                <w:sz w:val="12"/>
                <w:szCs w:val="18"/>
              </w:rPr>
            </w:pPr>
            <w:r w:rsidRPr="00041EDA">
              <w:rPr>
                <w:rFonts w:ascii="Calibri" w:hAnsi="Calibri"/>
                <w:color w:val="00B050"/>
                <w:sz w:val="12"/>
                <w:szCs w:val="18"/>
              </w:rPr>
              <w:t> </w:t>
            </w:r>
          </w:p>
        </w:tc>
      </w:tr>
      <w:tr w:rsidR="00C14561" w14:paraId="0648C19C" w14:textId="77777777" w:rsidTr="002F2238">
        <w:trPr>
          <w:trHeight w:val="227"/>
        </w:trPr>
        <w:tc>
          <w:tcPr>
            <w:tcW w:w="3969" w:type="dxa"/>
            <w:tcBorders>
              <w:top w:val="nil"/>
              <w:left w:val="nil"/>
              <w:bottom w:val="nil"/>
              <w:right w:val="nil"/>
            </w:tcBorders>
            <w:shd w:val="clear" w:color="000000" w:fill="FFFFFF"/>
            <w:noWrap/>
            <w:vAlign w:val="bottom"/>
          </w:tcPr>
          <w:p w14:paraId="1E06F189" w14:textId="77777777" w:rsidR="00C14561" w:rsidRDefault="00C14561" w:rsidP="00C14561">
            <w:pPr>
              <w:rPr>
                <w:rFonts w:ascii="Calibri" w:hAnsi="Calibri"/>
                <w:b/>
                <w:bCs/>
                <w:color w:val="000000"/>
                <w:sz w:val="18"/>
                <w:szCs w:val="18"/>
              </w:rPr>
            </w:pPr>
            <w:r>
              <w:rPr>
                <w:rFonts w:ascii="Calibri" w:hAnsi="Calibri"/>
                <w:b/>
                <w:bCs/>
                <w:color w:val="000000"/>
                <w:sz w:val="18"/>
                <w:szCs w:val="18"/>
              </w:rPr>
              <w:t>СОБСТВЕН КАПИТАЛ</w:t>
            </w:r>
          </w:p>
        </w:tc>
        <w:tc>
          <w:tcPr>
            <w:tcW w:w="737" w:type="dxa"/>
            <w:tcBorders>
              <w:top w:val="nil"/>
              <w:left w:val="nil"/>
              <w:bottom w:val="nil"/>
              <w:right w:val="nil"/>
            </w:tcBorders>
            <w:shd w:val="clear" w:color="000000" w:fill="FFFFFF"/>
            <w:noWrap/>
            <w:vAlign w:val="bottom"/>
          </w:tcPr>
          <w:p w14:paraId="0B6CC5DA" w14:textId="77777777" w:rsidR="00C14561" w:rsidRDefault="00C14561" w:rsidP="00C14561">
            <w:pPr>
              <w:rPr>
                <w:rFonts w:ascii="Calibri" w:hAnsi="Calibri"/>
                <w:color w:val="000000"/>
                <w:sz w:val="18"/>
                <w:szCs w:val="18"/>
              </w:rPr>
            </w:pPr>
          </w:p>
        </w:tc>
        <w:tc>
          <w:tcPr>
            <w:tcW w:w="737" w:type="dxa"/>
            <w:tcBorders>
              <w:top w:val="nil"/>
              <w:left w:val="nil"/>
              <w:bottom w:val="nil"/>
              <w:right w:val="nil"/>
            </w:tcBorders>
            <w:shd w:val="clear" w:color="000000" w:fill="FFFFFF"/>
            <w:noWrap/>
            <w:vAlign w:val="bottom"/>
          </w:tcPr>
          <w:p w14:paraId="66EEEEB2" w14:textId="77777777" w:rsidR="00C14561" w:rsidRDefault="00C14561" w:rsidP="00C14561">
            <w:pPr>
              <w:rPr>
                <w:rFonts w:ascii="Calibri" w:hAnsi="Calibri"/>
                <w:color w:val="000000"/>
                <w:sz w:val="18"/>
                <w:szCs w:val="18"/>
              </w:rPr>
            </w:pPr>
          </w:p>
        </w:tc>
        <w:tc>
          <w:tcPr>
            <w:tcW w:w="737" w:type="dxa"/>
            <w:tcBorders>
              <w:top w:val="nil"/>
              <w:left w:val="nil"/>
              <w:bottom w:val="nil"/>
              <w:right w:val="nil"/>
            </w:tcBorders>
            <w:shd w:val="clear" w:color="000000" w:fill="FFFFFF"/>
            <w:noWrap/>
            <w:vAlign w:val="bottom"/>
          </w:tcPr>
          <w:p w14:paraId="77480CD6" w14:textId="77777777" w:rsidR="00C14561" w:rsidRDefault="00C14561" w:rsidP="00C14561">
            <w:pPr>
              <w:rPr>
                <w:rFonts w:ascii="Calibri" w:hAnsi="Calibri"/>
                <w:color w:val="000000"/>
                <w:sz w:val="18"/>
                <w:szCs w:val="18"/>
              </w:rPr>
            </w:pPr>
          </w:p>
        </w:tc>
        <w:tc>
          <w:tcPr>
            <w:tcW w:w="972" w:type="dxa"/>
            <w:tcBorders>
              <w:top w:val="nil"/>
              <w:left w:val="nil"/>
              <w:bottom w:val="nil"/>
              <w:right w:val="nil"/>
            </w:tcBorders>
            <w:shd w:val="clear" w:color="000000" w:fill="FFFFFF"/>
          </w:tcPr>
          <w:p w14:paraId="1594FE2A" w14:textId="77777777" w:rsidR="00C14561" w:rsidRDefault="00C14561" w:rsidP="00C14561">
            <w:pPr>
              <w:rPr>
                <w:rFonts w:ascii="Calibri" w:hAnsi="Calibri"/>
                <w:color w:val="00B050"/>
                <w:sz w:val="18"/>
                <w:szCs w:val="18"/>
              </w:rPr>
            </w:pPr>
          </w:p>
        </w:tc>
        <w:tc>
          <w:tcPr>
            <w:tcW w:w="972" w:type="dxa"/>
            <w:tcBorders>
              <w:top w:val="nil"/>
              <w:left w:val="nil"/>
              <w:bottom w:val="nil"/>
              <w:right w:val="nil"/>
            </w:tcBorders>
            <w:shd w:val="clear" w:color="000000" w:fill="FFFFFF"/>
            <w:noWrap/>
            <w:vAlign w:val="bottom"/>
          </w:tcPr>
          <w:p w14:paraId="73FA3752" w14:textId="24957ACE" w:rsidR="00C14561" w:rsidRDefault="00C14561" w:rsidP="00C14561">
            <w:pPr>
              <w:rPr>
                <w:rFonts w:ascii="Calibri" w:hAnsi="Calibri"/>
                <w:color w:val="00B050"/>
                <w:sz w:val="18"/>
                <w:szCs w:val="18"/>
              </w:rPr>
            </w:pPr>
          </w:p>
        </w:tc>
        <w:tc>
          <w:tcPr>
            <w:tcW w:w="973" w:type="dxa"/>
            <w:tcBorders>
              <w:top w:val="nil"/>
              <w:left w:val="nil"/>
              <w:bottom w:val="nil"/>
              <w:right w:val="nil"/>
            </w:tcBorders>
            <w:shd w:val="clear" w:color="000000" w:fill="FFFFFF"/>
            <w:noWrap/>
            <w:vAlign w:val="bottom"/>
          </w:tcPr>
          <w:p w14:paraId="61293E52" w14:textId="77777777" w:rsidR="00C14561" w:rsidRDefault="00C14561" w:rsidP="00C14561">
            <w:pPr>
              <w:rPr>
                <w:rFonts w:ascii="Calibri" w:hAnsi="Calibri"/>
                <w:color w:val="00B050"/>
                <w:sz w:val="18"/>
                <w:szCs w:val="18"/>
              </w:rPr>
            </w:pPr>
          </w:p>
        </w:tc>
      </w:tr>
      <w:tr w:rsidR="00C14561" w14:paraId="1CF589FC" w14:textId="77777777" w:rsidTr="002F2238">
        <w:trPr>
          <w:trHeight w:val="227"/>
        </w:trPr>
        <w:tc>
          <w:tcPr>
            <w:tcW w:w="3969" w:type="dxa"/>
            <w:tcBorders>
              <w:top w:val="nil"/>
              <w:left w:val="nil"/>
              <w:bottom w:val="nil"/>
              <w:right w:val="nil"/>
            </w:tcBorders>
            <w:shd w:val="clear" w:color="000000" w:fill="FFFFFF"/>
            <w:noWrap/>
            <w:vAlign w:val="bottom"/>
            <w:hideMark/>
          </w:tcPr>
          <w:p w14:paraId="30382DC7" w14:textId="77777777" w:rsidR="00C14561" w:rsidRDefault="00C14561" w:rsidP="00C14561">
            <w:pPr>
              <w:rPr>
                <w:rFonts w:ascii="Calibri" w:hAnsi="Calibri"/>
                <w:color w:val="000000"/>
                <w:sz w:val="18"/>
                <w:szCs w:val="18"/>
              </w:rPr>
            </w:pPr>
            <w:r>
              <w:rPr>
                <w:rFonts w:ascii="Calibri" w:hAnsi="Calibri"/>
                <w:color w:val="000000"/>
                <w:sz w:val="18"/>
                <w:szCs w:val="18"/>
              </w:rPr>
              <w:t>Основен капитал</w:t>
            </w:r>
          </w:p>
        </w:tc>
        <w:tc>
          <w:tcPr>
            <w:tcW w:w="737" w:type="dxa"/>
            <w:tcBorders>
              <w:top w:val="nil"/>
              <w:left w:val="nil"/>
              <w:bottom w:val="nil"/>
              <w:right w:val="nil"/>
            </w:tcBorders>
            <w:shd w:val="clear" w:color="000000" w:fill="FFFFFF"/>
            <w:noWrap/>
            <w:vAlign w:val="center"/>
            <w:hideMark/>
          </w:tcPr>
          <w:p w14:paraId="7640F64B" w14:textId="77777777" w:rsidR="00C14561" w:rsidRDefault="00C14561" w:rsidP="00C14561">
            <w:pPr>
              <w:jc w:val="right"/>
              <w:rPr>
                <w:rFonts w:ascii="Calibri" w:hAnsi="Calibri"/>
                <w:color w:val="000000"/>
                <w:sz w:val="18"/>
                <w:szCs w:val="18"/>
              </w:rPr>
            </w:pPr>
            <w:r>
              <w:rPr>
                <w:rFonts w:ascii="Calibri" w:hAnsi="Calibri"/>
                <w:color w:val="000000"/>
                <w:sz w:val="18"/>
                <w:szCs w:val="18"/>
              </w:rPr>
              <w:t>1,800</w:t>
            </w:r>
          </w:p>
        </w:tc>
        <w:tc>
          <w:tcPr>
            <w:tcW w:w="737" w:type="dxa"/>
            <w:tcBorders>
              <w:top w:val="nil"/>
              <w:left w:val="nil"/>
              <w:bottom w:val="nil"/>
              <w:right w:val="nil"/>
            </w:tcBorders>
            <w:shd w:val="clear" w:color="000000" w:fill="FFFFFF"/>
            <w:noWrap/>
            <w:vAlign w:val="center"/>
            <w:hideMark/>
          </w:tcPr>
          <w:p w14:paraId="353594A2" w14:textId="77777777" w:rsidR="00C14561" w:rsidRDefault="00C14561" w:rsidP="00C14561">
            <w:pPr>
              <w:jc w:val="right"/>
              <w:rPr>
                <w:rFonts w:ascii="Calibri" w:hAnsi="Calibri"/>
                <w:color w:val="000000"/>
                <w:sz w:val="18"/>
                <w:szCs w:val="18"/>
              </w:rPr>
            </w:pPr>
            <w:r>
              <w:rPr>
                <w:rFonts w:ascii="Calibri" w:hAnsi="Calibri"/>
                <w:color w:val="000000"/>
                <w:sz w:val="18"/>
                <w:szCs w:val="18"/>
              </w:rPr>
              <w:t>1,800</w:t>
            </w:r>
          </w:p>
        </w:tc>
        <w:tc>
          <w:tcPr>
            <w:tcW w:w="737" w:type="dxa"/>
            <w:tcBorders>
              <w:top w:val="nil"/>
              <w:left w:val="nil"/>
              <w:bottom w:val="nil"/>
              <w:right w:val="nil"/>
            </w:tcBorders>
            <w:shd w:val="clear" w:color="000000" w:fill="FFFFFF"/>
            <w:noWrap/>
            <w:vAlign w:val="center"/>
          </w:tcPr>
          <w:p w14:paraId="6393C837" w14:textId="6420CE71" w:rsidR="00C14561" w:rsidRDefault="00C14561" w:rsidP="00C14561">
            <w:pPr>
              <w:jc w:val="right"/>
              <w:rPr>
                <w:rFonts w:ascii="Calibri" w:hAnsi="Calibri"/>
                <w:color w:val="000000"/>
                <w:sz w:val="18"/>
                <w:szCs w:val="18"/>
              </w:rPr>
            </w:pPr>
            <w:r>
              <w:rPr>
                <w:rFonts w:ascii="Calibri" w:hAnsi="Calibri"/>
                <w:color w:val="000000"/>
                <w:sz w:val="18"/>
                <w:szCs w:val="18"/>
              </w:rPr>
              <w:t>1 800</w:t>
            </w:r>
          </w:p>
        </w:tc>
        <w:tc>
          <w:tcPr>
            <w:tcW w:w="972" w:type="dxa"/>
            <w:tcBorders>
              <w:top w:val="nil"/>
              <w:left w:val="nil"/>
              <w:bottom w:val="nil"/>
              <w:right w:val="nil"/>
            </w:tcBorders>
            <w:shd w:val="clear" w:color="000000" w:fill="FFFFFF"/>
            <w:vAlign w:val="center"/>
          </w:tcPr>
          <w:p w14:paraId="38DF93F7" w14:textId="599CB0CC" w:rsidR="00C14561" w:rsidRDefault="00C14561" w:rsidP="00C14561">
            <w:pPr>
              <w:jc w:val="right"/>
              <w:rPr>
                <w:rFonts w:ascii="Calibri" w:hAnsi="Calibri"/>
                <w:color w:val="00B050"/>
                <w:sz w:val="18"/>
                <w:szCs w:val="18"/>
              </w:rPr>
            </w:pPr>
            <w:r>
              <w:rPr>
                <w:rFonts w:ascii="Calibri" w:hAnsi="Calibri"/>
                <w:color w:val="000000"/>
                <w:sz w:val="18"/>
                <w:szCs w:val="18"/>
                <w:lang w:val="en-GB"/>
              </w:rPr>
              <w:t>1 800</w:t>
            </w:r>
          </w:p>
        </w:tc>
        <w:tc>
          <w:tcPr>
            <w:tcW w:w="972" w:type="dxa"/>
            <w:tcBorders>
              <w:top w:val="nil"/>
              <w:left w:val="nil"/>
              <w:bottom w:val="nil"/>
              <w:right w:val="nil"/>
            </w:tcBorders>
            <w:shd w:val="clear" w:color="000000" w:fill="FFFFFF"/>
            <w:noWrap/>
            <w:vAlign w:val="center"/>
            <w:hideMark/>
          </w:tcPr>
          <w:p w14:paraId="19539A66" w14:textId="107903AD" w:rsidR="00C14561" w:rsidRDefault="00C14561" w:rsidP="00C14561">
            <w:pPr>
              <w:jc w:val="right"/>
              <w:rPr>
                <w:rFonts w:ascii="Calibri" w:hAnsi="Calibri"/>
                <w:color w:val="00B050"/>
                <w:sz w:val="18"/>
                <w:szCs w:val="18"/>
              </w:rPr>
            </w:pPr>
            <w:r>
              <w:rPr>
                <w:rFonts w:ascii="Calibri" w:hAnsi="Calibri"/>
                <w:color w:val="00B050"/>
                <w:sz w:val="18"/>
                <w:szCs w:val="18"/>
              </w:rPr>
              <w:t>0%</w:t>
            </w:r>
          </w:p>
        </w:tc>
        <w:tc>
          <w:tcPr>
            <w:tcW w:w="973" w:type="dxa"/>
            <w:tcBorders>
              <w:top w:val="nil"/>
              <w:left w:val="nil"/>
              <w:bottom w:val="nil"/>
              <w:right w:val="nil"/>
            </w:tcBorders>
            <w:shd w:val="clear" w:color="000000" w:fill="FFFFFF"/>
            <w:noWrap/>
            <w:vAlign w:val="center"/>
            <w:hideMark/>
          </w:tcPr>
          <w:p w14:paraId="3756EE02" w14:textId="3A65F6EF" w:rsidR="00C14561" w:rsidRDefault="00C14561" w:rsidP="00C14561">
            <w:pPr>
              <w:jc w:val="right"/>
              <w:rPr>
                <w:rFonts w:ascii="Calibri" w:hAnsi="Calibri"/>
                <w:color w:val="00B050"/>
                <w:sz w:val="18"/>
                <w:szCs w:val="18"/>
              </w:rPr>
            </w:pPr>
            <w:r>
              <w:rPr>
                <w:rFonts w:ascii="Calibri" w:hAnsi="Calibri"/>
                <w:color w:val="00B050"/>
                <w:sz w:val="18"/>
                <w:szCs w:val="18"/>
              </w:rPr>
              <w:t>0%</w:t>
            </w:r>
          </w:p>
        </w:tc>
      </w:tr>
      <w:tr w:rsidR="00C14561" w14:paraId="475345F5" w14:textId="77777777" w:rsidTr="002F2238">
        <w:trPr>
          <w:trHeight w:val="227"/>
        </w:trPr>
        <w:tc>
          <w:tcPr>
            <w:tcW w:w="3969" w:type="dxa"/>
            <w:tcBorders>
              <w:top w:val="nil"/>
              <w:left w:val="nil"/>
              <w:bottom w:val="nil"/>
              <w:right w:val="nil"/>
            </w:tcBorders>
            <w:shd w:val="clear" w:color="000000" w:fill="FFFFFF"/>
            <w:noWrap/>
            <w:vAlign w:val="bottom"/>
            <w:hideMark/>
          </w:tcPr>
          <w:p w14:paraId="12BB586C" w14:textId="77777777" w:rsidR="00C14561" w:rsidRDefault="00C14561" w:rsidP="00C14561">
            <w:pPr>
              <w:rPr>
                <w:rFonts w:ascii="Calibri" w:hAnsi="Calibri"/>
                <w:color w:val="000000"/>
                <w:sz w:val="18"/>
                <w:szCs w:val="18"/>
              </w:rPr>
            </w:pPr>
            <w:r>
              <w:rPr>
                <w:rFonts w:ascii="Calibri" w:hAnsi="Calibri"/>
                <w:color w:val="000000"/>
                <w:sz w:val="18"/>
                <w:szCs w:val="18"/>
              </w:rPr>
              <w:t>Законови резерви</w:t>
            </w:r>
          </w:p>
        </w:tc>
        <w:tc>
          <w:tcPr>
            <w:tcW w:w="737" w:type="dxa"/>
            <w:tcBorders>
              <w:top w:val="nil"/>
              <w:left w:val="nil"/>
              <w:bottom w:val="nil"/>
              <w:right w:val="nil"/>
            </w:tcBorders>
            <w:shd w:val="clear" w:color="000000" w:fill="FFFFFF"/>
            <w:noWrap/>
            <w:vAlign w:val="center"/>
            <w:hideMark/>
          </w:tcPr>
          <w:p w14:paraId="383BF2D6" w14:textId="77777777" w:rsidR="00C14561" w:rsidRDefault="00C14561" w:rsidP="00C14561">
            <w:pPr>
              <w:jc w:val="right"/>
              <w:rPr>
                <w:rFonts w:ascii="Calibri" w:hAnsi="Calibri"/>
                <w:color w:val="000000"/>
                <w:sz w:val="18"/>
                <w:szCs w:val="18"/>
              </w:rPr>
            </w:pPr>
            <w:r>
              <w:rPr>
                <w:rFonts w:ascii="Calibri" w:hAnsi="Calibri"/>
                <w:color w:val="000000"/>
                <w:sz w:val="18"/>
                <w:szCs w:val="18"/>
              </w:rPr>
              <w:t>84</w:t>
            </w:r>
          </w:p>
        </w:tc>
        <w:tc>
          <w:tcPr>
            <w:tcW w:w="737" w:type="dxa"/>
            <w:tcBorders>
              <w:top w:val="nil"/>
              <w:left w:val="nil"/>
              <w:bottom w:val="nil"/>
              <w:right w:val="nil"/>
            </w:tcBorders>
            <w:shd w:val="clear" w:color="000000" w:fill="FFFFFF"/>
            <w:noWrap/>
            <w:vAlign w:val="center"/>
            <w:hideMark/>
          </w:tcPr>
          <w:p w14:paraId="6EDFE025" w14:textId="77777777" w:rsidR="00C14561" w:rsidRDefault="00C14561" w:rsidP="00C14561">
            <w:pPr>
              <w:jc w:val="right"/>
              <w:rPr>
                <w:rFonts w:ascii="Calibri" w:hAnsi="Calibri"/>
                <w:color w:val="000000"/>
                <w:sz w:val="18"/>
                <w:szCs w:val="18"/>
              </w:rPr>
            </w:pPr>
            <w:r>
              <w:rPr>
                <w:rFonts w:ascii="Calibri" w:hAnsi="Calibri"/>
                <w:color w:val="000000"/>
                <w:sz w:val="18"/>
                <w:szCs w:val="18"/>
              </w:rPr>
              <w:t>125</w:t>
            </w:r>
          </w:p>
        </w:tc>
        <w:tc>
          <w:tcPr>
            <w:tcW w:w="737" w:type="dxa"/>
            <w:tcBorders>
              <w:top w:val="nil"/>
              <w:left w:val="nil"/>
              <w:bottom w:val="nil"/>
              <w:right w:val="nil"/>
            </w:tcBorders>
            <w:shd w:val="clear" w:color="000000" w:fill="FFFFFF"/>
            <w:noWrap/>
            <w:vAlign w:val="center"/>
          </w:tcPr>
          <w:p w14:paraId="1DA6D491" w14:textId="6B376397" w:rsidR="00C14561" w:rsidRDefault="00C14561" w:rsidP="00C14561">
            <w:pPr>
              <w:jc w:val="right"/>
              <w:rPr>
                <w:rFonts w:ascii="Calibri" w:hAnsi="Calibri"/>
                <w:color w:val="000000"/>
                <w:sz w:val="18"/>
                <w:szCs w:val="18"/>
              </w:rPr>
            </w:pPr>
            <w:r>
              <w:rPr>
                <w:rFonts w:ascii="Calibri" w:hAnsi="Calibri"/>
                <w:color w:val="000000"/>
                <w:sz w:val="18"/>
                <w:szCs w:val="18"/>
              </w:rPr>
              <w:t>167</w:t>
            </w:r>
          </w:p>
        </w:tc>
        <w:tc>
          <w:tcPr>
            <w:tcW w:w="972" w:type="dxa"/>
            <w:tcBorders>
              <w:top w:val="nil"/>
              <w:left w:val="nil"/>
              <w:bottom w:val="nil"/>
              <w:right w:val="nil"/>
            </w:tcBorders>
            <w:shd w:val="clear" w:color="000000" w:fill="FFFFFF"/>
            <w:vAlign w:val="center"/>
          </w:tcPr>
          <w:p w14:paraId="47812250" w14:textId="46F47DC2" w:rsidR="00C14561" w:rsidRDefault="00C14561" w:rsidP="00C14561">
            <w:pPr>
              <w:jc w:val="right"/>
              <w:rPr>
                <w:rFonts w:ascii="Calibri" w:hAnsi="Calibri"/>
                <w:color w:val="00B050"/>
                <w:sz w:val="18"/>
                <w:szCs w:val="18"/>
              </w:rPr>
            </w:pPr>
            <w:r>
              <w:rPr>
                <w:rFonts w:ascii="Calibri" w:hAnsi="Calibri"/>
                <w:color w:val="000000"/>
                <w:sz w:val="18"/>
                <w:szCs w:val="18"/>
                <w:lang w:val="en-GB"/>
              </w:rPr>
              <w:t>167</w:t>
            </w:r>
          </w:p>
        </w:tc>
        <w:tc>
          <w:tcPr>
            <w:tcW w:w="972" w:type="dxa"/>
            <w:tcBorders>
              <w:top w:val="nil"/>
              <w:left w:val="nil"/>
              <w:bottom w:val="nil"/>
              <w:right w:val="nil"/>
            </w:tcBorders>
            <w:shd w:val="clear" w:color="000000" w:fill="FFFFFF"/>
            <w:noWrap/>
            <w:vAlign w:val="center"/>
            <w:hideMark/>
          </w:tcPr>
          <w:p w14:paraId="3642DBF9" w14:textId="5CF073A1" w:rsidR="00C14561" w:rsidRDefault="00C14561" w:rsidP="00C14561">
            <w:pPr>
              <w:jc w:val="right"/>
              <w:rPr>
                <w:rFonts w:ascii="Calibri" w:hAnsi="Calibri"/>
                <w:color w:val="00B050"/>
                <w:sz w:val="18"/>
                <w:szCs w:val="18"/>
              </w:rPr>
            </w:pPr>
            <w:r>
              <w:rPr>
                <w:rFonts w:ascii="Calibri" w:hAnsi="Calibri"/>
                <w:color w:val="00B050"/>
                <w:sz w:val="18"/>
                <w:szCs w:val="18"/>
              </w:rPr>
              <w:t>34%</w:t>
            </w:r>
          </w:p>
        </w:tc>
        <w:tc>
          <w:tcPr>
            <w:tcW w:w="973" w:type="dxa"/>
            <w:tcBorders>
              <w:top w:val="nil"/>
              <w:left w:val="nil"/>
              <w:bottom w:val="nil"/>
              <w:right w:val="nil"/>
            </w:tcBorders>
            <w:shd w:val="clear" w:color="000000" w:fill="FFFFFF"/>
            <w:noWrap/>
            <w:vAlign w:val="center"/>
            <w:hideMark/>
          </w:tcPr>
          <w:p w14:paraId="3DFDA943" w14:textId="4394144D" w:rsidR="00C14561" w:rsidRDefault="00C14561" w:rsidP="00C14561">
            <w:pPr>
              <w:jc w:val="right"/>
              <w:rPr>
                <w:rFonts w:ascii="Calibri" w:hAnsi="Calibri"/>
                <w:color w:val="00B050"/>
                <w:sz w:val="18"/>
                <w:szCs w:val="18"/>
              </w:rPr>
            </w:pPr>
            <w:r>
              <w:rPr>
                <w:rFonts w:ascii="Calibri" w:hAnsi="Calibri"/>
                <w:color w:val="00B050"/>
                <w:sz w:val="18"/>
                <w:szCs w:val="18"/>
              </w:rPr>
              <w:t>0%</w:t>
            </w:r>
          </w:p>
        </w:tc>
      </w:tr>
      <w:tr w:rsidR="00C14561" w14:paraId="7A8E010B" w14:textId="77777777" w:rsidTr="002F2238">
        <w:trPr>
          <w:trHeight w:val="227"/>
        </w:trPr>
        <w:tc>
          <w:tcPr>
            <w:tcW w:w="3969" w:type="dxa"/>
            <w:tcBorders>
              <w:top w:val="nil"/>
              <w:left w:val="nil"/>
              <w:bottom w:val="nil"/>
              <w:right w:val="nil"/>
            </w:tcBorders>
            <w:shd w:val="clear" w:color="000000" w:fill="FFFFFF"/>
            <w:noWrap/>
            <w:vAlign w:val="bottom"/>
            <w:hideMark/>
          </w:tcPr>
          <w:p w14:paraId="60AFA0F1" w14:textId="77777777" w:rsidR="00C14561" w:rsidRDefault="00C14561" w:rsidP="00C14561">
            <w:pPr>
              <w:rPr>
                <w:rFonts w:ascii="Calibri" w:hAnsi="Calibri"/>
                <w:color w:val="000000"/>
                <w:sz w:val="18"/>
                <w:szCs w:val="18"/>
              </w:rPr>
            </w:pPr>
            <w:r>
              <w:rPr>
                <w:rFonts w:ascii="Calibri" w:hAnsi="Calibri"/>
                <w:color w:val="000000"/>
                <w:sz w:val="18"/>
                <w:szCs w:val="18"/>
              </w:rPr>
              <w:t>Неразпределена печалба</w:t>
            </w:r>
          </w:p>
        </w:tc>
        <w:tc>
          <w:tcPr>
            <w:tcW w:w="737" w:type="dxa"/>
            <w:tcBorders>
              <w:top w:val="nil"/>
              <w:left w:val="nil"/>
              <w:bottom w:val="nil"/>
              <w:right w:val="nil"/>
            </w:tcBorders>
            <w:shd w:val="clear" w:color="000000" w:fill="FFFFFF"/>
            <w:noWrap/>
            <w:vAlign w:val="center"/>
            <w:hideMark/>
          </w:tcPr>
          <w:p w14:paraId="4CBE2EB1" w14:textId="77777777" w:rsidR="00C14561" w:rsidRDefault="00C14561" w:rsidP="00C14561">
            <w:pPr>
              <w:jc w:val="right"/>
              <w:rPr>
                <w:rFonts w:ascii="Calibri" w:hAnsi="Calibri"/>
                <w:color w:val="000000"/>
                <w:sz w:val="18"/>
                <w:szCs w:val="18"/>
              </w:rPr>
            </w:pPr>
            <w:r>
              <w:rPr>
                <w:rFonts w:ascii="Calibri" w:hAnsi="Calibri"/>
                <w:color w:val="000000"/>
                <w:sz w:val="18"/>
                <w:szCs w:val="18"/>
              </w:rPr>
              <w:t>372</w:t>
            </w:r>
          </w:p>
        </w:tc>
        <w:tc>
          <w:tcPr>
            <w:tcW w:w="737" w:type="dxa"/>
            <w:tcBorders>
              <w:top w:val="nil"/>
              <w:left w:val="nil"/>
              <w:bottom w:val="nil"/>
              <w:right w:val="nil"/>
            </w:tcBorders>
            <w:shd w:val="clear" w:color="000000" w:fill="FFFFFF"/>
            <w:noWrap/>
            <w:vAlign w:val="center"/>
            <w:hideMark/>
          </w:tcPr>
          <w:p w14:paraId="371220C8" w14:textId="77777777" w:rsidR="00C14561" w:rsidRDefault="00C14561" w:rsidP="00C14561">
            <w:pPr>
              <w:jc w:val="right"/>
              <w:rPr>
                <w:rFonts w:ascii="Calibri" w:hAnsi="Calibri"/>
                <w:color w:val="000000"/>
                <w:sz w:val="18"/>
                <w:szCs w:val="18"/>
              </w:rPr>
            </w:pPr>
            <w:r>
              <w:rPr>
                <w:rFonts w:ascii="Calibri" w:hAnsi="Calibri"/>
                <w:color w:val="000000"/>
                <w:sz w:val="18"/>
                <w:szCs w:val="18"/>
              </w:rPr>
              <w:t>724</w:t>
            </w:r>
          </w:p>
        </w:tc>
        <w:tc>
          <w:tcPr>
            <w:tcW w:w="737" w:type="dxa"/>
            <w:tcBorders>
              <w:top w:val="nil"/>
              <w:left w:val="nil"/>
              <w:bottom w:val="nil"/>
              <w:right w:val="nil"/>
            </w:tcBorders>
            <w:shd w:val="clear" w:color="000000" w:fill="FFFFFF"/>
            <w:noWrap/>
            <w:vAlign w:val="center"/>
          </w:tcPr>
          <w:p w14:paraId="4D806263" w14:textId="2C895684" w:rsidR="00C14561" w:rsidRDefault="00C14561" w:rsidP="00C14561">
            <w:pPr>
              <w:jc w:val="right"/>
              <w:rPr>
                <w:rFonts w:ascii="Calibri" w:hAnsi="Calibri"/>
                <w:color w:val="000000"/>
                <w:sz w:val="18"/>
                <w:szCs w:val="18"/>
              </w:rPr>
            </w:pPr>
            <w:r>
              <w:rPr>
                <w:rFonts w:ascii="Calibri" w:hAnsi="Calibri"/>
                <w:color w:val="000000"/>
                <w:sz w:val="18"/>
                <w:szCs w:val="18"/>
              </w:rPr>
              <w:t>1 322</w:t>
            </w:r>
          </w:p>
        </w:tc>
        <w:tc>
          <w:tcPr>
            <w:tcW w:w="972" w:type="dxa"/>
            <w:tcBorders>
              <w:top w:val="nil"/>
              <w:left w:val="nil"/>
              <w:bottom w:val="nil"/>
              <w:right w:val="nil"/>
            </w:tcBorders>
            <w:shd w:val="clear" w:color="000000" w:fill="FFFFFF"/>
            <w:vAlign w:val="center"/>
          </w:tcPr>
          <w:p w14:paraId="7D654958" w14:textId="2BC8D408" w:rsidR="00C14561" w:rsidRDefault="00C14561" w:rsidP="00C14561">
            <w:pPr>
              <w:jc w:val="right"/>
              <w:rPr>
                <w:rFonts w:ascii="Calibri" w:hAnsi="Calibri"/>
                <w:color w:val="00B050"/>
                <w:sz w:val="18"/>
                <w:szCs w:val="18"/>
              </w:rPr>
            </w:pPr>
            <w:r>
              <w:rPr>
                <w:rFonts w:ascii="Calibri" w:hAnsi="Calibri"/>
                <w:color w:val="000000"/>
                <w:sz w:val="18"/>
                <w:szCs w:val="22"/>
                <w:lang w:val="en-US" w:eastAsia="en-GB"/>
              </w:rPr>
              <w:t>1 478</w:t>
            </w:r>
          </w:p>
        </w:tc>
        <w:tc>
          <w:tcPr>
            <w:tcW w:w="972" w:type="dxa"/>
            <w:tcBorders>
              <w:top w:val="nil"/>
              <w:left w:val="nil"/>
              <w:bottom w:val="nil"/>
              <w:right w:val="nil"/>
            </w:tcBorders>
            <w:shd w:val="clear" w:color="000000" w:fill="FFFFFF"/>
            <w:noWrap/>
            <w:vAlign w:val="center"/>
            <w:hideMark/>
          </w:tcPr>
          <w:p w14:paraId="4ED44718" w14:textId="61F50EE2" w:rsidR="00C14561" w:rsidRDefault="00C14561" w:rsidP="00C14561">
            <w:pPr>
              <w:jc w:val="right"/>
              <w:rPr>
                <w:rFonts w:ascii="Calibri" w:hAnsi="Calibri"/>
                <w:color w:val="00B050"/>
                <w:sz w:val="18"/>
                <w:szCs w:val="18"/>
              </w:rPr>
            </w:pPr>
            <w:r>
              <w:rPr>
                <w:rFonts w:ascii="Calibri" w:hAnsi="Calibri"/>
                <w:color w:val="00B050"/>
                <w:sz w:val="18"/>
                <w:szCs w:val="18"/>
              </w:rPr>
              <w:t>83%</w:t>
            </w:r>
          </w:p>
        </w:tc>
        <w:tc>
          <w:tcPr>
            <w:tcW w:w="973" w:type="dxa"/>
            <w:tcBorders>
              <w:top w:val="nil"/>
              <w:left w:val="nil"/>
              <w:bottom w:val="nil"/>
              <w:right w:val="nil"/>
            </w:tcBorders>
            <w:shd w:val="clear" w:color="000000" w:fill="FFFFFF"/>
            <w:noWrap/>
            <w:vAlign w:val="center"/>
            <w:hideMark/>
          </w:tcPr>
          <w:p w14:paraId="40B8547C" w14:textId="366F6A68" w:rsidR="00C14561" w:rsidRDefault="00C14561" w:rsidP="00C14561">
            <w:pPr>
              <w:jc w:val="right"/>
              <w:rPr>
                <w:rFonts w:ascii="Calibri" w:hAnsi="Calibri"/>
                <w:color w:val="00B050"/>
                <w:sz w:val="18"/>
                <w:szCs w:val="18"/>
              </w:rPr>
            </w:pPr>
            <w:r>
              <w:rPr>
                <w:rFonts w:ascii="Calibri" w:hAnsi="Calibri"/>
                <w:color w:val="00B050"/>
                <w:sz w:val="18"/>
                <w:szCs w:val="18"/>
              </w:rPr>
              <w:t>12%</w:t>
            </w:r>
          </w:p>
        </w:tc>
      </w:tr>
      <w:tr w:rsidR="00C14561" w14:paraId="391723DE" w14:textId="77777777" w:rsidTr="002F2238">
        <w:trPr>
          <w:trHeight w:val="227"/>
        </w:trPr>
        <w:tc>
          <w:tcPr>
            <w:tcW w:w="3969" w:type="dxa"/>
            <w:tcBorders>
              <w:top w:val="nil"/>
              <w:left w:val="nil"/>
              <w:bottom w:val="nil"/>
              <w:right w:val="nil"/>
            </w:tcBorders>
            <w:shd w:val="clear" w:color="000000" w:fill="FFFFFF"/>
            <w:noWrap/>
            <w:vAlign w:val="bottom"/>
            <w:hideMark/>
          </w:tcPr>
          <w:p w14:paraId="34CB07B2" w14:textId="77777777" w:rsidR="00C14561" w:rsidRDefault="00C14561" w:rsidP="00C14561">
            <w:pPr>
              <w:rPr>
                <w:rFonts w:ascii="Calibri" w:hAnsi="Calibri"/>
                <w:b/>
                <w:bCs/>
                <w:color w:val="000000"/>
                <w:sz w:val="18"/>
                <w:szCs w:val="18"/>
              </w:rPr>
            </w:pPr>
            <w:r>
              <w:rPr>
                <w:rFonts w:ascii="Calibri" w:hAnsi="Calibri"/>
                <w:b/>
                <w:bCs/>
                <w:color w:val="000000"/>
                <w:sz w:val="18"/>
                <w:szCs w:val="18"/>
              </w:rPr>
              <w:t>ОБЩО СОБСТВЕН КАПИТАЛ</w:t>
            </w:r>
          </w:p>
        </w:tc>
        <w:tc>
          <w:tcPr>
            <w:tcW w:w="737" w:type="dxa"/>
            <w:tcBorders>
              <w:top w:val="nil"/>
              <w:left w:val="nil"/>
              <w:bottom w:val="nil"/>
              <w:right w:val="nil"/>
            </w:tcBorders>
            <w:shd w:val="clear" w:color="000000" w:fill="FFFFFF"/>
            <w:noWrap/>
            <w:vAlign w:val="center"/>
            <w:hideMark/>
          </w:tcPr>
          <w:p w14:paraId="6BF30583" w14:textId="77777777" w:rsidR="00C14561" w:rsidRDefault="00C14561" w:rsidP="00C14561">
            <w:pPr>
              <w:jc w:val="right"/>
              <w:rPr>
                <w:rFonts w:ascii="Calibri" w:hAnsi="Calibri"/>
                <w:b/>
                <w:bCs/>
                <w:color w:val="000000"/>
                <w:sz w:val="18"/>
                <w:szCs w:val="18"/>
              </w:rPr>
            </w:pPr>
            <w:r>
              <w:rPr>
                <w:rFonts w:ascii="Calibri" w:hAnsi="Calibri"/>
                <w:b/>
                <w:bCs/>
                <w:color w:val="000000"/>
                <w:sz w:val="18"/>
                <w:szCs w:val="18"/>
              </w:rPr>
              <w:t>2,256</w:t>
            </w:r>
          </w:p>
        </w:tc>
        <w:tc>
          <w:tcPr>
            <w:tcW w:w="737" w:type="dxa"/>
            <w:tcBorders>
              <w:top w:val="nil"/>
              <w:left w:val="nil"/>
              <w:bottom w:val="nil"/>
              <w:right w:val="nil"/>
            </w:tcBorders>
            <w:shd w:val="clear" w:color="000000" w:fill="FFFFFF"/>
            <w:noWrap/>
            <w:vAlign w:val="center"/>
            <w:hideMark/>
          </w:tcPr>
          <w:p w14:paraId="6527683A" w14:textId="77777777" w:rsidR="00C14561" w:rsidRDefault="00C14561" w:rsidP="00C14561">
            <w:pPr>
              <w:jc w:val="right"/>
              <w:rPr>
                <w:rFonts w:ascii="Calibri" w:hAnsi="Calibri"/>
                <w:b/>
                <w:bCs/>
                <w:color w:val="000000"/>
                <w:sz w:val="18"/>
                <w:szCs w:val="18"/>
              </w:rPr>
            </w:pPr>
            <w:r>
              <w:rPr>
                <w:rFonts w:ascii="Calibri" w:hAnsi="Calibri"/>
                <w:b/>
                <w:bCs/>
                <w:color w:val="000000"/>
                <w:sz w:val="18"/>
                <w:szCs w:val="18"/>
              </w:rPr>
              <w:t>2,649</w:t>
            </w:r>
          </w:p>
        </w:tc>
        <w:tc>
          <w:tcPr>
            <w:tcW w:w="737" w:type="dxa"/>
            <w:tcBorders>
              <w:top w:val="nil"/>
              <w:left w:val="nil"/>
              <w:bottom w:val="nil"/>
              <w:right w:val="nil"/>
            </w:tcBorders>
            <w:shd w:val="clear" w:color="000000" w:fill="FFFFFF"/>
            <w:noWrap/>
            <w:vAlign w:val="center"/>
          </w:tcPr>
          <w:p w14:paraId="33D659CE" w14:textId="527AF4B9" w:rsidR="00C14561" w:rsidRDefault="00C14561" w:rsidP="00C14561">
            <w:pPr>
              <w:jc w:val="right"/>
              <w:rPr>
                <w:rFonts w:ascii="Calibri" w:hAnsi="Calibri"/>
                <w:b/>
                <w:bCs/>
                <w:color w:val="000000"/>
                <w:sz w:val="18"/>
                <w:szCs w:val="18"/>
              </w:rPr>
            </w:pPr>
            <w:r>
              <w:rPr>
                <w:rFonts w:ascii="Calibri" w:hAnsi="Calibri"/>
                <w:b/>
                <w:bCs/>
                <w:color w:val="000000"/>
                <w:sz w:val="18"/>
                <w:szCs w:val="18"/>
              </w:rPr>
              <w:t>3 289</w:t>
            </w:r>
          </w:p>
        </w:tc>
        <w:tc>
          <w:tcPr>
            <w:tcW w:w="972" w:type="dxa"/>
            <w:tcBorders>
              <w:top w:val="nil"/>
              <w:left w:val="nil"/>
              <w:bottom w:val="nil"/>
              <w:right w:val="nil"/>
            </w:tcBorders>
            <w:shd w:val="clear" w:color="000000" w:fill="FFFFFF"/>
            <w:vAlign w:val="center"/>
          </w:tcPr>
          <w:p w14:paraId="06538B11" w14:textId="520B316D" w:rsidR="00C14561" w:rsidRDefault="00C14561" w:rsidP="00C14561">
            <w:pPr>
              <w:jc w:val="right"/>
              <w:rPr>
                <w:rFonts w:ascii="Calibri" w:hAnsi="Calibri"/>
                <w:color w:val="00B050"/>
                <w:sz w:val="18"/>
                <w:szCs w:val="18"/>
              </w:rPr>
            </w:pPr>
            <w:r>
              <w:rPr>
                <w:rFonts w:ascii="Calibri" w:hAnsi="Calibri"/>
                <w:b/>
                <w:bCs/>
                <w:color w:val="000000"/>
                <w:sz w:val="18"/>
                <w:szCs w:val="18"/>
              </w:rPr>
              <w:t>3 445</w:t>
            </w:r>
          </w:p>
        </w:tc>
        <w:tc>
          <w:tcPr>
            <w:tcW w:w="972" w:type="dxa"/>
            <w:tcBorders>
              <w:top w:val="nil"/>
              <w:left w:val="nil"/>
              <w:bottom w:val="nil"/>
              <w:right w:val="nil"/>
            </w:tcBorders>
            <w:shd w:val="clear" w:color="000000" w:fill="FFFFFF"/>
            <w:noWrap/>
            <w:vAlign w:val="center"/>
            <w:hideMark/>
          </w:tcPr>
          <w:p w14:paraId="4E76B8C1" w14:textId="3F9E4A3B" w:rsidR="00C14561" w:rsidRDefault="00C14561" w:rsidP="00C14561">
            <w:pPr>
              <w:jc w:val="right"/>
              <w:rPr>
                <w:rFonts w:ascii="Calibri" w:hAnsi="Calibri"/>
                <w:color w:val="00B050"/>
                <w:sz w:val="18"/>
                <w:szCs w:val="18"/>
              </w:rPr>
            </w:pPr>
            <w:r>
              <w:rPr>
                <w:rFonts w:ascii="Calibri" w:hAnsi="Calibri"/>
                <w:color w:val="00B050"/>
                <w:sz w:val="18"/>
                <w:szCs w:val="18"/>
              </w:rPr>
              <w:t>24%</w:t>
            </w:r>
          </w:p>
        </w:tc>
        <w:tc>
          <w:tcPr>
            <w:tcW w:w="973" w:type="dxa"/>
            <w:tcBorders>
              <w:top w:val="nil"/>
              <w:left w:val="nil"/>
              <w:bottom w:val="nil"/>
              <w:right w:val="nil"/>
            </w:tcBorders>
            <w:shd w:val="clear" w:color="000000" w:fill="FFFFFF"/>
            <w:noWrap/>
            <w:vAlign w:val="center"/>
            <w:hideMark/>
          </w:tcPr>
          <w:p w14:paraId="3B9AB4CE" w14:textId="2EC44624" w:rsidR="00C14561" w:rsidRDefault="00C14561" w:rsidP="00C14561">
            <w:pPr>
              <w:jc w:val="right"/>
              <w:rPr>
                <w:rFonts w:ascii="Calibri" w:hAnsi="Calibri"/>
                <w:color w:val="00B050"/>
                <w:sz w:val="18"/>
                <w:szCs w:val="18"/>
              </w:rPr>
            </w:pPr>
            <w:r>
              <w:rPr>
                <w:rFonts w:ascii="Calibri" w:hAnsi="Calibri"/>
                <w:color w:val="00B050"/>
                <w:sz w:val="18"/>
                <w:szCs w:val="18"/>
              </w:rPr>
              <w:t>5%</w:t>
            </w:r>
          </w:p>
        </w:tc>
      </w:tr>
      <w:tr w:rsidR="00C14561" w:rsidRPr="00041EDA" w14:paraId="670D4218" w14:textId="77777777" w:rsidTr="002F2238">
        <w:trPr>
          <w:trHeight w:val="227"/>
        </w:trPr>
        <w:tc>
          <w:tcPr>
            <w:tcW w:w="3969" w:type="dxa"/>
            <w:tcBorders>
              <w:top w:val="nil"/>
              <w:left w:val="nil"/>
              <w:bottom w:val="nil"/>
              <w:right w:val="nil"/>
            </w:tcBorders>
            <w:shd w:val="clear" w:color="000000" w:fill="FFFFFF"/>
            <w:noWrap/>
            <w:vAlign w:val="bottom"/>
            <w:hideMark/>
          </w:tcPr>
          <w:p w14:paraId="47C7DE1B" w14:textId="77777777" w:rsidR="00C14561" w:rsidRPr="00041EDA" w:rsidRDefault="00C14561" w:rsidP="00C14561">
            <w:pPr>
              <w:rPr>
                <w:rFonts w:ascii="Calibri" w:hAnsi="Calibri"/>
                <w:color w:val="000000"/>
                <w:sz w:val="10"/>
                <w:szCs w:val="18"/>
              </w:rPr>
            </w:pPr>
            <w:r w:rsidRPr="00041EDA">
              <w:rPr>
                <w:rFonts w:ascii="Calibri" w:hAnsi="Calibri"/>
                <w:color w:val="000000"/>
                <w:sz w:val="10"/>
                <w:szCs w:val="18"/>
              </w:rPr>
              <w:t> </w:t>
            </w:r>
          </w:p>
        </w:tc>
        <w:tc>
          <w:tcPr>
            <w:tcW w:w="737" w:type="dxa"/>
            <w:tcBorders>
              <w:top w:val="nil"/>
              <w:left w:val="nil"/>
              <w:bottom w:val="nil"/>
              <w:right w:val="nil"/>
            </w:tcBorders>
            <w:shd w:val="clear" w:color="000000" w:fill="FFFFFF"/>
            <w:noWrap/>
            <w:vAlign w:val="center"/>
            <w:hideMark/>
          </w:tcPr>
          <w:p w14:paraId="59A07F35" w14:textId="77777777" w:rsidR="00C14561" w:rsidRPr="00041EDA" w:rsidRDefault="00C14561" w:rsidP="00C14561">
            <w:pPr>
              <w:jc w:val="right"/>
              <w:rPr>
                <w:rFonts w:ascii="Calibri" w:hAnsi="Calibri"/>
                <w:color w:val="000000"/>
                <w:sz w:val="10"/>
                <w:szCs w:val="18"/>
              </w:rPr>
            </w:pPr>
            <w:r w:rsidRPr="00041EDA">
              <w:rPr>
                <w:rFonts w:ascii="Calibri" w:hAnsi="Calibri"/>
                <w:color w:val="000000"/>
                <w:sz w:val="10"/>
                <w:szCs w:val="18"/>
              </w:rPr>
              <w:t> </w:t>
            </w:r>
          </w:p>
        </w:tc>
        <w:tc>
          <w:tcPr>
            <w:tcW w:w="737" w:type="dxa"/>
            <w:tcBorders>
              <w:top w:val="nil"/>
              <w:left w:val="nil"/>
              <w:bottom w:val="nil"/>
              <w:right w:val="nil"/>
            </w:tcBorders>
            <w:shd w:val="clear" w:color="000000" w:fill="FFFFFF"/>
            <w:noWrap/>
            <w:vAlign w:val="center"/>
            <w:hideMark/>
          </w:tcPr>
          <w:p w14:paraId="7D3D0671" w14:textId="77777777" w:rsidR="00C14561" w:rsidRPr="00041EDA" w:rsidRDefault="00C14561" w:rsidP="00C14561">
            <w:pPr>
              <w:jc w:val="right"/>
              <w:rPr>
                <w:rFonts w:ascii="Calibri" w:hAnsi="Calibri"/>
                <w:color w:val="000000"/>
                <w:sz w:val="10"/>
                <w:szCs w:val="18"/>
              </w:rPr>
            </w:pPr>
            <w:r w:rsidRPr="00041EDA">
              <w:rPr>
                <w:rFonts w:ascii="Calibri" w:hAnsi="Calibri"/>
                <w:color w:val="000000"/>
                <w:sz w:val="10"/>
                <w:szCs w:val="18"/>
              </w:rPr>
              <w:t> </w:t>
            </w:r>
          </w:p>
        </w:tc>
        <w:tc>
          <w:tcPr>
            <w:tcW w:w="737" w:type="dxa"/>
            <w:tcBorders>
              <w:top w:val="nil"/>
              <w:left w:val="nil"/>
              <w:bottom w:val="nil"/>
              <w:right w:val="nil"/>
            </w:tcBorders>
            <w:shd w:val="clear" w:color="000000" w:fill="FFFFFF"/>
            <w:noWrap/>
            <w:vAlign w:val="center"/>
          </w:tcPr>
          <w:p w14:paraId="292D165D" w14:textId="4379D5BB" w:rsidR="00C14561" w:rsidRPr="00041EDA" w:rsidRDefault="00C14561" w:rsidP="00C14561">
            <w:pPr>
              <w:jc w:val="right"/>
              <w:rPr>
                <w:rFonts w:ascii="Calibri" w:hAnsi="Calibri"/>
                <w:color w:val="000000"/>
                <w:sz w:val="10"/>
                <w:szCs w:val="18"/>
              </w:rPr>
            </w:pPr>
          </w:p>
        </w:tc>
        <w:tc>
          <w:tcPr>
            <w:tcW w:w="972" w:type="dxa"/>
            <w:tcBorders>
              <w:top w:val="nil"/>
              <w:left w:val="nil"/>
              <w:bottom w:val="nil"/>
              <w:right w:val="nil"/>
            </w:tcBorders>
            <w:shd w:val="clear" w:color="000000" w:fill="FFFFFF"/>
          </w:tcPr>
          <w:p w14:paraId="0D663CA9" w14:textId="77777777" w:rsidR="00C14561" w:rsidRPr="00041EDA" w:rsidRDefault="00C14561" w:rsidP="00C14561">
            <w:pPr>
              <w:jc w:val="right"/>
              <w:rPr>
                <w:rFonts w:ascii="Calibri" w:hAnsi="Calibri"/>
                <w:color w:val="00B050"/>
                <w:sz w:val="10"/>
                <w:szCs w:val="18"/>
              </w:rPr>
            </w:pPr>
          </w:p>
        </w:tc>
        <w:tc>
          <w:tcPr>
            <w:tcW w:w="972" w:type="dxa"/>
            <w:tcBorders>
              <w:top w:val="nil"/>
              <w:left w:val="nil"/>
              <w:bottom w:val="nil"/>
              <w:right w:val="nil"/>
            </w:tcBorders>
            <w:shd w:val="clear" w:color="000000" w:fill="FFFFFF"/>
            <w:noWrap/>
            <w:vAlign w:val="center"/>
            <w:hideMark/>
          </w:tcPr>
          <w:p w14:paraId="700D53D6" w14:textId="4E0ABFA0" w:rsidR="00C14561" w:rsidRPr="00041EDA" w:rsidRDefault="00C14561" w:rsidP="00C14561">
            <w:pPr>
              <w:jc w:val="right"/>
              <w:rPr>
                <w:rFonts w:ascii="Calibri" w:hAnsi="Calibri"/>
                <w:color w:val="00B050"/>
                <w:sz w:val="10"/>
                <w:szCs w:val="18"/>
              </w:rPr>
            </w:pPr>
            <w:r w:rsidRPr="00041EDA">
              <w:rPr>
                <w:rFonts w:ascii="Calibri" w:hAnsi="Calibri"/>
                <w:color w:val="00B050"/>
                <w:sz w:val="10"/>
                <w:szCs w:val="18"/>
              </w:rPr>
              <w:t> </w:t>
            </w:r>
          </w:p>
        </w:tc>
        <w:tc>
          <w:tcPr>
            <w:tcW w:w="973" w:type="dxa"/>
            <w:tcBorders>
              <w:top w:val="nil"/>
              <w:left w:val="nil"/>
              <w:bottom w:val="nil"/>
              <w:right w:val="nil"/>
            </w:tcBorders>
            <w:shd w:val="clear" w:color="000000" w:fill="FFFFFF"/>
            <w:noWrap/>
            <w:vAlign w:val="center"/>
            <w:hideMark/>
          </w:tcPr>
          <w:p w14:paraId="4A562D1B" w14:textId="77777777" w:rsidR="00C14561" w:rsidRPr="00041EDA" w:rsidRDefault="00C14561" w:rsidP="00C14561">
            <w:pPr>
              <w:jc w:val="right"/>
              <w:rPr>
                <w:rFonts w:ascii="Calibri" w:hAnsi="Calibri"/>
                <w:color w:val="00B050"/>
                <w:sz w:val="10"/>
                <w:szCs w:val="18"/>
              </w:rPr>
            </w:pPr>
            <w:r w:rsidRPr="00041EDA">
              <w:rPr>
                <w:rFonts w:ascii="Calibri" w:hAnsi="Calibri"/>
                <w:color w:val="00B050"/>
                <w:sz w:val="10"/>
                <w:szCs w:val="18"/>
              </w:rPr>
              <w:t> </w:t>
            </w:r>
          </w:p>
        </w:tc>
      </w:tr>
      <w:tr w:rsidR="00C14561" w14:paraId="0DCB35B3" w14:textId="77777777" w:rsidTr="002F2238">
        <w:trPr>
          <w:trHeight w:val="227"/>
        </w:trPr>
        <w:tc>
          <w:tcPr>
            <w:tcW w:w="3969" w:type="dxa"/>
            <w:tcBorders>
              <w:top w:val="nil"/>
              <w:left w:val="nil"/>
              <w:bottom w:val="nil"/>
              <w:right w:val="nil"/>
            </w:tcBorders>
            <w:shd w:val="clear" w:color="000000" w:fill="FFFFFF"/>
            <w:noWrap/>
            <w:vAlign w:val="bottom"/>
            <w:hideMark/>
          </w:tcPr>
          <w:p w14:paraId="02AD7208" w14:textId="77777777" w:rsidR="00C14561" w:rsidRDefault="00C14561" w:rsidP="00C14561">
            <w:pPr>
              <w:rPr>
                <w:rFonts w:ascii="Calibri" w:hAnsi="Calibri"/>
                <w:b/>
                <w:bCs/>
                <w:color w:val="000000"/>
                <w:sz w:val="18"/>
                <w:szCs w:val="18"/>
              </w:rPr>
            </w:pPr>
            <w:r>
              <w:rPr>
                <w:rFonts w:ascii="Calibri" w:hAnsi="Calibri"/>
                <w:b/>
                <w:bCs/>
                <w:color w:val="000000"/>
                <w:sz w:val="18"/>
                <w:szCs w:val="18"/>
              </w:rPr>
              <w:t>ПАСИВИ</w:t>
            </w:r>
          </w:p>
        </w:tc>
        <w:tc>
          <w:tcPr>
            <w:tcW w:w="737" w:type="dxa"/>
            <w:tcBorders>
              <w:top w:val="nil"/>
              <w:left w:val="nil"/>
              <w:bottom w:val="nil"/>
              <w:right w:val="nil"/>
            </w:tcBorders>
            <w:shd w:val="clear" w:color="000000" w:fill="FFFFFF"/>
            <w:noWrap/>
            <w:vAlign w:val="center"/>
            <w:hideMark/>
          </w:tcPr>
          <w:p w14:paraId="52FC522E" w14:textId="77777777" w:rsidR="00C14561" w:rsidRDefault="00C14561" w:rsidP="00C14561">
            <w:pPr>
              <w:jc w:val="right"/>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hideMark/>
          </w:tcPr>
          <w:p w14:paraId="34E98E2C" w14:textId="77777777" w:rsidR="00C14561" w:rsidRDefault="00C14561" w:rsidP="00C14561">
            <w:pPr>
              <w:jc w:val="right"/>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tcPr>
          <w:p w14:paraId="7F000832" w14:textId="34092E1E" w:rsidR="00C14561" w:rsidRDefault="00C14561" w:rsidP="00C14561">
            <w:pPr>
              <w:jc w:val="right"/>
              <w:rPr>
                <w:rFonts w:ascii="Calibri" w:hAnsi="Calibri"/>
                <w:color w:val="000000"/>
                <w:sz w:val="18"/>
                <w:szCs w:val="18"/>
              </w:rPr>
            </w:pPr>
          </w:p>
        </w:tc>
        <w:tc>
          <w:tcPr>
            <w:tcW w:w="972" w:type="dxa"/>
            <w:tcBorders>
              <w:top w:val="nil"/>
              <w:left w:val="nil"/>
              <w:bottom w:val="nil"/>
              <w:right w:val="nil"/>
            </w:tcBorders>
            <w:shd w:val="clear" w:color="000000" w:fill="FFFFFF"/>
          </w:tcPr>
          <w:p w14:paraId="63DA7F7F" w14:textId="77777777" w:rsidR="00C14561" w:rsidRDefault="00C14561" w:rsidP="00C14561">
            <w:pPr>
              <w:jc w:val="right"/>
              <w:rPr>
                <w:rFonts w:ascii="Calibri" w:hAnsi="Calibri"/>
                <w:color w:val="00B050"/>
                <w:sz w:val="18"/>
                <w:szCs w:val="18"/>
              </w:rPr>
            </w:pPr>
          </w:p>
        </w:tc>
        <w:tc>
          <w:tcPr>
            <w:tcW w:w="972" w:type="dxa"/>
            <w:tcBorders>
              <w:top w:val="nil"/>
              <w:left w:val="nil"/>
              <w:bottom w:val="nil"/>
              <w:right w:val="nil"/>
            </w:tcBorders>
            <w:shd w:val="clear" w:color="000000" w:fill="FFFFFF"/>
            <w:noWrap/>
            <w:vAlign w:val="center"/>
            <w:hideMark/>
          </w:tcPr>
          <w:p w14:paraId="2F6E8A12" w14:textId="2631E993" w:rsidR="00C14561" w:rsidRDefault="00C14561" w:rsidP="00C14561">
            <w:pPr>
              <w:jc w:val="right"/>
              <w:rPr>
                <w:rFonts w:ascii="Calibri" w:hAnsi="Calibri"/>
                <w:color w:val="00B050"/>
                <w:sz w:val="18"/>
                <w:szCs w:val="18"/>
              </w:rPr>
            </w:pPr>
            <w:r>
              <w:rPr>
                <w:rFonts w:ascii="Calibri" w:hAnsi="Calibri"/>
                <w:color w:val="00B050"/>
                <w:sz w:val="18"/>
                <w:szCs w:val="18"/>
              </w:rPr>
              <w:t> </w:t>
            </w:r>
          </w:p>
        </w:tc>
        <w:tc>
          <w:tcPr>
            <w:tcW w:w="973" w:type="dxa"/>
            <w:tcBorders>
              <w:top w:val="nil"/>
              <w:left w:val="nil"/>
              <w:bottom w:val="nil"/>
              <w:right w:val="nil"/>
            </w:tcBorders>
            <w:shd w:val="clear" w:color="000000" w:fill="FFFFFF"/>
            <w:noWrap/>
            <w:vAlign w:val="center"/>
            <w:hideMark/>
          </w:tcPr>
          <w:p w14:paraId="3EB3AB9B" w14:textId="77777777" w:rsidR="00C14561" w:rsidRDefault="00C14561" w:rsidP="00C14561">
            <w:pPr>
              <w:jc w:val="right"/>
              <w:rPr>
                <w:rFonts w:ascii="Calibri" w:hAnsi="Calibri"/>
                <w:color w:val="00B050"/>
                <w:sz w:val="18"/>
                <w:szCs w:val="18"/>
              </w:rPr>
            </w:pPr>
            <w:r>
              <w:rPr>
                <w:rFonts w:ascii="Calibri" w:hAnsi="Calibri"/>
                <w:color w:val="00B050"/>
                <w:sz w:val="18"/>
                <w:szCs w:val="18"/>
              </w:rPr>
              <w:t> </w:t>
            </w:r>
          </w:p>
        </w:tc>
      </w:tr>
      <w:tr w:rsidR="00C14561" w14:paraId="2C8A8473" w14:textId="77777777" w:rsidTr="002F2238">
        <w:trPr>
          <w:trHeight w:val="227"/>
        </w:trPr>
        <w:tc>
          <w:tcPr>
            <w:tcW w:w="3969" w:type="dxa"/>
            <w:tcBorders>
              <w:top w:val="nil"/>
              <w:left w:val="nil"/>
              <w:bottom w:val="nil"/>
              <w:right w:val="nil"/>
            </w:tcBorders>
            <w:shd w:val="clear" w:color="000000" w:fill="FFFFFF"/>
            <w:noWrap/>
            <w:vAlign w:val="bottom"/>
            <w:hideMark/>
          </w:tcPr>
          <w:p w14:paraId="47D7C614" w14:textId="77777777" w:rsidR="00C14561" w:rsidRDefault="00C14561" w:rsidP="00C14561">
            <w:pPr>
              <w:rPr>
                <w:rFonts w:ascii="Calibri" w:hAnsi="Calibri"/>
                <w:b/>
                <w:bCs/>
                <w:color w:val="000000"/>
                <w:sz w:val="18"/>
                <w:szCs w:val="18"/>
              </w:rPr>
            </w:pPr>
            <w:r>
              <w:rPr>
                <w:rFonts w:ascii="Calibri" w:hAnsi="Calibri"/>
                <w:b/>
                <w:bCs/>
                <w:color w:val="000000"/>
                <w:sz w:val="18"/>
                <w:szCs w:val="18"/>
              </w:rPr>
              <w:t>Нетекущи пасиви</w:t>
            </w:r>
          </w:p>
        </w:tc>
        <w:tc>
          <w:tcPr>
            <w:tcW w:w="737" w:type="dxa"/>
            <w:tcBorders>
              <w:top w:val="nil"/>
              <w:left w:val="nil"/>
              <w:bottom w:val="nil"/>
              <w:right w:val="nil"/>
            </w:tcBorders>
            <w:shd w:val="clear" w:color="000000" w:fill="FFFFFF"/>
            <w:noWrap/>
            <w:vAlign w:val="center"/>
            <w:hideMark/>
          </w:tcPr>
          <w:p w14:paraId="3BD6D3FE" w14:textId="77777777" w:rsidR="00C14561" w:rsidRDefault="00C14561" w:rsidP="00C14561">
            <w:pPr>
              <w:jc w:val="right"/>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hideMark/>
          </w:tcPr>
          <w:p w14:paraId="3B8F923D" w14:textId="77777777" w:rsidR="00C14561" w:rsidRDefault="00C14561" w:rsidP="00C14561">
            <w:pPr>
              <w:jc w:val="right"/>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tcPr>
          <w:p w14:paraId="0DE9F545" w14:textId="5F3AFDCD" w:rsidR="00C14561" w:rsidRDefault="00C14561" w:rsidP="00C14561">
            <w:pPr>
              <w:jc w:val="right"/>
              <w:rPr>
                <w:rFonts w:ascii="Calibri" w:hAnsi="Calibri"/>
                <w:color w:val="000000"/>
                <w:sz w:val="18"/>
                <w:szCs w:val="18"/>
              </w:rPr>
            </w:pPr>
          </w:p>
        </w:tc>
        <w:tc>
          <w:tcPr>
            <w:tcW w:w="972" w:type="dxa"/>
            <w:tcBorders>
              <w:top w:val="nil"/>
              <w:left w:val="nil"/>
              <w:bottom w:val="nil"/>
              <w:right w:val="nil"/>
            </w:tcBorders>
            <w:shd w:val="clear" w:color="000000" w:fill="FFFFFF"/>
          </w:tcPr>
          <w:p w14:paraId="2B047F65" w14:textId="77777777" w:rsidR="00C14561" w:rsidRDefault="00C14561" w:rsidP="00C14561">
            <w:pPr>
              <w:jc w:val="right"/>
              <w:rPr>
                <w:rFonts w:ascii="Calibri" w:hAnsi="Calibri"/>
                <w:color w:val="00B050"/>
                <w:sz w:val="18"/>
                <w:szCs w:val="18"/>
              </w:rPr>
            </w:pPr>
          </w:p>
        </w:tc>
        <w:tc>
          <w:tcPr>
            <w:tcW w:w="972" w:type="dxa"/>
            <w:tcBorders>
              <w:top w:val="nil"/>
              <w:left w:val="nil"/>
              <w:bottom w:val="nil"/>
              <w:right w:val="nil"/>
            </w:tcBorders>
            <w:shd w:val="clear" w:color="000000" w:fill="FFFFFF"/>
            <w:noWrap/>
            <w:vAlign w:val="center"/>
            <w:hideMark/>
          </w:tcPr>
          <w:p w14:paraId="51B96C35" w14:textId="505A15D5" w:rsidR="00C14561" w:rsidRDefault="00C14561" w:rsidP="00C14561">
            <w:pPr>
              <w:jc w:val="right"/>
              <w:rPr>
                <w:rFonts w:ascii="Calibri" w:hAnsi="Calibri"/>
                <w:color w:val="00B050"/>
                <w:sz w:val="18"/>
                <w:szCs w:val="18"/>
              </w:rPr>
            </w:pPr>
            <w:r>
              <w:rPr>
                <w:rFonts w:ascii="Calibri" w:hAnsi="Calibri"/>
                <w:color w:val="00B050"/>
                <w:sz w:val="18"/>
                <w:szCs w:val="18"/>
              </w:rPr>
              <w:t> </w:t>
            </w:r>
          </w:p>
        </w:tc>
        <w:tc>
          <w:tcPr>
            <w:tcW w:w="973" w:type="dxa"/>
            <w:tcBorders>
              <w:top w:val="nil"/>
              <w:left w:val="nil"/>
              <w:bottom w:val="nil"/>
              <w:right w:val="nil"/>
            </w:tcBorders>
            <w:shd w:val="clear" w:color="000000" w:fill="FFFFFF"/>
            <w:noWrap/>
            <w:vAlign w:val="center"/>
            <w:hideMark/>
          </w:tcPr>
          <w:p w14:paraId="517910E8" w14:textId="77777777" w:rsidR="00C14561" w:rsidRDefault="00C14561" w:rsidP="00C14561">
            <w:pPr>
              <w:jc w:val="right"/>
              <w:rPr>
                <w:rFonts w:ascii="Calibri" w:hAnsi="Calibri"/>
                <w:color w:val="00B050"/>
                <w:sz w:val="18"/>
                <w:szCs w:val="18"/>
              </w:rPr>
            </w:pPr>
            <w:r>
              <w:rPr>
                <w:rFonts w:ascii="Calibri" w:hAnsi="Calibri"/>
                <w:color w:val="00B050"/>
                <w:sz w:val="18"/>
                <w:szCs w:val="18"/>
              </w:rPr>
              <w:t> </w:t>
            </w:r>
          </w:p>
        </w:tc>
      </w:tr>
      <w:tr w:rsidR="00FC23B1" w14:paraId="23EEADAD" w14:textId="77777777" w:rsidTr="002F2238">
        <w:trPr>
          <w:trHeight w:val="227"/>
        </w:trPr>
        <w:tc>
          <w:tcPr>
            <w:tcW w:w="3969" w:type="dxa"/>
            <w:tcBorders>
              <w:top w:val="nil"/>
              <w:left w:val="nil"/>
              <w:bottom w:val="nil"/>
              <w:right w:val="nil"/>
            </w:tcBorders>
            <w:shd w:val="clear" w:color="000000" w:fill="FFFFFF"/>
            <w:noWrap/>
            <w:vAlign w:val="bottom"/>
            <w:hideMark/>
          </w:tcPr>
          <w:p w14:paraId="59080665" w14:textId="2A741C6F" w:rsidR="00FC23B1" w:rsidRDefault="00FC23B1" w:rsidP="00FC23B1">
            <w:pPr>
              <w:rPr>
                <w:rFonts w:ascii="Calibri" w:hAnsi="Calibri"/>
                <w:color w:val="000000"/>
                <w:sz w:val="18"/>
                <w:szCs w:val="18"/>
              </w:rPr>
            </w:pPr>
            <w:r>
              <w:rPr>
                <w:rFonts w:ascii="Calibri" w:hAnsi="Calibri"/>
                <w:color w:val="000000"/>
                <w:sz w:val="18"/>
                <w:szCs w:val="18"/>
              </w:rPr>
              <w:t>Задължения по облигационен заем</w:t>
            </w:r>
          </w:p>
        </w:tc>
        <w:tc>
          <w:tcPr>
            <w:tcW w:w="737" w:type="dxa"/>
            <w:tcBorders>
              <w:top w:val="nil"/>
              <w:left w:val="nil"/>
              <w:bottom w:val="nil"/>
              <w:right w:val="nil"/>
            </w:tcBorders>
            <w:shd w:val="clear" w:color="000000" w:fill="FFFFFF"/>
            <w:noWrap/>
            <w:vAlign w:val="center"/>
            <w:hideMark/>
          </w:tcPr>
          <w:p w14:paraId="23EA29A2" w14:textId="77777777" w:rsidR="00FC23B1" w:rsidRDefault="00FC23B1" w:rsidP="00FC23B1">
            <w:pPr>
              <w:jc w:val="right"/>
              <w:rPr>
                <w:rFonts w:ascii="Calibri" w:hAnsi="Calibri"/>
                <w:color w:val="000000"/>
                <w:sz w:val="18"/>
                <w:szCs w:val="18"/>
              </w:rPr>
            </w:pPr>
            <w:r>
              <w:rPr>
                <w:rFonts w:ascii="Calibri" w:hAnsi="Calibri"/>
                <w:color w:val="000000"/>
                <w:sz w:val="18"/>
                <w:szCs w:val="18"/>
              </w:rPr>
              <w:t>0</w:t>
            </w:r>
          </w:p>
        </w:tc>
        <w:tc>
          <w:tcPr>
            <w:tcW w:w="737" w:type="dxa"/>
            <w:tcBorders>
              <w:top w:val="nil"/>
              <w:left w:val="nil"/>
              <w:bottom w:val="nil"/>
              <w:right w:val="nil"/>
            </w:tcBorders>
            <w:shd w:val="clear" w:color="000000" w:fill="FFFFFF"/>
            <w:noWrap/>
            <w:vAlign w:val="center"/>
            <w:hideMark/>
          </w:tcPr>
          <w:p w14:paraId="694BF6A1" w14:textId="77777777" w:rsidR="00FC23B1" w:rsidRDefault="00FC23B1" w:rsidP="00FC23B1">
            <w:pPr>
              <w:jc w:val="right"/>
              <w:rPr>
                <w:rFonts w:ascii="Calibri" w:hAnsi="Calibri"/>
                <w:color w:val="000000"/>
                <w:sz w:val="18"/>
                <w:szCs w:val="18"/>
              </w:rPr>
            </w:pPr>
            <w:r>
              <w:rPr>
                <w:rFonts w:ascii="Calibri" w:hAnsi="Calibri"/>
                <w:color w:val="000000"/>
                <w:sz w:val="18"/>
                <w:szCs w:val="18"/>
              </w:rPr>
              <w:t>4,927</w:t>
            </w:r>
          </w:p>
        </w:tc>
        <w:tc>
          <w:tcPr>
            <w:tcW w:w="737" w:type="dxa"/>
            <w:tcBorders>
              <w:top w:val="nil"/>
              <w:left w:val="nil"/>
              <w:bottom w:val="nil"/>
              <w:right w:val="nil"/>
            </w:tcBorders>
            <w:shd w:val="clear" w:color="000000" w:fill="FFFFFF"/>
            <w:noWrap/>
            <w:vAlign w:val="center"/>
          </w:tcPr>
          <w:p w14:paraId="224162F8" w14:textId="7FBE3E80" w:rsidR="00FC23B1" w:rsidRDefault="00FC23B1" w:rsidP="00FC23B1">
            <w:pPr>
              <w:jc w:val="right"/>
              <w:rPr>
                <w:rFonts w:ascii="Calibri" w:hAnsi="Calibri"/>
                <w:color w:val="000000"/>
                <w:sz w:val="18"/>
                <w:szCs w:val="18"/>
              </w:rPr>
            </w:pPr>
            <w:r>
              <w:rPr>
                <w:rFonts w:ascii="Calibri" w:hAnsi="Calibri"/>
                <w:color w:val="000000"/>
                <w:sz w:val="18"/>
                <w:szCs w:val="18"/>
              </w:rPr>
              <w:t>4 928</w:t>
            </w:r>
          </w:p>
        </w:tc>
        <w:tc>
          <w:tcPr>
            <w:tcW w:w="972" w:type="dxa"/>
            <w:tcBorders>
              <w:top w:val="nil"/>
              <w:left w:val="nil"/>
              <w:bottom w:val="nil"/>
              <w:right w:val="nil"/>
            </w:tcBorders>
            <w:shd w:val="clear" w:color="000000" w:fill="FFFFFF"/>
            <w:vAlign w:val="center"/>
          </w:tcPr>
          <w:p w14:paraId="73F3221A" w14:textId="4070A006" w:rsidR="00FC23B1" w:rsidRDefault="00FC23B1" w:rsidP="00FC23B1">
            <w:pPr>
              <w:jc w:val="right"/>
              <w:rPr>
                <w:rFonts w:ascii="Calibri" w:hAnsi="Calibri"/>
                <w:color w:val="00B050"/>
                <w:sz w:val="18"/>
                <w:szCs w:val="18"/>
              </w:rPr>
            </w:pPr>
            <w:r>
              <w:rPr>
                <w:rFonts w:ascii="Calibri" w:hAnsi="Calibri"/>
                <w:color w:val="000000"/>
                <w:sz w:val="18"/>
                <w:szCs w:val="18"/>
                <w:lang w:val="en-GB"/>
              </w:rPr>
              <w:t>4 927</w:t>
            </w:r>
          </w:p>
        </w:tc>
        <w:tc>
          <w:tcPr>
            <w:tcW w:w="972" w:type="dxa"/>
            <w:tcBorders>
              <w:top w:val="nil"/>
              <w:left w:val="nil"/>
              <w:bottom w:val="nil"/>
              <w:right w:val="nil"/>
            </w:tcBorders>
            <w:shd w:val="clear" w:color="000000" w:fill="FFFFFF"/>
            <w:noWrap/>
            <w:vAlign w:val="center"/>
            <w:hideMark/>
          </w:tcPr>
          <w:p w14:paraId="2F13A74D" w14:textId="682A3263" w:rsidR="00FC23B1" w:rsidRDefault="00FC23B1" w:rsidP="00FC23B1">
            <w:pPr>
              <w:jc w:val="right"/>
              <w:rPr>
                <w:rFonts w:ascii="Calibri" w:hAnsi="Calibri"/>
                <w:color w:val="00B050"/>
                <w:sz w:val="18"/>
                <w:szCs w:val="18"/>
              </w:rPr>
            </w:pPr>
            <w:r>
              <w:rPr>
                <w:rFonts w:ascii="Calibri" w:hAnsi="Calibri"/>
                <w:color w:val="00B050"/>
                <w:sz w:val="18"/>
                <w:szCs w:val="18"/>
              </w:rPr>
              <w:t>0%</w:t>
            </w:r>
          </w:p>
        </w:tc>
        <w:tc>
          <w:tcPr>
            <w:tcW w:w="973" w:type="dxa"/>
            <w:tcBorders>
              <w:top w:val="nil"/>
              <w:left w:val="nil"/>
              <w:bottom w:val="nil"/>
              <w:right w:val="nil"/>
            </w:tcBorders>
            <w:shd w:val="clear" w:color="000000" w:fill="FFFFFF"/>
            <w:noWrap/>
            <w:vAlign w:val="center"/>
            <w:hideMark/>
          </w:tcPr>
          <w:p w14:paraId="20061209" w14:textId="526FB545" w:rsidR="00FC23B1" w:rsidRDefault="00FC23B1" w:rsidP="00FC23B1">
            <w:pPr>
              <w:jc w:val="right"/>
              <w:rPr>
                <w:rFonts w:ascii="Calibri" w:hAnsi="Calibri"/>
                <w:color w:val="00B050"/>
                <w:sz w:val="18"/>
                <w:szCs w:val="18"/>
              </w:rPr>
            </w:pPr>
            <w:r>
              <w:rPr>
                <w:rFonts w:ascii="Calibri" w:hAnsi="Calibri"/>
                <w:color w:val="00B050"/>
                <w:sz w:val="18"/>
                <w:szCs w:val="18"/>
              </w:rPr>
              <w:t>0%</w:t>
            </w:r>
          </w:p>
        </w:tc>
      </w:tr>
      <w:tr w:rsidR="00FC23B1" w14:paraId="00E24FDB" w14:textId="77777777" w:rsidTr="008028B9">
        <w:trPr>
          <w:trHeight w:val="240"/>
        </w:trPr>
        <w:tc>
          <w:tcPr>
            <w:tcW w:w="3969" w:type="dxa"/>
            <w:tcBorders>
              <w:top w:val="nil"/>
              <w:left w:val="nil"/>
              <w:bottom w:val="nil"/>
              <w:right w:val="nil"/>
            </w:tcBorders>
            <w:shd w:val="clear" w:color="000000" w:fill="FFFFFF"/>
            <w:noWrap/>
            <w:vAlign w:val="bottom"/>
            <w:hideMark/>
          </w:tcPr>
          <w:p w14:paraId="1689877D" w14:textId="77777777" w:rsidR="00FC23B1" w:rsidRDefault="00FC23B1" w:rsidP="00FC23B1">
            <w:pPr>
              <w:rPr>
                <w:rFonts w:ascii="Calibri" w:hAnsi="Calibri"/>
                <w:sz w:val="18"/>
                <w:szCs w:val="18"/>
              </w:rPr>
            </w:pPr>
            <w:r>
              <w:rPr>
                <w:rFonts w:ascii="Calibri" w:hAnsi="Calibri"/>
                <w:sz w:val="18"/>
                <w:szCs w:val="18"/>
              </w:rPr>
              <w:t>Дългосрочни заеми от свързани лица</w:t>
            </w:r>
          </w:p>
        </w:tc>
        <w:tc>
          <w:tcPr>
            <w:tcW w:w="737" w:type="dxa"/>
            <w:tcBorders>
              <w:top w:val="nil"/>
              <w:left w:val="nil"/>
              <w:bottom w:val="nil"/>
              <w:right w:val="nil"/>
            </w:tcBorders>
            <w:shd w:val="clear" w:color="000000" w:fill="FFFFFF"/>
            <w:noWrap/>
            <w:vAlign w:val="center"/>
            <w:hideMark/>
          </w:tcPr>
          <w:p w14:paraId="351F7E62" w14:textId="77777777" w:rsidR="00FC23B1" w:rsidRDefault="00FC23B1" w:rsidP="00FC23B1">
            <w:pPr>
              <w:jc w:val="right"/>
              <w:rPr>
                <w:rFonts w:ascii="Calibri" w:hAnsi="Calibri"/>
                <w:color w:val="000000"/>
                <w:sz w:val="18"/>
                <w:szCs w:val="18"/>
              </w:rPr>
            </w:pPr>
            <w:r>
              <w:rPr>
                <w:rFonts w:ascii="Calibri" w:hAnsi="Calibri"/>
                <w:color w:val="000000"/>
                <w:sz w:val="18"/>
                <w:szCs w:val="18"/>
              </w:rPr>
              <w:t>489</w:t>
            </w:r>
          </w:p>
        </w:tc>
        <w:tc>
          <w:tcPr>
            <w:tcW w:w="737" w:type="dxa"/>
            <w:tcBorders>
              <w:top w:val="nil"/>
              <w:left w:val="nil"/>
              <w:bottom w:val="nil"/>
              <w:right w:val="nil"/>
            </w:tcBorders>
            <w:shd w:val="clear" w:color="000000" w:fill="FFFFFF"/>
            <w:noWrap/>
            <w:vAlign w:val="center"/>
            <w:hideMark/>
          </w:tcPr>
          <w:p w14:paraId="14404361" w14:textId="77777777" w:rsidR="00FC23B1" w:rsidRDefault="00FC23B1" w:rsidP="00FC23B1">
            <w:pPr>
              <w:jc w:val="right"/>
              <w:rPr>
                <w:rFonts w:ascii="Calibri" w:hAnsi="Calibri"/>
                <w:color w:val="000000"/>
                <w:sz w:val="18"/>
                <w:szCs w:val="18"/>
              </w:rPr>
            </w:pPr>
            <w:r>
              <w:rPr>
                <w:rFonts w:ascii="Calibri" w:hAnsi="Calibri"/>
                <w:color w:val="000000"/>
                <w:sz w:val="18"/>
                <w:szCs w:val="18"/>
              </w:rPr>
              <w:t>296</w:t>
            </w:r>
          </w:p>
        </w:tc>
        <w:tc>
          <w:tcPr>
            <w:tcW w:w="737" w:type="dxa"/>
            <w:tcBorders>
              <w:top w:val="nil"/>
              <w:left w:val="nil"/>
              <w:bottom w:val="nil"/>
              <w:right w:val="nil"/>
            </w:tcBorders>
            <w:shd w:val="clear" w:color="000000" w:fill="FFFFFF"/>
            <w:noWrap/>
            <w:vAlign w:val="center"/>
          </w:tcPr>
          <w:p w14:paraId="0065A88C" w14:textId="3BB7D2D5" w:rsidR="00FC23B1" w:rsidRDefault="00FC23B1" w:rsidP="00FC23B1">
            <w:pPr>
              <w:jc w:val="right"/>
              <w:rPr>
                <w:rFonts w:ascii="Calibri" w:hAnsi="Calibri"/>
                <w:color w:val="000000"/>
                <w:sz w:val="18"/>
                <w:szCs w:val="18"/>
              </w:rPr>
            </w:pPr>
            <w:r>
              <w:rPr>
                <w:rFonts w:ascii="Calibri" w:hAnsi="Calibri"/>
                <w:color w:val="000000"/>
                <w:sz w:val="18"/>
                <w:szCs w:val="18"/>
              </w:rPr>
              <w:t>296</w:t>
            </w:r>
          </w:p>
        </w:tc>
        <w:tc>
          <w:tcPr>
            <w:tcW w:w="972" w:type="dxa"/>
            <w:tcBorders>
              <w:top w:val="nil"/>
              <w:left w:val="nil"/>
              <w:bottom w:val="nil"/>
              <w:right w:val="nil"/>
            </w:tcBorders>
            <w:shd w:val="clear" w:color="000000" w:fill="FFFFFF"/>
            <w:vAlign w:val="center"/>
          </w:tcPr>
          <w:p w14:paraId="5A26F666" w14:textId="16200841" w:rsidR="00FC23B1" w:rsidRDefault="00FC23B1" w:rsidP="00FC23B1">
            <w:pPr>
              <w:jc w:val="right"/>
              <w:rPr>
                <w:rFonts w:ascii="Calibri" w:hAnsi="Calibri"/>
                <w:color w:val="00B050"/>
                <w:sz w:val="18"/>
                <w:szCs w:val="18"/>
              </w:rPr>
            </w:pPr>
            <w:r>
              <w:rPr>
                <w:rFonts w:ascii="Calibri" w:hAnsi="Calibri"/>
                <w:color w:val="000000"/>
                <w:sz w:val="18"/>
                <w:szCs w:val="18"/>
                <w:lang w:val="en-GB"/>
              </w:rPr>
              <w:t>296</w:t>
            </w:r>
          </w:p>
        </w:tc>
        <w:tc>
          <w:tcPr>
            <w:tcW w:w="972" w:type="dxa"/>
            <w:tcBorders>
              <w:top w:val="nil"/>
              <w:left w:val="nil"/>
              <w:bottom w:val="nil"/>
              <w:right w:val="nil"/>
            </w:tcBorders>
            <w:shd w:val="clear" w:color="000000" w:fill="FFFFFF"/>
            <w:noWrap/>
            <w:vAlign w:val="center"/>
            <w:hideMark/>
          </w:tcPr>
          <w:p w14:paraId="2CA3A02A" w14:textId="209C4842" w:rsidR="00FC23B1" w:rsidRDefault="00FC23B1" w:rsidP="00FC23B1">
            <w:pPr>
              <w:jc w:val="right"/>
              <w:rPr>
                <w:rFonts w:ascii="Calibri" w:hAnsi="Calibri"/>
                <w:color w:val="00B050"/>
                <w:sz w:val="18"/>
                <w:szCs w:val="18"/>
              </w:rPr>
            </w:pPr>
            <w:r>
              <w:rPr>
                <w:rFonts w:ascii="Calibri" w:hAnsi="Calibri"/>
                <w:color w:val="00B050"/>
                <w:sz w:val="18"/>
                <w:szCs w:val="18"/>
              </w:rPr>
              <w:t>0%</w:t>
            </w:r>
          </w:p>
        </w:tc>
        <w:tc>
          <w:tcPr>
            <w:tcW w:w="973" w:type="dxa"/>
            <w:tcBorders>
              <w:top w:val="nil"/>
              <w:left w:val="nil"/>
              <w:bottom w:val="nil"/>
              <w:right w:val="nil"/>
            </w:tcBorders>
            <w:shd w:val="clear" w:color="000000" w:fill="FFFFFF"/>
            <w:noWrap/>
            <w:vAlign w:val="center"/>
            <w:hideMark/>
          </w:tcPr>
          <w:p w14:paraId="1C443CEF" w14:textId="02DB5CD2" w:rsidR="00FC23B1" w:rsidRDefault="00FC23B1" w:rsidP="00FC23B1">
            <w:pPr>
              <w:jc w:val="right"/>
              <w:rPr>
                <w:rFonts w:ascii="Calibri" w:hAnsi="Calibri"/>
                <w:color w:val="00B050"/>
                <w:sz w:val="18"/>
                <w:szCs w:val="18"/>
              </w:rPr>
            </w:pPr>
            <w:r>
              <w:rPr>
                <w:rFonts w:ascii="Calibri" w:hAnsi="Calibri"/>
                <w:color w:val="00B050"/>
                <w:sz w:val="18"/>
                <w:szCs w:val="18"/>
              </w:rPr>
              <w:t>0%</w:t>
            </w:r>
          </w:p>
        </w:tc>
      </w:tr>
      <w:tr w:rsidR="00FC23B1" w14:paraId="2294D753" w14:textId="77777777" w:rsidTr="008028B9">
        <w:trPr>
          <w:trHeight w:val="240"/>
        </w:trPr>
        <w:tc>
          <w:tcPr>
            <w:tcW w:w="3969" w:type="dxa"/>
            <w:tcBorders>
              <w:top w:val="nil"/>
              <w:left w:val="nil"/>
              <w:bottom w:val="nil"/>
              <w:right w:val="nil"/>
            </w:tcBorders>
            <w:shd w:val="clear" w:color="000000" w:fill="FFFFFF"/>
            <w:noWrap/>
            <w:vAlign w:val="bottom"/>
            <w:hideMark/>
          </w:tcPr>
          <w:p w14:paraId="051E2C6D" w14:textId="77777777" w:rsidR="00FC23B1" w:rsidRDefault="00FC23B1" w:rsidP="00FC23B1">
            <w:pPr>
              <w:rPr>
                <w:rFonts w:ascii="Calibri" w:hAnsi="Calibri"/>
                <w:color w:val="000000"/>
                <w:sz w:val="18"/>
                <w:szCs w:val="18"/>
              </w:rPr>
            </w:pPr>
            <w:r>
              <w:rPr>
                <w:rFonts w:ascii="Calibri" w:hAnsi="Calibri"/>
                <w:color w:val="000000"/>
                <w:sz w:val="18"/>
                <w:szCs w:val="18"/>
              </w:rPr>
              <w:t xml:space="preserve">Нетекущи задължения по лизингови договори </w:t>
            </w:r>
          </w:p>
        </w:tc>
        <w:tc>
          <w:tcPr>
            <w:tcW w:w="737" w:type="dxa"/>
            <w:tcBorders>
              <w:top w:val="nil"/>
              <w:left w:val="nil"/>
              <w:bottom w:val="nil"/>
              <w:right w:val="nil"/>
            </w:tcBorders>
            <w:shd w:val="clear" w:color="000000" w:fill="FFFFFF"/>
            <w:noWrap/>
            <w:vAlign w:val="center"/>
            <w:hideMark/>
          </w:tcPr>
          <w:p w14:paraId="719AF6FC" w14:textId="77777777" w:rsidR="00FC23B1" w:rsidRDefault="00FC23B1" w:rsidP="00FC23B1">
            <w:pPr>
              <w:jc w:val="right"/>
              <w:rPr>
                <w:rFonts w:ascii="Calibri" w:hAnsi="Calibri"/>
                <w:color w:val="000000"/>
                <w:sz w:val="18"/>
                <w:szCs w:val="18"/>
              </w:rPr>
            </w:pPr>
            <w:r>
              <w:rPr>
                <w:rFonts w:ascii="Calibri" w:hAnsi="Calibri"/>
                <w:color w:val="000000"/>
                <w:sz w:val="18"/>
                <w:szCs w:val="18"/>
              </w:rPr>
              <w:t>0</w:t>
            </w:r>
          </w:p>
        </w:tc>
        <w:tc>
          <w:tcPr>
            <w:tcW w:w="737" w:type="dxa"/>
            <w:tcBorders>
              <w:top w:val="nil"/>
              <w:left w:val="nil"/>
              <w:bottom w:val="nil"/>
              <w:right w:val="nil"/>
            </w:tcBorders>
            <w:shd w:val="clear" w:color="000000" w:fill="FFFFFF"/>
            <w:noWrap/>
            <w:vAlign w:val="center"/>
            <w:hideMark/>
          </w:tcPr>
          <w:p w14:paraId="61021F62" w14:textId="77777777" w:rsidR="00FC23B1" w:rsidRDefault="00FC23B1" w:rsidP="00FC23B1">
            <w:pPr>
              <w:jc w:val="right"/>
              <w:rPr>
                <w:rFonts w:ascii="Calibri" w:hAnsi="Calibri"/>
                <w:color w:val="000000"/>
                <w:sz w:val="18"/>
                <w:szCs w:val="18"/>
              </w:rPr>
            </w:pPr>
            <w:r>
              <w:rPr>
                <w:rFonts w:ascii="Calibri" w:hAnsi="Calibri"/>
                <w:color w:val="000000"/>
                <w:sz w:val="18"/>
                <w:szCs w:val="18"/>
              </w:rPr>
              <w:t>248</w:t>
            </w:r>
          </w:p>
        </w:tc>
        <w:tc>
          <w:tcPr>
            <w:tcW w:w="737" w:type="dxa"/>
            <w:tcBorders>
              <w:top w:val="nil"/>
              <w:left w:val="nil"/>
              <w:bottom w:val="nil"/>
              <w:right w:val="nil"/>
            </w:tcBorders>
            <w:shd w:val="clear" w:color="000000" w:fill="FFFFFF"/>
            <w:noWrap/>
            <w:vAlign w:val="center"/>
          </w:tcPr>
          <w:p w14:paraId="297ADA87" w14:textId="65E9550A" w:rsidR="00FC23B1" w:rsidRDefault="00FC23B1" w:rsidP="00FC23B1">
            <w:pPr>
              <w:jc w:val="right"/>
              <w:rPr>
                <w:rFonts w:ascii="Calibri" w:hAnsi="Calibri"/>
                <w:color w:val="000000"/>
                <w:sz w:val="18"/>
                <w:szCs w:val="18"/>
              </w:rPr>
            </w:pPr>
            <w:r>
              <w:rPr>
                <w:rFonts w:ascii="Calibri" w:hAnsi="Calibri"/>
                <w:color w:val="000000"/>
                <w:sz w:val="18"/>
                <w:szCs w:val="18"/>
              </w:rPr>
              <w:t>147</w:t>
            </w:r>
          </w:p>
        </w:tc>
        <w:tc>
          <w:tcPr>
            <w:tcW w:w="972" w:type="dxa"/>
            <w:tcBorders>
              <w:top w:val="nil"/>
              <w:left w:val="nil"/>
              <w:bottom w:val="nil"/>
              <w:right w:val="nil"/>
            </w:tcBorders>
            <w:shd w:val="clear" w:color="000000" w:fill="FFFFFF"/>
            <w:vAlign w:val="center"/>
          </w:tcPr>
          <w:p w14:paraId="38A2B79D" w14:textId="43706003" w:rsidR="00FC23B1" w:rsidRDefault="00FC23B1" w:rsidP="00FC23B1">
            <w:pPr>
              <w:jc w:val="right"/>
              <w:rPr>
                <w:rFonts w:ascii="Calibri" w:hAnsi="Calibri"/>
                <w:color w:val="00B050"/>
                <w:sz w:val="18"/>
                <w:szCs w:val="18"/>
              </w:rPr>
            </w:pPr>
            <w:r>
              <w:rPr>
                <w:rFonts w:ascii="Calibri" w:hAnsi="Calibri"/>
                <w:color w:val="000000"/>
                <w:sz w:val="18"/>
                <w:szCs w:val="18"/>
                <w:lang w:val="en-GB"/>
              </w:rPr>
              <w:t>147</w:t>
            </w:r>
          </w:p>
        </w:tc>
        <w:tc>
          <w:tcPr>
            <w:tcW w:w="972" w:type="dxa"/>
            <w:tcBorders>
              <w:top w:val="nil"/>
              <w:left w:val="nil"/>
              <w:bottom w:val="nil"/>
              <w:right w:val="nil"/>
            </w:tcBorders>
            <w:shd w:val="clear" w:color="000000" w:fill="FFFFFF"/>
            <w:noWrap/>
            <w:vAlign w:val="center"/>
            <w:hideMark/>
          </w:tcPr>
          <w:p w14:paraId="4933420A" w14:textId="6006919F" w:rsidR="00FC23B1" w:rsidRDefault="00FC23B1" w:rsidP="00FC23B1">
            <w:pPr>
              <w:jc w:val="right"/>
              <w:rPr>
                <w:rFonts w:ascii="Calibri" w:hAnsi="Calibri"/>
                <w:color w:val="00B050"/>
                <w:sz w:val="18"/>
                <w:szCs w:val="18"/>
              </w:rPr>
            </w:pPr>
            <w:r>
              <w:rPr>
                <w:rFonts w:ascii="Calibri" w:hAnsi="Calibri"/>
                <w:color w:val="00B050"/>
                <w:sz w:val="18"/>
                <w:szCs w:val="18"/>
              </w:rPr>
              <w:t>-41%</w:t>
            </w:r>
          </w:p>
        </w:tc>
        <w:tc>
          <w:tcPr>
            <w:tcW w:w="973" w:type="dxa"/>
            <w:tcBorders>
              <w:top w:val="nil"/>
              <w:left w:val="nil"/>
              <w:bottom w:val="nil"/>
              <w:right w:val="nil"/>
            </w:tcBorders>
            <w:shd w:val="clear" w:color="000000" w:fill="FFFFFF"/>
            <w:noWrap/>
            <w:vAlign w:val="center"/>
            <w:hideMark/>
          </w:tcPr>
          <w:p w14:paraId="4E7967ED" w14:textId="5AD763E3" w:rsidR="00FC23B1" w:rsidRDefault="00FC23B1" w:rsidP="00FC23B1">
            <w:pPr>
              <w:jc w:val="right"/>
              <w:rPr>
                <w:rFonts w:ascii="Calibri" w:hAnsi="Calibri"/>
                <w:color w:val="00B050"/>
                <w:sz w:val="18"/>
                <w:szCs w:val="18"/>
              </w:rPr>
            </w:pPr>
            <w:r>
              <w:rPr>
                <w:rFonts w:ascii="Calibri" w:hAnsi="Calibri"/>
                <w:color w:val="00B050"/>
                <w:sz w:val="18"/>
                <w:szCs w:val="18"/>
              </w:rPr>
              <w:t>0%</w:t>
            </w:r>
          </w:p>
        </w:tc>
      </w:tr>
      <w:tr w:rsidR="00FC23B1" w14:paraId="6846DC6A" w14:textId="77777777" w:rsidTr="008028B9">
        <w:trPr>
          <w:trHeight w:val="240"/>
        </w:trPr>
        <w:tc>
          <w:tcPr>
            <w:tcW w:w="3969" w:type="dxa"/>
            <w:tcBorders>
              <w:top w:val="nil"/>
              <w:left w:val="nil"/>
              <w:bottom w:val="nil"/>
              <w:right w:val="nil"/>
            </w:tcBorders>
            <w:shd w:val="clear" w:color="000000" w:fill="FFFFFF"/>
            <w:noWrap/>
            <w:vAlign w:val="bottom"/>
            <w:hideMark/>
          </w:tcPr>
          <w:p w14:paraId="43155807" w14:textId="77777777" w:rsidR="00FC23B1" w:rsidRDefault="00FC23B1" w:rsidP="00FC23B1">
            <w:pPr>
              <w:rPr>
                <w:rFonts w:ascii="Calibri" w:hAnsi="Calibri"/>
                <w:color w:val="000000"/>
                <w:sz w:val="18"/>
                <w:szCs w:val="18"/>
              </w:rPr>
            </w:pPr>
            <w:r>
              <w:rPr>
                <w:rFonts w:ascii="Calibri" w:hAnsi="Calibri"/>
                <w:color w:val="000000"/>
                <w:sz w:val="18"/>
                <w:szCs w:val="18"/>
              </w:rPr>
              <w:t>Нетекущи задължения по получени заеми</w:t>
            </w:r>
          </w:p>
        </w:tc>
        <w:tc>
          <w:tcPr>
            <w:tcW w:w="737" w:type="dxa"/>
            <w:tcBorders>
              <w:top w:val="nil"/>
              <w:left w:val="nil"/>
              <w:bottom w:val="nil"/>
              <w:right w:val="nil"/>
            </w:tcBorders>
            <w:shd w:val="clear" w:color="000000" w:fill="FFFFFF"/>
            <w:noWrap/>
            <w:vAlign w:val="center"/>
            <w:hideMark/>
          </w:tcPr>
          <w:p w14:paraId="24DEEC52" w14:textId="77777777" w:rsidR="00FC23B1" w:rsidRDefault="00FC23B1" w:rsidP="00FC23B1">
            <w:pPr>
              <w:jc w:val="right"/>
              <w:rPr>
                <w:rFonts w:ascii="Calibri" w:hAnsi="Calibri"/>
                <w:color w:val="000000"/>
                <w:sz w:val="18"/>
                <w:szCs w:val="18"/>
              </w:rPr>
            </w:pPr>
            <w:r>
              <w:rPr>
                <w:rFonts w:ascii="Calibri" w:hAnsi="Calibri"/>
                <w:color w:val="000000"/>
                <w:sz w:val="18"/>
                <w:szCs w:val="18"/>
              </w:rPr>
              <w:t>831</w:t>
            </w:r>
          </w:p>
        </w:tc>
        <w:tc>
          <w:tcPr>
            <w:tcW w:w="737" w:type="dxa"/>
            <w:tcBorders>
              <w:top w:val="nil"/>
              <w:left w:val="nil"/>
              <w:bottom w:val="nil"/>
              <w:right w:val="nil"/>
            </w:tcBorders>
            <w:shd w:val="clear" w:color="000000" w:fill="FFFFFF"/>
            <w:noWrap/>
            <w:vAlign w:val="center"/>
            <w:hideMark/>
          </w:tcPr>
          <w:p w14:paraId="171CCF39" w14:textId="77777777" w:rsidR="00FC23B1" w:rsidRDefault="00FC23B1" w:rsidP="00FC23B1">
            <w:pPr>
              <w:jc w:val="right"/>
              <w:rPr>
                <w:rFonts w:ascii="Calibri" w:hAnsi="Calibri"/>
                <w:color w:val="000000"/>
                <w:sz w:val="18"/>
                <w:szCs w:val="18"/>
              </w:rPr>
            </w:pPr>
            <w:r>
              <w:rPr>
                <w:rFonts w:ascii="Calibri" w:hAnsi="Calibri"/>
                <w:color w:val="000000"/>
                <w:sz w:val="18"/>
                <w:szCs w:val="18"/>
              </w:rPr>
              <w:t>1,080</w:t>
            </w:r>
          </w:p>
        </w:tc>
        <w:tc>
          <w:tcPr>
            <w:tcW w:w="737" w:type="dxa"/>
            <w:tcBorders>
              <w:top w:val="nil"/>
              <w:left w:val="nil"/>
              <w:bottom w:val="nil"/>
              <w:right w:val="nil"/>
            </w:tcBorders>
            <w:shd w:val="clear" w:color="000000" w:fill="FFFFFF"/>
            <w:noWrap/>
            <w:vAlign w:val="center"/>
          </w:tcPr>
          <w:p w14:paraId="4746717B" w14:textId="492024D6" w:rsidR="00FC23B1" w:rsidRDefault="00FC23B1" w:rsidP="00FC23B1">
            <w:pPr>
              <w:jc w:val="right"/>
              <w:rPr>
                <w:rFonts w:ascii="Calibri" w:hAnsi="Calibri"/>
                <w:color w:val="000000"/>
                <w:sz w:val="18"/>
                <w:szCs w:val="18"/>
              </w:rPr>
            </w:pPr>
            <w:r>
              <w:rPr>
                <w:rFonts w:ascii="Calibri" w:hAnsi="Calibri"/>
                <w:color w:val="000000"/>
                <w:sz w:val="18"/>
                <w:szCs w:val="18"/>
              </w:rPr>
              <w:t>1 623</w:t>
            </w:r>
          </w:p>
        </w:tc>
        <w:tc>
          <w:tcPr>
            <w:tcW w:w="972" w:type="dxa"/>
            <w:tcBorders>
              <w:top w:val="nil"/>
              <w:left w:val="nil"/>
              <w:bottom w:val="nil"/>
              <w:right w:val="nil"/>
            </w:tcBorders>
            <w:shd w:val="clear" w:color="000000" w:fill="FFFFFF"/>
            <w:vAlign w:val="center"/>
          </w:tcPr>
          <w:p w14:paraId="7D73E9B6" w14:textId="71320619" w:rsidR="00FC23B1" w:rsidRDefault="00FC23B1" w:rsidP="00FC23B1">
            <w:pPr>
              <w:jc w:val="right"/>
              <w:rPr>
                <w:rFonts w:ascii="Calibri" w:hAnsi="Calibri"/>
                <w:color w:val="00B050"/>
                <w:sz w:val="18"/>
                <w:szCs w:val="18"/>
              </w:rPr>
            </w:pPr>
            <w:r>
              <w:rPr>
                <w:rFonts w:ascii="Calibri" w:hAnsi="Calibri"/>
                <w:color w:val="000000"/>
                <w:sz w:val="18"/>
                <w:szCs w:val="22"/>
                <w:lang w:val="en-US" w:eastAsia="en-GB"/>
              </w:rPr>
              <w:t>1 623</w:t>
            </w:r>
          </w:p>
        </w:tc>
        <w:tc>
          <w:tcPr>
            <w:tcW w:w="972" w:type="dxa"/>
            <w:tcBorders>
              <w:top w:val="nil"/>
              <w:left w:val="nil"/>
              <w:bottom w:val="nil"/>
              <w:right w:val="nil"/>
            </w:tcBorders>
            <w:shd w:val="clear" w:color="000000" w:fill="FFFFFF"/>
            <w:noWrap/>
            <w:vAlign w:val="center"/>
            <w:hideMark/>
          </w:tcPr>
          <w:p w14:paraId="63DDC556" w14:textId="24696175" w:rsidR="00FC23B1" w:rsidRDefault="00FC23B1" w:rsidP="00FC23B1">
            <w:pPr>
              <w:jc w:val="right"/>
              <w:rPr>
                <w:rFonts w:ascii="Calibri" w:hAnsi="Calibri"/>
                <w:color w:val="00B050"/>
                <w:sz w:val="18"/>
                <w:szCs w:val="18"/>
              </w:rPr>
            </w:pPr>
            <w:r>
              <w:rPr>
                <w:rFonts w:ascii="Calibri" w:hAnsi="Calibri"/>
                <w:color w:val="00B050"/>
                <w:sz w:val="18"/>
                <w:szCs w:val="18"/>
              </w:rPr>
              <w:t>50%</w:t>
            </w:r>
          </w:p>
        </w:tc>
        <w:tc>
          <w:tcPr>
            <w:tcW w:w="973" w:type="dxa"/>
            <w:tcBorders>
              <w:top w:val="nil"/>
              <w:left w:val="nil"/>
              <w:bottom w:val="nil"/>
              <w:right w:val="nil"/>
            </w:tcBorders>
            <w:shd w:val="clear" w:color="000000" w:fill="FFFFFF"/>
            <w:noWrap/>
            <w:vAlign w:val="center"/>
            <w:hideMark/>
          </w:tcPr>
          <w:p w14:paraId="4DE86A67" w14:textId="384F188F" w:rsidR="00FC23B1" w:rsidRDefault="00FC23B1" w:rsidP="00FC23B1">
            <w:pPr>
              <w:jc w:val="right"/>
              <w:rPr>
                <w:rFonts w:ascii="Calibri" w:hAnsi="Calibri"/>
                <w:color w:val="00B050"/>
                <w:sz w:val="18"/>
                <w:szCs w:val="18"/>
              </w:rPr>
            </w:pPr>
            <w:r>
              <w:rPr>
                <w:rFonts w:ascii="Calibri" w:hAnsi="Calibri"/>
                <w:color w:val="00B050"/>
                <w:sz w:val="18"/>
                <w:szCs w:val="18"/>
              </w:rPr>
              <w:t>0%</w:t>
            </w:r>
          </w:p>
        </w:tc>
      </w:tr>
      <w:tr w:rsidR="00FC23B1" w14:paraId="68E6D3AC" w14:textId="77777777" w:rsidTr="008028B9">
        <w:trPr>
          <w:trHeight w:val="240"/>
        </w:trPr>
        <w:tc>
          <w:tcPr>
            <w:tcW w:w="3969" w:type="dxa"/>
            <w:tcBorders>
              <w:top w:val="nil"/>
              <w:left w:val="nil"/>
              <w:bottom w:val="nil"/>
              <w:right w:val="nil"/>
            </w:tcBorders>
            <w:shd w:val="clear" w:color="000000" w:fill="FFFFFF"/>
            <w:noWrap/>
            <w:vAlign w:val="bottom"/>
            <w:hideMark/>
          </w:tcPr>
          <w:p w14:paraId="0182B709" w14:textId="77777777" w:rsidR="00FC23B1" w:rsidRDefault="00FC23B1" w:rsidP="00FC23B1">
            <w:pPr>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hideMark/>
          </w:tcPr>
          <w:p w14:paraId="0EB496A9" w14:textId="77777777" w:rsidR="00FC23B1" w:rsidRDefault="00FC23B1" w:rsidP="00FC23B1">
            <w:pPr>
              <w:jc w:val="right"/>
              <w:rPr>
                <w:rFonts w:ascii="Calibri" w:hAnsi="Calibri"/>
                <w:b/>
                <w:bCs/>
                <w:color w:val="000000"/>
                <w:sz w:val="18"/>
                <w:szCs w:val="18"/>
              </w:rPr>
            </w:pPr>
            <w:r>
              <w:rPr>
                <w:rFonts w:ascii="Calibri" w:hAnsi="Calibri"/>
                <w:b/>
                <w:bCs/>
                <w:color w:val="000000"/>
                <w:sz w:val="18"/>
                <w:szCs w:val="18"/>
              </w:rPr>
              <w:t>1,320</w:t>
            </w:r>
          </w:p>
        </w:tc>
        <w:tc>
          <w:tcPr>
            <w:tcW w:w="737" w:type="dxa"/>
            <w:tcBorders>
              <w:top w:val="nil"/>
              <w:left w:val="nil"/>
              <w:bottom w:val="nil"/>
              <w:right w:val="nil"/>
            </w:tcBorders>
            <w:shd w:val="clear" w:color="000000" w:fill="FFFFFF"/>
            <w:noWrap/>
            <w:vAlign w:val="center"/>
            <w:hideMark/>
          </w:tcPr>
          <w:p w14:paraId="41048253" w14:textId="77777777" w:rsidR="00FC23B1" w:rsidRDefault="00FC23B1" w:rsidP="00FC23B1">
            <w:pPr>
              <w:jc w:val="right"/>
              <w:rPr>
                <w:rFonts w:ascii="Calibri" w:hAnsi="Calibri"/>
                <w:b/>
                <w:bCs/>
                <w:color w:val="000000"/>
                <w:sz w:val="18"/>
                <w:szCs w:val="18"/>
              </w:rPr>
            </w:pPr>
            <w:r>
              <w:rPr>
                <w:rFonts w:ascii="Calibri" w:hAnsi="Calibri"/>
                <w:b/>
                <w:bCs/>
                <w:color w:val="000000"/>
                <w:sz w:val="18"/>
                <w:szCs w:val="18"/>
              </w:rPr>
              <w:t>6,551</w:t>
            </w:r>
          </w:p>
        </w:tc>
        <w:tc>
          <w:tcPr>
            <w:tcW w:w="737" w:type="dxa"/>
            <w:tcBorders>
              <w:top w:val="nil"/>
              <w:left w:val="nil"/>
              <w:bottom w:val="nil"/>
              <w:right w:val="nil"/>
            </w:tcBorders>
            <w:shd w:val="clear" w:color="000000" w:fill="FFFFFF"/>
            <w:noWrap/>
            <w:vAlign w:val="center"/>
          </w:tcPr>
          <w:p w14:paraId="65088095" w14:textId="2720DD8D" w:rsidR="00FC23B1" w:rsidRDefault="00FC23B1" w:rsidP="00FC23B1">
            <w:pPr>
              <w:jc w:val="right"/>
              <w:rPr>
                <w:rFonts w:ascii="Calibri" w:hAnsi="Calibri"/>
                <w:b/>
                <w:bCs/>
                <w:color w:val="000000"/>
                <w:sz w:val="18"/>
                <w:szCs w:val="18"/>
              </w:rPr>
            </w:pPr>
            <w:r>
              <w:rPr>
                <w:rFonts w:ascii="Calibri" w:hAnsi="Calibri"/>
                <w:b/>
                <w:bCs/>
                <w:color w:val="000000"/>
                <w:sz w:val="18"/>
                <w:szCs w:val="18"/>
              </w:rPr>
              <w:t>6 994</w:t>
            </w:r>
          </w:p>
        </w:tc>
        <w:tc>
          <w:tcPr>
            <w:tcW w:w="972" w:type="dxa"/>
            <w:tcBorders>
              <w:top w:val="nil"/>
              <w:left w:val="nil"/>
              <w:bottom w:val="nil"/>
              <w:right w:val="nil"/>
            </w:tcBorders>
            <w:shd w:val="clear" w:color="000000" w:fill="FFFFFF"/>
            <w:vAlign w:val="center"/>
          </w:tcPr>
          <w:p w14:paraId="5B1D3204" w14:textId="32E0366D" w:rsidR="00FC23B1" w:rsidRDefault="00FC23B1" w:rsidP="00FC23B1">
            <w:pPr>
              <w:jc w:val="right"/>
              <w:rPr>
                <w:rFonts w:ascii="Calibri" w:hAnsi="Calibri"/>
                <w:color w:val="00B050"/>
                <w:sz w:val="18"/>
                <w:szCs w:val="18"/>
              </w:rPr>
            </w:pPr>
            <w:r>
              <w:rPr>
                <w:rFonts w:ascii="Calibri" w:hAnsi="Calibri"/>
                <w:b/>
                <w:bCs/>
                <w:color w:val="000000"/>
                <w:sz w:val="18"/>
                <w:szCs w:val="18"/>
              </w:rPr>
              <w:t>6 993</w:t>
            </w:r>
          </w:p>
        </w:tc>
        <w:tc>
          <w:tcPr>
            <w:tcW w:w="972" w:type="dxa"/>
            <w:tcBorders>
              <w:top w:val="nil"/>
              <w:left w:val="nil"/>
              <w:bottom w:val="nil"/>
              <w:right w:val="nil"/>
            </w:tcBorders>
            <w:shd w:val="clear" w:color="000000" w:fill="FFFFFF"/>
            <w:noWrap/>
            <w:vAlign w:val="center"/>
            <w:hideMark/>
          </w:tcPr>
          <w:p w14:paraId="49F37358" w14:textId="0D48D919" w:rsidR="00FC23B1" w:rsidRDefault="00FC23B1" w:rsidP="00FC23B1">
            <w:pPr>
              <w:jc w:val="right"/>
              <w:rPr>
                <w:rFonts w:ascii="Calibri" w:hAnsi="Calibri"/>
                <w:color w:val="00B050"/>
                <w:sz w:val="18"/>
                <w:szCs w:val="18"/>
              </w:rPr>
            </w:pPr>
            <w:r>
              <w:rPr>
                <w:rFonts w:ascii="Calibri" w:hAnsi="Calibri"/>
                <w:color w:val="00B050"/>
                <w:sz w:val="18"/>
                <w:szCs w:val="18"/>
              </w:rPr>
              <w:t>7%</w:t>
            </w:r>
          </w:p>
        </w:tc>
        <w:tc>
          <w:tcPr>
            <w:tcW w:w="973" w:type="dxa"/>
            <w:tcBorders>
              <w:top w:val="nil"/>
              <w:left w:val="nil"/>
              <w:bottom w:val="nil"/>
              <w:right w:val="nil"/>
            </w:tcBorders>
            <w:shd w:val="clear" w:color="000000" w:fill="FFFFFF"/>
            <w:noWrap/>
            <w:vAlign w:val="center"/>
            <w:hideMark/>
          </w:tcPr>
          <w:p w14:paraId="1B9CC964" w14:textId="7D1BD9E1" w:rsidR="00FC23B1" w:rsidRDefault="00FC23B1" w:rsidP="00FC23B1">
            <w:pPr>
              <w:jc w:val="right"/>
              <w:rPr>
                <w:rFonts w:ascii="Calibri" w:hAnsi="Calibri"/>
                <w:color w:val="00B050"/>
                <w:sz w:val="18"/>
                <w:szCs w:val="18"/>
              </w:rPr>
            </w:pPr>
            <w:r>
              <w:rPr>
                <w:rFonts w:ascii="Calibri" w:hAnsi="Calibri"/>
                <w:color w:val="00B050"/>
                <w:sz w:val="18"/>
                <w:szCs w:val="18"/>
              </w:rPr>
              <w:t>0%</w:t>
            </w:r>
          </w:p>
        </w:tc>
      </w:tr>
      <w:tr w:rsidR="00C14561" w14:paraId="61D7391C" w14:textId="77777777" w:rsidTr="00FC23B1">
        <w:trPr>
          <w:trHeight w:val="240"/>
        </w:trPr>
        <w:tc>
          <w:tcPr>
            <w:tcW w:w="3969" w:type="dxa"/>
            <w:tcBorders>
              <w:top w:val="nil"/>
              <w:left w:val="nil"/>
              <w:bottom w:val="nil"/>
              <w:right w:val="nil"/>
            </w:tcBorders>
            <w:shd w:val="clear" w:color="000000" w:fill="FFFFFF"/>
            <w:noWrap/>
            <w:vAlign w:val="bottom"/>
            <w:hideMark/>
          </w:tcPr>
          <w:p w14:paraId="7A535F39" w14:textId="77777777" w:rsidR="00C14561" w:rsidRDefault="00C14561" w:rsidP="00C14561">
            <w:pPr>
              <w:rPr>
                <w:rFonts w:ascii="Calibri" w:hAnsi="Calibri"/>
                <w:b/>
                <w:bCs/>
                <w:color w:val="000000"/>
                <w:sz w:val="18"/>
                <w:szCs w:val="18"/>
              </w:rPr>
            </w:pPr>
            <w:r>
              <w:rPr>
                <w:rFonts w:ascii="Calibri" w:hAnsi="Calibri"/>
                <w:b/>
                <w:bCs/>
                <w:color w:val="000000"/>
                <w:sz w:val="18"/>
                <w:szCs w:val="18"/>
              </w:rPr>
              <w:t>Текущи задължения</w:t>
            </w:r>
          </w:p>
        </w:tc>
        <w:tc>
          <w:tcPr>
            <w:tcW w:w="737" w:type="dxa"/>
            <w:tcBorders>
              <w:top w:val="nil"/>
              <w:left w:val="nil"/>
              <w:bottom w:val="nil"/>
              <w:right w:val="nil"/>
            </w:tcBorders>
            <w:shd w:val="clear" w:color="000000" w:fill="FFFFFF"/>
            <w:noWrap/>
            <w:vAlign w:val="center"/>
            <w:hideMark/>
          </w:tcPr>
          <w:p w14:paraId="6B790391" w14:textId="77777777" w:rsidR="00C14561" w:rsidRDefault="00C14561" w:rsidP="00C14561">
            <w:pPr>
              <w:jc w:val="right"/>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hideMark/>
          </w:tcPr>
          <w:p w14:paraId="1C8AC73E" w14:textId="77777777" w:rsidR="00C14561" w:rsidRDefault="00C14561" w:rsidP="00C14561">
            <w:pPr>
              <w:jc w:val="right"/>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tcPr>
          <w:p w14:paraId="130A48DA" w14:textId="13C275BE" w:rsidR="00C14561" w:rsidRDefault="00C14561" w:rsidP="00C14561">
            <w:pPr>
              <w:jc w:val="right"/>
              <w:rPr>
                <w:rFonts w:ascii="Calibri" w:hAnsi="Calibri"/>
                <w:color w:val="000000"/>
                <w:sz w:val="18"/>
                <w:szCs w:val="18"/>
              </w:rPr>
            </w:pPr>
          </w:p>
        </w:tc>
        <w:tc>
          <w:tcPr>
            <w:tcW w:w="972" w:type="dxa"/>
            <w:tcBorders>
              <w:top w:val="nil"/>
              <w:left w:val="nil"/>
              <w:bottom w:val="nil"/>
              <w:right w:val="nil"/>
            </w:tcBorders>
            <w:shd w:val="clear" w:color="000000" w:fill="FFFFFF"/>
          </w:tcPr>
          <w:p w14:paraId="58750348" w14:textId="77777777" w:rsidR="00C14561" w:rsidRDefault="00C14561" w:rsidP="00C14561">
            <w:pPr>
              <w:jc w:val="right"/>
              <w:rPr>
                <w:rFonts w:ascii="Calibri" w:hAnsi="Calibri"/>
                <w:color w:val="00B050"/>
                <w:sz w:val="18"/>
                <w:szCs w:val="18"/>
              </w:rPr>
            </w:pPr>
          </w:p>
        </w:tc>
        <w:tc>
          <w:tcPr>
            <w:tcW w:w="972" w:type="dxa"/>
            <w:tcBorders>
              <w:top w:val="nil"/>
              <w:left w:val="nil"/>
              <w:bottom w:val="nil"/>
              <w:right w:val="nil"/>
            </w:tcBorders>
            <w:shd w:val="clear" w:color="000000" w:fill="FFFFFF"/>
            <w:noWrap/>
            <w:vAlign w:val="center"/>
            <w:hideMark/>
          </w:tcPr>
          <w:p w14:paraId="7B400A17" w14:textId="0A14BBCB" w:rsidR="00C14561" w:rsidRDefault="00C14561" w:rsidP="00C14561">
            <w:pPr>
              <w:jc w:val="right"/>
              <w:rPr>
                <w:rFonts w:ascii="Calibri" w:hAnsi="Calibri"/>
                <w:color w:val="00B050"/>
                <w:sz w:val="18"/>
                <w:szCs w:val="18"/>
              </w:rPr>
            </w:pPr>
            <w:r>
              <w:rPr>
                <w:rFonts w:ascii="Calibri" w:hAnsi="Calibri"/>
                <w:color w:val="00B050"/>
                <w:sz w:val="18"/>
                <w:szCs w:val="18"/>
              </w:rPr>
              <w:t> </w:t>
            </w:r>
          </w:p>
        </w:tc>
        <w:tc>
          <w:tcPr>
            <w:tcW w:w="973" w:type="dxa"/>
            <w:tcBorders>
              <w:top w:val="nil"/>
              <w:left w:val="nil"/>
              <w:bottom w:val="nil"/>
              <w:right w:val="nil"/>
            </w:tcBorders>
            <w:shd w:val="clear" w:color="000000" w:fill="FFFFFF"/>
            <w:noWrap/>
            <w:vAlign w:val="center"/>
            <w:hideMark/>
          </w:tcPr>
          <w:p w14:paraId="62D00831" w14:textId="77777777" w:rsidR="00C14561" w:rsidRDefault="00C14561" w:rsidP="00C14561">
            <w:pPr>
              <w:jc w:val="right"/>
              <w:rPr>
                <w:rFonts w:ascii="Calibri" w:hAnsi="Calibri"/>
                <w:color w:val="00B050"/>
                <w:sz w:val="18"/>
                <w:szCs w:val="18"/>
              </w:rPr>
            </w:pPr>
            <w:r>
              <w:rPr>
                <w:rFonts w:ascii="Calibri" w:hAnsi="Calibri"/>
                <w:color w:val="00B050"/>
                <w:sz w:val="18"/>
                <w:szCs w:val="18"/>
              </w:rPr>
              <w:t> </w:t>
            </w:r>
          </w:p>
        </w:tc>
      </w:tr>
      <w:tr w:rsidR="00FC23B1" w14:paraId="326147A7" w14:textId="77777777" w:rsidTr="00D07C2E">
        <w:trPr>
          <w:trHeight w:val="240"/>
        </w:trPr>
        <w:tc>
          <w:tcPr>
            <w:tcW w:w="3969" w:type="dxa"/>
            <w:tcBorders>
              <w:top w:val="nil"/>
              <w:left w:val="nil"/>
              <w:bottom w:val="nil"/>
              <w:right w:val="nil"/>
            </w:tcBorders>
            <w:shd w:val="clear" w:color="000000" w:fill="FFFFFF"/>
            <w:noWrap/>
            <w:vAlign w:val="bottom"/>
            <w:hideMark/>
          </w:tcPr>
          <w:p w14:paraId="18B6C3F0" w14:textId="77777777" w:rsidR="00FC23B1" w:rsidRDefault="00FC23B1" w:rsidP="00FC23B1">
            <w:pPr>
              <w:rPr>
                <w:rFonts w:ascii="Calibri" w:hAnsi="Calibri"/>
                <w:color w:val="000000"/>
                <w:sz w:val="18"/>
                <w:szCs w:val="18"/>
              </w:rPr>
            </w:pPr>
            <w:r>
              <w:rPr>
                <w:rFonts w:ascii="Calibri" w:hAnsi="Calibri"/>
                <w:color w:val="000000"/>
                <w:sz w:val="18"/>
                <w:szCs w:val="18"/>
              </w:rPr>
              <w:t>Задължения по облигационен заем</w:t>
            </w:r>
          </w:p>
        </w:tc>
        <w:tc>
          <w:tcPr>
            <w:tcW w:w="737" w:type="dxa"/>
            <w:tcBorders>
              <w:top w:val="nil"/>
              <w:left w:val="nil"/>
              <w:bottom w:val="nil"/>
              <w:right w:val="nil"/>
            </w:tcBorders>
            <w:shd w:val="clear" w:color="000000" w:fill="FFFFFF"/>
            <w:noWrap/>
            <w:vAlign w:val="center"/>
            <w:hideMark/>
          </w:tcPr>
          <w:p w14:paraId="36877CB8" w14:textId="77777777" w:rsidR="00FC23B1" w:rsidRDefault="00FC23B1" w:rsidP="00FC23B1">
            <w:pPr>
              <w:jc w:val="right"/>
              <w:rPr>
                <w:rFonts w:ascii="Calibri" w:hAnsi="Calibri"/>
                <w:color w:val="000000"/>
                <w:sz w:val="18"/>
                <w:szCs w:val="18"/>
              </w:rPr>
            </w:pPr>
            <w:r>
              <w:rPr>
                <w:rFonts w:ascii="Calibri" w:hAnsi="Calibri"/>
                <w:color w:val="000000"/>
                <w:sz w:val="18"/>
                <w:szCs w:val="18"/>
              </w:rPr>
              <w:t>0</w:t>
            </w:r>
          </w:p>
        </w:tc>
        <w:tc>
          <w:tcPr>
            <w:tcW w:w="737" w:type="dxa"/>
            <w:tcBorders>
              <w:top w:val="nil"/>
              <w:left w:val="nil"/>
              <w:bottom w:val="nil"/>
              <w:right w:val="nil"/>
            </w:tcBorders>
            <w:shd w:val="clear" w:color="000000" w:fill="FFFFFF"/>
            <w:noWrap/>
            <w:vAlign w:val="center"/>
            <w:hideMark/>
          </w:tcPr>
          <w:p w14:paraId="06C870F8" w14:textId="77777777" w:rsidR="00FC23B1" w:rsidRDefault="00FC23B1" w:rsidP="00FC23B1">
            <w:pPr>
              <w:jc w:val="right"/>
              <w:rPr>
                <w:rFonts w:ascii="Calibri" w:hAnsi="Calibri"/>
                <w:color w:val="000000"/>
                <w:sz w:val="18"/>
                <w:szCs w:val="18"/>
              </w:rPr>
            </w:pPr>
            <w:r>
              <w:rPr>
                <w:rFonts w:ascii="Calibri" w:hAnsi="Calibri"/>
                <w:color w:val="000000"/>
                <w:sz w:val="18"/>
                <w:szCs w:val="18"/>
              </w:rPr>
              <w:t>51</w:t>
            </w:r>
          </w:p>
        </w:tc>
        <w:tc>
          <w:tcPr>
            <w:tcW w:w="737" w:type="dxa"/>
            <w:tcBorders>
              <w:top w:val="nil"/>
              <w:left w:val="nil"/>
              <w:bottom w:val="nil"/>
              <w:right w:val="nil"/>
            </w:tcBorders>
            <w:shd w:val="clear" w:color="000000" w:fill="FFFFFF"/>
            <w:noWrap/>
            <w:vAlign w:val="center"/>
          </w:tcPr>
          <w:p w14:paraId="52A29091" w14:textId="3CBD0B48" w:rsidR="00FC23B1" w:rsidRDefault="00FC23B1" w:rsidP="00FC23B1">
            <w:pPr>
              <w:jc w:val="right"/>
              <w:rPr>
                <w:rFonts w:ascii="Calibri" w:hAnsi="Calibri"/>
                <w:color w:val="000000"/>
                <w:sz w:val="18"/>
                <w:szCs w:val="18"/>
              </w:rPr>
            </w:pPr>
            <w:r>
              <w:rPr>
                <w:rFonts w:ascii="Calibri" w:hAnsi="Calibri"/>
                <w:color w:val="000000"/>
                <w:sz w:val="18"/>
                <w:szCs w:val="18"/>
              </w:rPr>
              <w:t>63</w:t>
            </w:r>
          </w:p>
        </w:tc>
        <w:tc>
          <w:tcPr>
            <w:tcW w:w="972" w:type="dxa"/>
            <w:tcBorders>
              <w:top w:val="nil"/>
              <w:left w:val="nil"/>
              <w:bottom w:val="nil"/>
              <w:right w:val="nil"/>
            </w:tcBorders>
            <w:shd w:val="clear" w:color="000000" w:fill="FFFFFF"/>
            <w:vAlign w:val="center"/>
          </w:tcPr>
          <w:p w14:paraId="0A9B6898" w14:textId="3B66A219" w:rsidR="00FC23B1" w:rsidRDefault="00FC23B1" w:rsidP="00FC23B1">
            <w:pPr>
              <w:jc w:val="right"/>
              <w:rPr>
                <w:rFonts w:ascii="Calibri" w:hAnsi="Calibri"/>
                <w:color w:val="00B050"/>
                <w:sz w:val="18"/>
                <w:szCs w:val="18"/>
              </w:rPr>
            </w:pPr>
            <w:r>
              <w:rPr>
                <w:rFonts w:ascii="Calibri" w:hAnsi="Calibri"/>
                <w:color w:val="000000"/>
                <w:sz w:val="18"/>
                <w:szCs w:val="18"/>
              </w:rPr>
              <w:t>62</w:t>
            </w:r>
          </w:p>
        </w:tc>
        <w:tc>
          <w:tcPr>
            <w:tcW w:w="972" w:type="dxa"/>
            <w:tcBorders>
              <w:top w:val="nil"/>
              <w:left w:val="nil"/>
              <w:bottom w:val="nil"/>
              <w:right w:val="nil"/>
            </w:tcBorders>
            <w:shd w:val="clear" w:color="000000" w:fill="FFFFFF"/>
            <w:noWrap/>
            <w:vAlign w:val="center"/>
            <w:hideMark/>
          </w:tcPr>
          <w:p w14:paraId="6EE90A21" w14:textId="5654DEA7" w:rsidR="00FC23B1" w:rsidRDefault="00FC23B1" w:rsidP="00FC23B1">
            <w:pPr>
              <w:jc w:val="right"/>
              <w:rPr>
                <w:rFonts w:ascii="Calibri" w:hAnsi="Calibri"/>
                <w:color w:val="00B050"/>
                <w:sz w:val="18"/>
                <w:szCs w:val="18"/>
              </w:rPr>
            </w:pPr>
            <w:r>
              <w:rPr>
                <w:rFonts w:ascii="Calibri" w:hAnsi="Calibri"/>
                <w:color w:val="00B050"/>
                <w:sz w:val="18"/>
                <w:szCs w:val="18"/>
              </w:rPr>
              <w:t>24%</w:t>
            </w:r>
          </w:p>
        </w:tc>
        <w:tc>
          <w:tcPr>
            <w:tcW w:w="973" w:type="dxa"/>
            <w:tcBorders>
              <w:top w:val="nil"/>
              <w:left w:val="nil"/>
              <w:bottom w:val="nil"/>
              <w:right w:val="nil"/>
            </w:tcBorders>
            <w:shd w:val="clear" w:color="000000" w:fill="FFFFFF"/>
            <w:noWrap/>
            <w:vAlign w:val="center"/>
            <w:hideMark/>
          </w:tcPr>
          <w:p w14:paraId="7D36978F" w14:textId="2D6DEF93" w:rsidR="00FC23B1" w:rsidRDefault="00FC23B1" w:rsidP="00FC23B1">
            <w:pPr>
              <w:jc w:val="right"/>
              <w:rPr>
                <w:rFonts w:ascii="Calibri" w:hAnsi="Calibri"/>
                <w:color w:val="00B050"/>
                <w:sz w:val="18"/>
                <w:szCs w:val="18"/>
              </w:rPr>
            </w:pPr>
            <w:r>
              <w:rPr>
                <w:rFonts w:ascii="Calibri" w:hAnsi="Calibri"/>
                <w:color w:val="00B050"/>
                <w:sz w:val="18"/>
                <w:szCs w:val="18"/>
              </w:rPr>
              <w:t>-2%</w:t>
            </w:r>
          </w:p>
        </w:tc>
      </w:tr>
      <w:tr w:rsidR="00FC23B1" w14:paraId="44F31E28" w14:textId="77777777" w:rsidTr="00D07C2E">
        <w:trPr>
          <w:trHeight w:val="240"/>
        </w:trPr>
        <w:tc>
          <w:tcPr>
            <w:tcW w:w="3969" w:type="dxa"/>
            <w:tcBorders>
              <w:top w:val="nil"/>
              <w:left w:val="nil"/>
              <w:bottom w:val="nil"/>
              <w:right w:val="nil"/>
            </w:tcBorders>
            <w:shd w:val="clear" w:color="000000" w:fill="FFFFFF"/>
            <w:noWrap/>
            <w:vAlign w:val="bottom"/>
            <w:hideMark/>
          </w:tcPr>
          <w:p w14:paraId="5906B180" w14:textId="77777777" w:rsidR="00FC23B1" w:rsidRDefault="00FC23B1" w:rsidP="00FC23B1">
            <w:pPr>
              <w:rPr>
                <w:rFonts w:ascii="Calibri" w:hAnsi="Calibri"/>
                <w:color w:val="000000"/>
                <w:sz w:val="18"/>
                <w:szCs w:val="18"/>
              </w:rPr>
            </w:pPr>
            <w:r>
              <w:rPr>
                <w:rFonts w:ascii="Calibri" w:hAnsi="Calibri"/>
                <w:color w:val="000000"/>
                <w:sz w:val="18"/>
                <w:szCs w:val="18"/>
              </w:rPr>
              <w:t>Задължения към свързани лица</w:t>
            </w:r>
          </w:p>
        </w:tc>
        <w:tc>
          <w:tcPr>
            <w:tcW w:w="737" w:type="dxa"/>
            <w:tcBorders>
              <w:top w:val="nil"/>
              <w:left w:val="nil"/>
              <w:bottom w:val="nil"/>
              <w:right w:val="nil"/>
            </w:tcBorders>
            <w:shd w:val="clear" w:color="000000" w:fill="FFFFFF"/>
            <w:noWrap/>
            <w:vAlign w:val="center"/>
            <w:hideMark/>
          </w:tcPr>
          <w:p w14:paraId="70D4618D" w14:textId="77777777" w:rsidR="00FC23B1" w:rsidRDefault="00FC23B1" w:rsidP="00FC23B1">
            <w:pPr>
              <w:jc w:val="right"/>
              <w:rPr>
                <w:rFonts w:ascii="Calibri" w:hAnsi="Calibri"/>
                <w:color w:val="000000"/>
                <w:sz w:val="18"/>
                <w:szCs w:val="18"/>
              </w:rPr>
            </w:pPr>
            <w:r>
              <w:rPr>
                <w:rFonts w:ascii="Calibri" w:hAnsi="Calibri"/>
                <w:color w:val="000000"/>
                <w:sz w:val="18"/>
                <w:szCs w:val="18"/>
              </w:rPr>
              <w:t>47</w:t>
            </w:r>
          </w:p>
        </w:tc>
        <w:tc>
          <w:tcPr>
            <w:tcW w:w="737" w:type="dxa"/>
            <w:tcBorders>
              <w:top w:val="nil"/>
              <w:left w:val="nil"/>
              <w:bottom w:val="nil"/>
              <w:right w:val="nil"/>
            </w:tcBorders>
            <w:shd w:val="clear" w:color="000000" w:fill="FFFFFF"/>
            <w:noWrap/>
            <w:vAlign w:val="center"/>
            <w:hideMark/>
          </w:tcPr>
          <w:p w14:paraId="1EAF4733" w14:textId="77777777" w:rsidR="00FC23B1" w:rsidRDefault="00FC23B1" w:rsidP="00FC23B1">
            <w:pPr>
              <w:jc w:val="right"/>
              <w:rPr>
                <w:rFonts w:ascii="Calibri" w:hAnsi="Calibri"/>
                <w:color w:val="000000"/>
                <w:sz w:val="18"/>
                <w:szCs w:val="18"/>
              </w:rPr>
            </w:pPr>
            <w:r>
              <w:rPr>
                <w:rFonts w:ascii="Calibri" w:hAnsi="Calibri"/>
                <w:color w:val="000000"/>
                <w:sz w:val="18"/>
                <w:szCs w:val="18"/>
              </w:rPr>
              <w:t>24</w:t>
            </w:r>
          </w:p>
        </w:tc>
        <w:tc>
          <w:tcPr>
            <w:tcW w:w="737" w:type="dxa"/>
            <w:tcBorders>
              <w:top w:val="nil"/>
              <w:left w:val="nil"/>
              <w:bottom w:val="nil"/>
              <w:right w:val="nil"/>
            </w:tcBorders>
            <w:shd w:val="clear" w:color="000000" w:fill="FFFFFF"/>
            <w:noWrap/>
            <w:vAlign w:val="center"/>
          </w:tcPr>
          <w:p w14:paraId="454B356F" w14:textId="6B6563DC" w:rsidR="00FC23B1" w:rsidRDefault="00FC23B1" w:rsidP="00FC23B1">
            <w:pPr>
              <w:jc w:val="right"/>
              <w:rPr>
                <w:rFonts w:ascii="Calibri" w:hAnsi="Calibri"/>
                <w:color w:val="000000"/>
                <w:sz w:val="18"/>
                <w:szCs w:val="18"/>
              </w:rPr>
            </w:pPr>
            <w:r>
              <w:rPr>
                <w:rFonts w:ascii="Calibri" w:hAnsi="Calibri"/>
                <w:color w:val="000000"/>
                <w:sz w:val="18"/>
                <w:szCs w:val="18"/>
              </w:rPr>
              <w:t>50</w:t>
            </w:r>
          </w:p>
        </w:tc>
        <w:tc>
          <w:tcPr>
            <w:tcW w:w="972" w:type="dxa"/>
            <w:tcBorders>
              <w:top w:val="nil"/>
              <w:left w:val="nil"/>
              <w:bottom w:val="nil"/>
              <w:right w:val="nil"/>
            </w:tcBorders>
            <w:shd w:val="clear" w:color="000000" w:fill="FFFFFF"/>
            <w:vAlign w:val="center"/>
          </w:tcPr>
          <w:p w14:paraId="6483065C" w14:textId="2BB4D367" w:rsidR="00FC23B1" w:rsidRDefault="00FC23B1" w:rsidP="00FC23B1">
            <w:pPr>
              <w:jc w:val="right"/>
              <w:rPr>
                <w:rFonts w:ascii="Calibri" w:hAnsi="Calibri"/>
                <w:color w:val="00B050"/>
                <w:sz w:val="18"/>
                <w:szCs w:val="18"/>
              </w:rPr>
            </w:pPr>
            <w:r>
              <w:rPr>
                <w:rFonts w:ascii="Calibri" w:hAnsi="Calibri"/>
                <w:color w:val="000000"/>
                <w:sz w:val="18"/>
                <w:szCs w:val="18"/>
              </w:rPr>
              <w:t>50</w:t>
            </w:r>
          </w:p>
        </w:tc>
        <w:tc>
          <w:tcPr>
            <w:tcW w:w="972" w:type="dxa"/>
            <w:tcBorders>
              <w:top w:val="nil"/>
              <w:left w:val="nil"/>
              <w:bottom w:val="nil"/>
              <w:right w:val="nil"/>
            </w:tcBorders>
            <w:shd w:val="clear" w:color="000000" w:fill="FFFFFF"/>
            <w:noWrap/>
            <w:vAlign w:val="center"/>
            <w:hideMark/>
          </w:tcPr>
          <w:p w14:paraId="511386C3" w14:textId="49EE6011" w:rsidR="00FC23B1" w:rsidRDefault="00FC23B1" w:rsidP="00FC23B1">
            <w:pPr>
              <w:jc w:val="right"/>
              <w:rPr>
                <w:rFonts w:ascii="Calibri" w:hAnsi="Calibri"/>
                <w:color w:val="00B050"/>
                <w:sz w:val="18"/>
                <w:szCs w:val="18"/>
              </w:rPr>
            </w:pPr>
            <w:r>
              <w:rPr>
                <w:rFonts w:ascii="Calibri" w:hAnsi="Calibri"/>
                <w:color w:val="00B050"/>
                <w:sz w:val="18"/>
                <w:szCs w:val="18"/>
              </w:rPr>
              <w:t>108%</w:t>
            </w:r>
          </w:p>
        </w:tc>
        <w:tc>
          <w:tcPr>
            <w:tcW w:w="973" w:type="dxa"/>
            <w:tcBorders>
              <w:top w:val="nil"/>
              <w:left w:val="nil"/>
              <w:bottom w:val="nil"/>
              <w:right w:val="nil"/>
            </w:tcBorders>
            <w:shd w:val="clear" w:color="000000" w:fill="FFFFFF"/>
            <w:noWrap/>
            <w:vAlign w:val="center"/>
            <w:hideMark/>
          </w:tcPr>
          <w:p w14:paraId="7525C492" w14:textId="612660E2" w:rsidR="00FC23B1" w:rsidRDefault="00FC23B1" w:rsidP="00FC23B1">
            <w:pPr>
              <w:jc w:val="right"/>
              <w:rPr>
                <w:rFonts w:ascii="Calibri" w:hAnsi="Calibri"/>
                <w:color w:val="00B050"/>
                <w:sz w:val="18"/>
                <w:szCs w:val="18"/>
              </w:rPr>
            </w:pPr>
            <w:r>
              <w:rPr>
                <w:rFonts w:ascii="Calibri" w:hAnsi="Calibri"/>
                <w:color w:val="00B050"/>
                <w:sz w:val="18"/>
                <w:szCs w:val="18"/>
              </w:rPr>
              <w:t>0%</w:t>
            </w:r>
          </w:p>
        </w:tc>
      </w:tr>
      <w:tr w:rsidR="00FC23B1" w14:paraId="32B39C35" w14:textId="77777777" w:rsidTr="00D07C2E">
        <w:trPr>
          <w:trHeight w:val="240"/>
        </w:trPr>
        <w:tc>
          <w:tcPr>
            <w:tcW w:w="3969" w:type="dxa"/>
            <w:tcBorders>
              <w:top w:val="nil"/>
              <w:left w:val="nil"/>
              <w:bottom w:val="nil"/>
              <w:right w:val="nil"/>
            </w:tcBorders>
            <w:shd w:val="clear" w:color="000000" w:fill="FFFFFF"/>
            <w:noWrap/>
            <w:vAlign w:val="bottom"/>
            <w:hideMark/>
          </w:tcPr>
          <w:p w14:paraId="3DD8CDF5" w14:textId="77777777" w:rsidR="00FC23B1" w:rsidRDefault="00FC23B1" w:rsidP="00FC23B1">
            <w:pPr>
              <w:rPr>
                <w:rFonts w:ascii="Calibri" w:hAnsi="Calibri"/>
                <w:color w:val="000000"/>
                <w:sz w:val="18"/>
                <w:szCs w:val="18"/>
              </w:rPr>
            </w:pPr>
            <w:r>
              <w:rPr>
                <w:rFonts w:ascii="Calibri" w:hAnsi="Calibri"/>
                <w:color w:val="000000"/>
                <w:sz w:val="18"/>
                <w:szCs w:val="18"/>
              </w:rPr>
              <w:t xml:space="preserve">Текущи задължения по лизингови договори </w:t>
            </w:r>
          </w:p>
        </w:tc>
        <w:tc>
          <w:tcPr>
            <w:tcW w:w="737" w:type="dxa"/>
            <w:tcBorders>
              <w:top w:val="nil"/>
              <w:left w:val="nil"/>
              <w:bottom w:val="nil"/>
              <w:right w:val="nil"/>
            </w:tcBorders>
            <w:shd w:val="clear" w:color="000000" w:fill="FFFFFF"/>
            <w:noWrap/>
            <w:vAlign w:val="center"/>
            <w:hideMark/>
          </w:tcPr>
          <w:p w14:paraId="4161F949" w14:textId="77777777" w:rsidR="00FC23B1" w:rsidRDefault="00FC23B1" w:rsidP="00FC23B1">
            <w:pPr>
              <w:jc w:val="right"/>
              <w:rPr>
                <w:rFonts w:ascii="Calibri" w:hAnsi="Calibri"/>
                <w:color w:val="000000"/>
                <w:sz w:val="18"/>
                <w:szCs w:val="18"/>
              </w:rPr>
            </w:pPr>
            <w:r>
              <w:rPr>
                <w:rFonts w:ascii="Calibri" w:hAnsi="Calibri"/>
                <w:color w:val="000000"/>
                <w:sz w:val="18"/>
                <w:szCs w:val="18"/>
              </w:rPr>
              <w:t>0</w:t>
            </w:r>
          </w:p>
        </w:tc>
        <w:tc>
          <w:tcPr>
            <w:tcW w:w="737" w:type="dxa"/>
            <w:tcBorders>
              <w:top w:val="nil"/>
              <w:left w:val="nil"/>
              <w:bottom w:val="nil"/>
              <w:right w:val="nil"/>
            </w:tcBorders>
            <w:shd w:val="clear" w:color="000000" w:fill="FFFFFF"/>
            <w:noWrap/>
            <w:vAlign w:val="center"/>
            <w:hideMark/>
          </w:tcPr>
          <w:p w14:paraId="66A531B8" w14:textId="77777777" w:rsidR="00FC23B1" w:rsidRDefault="00FC23B1" w:rsidP="00FC23B1">
            <w:pPr>
              <w:jc w:val="right"/>
              <w:rPr>
                <w:rFonts w:ascii="Calibri" w:hAnsi="Calibri"/>
                <w:color w:val="000000"/>
                <w:sz w:val="18"/>
                <w:szCs w:val="18"/>
              </w:rPr>
            </w:pPr>
            <w:r>
              <w:rPr>
                <w:rFonts w:ascii="Calibri" w:hAnsi="Calibri"/>
                <w:color w:val="000000"/>
                <w:sz w:val="18"/>
                <w:szCs w:val="18"/>
              </w:rPr>
              <w:t>184</w:t>
            </w:r>
          </w:p>
        </w:tc>
        <w:tc>
          <w:tcPr>
            <w:tcW w:w="737" w:type="dxa"/>
            <w:tcBorders>
              <w:top w:val="nil"/>
              <w:left w:val="nil"/>
              <w:bottom w:val="nil"/>
              <w:right w:val="nil"/>
            </w:tcBorders>
            <w:shd w:val="clear" w:color="000000" w:fill="FFFFFF"/>
            <w:noWrap/>
            <w:vAlign w:val="center"/>
          </w:tcPr>
          <w:p w14:paraId="6A7155A1" w14:textId="531EE039" w:rsidR="00FC23B1" w:rsidRDefault="00FC23B1" w:rsidP="00FC23B1">
            <w:pPr>
              <w:jc w:val="right"/>
              <w:rPr>
                <w:rFonts w:ascii="Calibri" w:hAnsi="Calibri"/>
                <w:color w:val="000000"/>
                <w:sz w:val="18"/>
                <w:szCs w:val="18"/>
              </w:rPr>
            </w:pPr>
            <w:r>
              <w:rPr>
                <w:rFonts w:ascii="Calibri" w:hAnsi="Calibri"/>
                <w:color w:val="000000"/>
                <w:sz w:val="18"/>
                <w:szCs w:val="18"/>
              </w:rPr>
              <w:t>155</w:t>
            </w:r>
          </w:p>
        </w:tc>
        <w:tc>
          <w:tcPr>
            <w:tcW w:w="972" w:type="dxa"/>
            <w:tcBorders>
              <w:top w:val="nil"/>
              <w:left w:val="nil"/>
              <w:bottom w:val="nil"/>
              <w:right w:val="nil"/>
            </w:tcBorders>
            <w:shd w:val="clear" w:color="000000" w:fill="FFFFFF"/>
            <w:vAlign w:val="center"/>
          </w:tcPr>
          <w:p w14:paraId="08972544" w14:textId="628CC153" w:rsidR="00FC23B1" w:rsidRDefault="00FC23B1" w:rsidP="00FC23B1">
            <w:pPr>
              <w:jc w:val="right"/>
              <w:rPr>
                <w:rFonts w:ascii="Calibri" w:hAnsi="Calibri"/>
                <w:color w:val="00B050"/>
                <w:sz w:val="18"/>
                <w:szCs w:val="18"/>
              </w:rPr>
            </w:pPr>
            <w:r>
              <w:rPr>
                <w:rFonts w:ascii="Calibri" w:hAnsi="Calibri"/>
                <w:color w:val="000000"/>
                <w:sz w:val="18"/>
                <w:szCs w:val="18"/>
              </w:rPr>
              <w:t>72</w:t>
            </w:r>
          </w:p>
        </w:tc>
        <w:tc>
          <w:tcPr>
            <w:tcW w:w="972" w:type="dxa"/>
            <w:tcBorders>
              <w:top w:val="nil"/>
              <w:left w:val="nil"/>
              <w:bottom w:val="nil"/>
              <w:right w:val="nil"/>
            </w:tcBorders>
            <w:shd w:val="clear" w:color="000000" w:fill="FFFFFF"/>
            <w:noWrap/>
            <w:vAlign w:val="center"/>
            <w:hideMark/>
          </w:tcPr>
          <w:p w14:paraId="217A537F" w14:textId="28D2ED84" w:rsidR="00FC23B1" w:rsidRDefault="00FC23B1" w:rsidP="00FC23B1">
            <w:pPr>
              <w:jc w:val="right"/>
              <w:rPr>
                <w:rFonts w:ascii="Calibri" w:hAnsi="Calibri"/>
                <w:color w:val="00B050"/>
                <w:sz w:val="18"/>
                <w:szCs w:val="18"/>
              </w:rPr>
            </w:pPr>
            <w:r>
              <w:rPr>
                <w:rFonts w:ascii="Calibri" w:hAnsi="Calibri"/>
                <w:color w:val="00B050"/>
                <w:sz w:val="18"/>
                <w:szCs w:val="18"/>
              </w:rPr>
              <w:t>-16%</w:t>
            </w:r>
          </w:p>
        </w:tc>
        <w:tc>
          <w:tcPr>
            <w:tcW w:w="973" w:type="dxa"/>
            <w:tcBorders>
              <w:top w:val="nil"/>
              <w:left w:val="nil"/>
              <w:bottom w:val="nil"/>
              <w:right w:val="nil"/>
            </w:tcBorders>
            <w:shd w:val="clear" w:color="000000" w:fill="FFFFFF"/>
            <w:noWrap/>
            <w:vAlign w:val="center"/>
            <w:hideMark/>
          </w:tcPr>
          <w:p w14:paraId="6CE1EFA6" w14:textId="62900852" w:rsidR="00FC23B1" w:rsidRDefault="00FC23B1" w:rsidP="00FC23B1">
            <w:pPr>
              <w:jc w:val="right"/>
              <w:rPr>
                <w:rFonts w:ascii="Calibri" w:hAnsi="Calibri"/>
                <w:color w:val="00B050"/>
                <w:sz w:val="18"/>
                <w:szCs w:val="18"/>
              </w:rPr>
            </w:pPr>
            <w:r>
              <w:rPr>
                <w:rFonts w:ascii="Calibri" w:hAnsi="Calibri"/>
                <w:color w:val="00B050"/>
                <w:sz w:val="18"/>
                <w:szCs w:val="18"/>
              </w:rPr>
              <w:t>-54%</w:t>
            </w:r>
          </w:p>
        </w:tc>
      </w:tr>
      <w:tr w:rsidR="00FC23B1" w14:paraId="7DDB2E21" w14:textId="77777777" w:rsidTr="00D07C2E">
        <w:trPr>
          <w:trHeight w:val="240"/>
        </w:trPr>
        <w:tc>
          <w:tcPr>
            <w:tcW w:w="3969" w:type="dxa"/>
            <w:tcBorders>
              <w:top w:val="nil"/>
              <w:left w:val="nil"/>
              <w:bottom w:val="nil"/>
              <w:right w:val="nil"/>
            </w:tcBorders>
            <w:shd w:val="clear" w:color="000000" w:fill="FFFFFF"/>
            <w:noWrap/>
            <w:vAlign w:val="bottom"/>
            <w:hideMark/>
          </w:tcPr>
          <w:p w14:paraId="2F7C5C1F" w14:textId="77777777" w:rsidR="00FC23B1" w:rsidRDefault="00FC23B1" w:rsidP="00FC23B1">
            <w:pPr>
              <w:rPr>
                <w:rFonts w:ascii="Calibri" w:hAnsi="Calibri"/>
                <w:color w:val="000000"/>
                <w:sz w:val="18"/>
                <w:szCs w:val="18"/>
              </w:rPr>
            </w:pPr>
            <w:r>
              <w:rPr>
                <w:rFonts w:ascii="Calibri" w:hAnsi="Calibri"/>
                <w:color w:val="000000"/>
                <w:sz w:val="18"/>
                <w:szCs w:val="18"/>
              </w:rPr>
              <w:t>Търговски задължения</w:t>
            </w:r>
          </w:p>
        </w:tc>
        <w:tc>
          <w:tcPr>
            <w:tcW w:w="737" w:type="dxa"/>
            <w:tcBorders>
              <w:top w:val="nil"/>
              <w:left w:val="nil"/>
              <w:bottom w:val="nil"/>
              <w:right w:val="nil"/>
            </w:tcBorders>
            <w:shd w:val="clear" w:color="000000" w:fill="FFFFFF"/>
            <w:noWrap/>
            <w:vAlign w:val="center"/>
            <w:hideMark/>
          </w:tcPr>
          <w:p w14:paraId="50E6D3F2" w14:textId="77777777" w:rsidR="00FC23B1" w:rsidRDefault="00FC23B1" w:rsidP="00FC23B1">
            <w:pPr>
              <w:jc w:val="right"/>
              <w:rPr>
                <w:rFonts w:ascii="Calibri" w:hAnsi="Calibri"/>
                <w:color w:val="000000"/>
                <w:sz w:val="18"/>
                <w:szCs w:val="18"/>
              </w:rPr>
            </w:pPr>
            <w:r>
              <w:rPr>
                <w:rFonts w:ascii="Calibri" w:hAnsi="Calibri"/>
                <w:color w:val="000000"/>
                <w:sz w:val="18"/>
                <w:szCs w:val="18"/>
              </w:rPr>
              <w:t>97</w:t>
            </w:r>
          </w:p>
        </w:tc>
        <w:tc>
          <w:tcPr>
            <w:tcW w:w="737" w:type="dxa"/>
            <w:tcBorders>
              <w:top w:val="nil"/>
              <w:left w:val="nil"/>
              <w:bottom w:val="nil"/>
              <w:right w:val="nil"/>
            </w:tcBorders>
            <w:shd w:val="clear" w:color="000000" w:fill="FFFFFF"/>
            <w:noWrap/>
            <w:vAlign w:val="center"/>
            <w:hideMark/>
          </w:tcPr>
          <w:p w14:paraId="425DDE14" w14:textId="77777777" w:rsidR="00FC23B1" w:rsidRDefault="00FC23B1" w:rsidP="00FC23B1">
            <w:pPr>
              <w:jc w:val="right"/>
              <w:rPr>
                <w:rFonts w:ascii="Calibri" w:hAnsi="Calibri"/>
                <w:color w:val="000000"/>
                <w:sz w:val="18"/>
                <w:szCs w:val="18"/>
              </w:rPr>
            </w:pPr>
            <w:r>
              <w:rPr>
                <w:rFonts w:ascii="Calibri" w:hAnsi="Calibri"/>
                <w:color w:val="000000"/>
                <w:sz w:val="18"/>
                <w:szCs w:val="18"/>
              </w:rPr>
              <w:t>160</w:t>
            </w:r>
          </w:p>
        </w:tc>
        <w:tc>
          <w:tcPr>
            <w:tcW w:w="737" w:type="dxa"/>
            <w:tcBorders>
              <w:top w:val="nil"/>
              <w:left w:val="nil"/>
              <w:bottom w:val="nil"/>
              <w:right w:val="nil"/>
            </w:tcBorders>
            <w:shd w:val="clear" w:color="000000" w:fill="FFFFFF"/>
            <w:noWrap/>
            <w:vAlign w:val="center"/>
          </w:tcPr>
          <w:p w14:paraId="261D8613" w14:textId="4CE16617" w:rsidR="00FC23B1" w:rsidRDefault="00FC23B1" w:rsidP="00FC23B1">
            <w:pPr>
              <w:jc w:val="right"/>
              <w:rPr>
                <w:rFonts w:ascii="Calibri" w:hAnsi="Calibri"/>
                <w:color w:val="000000"/>
                <w:sz w:val="18"/>
                <w:szCs w:val="18"/>
              </w:rPr>
            </w:pPr>
            <w:r>
              <w:rPr>
                <w:rFonts w:ascii="Calibri" w:hAnsi="Calibri"/>
                <w:color w:val="000000"/>
                <w:sz w:val="18"/>
                <w:szCs w:val="18"/>
              </w:rPr>
              <w:t>118</w:t>
            </w:r>
          </w:p>
        </w:tc>
        <w:tc>
          <w:tcPr>
            <w:tcW w:w="972" w:type="dxa"/>
            <w:tcBorders>
              <w:top w:val="nil"/>
              <w:left w:val="nil"/>
              <w:bottom w:val="nil"/>
              <w:right w:val="nil"/>
            </w:tcBorders>
            <w:shd w:val="clear" w:color="000000" w:fill="FFFFFF"/>
            <w:vAlign w:val="center"/>
          </w:tcPr>
          <w:p w14:paraId="477EBFCA" w14:textId="7E16717E" w:rsidR="00FC23B1" w:rsidRDefault="00FC23B1" w:rsidP="00FC23B1">
            <w:pPr>
              <w:jc w:val="right"/>
              <w:rPr>
                <w:rFonts w:ascii="Calibri" w:hAnsi="Calibri"/>
                <w:color w:val="00B050"/>
                <w:sz w:val="18"/>
                <w:szCs w:val="18"/>
              </w:rPr>
            </w:pPr>
            <w:r>
              <w:rPr>
                <w:rFonts w:ascii="Calibri" w:hAnsi="Calibri"/>
                <w:color w:val="000000"/>
                <w:sz w:val="18"/>
                <w:szCs w:val="22"/>
              </w:rPr>
              <w:t>127</w:t>
            </w:r>
          </w:p>
        </w:tc>
        <w:tc>
          <w:tcPr>
            <w:tcW w:w="972" w:type="dxa"/>
            <w:tcBorders>
              <w:top w:val="nil"/>
              <w:left w:val="nil"/>
              <w:bottom w:val="nil"/>
              <w:right w:val="nil"/>
            </w:tcBorders>
            <w:shd w:val="clear" w:color="000000" w:fill="FFFFFF"/>
            <w:noWrap/>
            <w:vAlign w:val="center"/>
            <w:hideMark/>
          </w:tcPr>
          <w:p w14:paraId="758DBFE7" w14:textId="60ECA059" w:rsidR="00FC23B1" w:rsidRDefault="00FC23B1" w:rsidP="00FC23B1">
            <w:pPr>
              <w:jc w:val="right"/>
              <w:rPr>
                <w:rFonts w:ascii="Calibri" w:hAnsi="Calibri"/>
                <w:color w:val="00B050"/>
                <w:sz w:val="18"/>
                <w:szCs w:val="18"/>
              </w:rPr>
            </w:pPr>
            <w:r>
              <w:rPr>
                <w:rFonts w:ascii="Calibri" w:hAnsi="Calibri"/>
                <w:color w:val="00B050"/>
                <w:sz w:val="18"/>
                <w:szCs w:val="18"/>
              </w:rPr>
              <w:t>-26%</w:t>
            </w:r>
          </w:p>
        </w:tc>
        <w:tc>
          <w:tcPr>
            <w:tcW w:w="973" w:type="dxa"/>
            <w:tcBorders>
              <w:top w:val="nil"/>
              <w:left w:val="nil"/>
              <w:bottom w:val="nil"/>
              <w:right w:val="nil"/>
            </w:tcBorders>
            <w:shd w:val="clear" w:color="000000" w:fill="FFFFFF"/>
            <w:noWrap/>
            <w:vAlign w:val="center"/>
            <w:hideMark/>
          </w:tcPr>
          <w:p w14:paraId="5A07F1FC" w14:textId="02C2F81C" w:rsidR="00FC23B1" w:rsidRDefault="00FC23B1" w:rsidP="00FC23B1">
            <w:pPr>
              <w:jc w:val="right"/>
              <w:rPr>
                <w:rFonts w:ascii="Calibri" w:hAnsi="Calibri"/>
                <w:color w:val="00B050"/>
                <w:sz w:val="18"/>
                <w:szCs w:val="18"/>
              </w:rPr>
            </w:pPr>
            <w:r>
              <w:rPr>
                <w:rFonts w:ascii="Calibri" w:hAnsi="Calibri"/>
                <w:color w:val="00B050"/>
                <w:sz w:val="18"/>
                <w:szCs w:val="18"/>
              </w:rPr>
              <w:t>8%</w:t>
            </w:r>
          </w:p>
        </w:tc>
      </w:tr>
      <w:tr w:rsidR="00FC23B1" w14:paraId="7C33D6B9" w14:textId="77777777" w:rsidTr="00D07C2E">
        <w:trPr>
          <w:trHeight w:val="240"/>
        </w:trPr>
        <w:tc>
          <w:tcPr>
            <w:tcW w:w="3969" w:type="dxa"/>
            <w:tcBorders>
              <w:top w:val="nil"/>
              <w:left w:val="nil"/>
              <w:bottom w:val="nil"/>
              <w:right w:val="nil"/>
            </w:tcBorders>
            <w:shd w:val="clear" w:color="000000" w:fill="FFFFFF"/>
            <w:noWrap/>
            <w:vAlign w:val="bottom"/>
            <w:hideMark/>
          </w:tcPr>
          <w:p w14:paraId="5C85A32B" w14:textId="77777777" w:rsidR="00FC23B1" w:rsidRDefault="00FC23B1" w:rsidP="00FC23B1">
            <w:pPr>
              <w:rPr>
                <w:rFonts w:ascii="Calibri" w:hAnsi="Calibri"/>
                <w:color w:val="000000"/>
                <w:sz w:val="18"/>
                <w:szCs w:val="18"/>
              </w:rPr>
            </w:pPr>
            <w:r>
              <w:rPr>
                <w:rFonts w:ascii="Calibri" w:hAnsi="Calibri"/>
                <w:color w:val="000000"/>
                <w:sz w:val="18"/>
                <w:szCs w:val="18"/>
              </w:rPr>
              <w:t>Задължения за данъци и осигуровки</w:t>
            </w:r>
          </w:p>
        </w:tc>
        <w:tc>
          <w:tcPr>
            <w:tcW w:w="737" w:type="dxa"/>
            <w:tcBorders>
              <w:top w:val="nil"/>
              <w:left w:val="nil"/>
              <w:bottom w:val="nil"/>
              <w:right w:val="nil"/>
            </w:tcBorders>
            <w:shd w:val="clear" w:color="000000" w:fill="FFFFFF"/>
            <w:noWrap/>
            <w:vAlign w:val="center"/>
            <w:hideMark/>
          </w:tcPr>
          <w:p w14:paraId="0DD19A24" w14:textId="77777777" w:rsidR="00FC23B1" w:rsidRDefault="00FC23B1" w:rsidP="00FC23B1">
            <w:pPr>
              <w:jc w:val="right"/>
              <w:rPr>
                <w:rFonts w:ascii="Calibri" w:hAnsi="Calibri"/>
                <w:color w:val="000000"/>
                <w:sz w:val="18"/>
                <w:szCs w:val="18"/>
              </w:rPr>
            </w:pPr>
            <w:r>
              <w:rPr>
                <w:rFonts w:ascii="Calibri" w:hAnsi="Calibri"/>
                <w:color w:val="000000"/>
                <w:sz w:val="18"/>
                <w:szCs w:val="18"/>
              </w:rPr>
              <w:t>148</w:t>
            </w:r>
          </w:p>
        </w:tc>
        <w:tc>
          <w:tcPr>
            <w:tcW w:w="737" w:type="dxa"/>
            <w:tcBorders>
              <w:top w:val="nil"/>
              <w:left w:val="nil"/>
              <w:bottom w:val="nil"/>
              <w:right w:val="nil"/>
            </w:tcBorders>
            <w:shd w:val="clear" w:color="000000" w:fill="FFFFFF"/>
            <w:noWrap/>
            <w:vAlign w:val="center"/>
            <w:hideMark/>
          </w:tcPr>
          <w:p w14:paraId="3D1311AC" w14:textId="77777777" w:rsidR="00FC23B1" w:rsidRDefault="00FC23B1" w:rsidP="00FC23B1">
            <w:pPr>
              <w:jc w:val="right"/>
              <w:rPr>
                <w:rFonts w:ascii="Calibri" w:hAnsi="Calibri"/>
                <w:color w:val="000000"/>
                <w:sz w:val="18"/>
                <w:szCs w:val="18"/>
              </w:rPr>
            </w:pPr>
            <w:r>
              <w:rPr>
                <w:rFonts w:ascii="Calibri" w:hAnsi="Calibri"/>
                <w:color w:val="000000"/>
                <w:sz w:val="18"/>
                <w:szCs w:val="18"/>
              </w:rPr>
              <w:t>138</w:t>
            </w:r>
          </w:p>
        </w:tc>
        <w:tc>
          <w:tcPr>
            <w:tcW w:w="737" w:type="dxa"/>
            <w:tcBorders>
              <w:top w:val="nil"/>
              <w:left w:val="nil"/>
              <w:bottom w:val="nil"/>
              <w:right w:val="nil"/>
            </w:tcBorders>
            <w:shd w:val="clear" w:color="000000" w:fill="FFFFFF"/>
            <w:noWrap/>
            <w:vAlign w:val="center"/>
          </w:tcPr>
          <w:p w14:paraId="1F99CEF9" w14:textId="3E0CF99E" w:rsidR="00FC23B1" w:rsidRDefault="00FC23B1" w:rsidP="00FC23B1">
            <w:pPr>
              <w:jc w:val="right"/>
              <w:rPr>
                <w:rFonts w:ascii="Calibri" w:hAnsi="Calibri"/>
                <w:color w:val="000000"/>
                <w:sz w:val="18"/>
                <w:szCs w:val="18"/>
              </w:rPr>
            </w:pPr>
            <w:r>
              <w:rPr>
                <w:rFonts w:ascii="Calibri" w:hAnsi="Calibri"/>
                <w:color w:val="000000"/>
                <w:sz w:val="18"/>
                <w:szCs w:val="18"/>
              </w:rPr>
              <w:t>32</w:t>
            </w:r>
          </w:p>
        </w:tc>
        <w:tc>
          <w:tcPr>
            <w:tcW w:w="972" w:type="dxa"/>
            <w:tcBorders>
              <w:top w:val="nil"/>
              <w:left w:val="nil"/>
              <w:bottom w:val="nil"/>
              <w:right w:val="nil"/>
            </w:tcBorders>
            <w:shd w:val="clear" w:color="000000" w:fill="FFFFFF"/>
            <w:vAlign w:val="center"/>
          </w:tcPr>
          <w:p w14:paraId="16B57852" w14:textId="12D0EC35" w:rsidR="00FC23B1" w:rsidRDefault="00FC23B1" w:rsidP="00FC23B1">
            <w:pPr>
              <w:jc w:val="right"/>
              <w:rPr>
                <w:rFonts w:ascii="Calibri" w:hAnsi="Calibri"/>
                <w:color w:val="00B050"/>
                <w:sz w:val="18"/>
                <w:szCs w:val="18"/>
              </w:rPr>
            </w:pPr>
            <w:r>
              <w:rPr>
                <w:rFonts w:ascii="Calibri" w:hAnsi="Calibri"/>
                <w:color w:val="000000"/>
                <w:sz w:val="18"/>
                <w:szCs w:val="18"/>
              </w:rPr>
              <w:t>32</w:t>
            </w:r>
          </w:p>
        </w:tc>
        <w:tc>
          <w:tcPr>
            <w:tcW w:w="972" w:type="dxa"/>
            <w:tcBorders>
              <w:top w:val="nil"/>
              <w:left w:val="nil"/>
              <w:bottom w:val="nil"/>
              <w:right w:val="nil"/>
            </w:tcBorders>
            <w:shd w:val="clear" w:color="000000" w:fill="FFFFFF"/>
            <w:noWrap/>
            <w:vAlign w:val="center"/>
            <w:hideMark/>
          </w:tcPr>
          <w:p w14:paraId="7C2723A2" w14:textId="14BEAEA4" w:rsidR="00FC23B1" w:rsidRDefault="00FC23B1" w:rsidP="00FC23B1">
            <w:pPr>
              <w:jc w:val="right"/>
              <w:rPr>
                <w:rFonts w:ascii="Calibri" w:hAnsi="Calibri"/>
                <w:color w:val="00B050"/>
                <w:sz w:val="18"/>
                <w:szCs w:val="18"/>
              </w:rPr>
            </w:pPr>
            <w:r>
              <w:rPr>
                <w:rFonts w:ascii="Calibri" w:hAnsi="Calibri"/>
                <w:color w:val="00B050"/>
                <w:sz w:val="18"/>
                <w:szCs w:val="18"/>
              </w:rPr>
              <w:t>-77%</w:t>
            </w:r>
          </w:p>
        </w:tc>
        <w:tc>
          <w:tcPr>
            <w:tcW w:w="973" w:type="dxa"/>
            <w:tcBorders>
              <w:top w:val="nil"/>
              <w:left w:val="nil"/>
              <w:bottom w:val="nil"/>
              <w:right w:val="nil"/>
            </w:tcBorders>
            <w:shd w:val="clear" w:color="000000" w:fill="FFFFFF"/>
            <w:noWrap/>
            <w:vAlign w:val="center"/>
            <w:hideMark/>
          </w:tcPr>
          <w:p w14:paraId="048EFAB0" w14:textId="61D45D58" w:rsidR="00FC23B1" w:rsidRDefault="00FC23B1" w:rsidP="00FC23B1">
            <w:pPr>
              <w:jc w:val="right"/>
              <w:rPr>
                <w:rFonts w:ascii="Calibri" w:hAnsi="Calibri"/>
                <w:color w:val="00B050"/>
                <w:sz w:val="18"/>
                <w:szCs w:val="18"/>
              </w:rPr>
            </w:pPr>
            <w:r>
              <w:rPr>
                <w:rFonts w:ascii="Calibri" w:hAnsi="Calibri"/>
                <w:color w:val="00B050"/>
                <w:sz w:val="18"/>
                <w:szCs w:val="18"/>
              </w:rPr>
              <w:t>0%</w:t>
            </w:r>
          </w:p>
        </w:tc>
      </w:tr>
      <w:tr w:rsidR="00FC23B1" w14:paraId="0A2A264D" w14:textId="77777777" w:rsidTr="00D07C2E">
        <w:trPr>
          <w:trHeight w:val="240"/>
        </w:trPr>
        <w:tc>
          <w:tcPr>
            <w:tcW w:w="3969" w:type="dxa"/>
            <w:tcBorders>
              <w:top w:val="nil"/>
              <w:left w:val="nil"/>
              <w:bottom w:val="nil"/>
              <w:right w:val="nil"/>
            </w:tcBorders>
            <w:shd w:val="clear" w:color="000000" w:fill="FFFFFF"/>
            <w:noWrap/>
            <w:vAlign w:val="bottom"/>
            <w:hideMark/>
          </w:tcPr>
          <w:p w14:paraId="6BC17E86" w14:textId="77777777" w:rsidR="00FC23B1" w:rsidRDefault="00FC23B1" w:rsidP="00FC23B1">
            <w:pPr>
              <w:rPr>
                <w:rFonts w:ascii="Calibri" w:hAnsi="Calibri"/>
                <w:color w:val="000000"/>
                <w:sz w:val="18"/>
                <w:szCs w:val="18"/>
              </w:rPr>
            </w:pPr>
            <w:r>
              <w:rPr>
                <w:rFonts w:ascii="Calibri" w:hAnsi="Calibri"/>
                <w:color w:val="000000"/>
                <w:sz w:val="18"/>
                <w:szCs w:val="18"/>
              </w:rPr>
              <w:t>Задължения към персонала</w:t>
            </w:r>
          </w:p>
        </w:tc>
        <w:tc>
          <w:tcPr>
            <w:tcW w:w="737" w:type="dxa"/>
            <w:tcBorders>
              <w:top w:val="nil"/>
              <w:left w:val="nil"/>
              <w:bottom w:val="nil"/>
              <w:right w:val="nil"/>
            </w:tcBorders>
            <w:shd w:val="clear" w:color="000000" w:fill="FFFFFF"/>
            <w:noWrap/>
            <w:vAlign w:val="center"/>
            <w:hideMark/>
          </w:tcPr>
          <w:p w14:paraId="791FDCAD" w14:textId="77777777" w:rsidR="00FC23B1" w:rsidRDefault="00FC23B1" w:rsidP="00FC23B1">
            <w:pPr>
              <w:jc w:val="right"/>
              <w:rPr>
                <w:rFonts w:ascii="Calibri" w:hAnsi="Calibri"/>
                <w:color w:val="000000"/>
                <w:sz w:val="18"/>
                <w:szCs w:val="18"/>
              </w:rPr>
            </w:pPr>
            <w:r>
              <w:rPr>
                <w:rFonts w:ascii="Calibri" w:hAnsi="Calibri"/>
                <w:color w:val="000000"/>
                <w:sz w:val="18"/>
                <w:szCs w:val="18"/>
              </w:rPr>
              <w:t>95</w:t>
            </w:r>
          </w:p>
        </w:tc>
        <w:tc>
          <w:tcPr>
            <w:tcW w:w="737" w:type="dxa"/>
            <w:tcBorders>
              <w:top w:val="nil"/>
              <w:left w:val="nil"/>
              <w:bottom w:val="nil"/>
              <w:right w:val="nil"/>
            </w:tcBorders>
            <w:shd w:val="clear" w:color="000000" w:fill="FFFFFF"/>
            <w:noWrap/>
            <w:vAlign w:val="center"/>
            <w:hideMark/>
          </w:tcPr>
          <w:p w14:paraId="5661DEBE" w14:textId="77777777" w:rsidR="00FC23B1" w:rsidRDefault="00FC23B1" w:rsidP="00FC23B1">
            <w:pPr>
              <w:jc w:val="right"/>
              <w:rPr>
                <w:rFonts w:ascii="Calibri" w:hAnsi="Calibri"/>
                <w:color w:val="000000"/>
                <w:sz w:val="18"/>
                <w:szCs w:val="18"/>
              </w:rPr>
            </w:pPr>
            <w:r>
              <w:rPr>
                <w:rFonts w:ascii="Calibri" w:hAnsi="Calibri"/>
                <w:color w:val="000000"/>
                <w:sz w:val="18"/>
                <w:szCs w:val="18"/>
              </w:rPr>
              <w:t>130</w:t>
            </w:r>
          </w:p>
        </w:tc>
        <w:tc>
          <w:tcPr>
            <w:tcW w:w="737" w:type="dxa"/>
            <w:tcBorders>
              <w:top w:val="nil"/>
              <w:left w:val="nil"/>
              <w:bottom w:val="nil"/>
              <w:right w:val="nil"/>
            </w:tcBorders>
            <w:shd w:val="clear" w:color="000000" w:fill="FFFFFF"/>
            <w:noWrap/>
            <w:vAlign w:val="center"/>
          </w:tcPr>
          <w:p w14:paraId="03AB0FA5" w14:textId="74025D81" w:rsidR="00FC23B1" w:rsidRDefault="00FC23B1" w:rsidP="00FC23B1">
            <w:pPr>
              <w:jc w:val="right"/>
              <w:rPr>
                <w:rFonts w:ascii="Calibri" w:hAnsi="Calibri"/>
                <w:color w:val="000000"/>
                <w:sz w:val="18"/>
                <w:szCs w:val="18"/>
              </w:rPr>
            </w:pPr>
            <w:r>
              <w:rPr>
                <w:rFonts w:ascii="Calibri" w:hAnsi="Calibri"/>
                <w:color w:val="000000"/>
                <w:sz w:val="18"/>
                <w:szCs w:val="18"/>
              </w:rPr>
              <w:t>255</w:t>
            </w:r>
          </w:p>
        </w:tc>
        <w:tc>
          <w:tcPr>
            <w:tcW w:w="972" w:type="dxa"/>
            <w:tcBorders>
              <w:top w:val="nil"/>
              <w:left w:val="nil"/>
              <w:bottom w:val="nil"/>
              <w:right w:val="nil"/>
            </w:tcBorders>
            <w:shd w:val="clear" w:color="000000" w:fill="FFFFFF"/>
            <w:vAlign w:val="center"/>
          </w:tcPr>
          <w:p w14:paraId="023E9BAD" w14:textId="19CA1D2B" w:rsidR="00FC23B1" w:rsidRDefault="00FC23B1" w:rsidP="00FC23B1">
            <w:pPr>
              <w:jc w:val="right"/>
              <w:rPr>
                <w:rFonts w:ascii="Calibri" w:hAnsi="Calibri"/>
                <w:color w:val="00B050"/>
                <w:sz w:val="18"/>
                <w:szCs w:val="18"/>
              </w:rPr>
            </w:pPr>
            <w:r>
              <w:rPr>
                <w:rFonts w:ascii="Calibri" w:hAnsi="Calibri"/>
                <w:color w:val="000000"/>
                <w:sz w:val="18"/>
                <w:szCs w:val="18"/>
              </w:rPr>
              <w:t>411</w:t>
            </w:r>
          </w:p>
        </w:tc>
        <w:tc>
          <w:tcPr>
            <w:tcW w:w="972" w:type="dxa"/>
            <w:tcBorders>
              <w:top w:val="nil"/>
              <w:left w:val="nil"/>
              <w:bottom w:val="nil"/>
              <w:right w:val="nil"/>
            </w:tcBorders>
            <w:shd w:val="clear" w:color="000000" w:fill="FFFFFF"/>
            <w:noWrap/>
            <w:vAlign w:val="center"/>
            <w:hideMark/>
          </w:tcPr>
          <w:p w14:paraId="624DDA27" w14:textId="4D31D74D" w:rsidR="00FC23B1" w:rsidRDefault="00FC23B1" w:rsidP="00FC23B1">
            <w:pPr>
              <w:jc w:val="right"/>
              <w:rPr>
                <w:rFonts w:ascii="Calibri" w:hAnsi="Calibri"/>
                <w:color w:val="00B050"/>
                <w:sz w:val="18"/>
                <w:szCs w:val="18"/>
              </w:rPr>
            </w:pPr>
            <w:r>
              <w:rPr>
                <w:rFonts w:ascii="Calibri" w:hAnsi="Calibri"/>
                <w:color w:val="00B050"/>
                <w:sz w:val="18"/>
                <w:szCs w:val="18"/>
              </w:rPr>
              <w:t>96%</w:t>
            </w:r>
          </w:p>
        </w:tc>
        <w:tc>
          <w:tcPr>
            <w:tcW w:w="973" w:type="dxa"/>
            <w:tcBorders>
              <w:top w:val="nil"/>
              <w:left w:val="nil"/>
              <w:bottom w:val="nil"/>
              <w:right w:val="nil"/>
            </w:tcBorders>
            <w:shd w:val="clear" w:color="000000" w:fill="FFFFFF"/>
            <w:noWrap/>
            <w:vAlign w:val="center"/>
            <w:hideMark/>
          </w:tcPr>
          <w:p w14:paraId="5FB6FD8E" w14:textId="62D040A5" w:rsidR="00FC23B1" w:rsidRDefault="00FC23B1" w:rsidP="00FC23B1">
            <w:pPr>
              <w:jc w:val="right"/>
              <w:rPr>
                <w:rFonts w:ascii="Calibri" w:hAnsi="Calibri"/>
                <w:color w:val="00B050"/>
                <w:sz w:val="18"/>
                <w:szCs w:val="18"/>
              </w:rPr>
            </w:pPr>
            <w:r>
              <w:rPr>
                <w:rFonts w:ascii="Calibri" w:hAnsi="Calibri"/>
                <w:color w:val="00B050"/>
                <w:sz w:val="18"/>
                <w:szCs w:val="18"/>
              </w:rPr>
              <w:t>61%</w:t>
            </w:r>
          </w:p>
        </w:tc>
      </w:tr>
      <w:tr w:rsidR="00FC23B1" w14:paraId="7DC626DD" w14:textId="77777777" w:rsidTr="00D07C2E">
        <w:trPr>
          <w:trHeight w:val="240"/>
        </w:trPr>
        <w:tc>
          <w:tcPr>
            <w:tcW w:w="3969" w:type="dxa"/>
            <w:tcBorders>
              <w:top w:val="nil"/>
              <w:left w:val="nil"/>
              <w:bottom w:val="nil"/>
              <w:right w:val="nil"/>
            </w:tcBorders>
            <w:shd w:val="clear" w:color="000000" w:fill="FFFFFF"/>
            <w:noWrap/>
            <w:vAlign w:val="bottom"/>
            <w:hideMark/>
          </w:tcPr>
          <w:p w14:paraId="0E0C192A" w14:textId="77777777" w:rsidR="00FC23B1" w:rsidRDefault="00FC23B1" w:rsidP="00FC23B1">
            <w:pPr>
              <w:rPr>
                <w:rFonts w:ascii="Calibri" w:hAnsi="Calibri"/>
                <w:color w:val="000000"/>
                <w:sz w:val="18"/>
                <w:szCs w:val="18"/>
              </w:rPr>
            </w:pPr>
            <w:r>
              <w:rPr>
                <w:rFonts w:ascii="Calibri" w:hAnsi="Calibri"/>
                <w:color w:val="000000"/>
                <w:sz w:val="18"/>
                <w:szCs w:val="18"/>
              </w:rPr>
              <w:t>Задължение по продължаващо участие във финансови активи</w:t>
            </w:r>
          </w:p>
        </w:tc>
        <w:tc>
          <w:tcPr>
            <w:tcW w:w="737" w:type="dxa"/>
            <w:tcBorders>
              <w:top w:val="nil"/>
              <w:left w:val="nil"/>
              <w:bottom w:val="nil"/>
              <w:right w:val="nil"/>
            </w:tcBorders>
            <w:shd w:val="clear" w:color="000000" w:fill="FFFFFF"/>
            <w:noWrap/>
            <w:vAlign w:val="center"/>
            <w:hideMark/>
          </w:tcPr>
          <w:p w14:paraId="012E14C9" w14:textId="77777777" w:rsidR="00FC23B1" w:rsidRDefault="00FC23B1" w:rsidP="00FC23B1">
            <w:pPr>
              <w:jc w:val="right"/>
              <w:rPr>
                <w:rFonts w:ascii="Calibri" w:hAnsi="Calibri"/>
                <w:color w:val="000000"/>
                <w:sz w:val="18"/>
                <w:szCs w:val="18"/>
              </w:rPr>
            </w:pPr>
            <w:r>
              <w:rPr>
                <w:rFonts w:ascii="Calibri" w:hAnsi="Calibri"/>
                <w:color w:val="000000"/>
                <w:sz w:val="18"/>
                <w:szCs w:val="18"/>
              </w:rPr>
              <w:t>2,530</w:t>
            </w:r>
          </w:p>
        </w:tc>
        <w:tc>
          <w:tcPr>
            <w:tcW w:w="737" w:type="dxa"/>
            <w:tcBorders>
              <w:top w:val="nil"/>
              <w:left w:val="nil"/>
              <w:bottom w:val="nil"/>
              <w:right w:val="nil"/>
            </w:tcBorders>
            <w:shd w:val="clear" w:color="000000" w:fill="FFFFFF"/>
            <w:noWrap/>
            <w:vAlign w:val="center"/>
            <w:hideMark/>
          </w:tcPr>
          <w:p w14:paraId="5FE02328" w14:textId="77777777" w:rsidR="00FC23B1" w:rsidRDefault="00FC23B1" w:rsidP="00FC23B1">
            <w:pPr>
              <w:jc w:val="right"/>
              <w:rPr>
                <w:rFonts w:ascii="Calibri" w:hAnsi="Calibri"/>
                <w:color w:val="000000"/>
                <w:sz w:val="18"/>
                <w:szCs w:val="18"/>
              </w:rPr>
            </w:pPr>
            <w:r>
              <w:rPr>
                <w:rFonts w:ascii="Calibri" w:hAnsi="Calibri"/>
                <w:color w:val="000000"/>
                <w:sz w:val="18"/>
                <w:szCs w:val="18"/>
              </w:rPr>
              <w:t>1,893</w:t>
            </w:r>
          </w:p>
        </w:tc>
        <w:tc>
          <w:tcPr>
            <w:tcW w:w="737" w:type="dxa"/>
            <w:tcBorders>
              <w:top w:val="nil"/>
              <w:left w:val="nil"/>
              <w:bottom w:val="nil"/>
              <w:right w:val="nil"/>
            </w:tcBorders>
            <w:shd w:val="clear" w:color="000000" w:fill="FFFFFF"/>
            <w:noWrap/>
            <w:vAlign w:val="center"/>
          </w:tcPr>
          <w:p w14:paraId="34B1A1F4" w14:textId="79CDC579" w:rsidR="00FC23B1" w:rsidRDefault="00FC23B1" w:rsidP="00FC23B1">
            <w:pPr>
              <w:jc w:val="right"/>
              <w:rPr>
                <w:rFonts w:ascii="Calibri" w:hAnsi="Calibri"/>
                <w:color w:val="000000"/>
                <w:sz w:val="18"/>
                <w:szCs w:val="18"/>
              </w:rPr>
            </w:pPr>
            <w:r>
              <w:rPr>
                <w:rFonts w:ascii="Calibri" w:hAnsi="Calibri"/>
                <w:color w:val="000000"/>
                <w:sz w:val="18"/>
                <w:szCs w:val="18"/>
              </w:rPr>
              <w:t>117</w:t>
            </w:r>
          </w:p>
        </w:tc>
        <w:tc>
          <w:tcPr>
            <w:tcW w:w="972" w:type="dxa"/>
            <w:tcBorders>
              <w:top w:val="nil"/>
              <w:left w:val="nil"/>
              <w:bottom w:val="nil"/>
              <w:right w:val="nil"/>
            </w:tcBorders>
            <w:shd w:val="clear" w:color="000000" w:fill="FFFFFF"/>
            <w:vAlign w:val="center"/>
          </w:tcPr>
          <w:p w14:paraId="5486742E" w14:textId="661D9E67" w:rsidR="00FC23B1" w:rsidRDefault="00FC23B1" w:rsidP="00FC23B1">
            <w:pPr>
              <w:jc w:val="right"/>
              <w:rPr>
                <w:rFonts w:ascii="Calibri" w:hAnsi="Calibri"/>
                <w:color w:val="00B050"/>
                <w:sz w:val="18"/>
                <w:szCs w:val="18"/>
              </w:rPr>
            </w:pPr>
            <w:r>
              <w:rPr>
                <w:rFonts w:ascii="Calibri" w:hAnsi="Calibri"/>
                <w:color w:val="000000"/>
                <w:sz w:val="18"/>
                <w:szCs w:val="18"/>
              </w:rPr>
              <w:t>384</w:t>
            </w:r>
          </w:p>
        </w:tc>
        <w:tc>
          <w:tcPr>
            <w:tcW w:w="972" w:type="dxa"/>
            <w:tcBorders>
              <w:top w:val="nil"/>
              <w:left w:val="nil"/>
              <w:bottom w:val="nil"/>
              <w:right w:val="nil"/>
            </w:tcBorders>
            <w:shd w:val="clear" w:color="000000" w:fill="FFFFFF"/>
            <w:noWrap/>
            <w:vAlign w:val="center"/>
            <w:hideMark/>
          </w:tcPr>
          <w:p w14:paraId="74E6A28F" w14:textId="253979B8" w:rsidR="00FC23B1" w:rsidRDefault="00FC23B1" w:rsidP="00FC23B1">
            <w:pPr>
              <w:jc w:val="right"/>
              <w:rPr>
                <w:rFonts w:ascii="Calibri" w:hAnsi="Calibri"/>
                <w:color w:val="00B050"/>
                <w:sz w:val="18"/>
                <w:szCs w:val="18"/>
              </w:rPr>
            </w:pPr>
            <w:r>
              <w:rPr>
                <w:rFonts w:ascii="Calibri" w:hAnsi="Calibri"/>
                <w:color w:val="00B050"/>
                <w:sz w:val="18"/>
                <w:szCs w:val="18"/>
              </w:rPr>
              <w:t>-94%</w:t>
            </w:r>
          </w:p>
        </w:tc>
        <w:tc>
          <w:tcPr>
            <w:tcW w:w="973" w:type="dxa"/>
            <w:tcBorders>
              <w:top w:val="nil"/>
              <w:left w:val="nil"/>
              <w:bottom w:val="nil"/>
              <w:right w:val="nil"/>
            </w:tcBorders>
            <w:shd w:val="clear" w:color="000000" w:fill="FFFFFF"/>
            <w:noWrap/>
            <w:vAlign w:val="center"/>
            <w:hideMark/>
          </w:tcPr>
          <w:p w14:paraId="4EF73C03" w14:textId="672855B2" w:rsidR="00FC23B1" w:rsidRDefault="00FC23B1" w:rsidP="00FC23B1">
            <w:pPr>
              <w:jc w:val="right"/>
              <w:rPr>
                <w:rFonts w:ascii="Calibri" w:hAnsi="Calibri"/>
                <w:color w:val="00B050"/>
                <w:sz w:val="18"/>
                <w:szCs w:val="18"/>
              </w:rPr>
            </w:pPr>
            <w:r>
              <w:rPr>
                <w:rFonts w:ascii="Calibri" w:hAnsi="Calibri"/>
                <w:color w:val="00B050"/>
                <w:sz w:val="18"/>
                <w:szCs w:val="18"/>
              </w:rPr>
              <w:t>228%</w:t>
            </w:r>
          </w:p>
        </w:tc>
      </w:tr>
      <w:tr w:rsidR="00FC23B1" w14:paraId="5CE638A6" w14:textId="77777777" w:rsidTr="00D07C2E">
        <w:trPr>
          <w:trHeight w:val="240"/>
        </w:trPr>
        <w:tc>
          <w:tcPr>
            <w:tcW w:w="3969" w:type="dxa"/>
            <w:tcBorders>
              <w:top w:val="nil"/>
              <w:left w:val="nil"/>
              <w:bottom w:val="nil"/>
              <w:right w:val="nil"/>
            </w:tcBorders>
            <w:shd w:val="clear" w:color="000000" w:fill="FFFFFF"/>
            <w:noWrap/>
            <w:vAlign w:val="bottom"/>
            <w:hideMark/>
          </w:tcPr>
          <w:p w14:paraId="35CDDC14" w14:textId="77777777" w:rsidR="00FC23B1" w:rsidRDefault="00FC23B1" w:rsidP="00FC23B1">
            <w:pPr>
              <w:rPr>
                <w:rFonts w:ascii="Calibri" w:hAnsi="Calibri"/>
                <w:color w:val="000000"/>
                <w:sz w:val="18"/>
                <w:szCs w:val="18"/>
              </w:rPr>
            </w:pPr>
            <w:r>
              <w:rPr>
                <w:rFonts w:ascii="Calibri" w:hAnsi="Calibri"/>
                <w:color w:val="000000"/>
                <w:sz w:val="18"/>
                <w:szCs w:val="18"/>
              </w:rPr>
              <w:t>Задължения по получени краткосрочни заеми</w:t>
            </w:r>
          </w:p>
        </w:tc>
        <w:tc>
          <w:tcPr>
            <w:tcW w:w="737" w:type="dxa"/>
            <w:tcBorders>
              <w:top w:val="nil"/>
              <w:left w:val="nil"/>
              <w:bottom w:val="nil"/>
              <w:right w:val="nil"/>
            </w:tcBorders>
            <w:shd w:val="clear" w:color="000000" w:fill="FFFFFF"/>
            <w:noWrap/>
            <w:vAlign w:val="center"/>
            <w:hideMark/>
          </w:tcPr>
          <w:p w14:paraId="3580C568" w14:textId="77777777" w:rsidR="00FC23B1" w:rsidRDefault="00FC23B1" w:rsidP="00FC23B1">
            <w:pPr>
              <w:jc w:val="right"/>
              <w:rPr>
                <w:rFonts w:ascii="Calibri" w:hAnsi="Calibri"/>
                <w:color w:val="000000"/>
                <w:sz w:val="18"/>
                <w:szCs w:val="18"/>
              </w:rPr>
            </w:pPr>
            <w:r>
              <w:rPr>
                <w:rFonts w:ascii="Calibri" w:hAnsi="Calibri"/>
                <w:color w:val="000000"/>
                <w:sz w:val="18"/>
                <w:szCs w:val="18"/>
              </w:rPr>
              <w:t>16</w:t>
            </w:r>
          </w:p>
        </w:tc>
        <w:tc>
          <w:tcPr>
            <w:tcW w:w="737" w:type="dxa"/>
            <w:tcBorders>
              <w:top w:val="nil"/>
              <w:left w:val="nil"/>
              <w:bottom w:val="nil"/>
              <w:right w:val="nil"/>
            </w:tcBorders>
            <w:shd w:val="clear" w:color="000000" w:fill="FFFFFF"/>
            <w:noWrap/>
            <w:vAlign w:val="center"/>
            <w:hideMark/>
          </w:tcPr>
          <w:p w14:paraId="2821EDF7" w14:textId="77777777" w:rsidR="00FC23B1" w:rsidRDefault="00FC23B1" w:rsidP="00FC23B1">
            <w:pPr>
              <w:jc w:val="right"/>
              <w:rPr>
                <w:rFonts w:ascii="Calibri" w:hAnsi="Calibri"/>
                <w:color w:val="000000"/>
                <w:sz w:val="18"/>
                <w:szCs w:val="18"/>
              </w:rPr>
            </w:pPr>
            <w:r>
              <w:rPr>
                <w:rFonts w:ascii="Calibri" w:hAnsi="Calibri"/>
                <w:color w:val="000000"/>
                <w:sz w:val="18"/>
                <w:szCs w:val="18"/>
              </w:rPr>
              <w:t>1,029</w:t>
            </w:r>
          </w:p>
        </w:tc>
        <w:tc>
          <w:tcPr>
            <w:tcW w:w="737" w:type="dxa"/>
            <w:tcBorders>
              <w:top w:val="nil"/>
              <w:left w:val="nil"/>
              <w:bottom w:val="nil"/>
              <w:right w:val="nil"/>
            </w:tcBorders>
            <w:shd w:val="clear" w:color="000000" w:fill="FFFFFF"/>
            <w:noWrap/>
            <w:vAlign w:val="center"/>
          </w:tcPr>
          <w:p w14:paraId="38B2E5A3" w14:textId="1952C18B" w:rsidR="00FC23B1" w:rsidRDefault="00FC23B1" w:rsidP="00FC23B1">
            <w:pPr>
              <w:jc w:val="right"/>
              <w:rPr>
                <w:rFonts w:ascii="Calibri" w:hAnsi="Calibri"/>
                <w:color w:val="000000"/>
                <w:sz w:val="18"/>
                <w:szCs w:val="18"/>
              </w:rPr>
            </w:pPr>
            <w:r>
              <w:rPr>
                <w:rFonts w:ascii="Calibri" w:hAnsi="Calibri"/>
                <w:color w:val="000000"/>
                <w:sz w:val="18"/>
                <w:szCs w:val="18"/>
              </w:rPr>
              <w:t>260</w:t>
            </w:r>
          </w:p>
        </w:tc>
        <w:tc>
          <w:tcPr>
            <w:tcW w:w="972" w:type="dxa"/>
            <w:tcBorders>
              <w:top w:val="nil"/>
              <w:left w:val="nil"/>
              <w:bottom w:val="nil"/>
              <w:right w:val="nil"/>
            </w:tcBorders>
            <w:shd w:val="clear" w:color="000000" w:fill="FFFFFF"/>
            <w:vAlign w:val="center"/>
          </w:tcPr>
          <w:p w14:paraId="0D01C989" w14:textId="16D7A919" w:rsidR="00FC23B1" w:rsidRDefault="00FC23B1" w:rsidP="00FC23B1">
            <w:pPr>
              <w:jc w:val="right"/>
              <w:rPr>
                <w:rFonts w:ascii="Calibri" w:hAnsi="Calibri"/>
                <w:color w:val="00B050"/>
                <w:sz w:val="18"/>
                <w:szCs w:val="18"/>
              </w:rPr>
            </w:pPr>
            <w:r>
              <w:rPr>
                <w:rFonts w:ascii="Calibri" w:hAnsi="Calibri"/>
                <w:color w:val="000000"/>
                <w:sz w:val="18"/>
                <w:szCs w:val="18"/>
              </w:rPr>
              <w:t>406</w:t>
            </w:r>
          </w:p>
        </w:tc>
        <w:tc>
          <w:tcPr>
            <w:tcW w:w="972" w:type="dxa"/>
            <w:tcBorders>
              <w:top w:val="nil"/>
              <w:left w:val="nil"/>
              <w:bottom w:val="nil"/>
              <w:right w:val="nil"/>
            </w:tcBorders>
            <w:shd w:val="clear" w:color="000000" w:fill="FFFFFF"/>
            <w:noWrap/>
            <w:vAlign w:val="center"/>
            <w:hideMark/>
          </w:tcPr>
          <w:p w14:paraId="71267437" w14:textId="07B746EF" w:rsidR="00FC23B1" w:rsidRDefault="00FC23B1" w:rsidP="00FC23B1">
            <w:pPr>
              <w:jc w:val="right"/>
              <w:rPr>
                <w:rFonts w:ascii="Calibri" w:hAnsi="Calibri"/>
                <w:color w:val="00B050"/>
                <w:sz w:val="18"/>
                <w:szCs w:val="18"/>
              </w:rPr>
            </w:pPr>
            <w:r>
              <w:rPr>
                <w:rFonts w:ascii="Calibri" w:hAnsi="Calibri"/>
                <w:color w:val="00B050"/>
                <w:sz w:val="18"/>
                <w:szCs w:val="18"/>
              </w:rPr>
              <w:t>-75%</w:t>
            </w:r>
          </w:p>
        </w:tc>
        <w:tc>
          <w:tcPr>
            <w:tcW w:w="973" w:type="dxa"/>
            <w:tcBorders>
              <w:top w:val="nil"/>
              <w:left w:val="nil"/>
              <w:bottom w:val="nil"/>
              <w:right w:val="nil"/>
            </w:tcBorders>
            <w:shd w:val="clear" w:color="000000" w:fill="FFFFFF"/>
            <w:noWrap/>
            <w:vAlign w:val="center"/>
            <w:hideMark/>
          </w:tcPr>
          <w:p w14:paraId="6B454EA0" w14:textId="47ECB9BF" w:rsidR="00FC23B1" w:rsidRDefault="00FC23B1" w:rsidP="00FC23B1">
            <w:pPr>
              <w:jc w:val="right"/>
              <w:rPr>
                <w:rFonts w:ascii="Calibri" w:hAnsi="Calibri"/>
                <w:color w:val="00B050"/>
                <w:sz w:val="18"/>
                <w:szCs w:val="18"/>
              </w:rPr>
            </w:pPr>
            <w:r>
              <w:rPr>
                <w:rFonts w:ascii="Calibri" w:hAnsi="Calibri"/>
                <w:color w:val="00B050"/>
                <w:sz w:val="18"/>
                <w:szCs w:val="18"/>
              </w:rPr>
              <w:t>56%</w:t>
            </w:r>
          </w:p>
        </w:tc>
      </w:tr>
      <w:tr w:rsidR="00FC23B1" w14:paraId="00422E11" w14:textId="77777777" w:rsidTr="00D07C2E">
        <w:trPr>
          <w:trHeight w:val="240"/>
        </w:trPr>
        <w:tc>
          <w:tcPr>
            <w:tcW w:w="3969" w:type="dxa"/>
            <w:tcBorders>
              <w:top w:val="nil"/>
              <w:left w:val="nil"/>
              <w:bottom w:val="nil"/>
              <w:right w:val="nil"/>
            </w:tcBorders>
            <w:shd w:val="clear" w:color="000000" w:fill="FFFFFF"/>
            <w:noWrap/>
            <w:vAlign w:val="bottom"/>
            <w:hideMark/>
          </w:tcPr>
          <w:p w14:paraId="07182122" w14:textId="77777777" w:rsidR="00FC23B1" w:rsidRDefault="00FC23B1" w:rsidP="00FC23B1">
            <w:pPr>
              <w:rPr>
                <w:rFonts w:ascii="Calibri" w:hAnsi="Calibri"/>
                <w:color w:val="000000"/>
                <w:sz w:val="18"/>
                <w:szCs w:val="18"/>
              </w:rPr>
            </w:pPr>
            <w:r>
              <w:rPr>
                <w:rFonts w:ascii="Calibri" w:hAnsi="Calibri"/>
                <w:color w:val="000000"/>
                <w:sz w:val="18"/>
                <w:szCs w:val="18"/>
              </w:rPr>
              <w:t> </w:t>
            </w:r>
          </w:p>
        </w:tc>
        <w:tc>
          <w:tcPr>
            <w:tcW w:w="737" w:type="dxa"/>
            <w:tcBorders>
              <w:top w:val="nil"/>
              <w:left w:val="nil"/>
              <w:bottom w:val="nil"/>
              <w:right w:val="nil"/>
            </w:tcBorders>
            <w:shd w:val="clear" w:color="000000" w:fill="FFFFFF"/>
            <w:noWrap/>
            <w:vAlign w:val="center"/>
            <w:hideMark/>
          </w:tcPr>
          <w:p w14:paraId="43BBCD40" w14:textId="77777777" w:rsidR="00FC23B1" w:rsidRPr="001D372D" w:rsidRDefault="00FC23B1" w:rsidP="00FC23B1">
            <w:pPr>
              <w:jc w:val="right"/>
              <w:rPr>
                <w:rFonts w:ascii="Calibri" w:hAnsi="Calibri"/>
                <w:b/>
                <w:color w:val="000000"/>
                <w:sz w:val="18"/>
                <w:szCs w:val="18"/>
              </w:rPr>
            </w:pPr>
            <w:r w:rsidRPr="001D372D">
              <w:rPr>
                <w:rFonts w:ascii="Calibri" w:hAnsi="Calibri"/>
                <w:b/>
                <w:color w:val="000000"/>
                <w:sz w:val="18"/>
                <w:szCs w:val="18"/>
              </w:rPr>
              <w:t>2,933</w:t>
            </w:r>
          </w:p>
        </w:tc>
        <w:tc>
          <w:tcPr>
            <w:tcW w:w="737" w:type="dxa"/>
            <w:tcBorders>
              <w:top w:val="nil"/>
              <w:left w:val="nil"/>
              <w:bottom w:val="nil"/>
              <w:right w:val="nil"/>
            </w:tcBorders>
            <w:shd w:val="clear" w:color="000000" w:fill="FFFFFF"/>
            <w:noWrap/>
            <w:vAlign w:val="center"/>
            <w:hideMark/>
          </w:tcPr>
          <w:p w14:paraId="16BDD70F" w14:textId="77777777" w:rsidR="00FC23B1" w:rsidRPr="001D372D" w:rsidRDefault="00FC23B1" w:rsidP="00FC23B1">
            <w:pPr>
              <w:jc w:val="right"/>
              <w:rPr>
                <w:rFonts w:ascii="Calibri" w:hAnsi="Calibri"/>
                <w:b/>
                <w:color w:val="000000"/>
                <w:sz w:val="18"/>
                <w:szCs w:val="18"/>
              </w:rPr>
            </w:pPr>
            <w:r w:rsidRPr="001D372D">
              <w:rPr>
                <w:rFonts w:ascii="Calibri" w:hAnsi="Calibri"/>
                <w:b/>
                <w:color w:val="000000"/>
                <w:sz w:val="18"/>
                <w:szCs w:val="18"/>
              </w:rPr>
              <w:t>3,609</w:t>
            </w:r>
          </w:p>
        </w:tc>
        <w:tc>
          <w:tcPr>
            <w:tcW w:w="737" w:type="dxa"/>
            <w:tcBorders>
              <w:top w:val="nil"/>
              <w:left w:val="nil"/>
              <w:bottom w:val="nil"/>
              <w:right w:val="nil"/>
            </w:tcBorders>
            <w:shd w:val="clear" w:color="000000" w:fill="FFFFFF"/>
            <w:noWrap/>
            <w:vAlign w:val="center"/>
          </w:tcPr>
          <w:p w14:paraId="0BF026E1" w14:textId="6A7ECF04" w:rsidR="00FC23B1" w:rsidRPr="001D372D" w:rsidRDefault="00FC23B1" w:rsidP="00FC23B1">
            <w:pPr>
              <w:jc w:val="right"/>
              <w:rPr>
                <w:rFonts w:ascii="Calibri" w:hAnsi="Calibri"/>
                <w:b/>
                <w:color w:val="000000"/>
                <w:sz w:val="18"/>
                <w:szCs w:val="18"/>
              </w:rPr>
            </w:pPr>
            <w:r>
              <w:rPr>
                <w:rFonts w:ascii="Calibri" w:hAnsi="Calibri"/>
                <w:color w:val="000000"/>
                <w:sz w:val="18"/>
                <w:szCs w:val="18"/>
              </w:rPr>
              <w:t>34</w:t>
            </w:r>
          </w:p>
        </w:tc>
        <w:tc>
          <w:tcPr>
            <w:tcW w:w="972" w:type="dxa"/>
            <w:tcBorders>
              <w:top w:val="nil"/>
              <w:left w:val="nil"/>
              <w:bottom w:val="nil"/>
              <w:right w:val="nil"/>
            </w:tcBorders>
            <w:shd w:val="clear" w:color="000000" w:fill="FFFFFF"/>
            <w:vAlign w:val="center"/>
          </w:tcPr>
          <w:p w14:paraId="64D5F5A0" w14:textId="1DD8A95E" w:rsidR="00FC23B1" w:rsidRDefault="00FC23B1" w:rsidP="00FC23B1">
            <w:pPr>
              <w:jc w:val="right"/>
              <w:rPr>
                <w:rFonts w:ascii="Calibri" w:hAnsi="Calibri"/>
                <w:color w:val="00B050"/>
                <w:sz w:val="18"/>
                <w:szCs w:val="18"/>
              </w:rPr>
            </w:pPr>
            <w:r>
              <w:rPr>
                <w:rFonts w:ascii="Calibri" w:hAnsi="Calibri"/>
                <w:color w:val="000000"/>
                <w:sz w:val="18"/>
                <w:szCs w:val="18"/>
              </w:rPr>
              <w:t>48</w:t>
            </w:r>
          </w:p>
        </w:tc>
        <w:tc>
          <w:tcPr>
            <w:tcW w:w="972" w:type="dxa"/>
            <w:tcBorders>
              <w:top w:val="nil"/>
              <w:left w:val="nil"/>
              <w:bottom w:val="nil"/>
              <w:right w:val="nil"/>
            </w:tcBorders>
            <w:shd w:val="clear" w:color="000000" w:fill="FFFFFF"/>
            <w:noWrap/>
            <w:vAlign w:val="center"/>
            <w:hideMark/>
          </w:tcPr>
          <w:p w14:paraId="6602328B" w14:textId="6629F1C2" w:rsidR="00FC23B1" w:rsidRDefault="00FC23B1" w:rsidP="00FC23B1">
            <w:pPr>
              <w:jc w:val="right"/>
              <w:rPr>
                <w:rFonts w:ascii="Calibri" w:hAnsi="Calibri"/>
                <w:color w:val="00B050"/>
                <w:sz w:val="18"/>
                <w:szCs w:val="18"/>
              </w:rPr>
            </w:pPr>
            <w:r>
              <w:rPr>
                <w:rFonts w:ascii="Calibri" w:hAnsi="Calibri"/>
                <w:color w:val="00B050"/>
                <w:sz w:val="18"/>
                <w:szCs w:val="18"/>
              </w:rPr>
              <w:t>-99%</w:t>
            </w:r>
          </w:p>
        </w:tc>
        <w:tc>
          <w:tcPr>
            <w:tcW w:w="973" w:type="dxa"/>
            <w:tcBorders>
              <w:top w:val="nil"/>
              <w:left w:val="nil"/>
              <w:bottom w:val="nil"/>
              <w:right w:val="nil"/>
            </w:tcBorders>
            <w:shd w:val="clear" w:color="000000" w:fill="FFFFFF"/>
            <w:noWrap/>
            <w:vAlign w:val="center"/>
            <w:hideMark/>
          </w:tcPr>
          <w:p w14:paraId="7D59FCBF" w14:textId="304ADDAF" w:rsidR="00FC23B1" w:rsidRDefault="00FC23B1" w:rsidP="00FC23B1">
            <w:pPr>
              <w:jc w:val="right"/>
              <w:rPr>
                <w:rFonts w:ascii="Calibri" w:hAnsi="Calibri"/>
                <w:color w:val="00B050"/>
                <w:sz w:val="18"/>
                <w:szCs w:val="18"/>
              </w:rPr>
            </w:pPr>
            <w:r>
              <w:rPr>
                <w:rFonts w:ascii="Calibri" w:hAnsi="Calibri"/>
                <w:color w:val="00B050"/>
                <w:sz w:val="18"/>
                <w:szCs w:val="18"/>
              </w:rPr>
              <w:t>41%</w:t>
            </w:r>
          </w:p>
        </w:tc>
      </w:tr>
      <w:tr w:rsidR="00FC23B1" w14:paraId="648FA20D" w14:textId="77777777" w:rsidTr="00D07C2E">
        <w:trPr>
          <w:trHeight w:val="240"/>
        </w:trPr>
        <w:tc>
          <w:tcPr>
            <w:tcW w:w="3969" w:type="dxa"/>
            <w:tcBorders>
              <w:top w:val="nil"/>
              <w:left w:val="nil"/>
              <w:bottom w:val="nil"/>
              <w:right w:val="nil"/>
            </w:tcBorders>
            <w:shd w:val="clear" w:color="000000" w:fill="FFFFFF"/>
            <w:noWrap/>
            <w:vAlign w:val="bottom"/>
            <w:hideMark/>
          </w:tcPr>
          <w:p w14:paraId="05EDED43" w14:textId="77777777" w:rsidR="00FC23B1" w:rsidRDefault="00FC23B1" w:rsidP="00FC23B1">
            <w:pPr>
              <w:rPr>
                <w:rFonts w:ascii="Calibri" w:hAnsi="Calibri"/>
                <w:b/>
                <w:bCs/>
                <w:color w:val="000000"/>
                <w:sz w:val="18"/>
                <w:szCs w:val="18"/>
              </w:rPr>
            </w:pPr>
            <w:r>
              <w:rPr>
                <w:rFonts w:ascii="Calibri" w:hAnsi="Calibri"/>
                <w:b/>
                <w:bCs/>
                <w:color w:val="000000"/>
                <w:sz w:val="18"/>
                <w:szCs w:val="18"/>
              </w:rPr>
              <w:t>ОБЩО ПАСИВИ</w:t>
            </w:r>
          </w:p>
        </w:tc>
        <w:tc>
          <w:tcPr>
            <w:tcW w:w="737" w:type="dxa"/>
            <w:tcBorders>
              <w:top w:val="nil"/>
              <w:left w:val="nil"/>
              <w:bottom w:val="nil"/>
              <w:right w:val="nil"/>
            </w:tcBorders>
            <w:shd w:val="clear" w:color="000000" w:fill="FFFFFF"/>
            <w:noWrap/>
            <w:vAlign w:val="center"/>
            <w:hideMark/>
          </w:tcPr>
          <w:p w14:paraId="13B3E7D4" w14:textId="77777777" w:rsidR="00FC23B1" w:rsidRDefault="00FC23B1" w:rsidP="00FC23B1">
            <w:pPr>
              <w:jc w:val="right"/>
              <w:rPr>
                <w:rFonts w:ascii="Calibri" w:hAnsi="Calibri"/>
                <w:b/>
                <w:bCs/>
                <w:color w:val="000000"/>
                <w:sz w:val="18"/>
                <w:szCs w:val="18"/>
              </w:rPr>
            </w:pPr>
            <w:r>
              <w:rPr>
                <w:rFonts w:ascii="Calibri" w:hAnsi="Calibri"/>
                <w:b/>
                <w:bCs/>
                <w:color w:val="000000"/>
                <w:sz w:val="18"/>
                <w:szCs w:val="18"/>
              </w:rPr>
              <w:t>4,253</w:t>
            </w:r>
          </w:p>
        </w:tc>
        <w:tc>
          <w:tcPr>
            <w:tcW w:w="737" w:type="dxa"/>
            <w:tcBorders>
              <w:top w:val="nil"/>
              <w:left w:val="nil"/>
              <w:bottom w:val="nil"/>
              <w:right w:val="nil"/>
            </w:tcBorders>
            <w:shd w:val="clear" w:color="000000" w:fill="FFFFFF"/>
            <w:noWrap/>
            <w:vAlign w:val="center"/>
            <w:hideMark/>
          </w:tcPr>
          <w:p w14:paraId="77D1729C" w14:textId="77777777" w:rsidR="00FC23B1" w:rsidRDefault="00FC23B1" w:rsidP="00FC23B1">
            <w:pPr>
              <w:jc w:val="right"/>
              <w:rPr>
                <w:rFonts w:ascii="Calibri" w:hAnsi="Calibri"/>
                <w:b/>
                <w:bCs/>
                <w:color w:val="000000"/>
                <w:sz w:val="18"/>
                <w:szCs w:val="18"/>
              </w:rPr>
            </w:pPr>
            <w:r>
              <w:rPr>
                <w:rFonts w:ascii="Calibri" w:hAnsi="Calibri"/>
                <w:b/>
                <w:bCs/>
                <w:color w:val="000000"/>
                <w:sz w:val="18"/>
                <w:szCs w:val="18"/>
              </w:rPr>
              <w:t>10,160</w:t>
            </w:r>
          </w:p>
        </w:tc>
        <w:tc>
          <w:tcPr>
            <w:tcW w:w="737" w:type="dxa"/>
            <w:tcBorders>
              <w:top w:val="nil"/>
              <w:left w:val="nil"/>
              <w:bottom w:val="nil"/>
              <w:right w:val="nil"/>
            </w:tcBorders>
            <w:shd w:val="clear" w:color="000000" w:fill="FFFFFF"/>
            <w:noWrap/>
            <w:vAlign w:val="center"/>
          </w:tcPr>
          <w:p w14:paraId="3926C657" w14:textId="1BE6379E" w:rsidR="00FC23B1" w:rsidRDefault="00FC23B1" w:rsidP="00FC23B1">
            <w:pPr>
              <w:jc w:val="right"/>
              <w:rPr>
                <w:rFonts w:ascii="Calibri" w:hAnsi="Calibri"/>
                <w:b/>
                <w:bCs/>
                <w:color w:val="000000"/>
                <w:sz w:val="18"/>
                <w:szCs w:val="18"/>
              </w:rPr>
            </w:pPr>
            <w:r>
              <w:rPr>
                <w:rFonts w:ascii="Calibri" w:hAnsi="Calibri"/>
                <w:b/>
                <w:bCs/>
                <w:color w:val="000000"/>
                <w:sz w:val="18"/>
                <w:szCs w:val="18"/>
              </w:rPr>
              <w:t>1 084</w:t>
            </w:r>
          </w:p>
        </w:tc>
        <w:tc>
          <w:tcPr>
            <w:tcW w:w="972" w:type="dxa"/>
            <w:tcBorders>
              <w:top w:val="nil"/>
              <w:left w:val="nil"/>
              <w:bottom w:val="nil"/>
              <w:right w:val="nil"/>
            </w:tcBorders>
            <w:shd w:val="clear" w:color="000000" w:fill="FFFFFF"/>
            <w:vAlign w:val="center"/>
          </w:tcPr>
          <w:p w14:paraId="5D2D091B" w14:textId="69F07247" w:rsidR="00FC23B1" w:rsidRDefault="00FC23B1" w:rsidP="00FC23B1">
            <w:pPr>
              <w:jc w:val="right"/>
              <w:rPr>
                <w:rFonts w:ascii="Calibri" w:hAnsi="Calibri"/>
                <w:color w:val="00B050"/>
                <w:sz w:val="18"/>
                <w:szCs w:val="18"/>
              </w:rPr>
            </w:pPr>
            <w:r>
              <w:rPr>
                <w:rFonts w:ascii="Calibri" w:hAnsi="Calibri"/>
                <w:b/>
                <w:bCs/>
                <w:color w:val="000000"/>
                <w:sz w:val="18"/>
                <w:szCs w:val="18"/>
              </w:rPr>
              <w:t>1 592</w:t>
            </w:r>
          </w:p>
        </w:tc>
        <w:tc>
          <w:tcPr>
            <w:tcW w:w="972" w:type="dxa"/>
            <w:tcBorders>
              <w:top w:val="nil"/>
              <w:left w:val="nil"/>
              <w:bottom w:val="nil"/>
              <w:right w:val="nil"/>
            </w:tcBorders>
            <w:shd w:val="clear" w:color="000000" w:fill="FFFFFF"/>
            <w:noWrap/>
            <w:vAlign w:val="center"/>
            <w:hideMark/>
          </w:tcPr>
          <w:p w14:paraId="0691802C" w14:textId="5639B563" w:rsidR="00FC23B1" w:rsidRDefault="00FC23B1" w:rsidP="00FC23B1">
            <w:pPr>
              <w:jc w:val="right"/>
              <w:rPr>
                <w:rFonts w:ascii="Calibri" w:hAnsi="Calibri"/>
                <w:color w:val="00B050"/>
                <w:sz w:val="18"/>
                <w:szCs w:val="18"/>
              </w:rPr>
            </w:pPr>
            <w:r>
              <w:rPr>
                <w:rFonts w:ascii="Calibri" w:hAnsi="Calibri"/>
                <w:color w:val="00B050"/>
                <w:sz w:val="18"/>
                <w:szCs w:val="18"/>
              </w:rPr>
              <w:t>-89%</w:t>
            </w:r>
          </w:p>
        </w:tc>
        <w:tc>
          <w:tcPr>
            <w:tcW w:w="973" w:type="dxa"/>
            <w:tcBorders>
              <w:top w:val="nil"/>
              <w:left w:val="nil"/>
              <w:bottom w:val="nil"/>
              <w:right w:val="nil"/>
            </w:tcBorders>
            <w:shd w:val="clear" w:color="000000" w:fill="FFFFFF"/>
            <w:noWrap/>
            <w:vAlign w:val="center"/>
            <w:hideMark/>
          </w:tcPr>
          <w:p w14:paraId="16EEDC8C" w14:textId="6C9F786A" w:rsidR="00FC23B1" w:rsidRDefault="00FC23B1" w:rsidP="00FC23B1">
            <w:pPr>
              <w:jc w:val="right"/>
              <w:rPr>
                <w:rFonts w:ascii="Calibri" w:hAnsi="Calibri"/>
                <w:color w:val="00B050"/>
                <w:sz w:val="18"/>
                <w:szCs w:val="18"/>
              </w:rPr>
            </w:pPr>
            <w:r>
              <w:rPr>
                <w:rFonts w:ascii="Calibri" w:hAnsi="Calibri"/>
                <w:color w:val="00B050"/>
                <w:sz w:val="18"/>
                <w:szCs w:val="18"/>
              </w:rPr>
              <w:t>47%</w:t>
            </w:r>
          </w:p>
        </w:tc>
      </w:tr>
      <w:tr w:rsidR="00FC23B1" w14:paraId="2A5E07F0" w14:textId="77777777" w:rsidTr="00FC23B1">
        <w:trPr>
          <w:trHeight w:val="252"/>
        </w:trPr>
        <w:tc>
          <w:tcPr>
            <w:tcW w:w="3969" w:type="dxa"/>
            <w:tcBorders>
              <w:top w:val="nil"/>
              <w:left w:val="nil"/>
              <w:bottom w:val="double" w:sz="6" w:space="0" w:color="auto"/>
              <w:right w:val="nil"/>
            </w:tcBorders>
            <w:shd w:val="clear" w:color="000000" w:fill="FFFFFF"/>
            <w:noWrap/>
            <w:vAlign w:val="bottom"/>
            <w:hideMark/>
          </w:tcPr>
          <w:p w14:paraId="7548B997" w14:textId="77777777" w:rsidR="00FC23B1" w:rsidRDefault="00FC23B1" w:rsidP="00FC23B1">
            <w:pPr>
              <w:rPr>
                <w:rFonts w:ascii="Calibri" w:hAnsi="Calibri"/>
                <w:b/>
                <w:bCs/>
                <w:color w:val="000000"/>
                <w:sz w:val="18"/>
                <w:szCs w:val="18"/>
              </w:rPr>
            </w:pPr>
            <w:r>
              <w:rPr>
                <w:rFonts w:ascii="Calibri" w:hAnsi="Calibri"/>
                <w:b/>
                <w:bCs/>
                <w:color w:val="000000"/>
                <w:sz w:val="18"/>
                <w:szCs w:val="18"/>
              </w:rPr>
              <w:t>ОБЩО СОБСТВЕН КАПИТАЛ И ПАСИВИ</w:t>
            </w:r>
          </w:p>
        </w:tc>
        <w:tc>
          <w:tcPr>
            <w:tcW w:w="737" w:type="dxa"/>
            <w:tcBorders>
              <w:top w:val="nil"/>
              <w:left w:val="nil"/>
              <w:bottom w:val="double" w:sz="6" w:space="0" w:color="auto"/>
              <w:right w:val="nil"/>
            </w:tcBorders>
            <w:shd w:val="clear" w:color="000000" w:fill="FFFFFF"/>
            <w:noWrap/>
            <w:vAlign w:val="center"/>
            <w:hideMark/>
          </w:tcPr>
          <w:p w14:paraId="0204D324" w14:textId="77777777" w:rsidR="00FC23B1" w:rsidRDefault="00FC23B1" w:rsidP="00FC23B1">
            <w:pPr>
              <w:jc w:val="right"/>
              <w:rPr>
                <w:rFonts w:ascii="Calibri" w:hAnsi="Calibri"/>
                <w:b/>
                <w:bCs/>
                <w:color w:val="000000"/>
                <w:sz w:val="18"/>
                <w:szCs w:val="18"/>
              </w:rPr>
            </w:pPr>
            <w:r>
              <w:rPr>
                <w:rFonts w:ascii="Calibri" w:hAnsi="Calibri"/>
                <w:b/>
                <w:bCs/>
                <w:color w:val="000000"/>
                <w:sz w:val="18"/>
                <w:szCs w:val="18"/>
              </w:rPr>
              <w:t>6,509</w:t>
            </w:r>
          </w:p>
        </w:tc>
        <w:tc>
          <w:tcPr>
            <w:tcW w:w="737" w:type="dxa"/>
            <w:tcBorders>
              <w:top w:val="nil"/>
              <w:left w:val="nil"/>
              <w:bottom w:val="double" w:sz="6" w:space="0" w:color="auto"/>
              <w:right w:val="nil"/>
            </w:tcBorders>
            <w:shd w:val="clear" w:color="000000" w:fill="FFFFFF"/>
            <w:noWrap/>
            <w:vAlign w:val="center"/>
            <w:hideMark/>
          </w:tcPr>
          <w:p w14:paraId="0E24B42B" w14:textId="77777777" w:rsidR="00FC23B1" w:rsidRDefault="00FC23B1" w:rsidP="00FC23B1">
            <w:pPr>
              <w:jc w:val="right"/>
              <w:rPr>
                <w:rFonts w:ascii="Calibri" w:hAnsi="Calibri"/>
                <w:b/>
                <w:bCs/>
                <w:color w:val="000000"/>
                <w:sz w:val="18"/>
                <w:szCs w:val="18"/>
              </w:rPr>
            </w:pPr>
            <w:r>
              <w:rPr>
                <w:rFonts w:ascii="Calibri" w:hAnsi="Calibri"/>
                <w:b/>
                <w:bCs/>
                <w:color w:val="000000"/>
                <w:sz w:val="18"/>
                <w:szCs w:val="18"/>
              </w:rPr>
              <w:t>12,809</w:t>
            </w:r>
          </w:p>
        </w:tc>
        <w:tc>
          <w:tcPr>
            <w:tcW w:w="737" w:type="dxa"/>
            <w:tcBorders>
              <w:top w:val="nil"/>
              <w:left w:val="nil"/>
              <w:bottom w:val="double" w:sz="4" w:space="0" w:color="auto"/>
              <w:right w:val="nil"/>
            </w:tcBorders>
            <w:shd w:val="clear" w:color="000000" w:fill="FFFFFF"/>
            <w:noWrap/>
            <w:vAlign w:val="center"/>
          </w:tcPr>
          <w:p w14:paraId="31208FEB" w14:textId="485CEB61" w:rsidR="00FC23B1" w:rsidRDefault="00FC23B1" w:rsidP="00FC23B1">
            <w:pPr>
              <w:jc w:val="right"/>
              <w:rPr>
                <w:rFonts w:ascii="Calibri" w:hAnsi="Calibri"/>
                <w:b/>
                <w:bCs/>
                <w:color w:val="000000"/>
                <w:sz w:val="18"/>
                <w:szCs w:val="18"/>
              </w:rPr>
            </w:pPr>
            <w:r>
              <w:rPr>
                <w:rFonts w:ascii="Calibri" w:hAnsi="Calibri"/>
                <w:b/>
                <w:bCs/>
                <w:color w:val="000000"/>
                <w:sz w:val="18"/>
                <w:szCs w:val="18"/>
              </w:rPr>
              <w:t>8 078</w:t>
            </w:r>
          </w:p>
        </w:tc>
        <w:tc>
          <w:tcPr>
            <w:tcW w:w="972" w:type="dxa"/>
            <w:tcBorders>
              <w:top w:val="nil"/>
              <w:left w:val="nil"/>
              <w:bottom w:val="double" w:sz="4" w:space="0" w:color="auto"/>
              <w:right w:val="nil"/>
            </w:tcBorders>
            <w:shd w:val="clear" w:color="000000" w:fill="FFFFFF"/>
            <w:vAlign w:val="center"/>
          </w:tcPr>
          <w:p w14:paraId="13E2D5FA" w14:textId="2FBEBD0F" w:rsidR="00FC23B1" w:rsidRDefault="00FC23B1" w:rsidP="00FC23B1">
            <w:pPr>
              <w:jc w:val="right"/>
              <w:rPr>
                <w:rFonts w:ascii="Calibri" w:hAnsi="Calibri"/>
                <w:color w:val="00B050"/>
                <w:sz w:val="18"/>
                <w:szCs w:val="18"/>
              </w:rPr>
            </w:pPr>
            <w:r>
              <w:rPr>
                <w:rFonts w:ascii="Calibri" w:hAnsi="Calibri"/>
                <w:b/>
                <w:bCs/>
                <w:color w:val="000000"/>
                <w:sz w:val="18"/>
                <w:szCs w:val="18"/>
              </w:rPr>
              <w:t>8 585</w:t>
            </w:r>
          </w:p>
        </w:tc>
        <w:tc>
          <w:tcPr>
            <w:tcW w:w="972" w:type="dxa"/>
            <w:tcBorders>
              <w:top w:val="nil"/>
              <w:left w:val="nil"/>
              <w:bottom w:val="double" w:sz="4" w:space="0" w:color="auto"/>
              <w:right w:val="nil"/>
            </w:tcBorders>
            <w:shd w:val="clear" w:color="000000" w:fill="FFFFFF"/>
            <w:noWrap/>
            <w:vAlign w:val="center"/>
            <w:hideMark/>
          </w:tcPr>
          <w:p w14:paraId="6AB8C2D9" w14:textId="49337E8E" w:rsidR="00FC23B1" w:rsidRDefault="00FC23B1" w:rsidP="00FC23B1">
            <w:pPr>
              <w:jc w:val="right"/>
              <w:rPr>
                <w:rFonts w:ascii="Calibri" w:hAnsi="Calibri"/>
                <w:color w:val="00B050"/>
                <w:sz w:val="18"/>
                <w:szCs w:val="18"/>
              </w:rPr>
            </w:pPr>
            <w:r>
              <w:rPr>
                <w:rFonts w:ascii="Calibri" w:hAnsi="Calibri"/>
                <w:color w:val="00B050"/>
                <w:sz w:val="18"/>
                <w:szCs w:val="18"/>
              </w:rPr>
              <w:t> </w:t>
            </w:r>
          </w:p>
        </w:tc>
        <w:tc>
          <w:tcPr>
            <w:tcW w:w="973" w:type="dxa"/>
            <w:tcBorders>
              <w:top w:val="nil"/>
              <w:left w:val="nil"/>
              <w:bottom w:val="double" w:sz="4" w:space="0" w:color="auto"/>
              <w:right w:val="nil"/>
            </w:tcBorders>
            <w:shd w:val="clear" w:color="000000" w:fill="FFFFFF"/>
            <w:noWrap/>
            <w:vAlign w:val="center"/>
            <w:hideMark/>
          </w:tcPr>
          <w:p w14:paraId="4D17EFF9" w14:textId="08EB1A9B" w:rsidR="00FC23B1" w:rsidRDefault="00FC23B1" w:rsidP="00FC23B1">
            <w:pPr>
              <w:jc w:val="right"/>
              <w:rPr>
                <w:rFonts w:ascii="Calibri" w:hAnsi="Calibri"/>
                <w:color w:val="00B050"/>
                <w:sz w:val="18"/>
                <w:szCs w:val="18"/>
              </w:rPr>
            </w:pPr>
            <w:r>
              <w:rPr>
                <w:rFonts w:ascii="Calibri" w:hAnsi="Calibri"/>
                <w:color w:val="00B050"/>
                <w:sz w:val="18"/>
                <w:szCs w:val="18"/>
              </w:rPr>
              <w:t>6%</w:t>
            </w:r>
          </w:p>
        </w:tc>
      </w:tr>
    </w:tbl>
    <w:p w14:paraId="74634BEA" w14:textId="5BA6187F" w:rsidR="00451DC2" w:rsidRPr="00F061CA" w:rsidRDefault="00FC23B1" w:rsidP="002F2238">
      <w:pPr>
        <w:tabs>
          <w:tab w:val="left" w:pos="5628"/>
          <w:tab w:val="right" w:pos="9072"/>
        </w:tabs>
        <w:rPr>
          <w:rFonts w:asciiTheme="minorHAnsi" w:hAnsiTheme="minorHAnsi"/>
          <w:sz w:val="16"/>
        </w:rPr>
      </w:pPr>
      <w:r>
        <w:rPr>
          <w:rFonts w:asciiTheme="minorHAnsi" w:hAnsiTheme="minorHAnsi"/>
          <w:sz w:val="16"/>
        </w:rPr>
        <w:tab/>
      </w:r>
      <w:r>
        <w:rPr>
          <w:rFonts w:asciiTheme="minorHAnsi" w:hAnsiTheme="minorHAnsi"/>
          <w:sz w:val="16"/>
        </w:rPr>
        <w:tab/>
      </w:r>
      <w:r w:rsidR="00451DC2" w:rsidRPr="00F061CA">
        <w:rPr>
          <w:rFonts w:asciiTheme="minorHAnsi" w:hAnsiTheme="minorHAnsi"/>
          <w:sz w:val="16"/>
        </w:rPr>
        <w:t>Източник : Ай Ти Еф Груп АД</w:t>
      </w:r>
    </w:p>
    <w:p w14:paraId="20644606" w14:textId="77777777" w:rsidR="00E56D30" w:rsidRDefault="00E56D30" w:rsidP="00DD31DF">
      <w:pPr>
        <w:jc w:val="both"/>
        <w:rPr>
          <w:rFonts w:asciiTheme="minorHAnsi" w:hAnsiTheme="minorHAnsi"/>
          <w:sz w:val="22"/>
        </w:rPr>
      </w:pPr>
    </w:p>
    <w:p w14:paraId="41DF0AF4" w14:textId="26B23DB3" w:rsidR="00795C06" w:rsidRPr="00192CB3" w:rsidRDefault="00795C06" w:rsidP="00B8569D">
      <w:pPr>
        <w:spacing w:after="120"/>
        <w:ind w:right="567"/>
        <w:jc w:val="both"/>
        <w:rPr>
          <w:rFonts w:asciiTheme="minorHAnsi" w:hAnsiTheme="minorHAnsi"/>
          <w:sz w:val="20"/>
        </w:rPr>
      </w:pPr>
      <w:r w:rsidRPr="00192CB3">
        <w:rPr>
          <w:rFonts w:asciiTheme="minorHAnsi" w:hAnsiTheme="minorHAnsi"/>
          <w:sz w:val="20"/>
        </w:rPr>
        <w:t>През първото полугодие на 2020 г. активите на „Ай Ти Еф Груп“ достигат 1</w:t>
      </w:r>
      <w:r w:rsidR="00B8569D">
        <w:rPr>
          <w:rFonts w:asciiTheme="minorHAnsi" w:hAnsiTheme="minorHAnsi"/>
          <w:sz w:val="20"/>
        </w:rPr>
        <w:t>2</w:t>
      </w:r>
      <w:r w:rsidRPr="00192CB3">
        <w:rPr>
          <w:rFonts w:asciiTheme="minorHAnsi" w:hAnsiTheme="minorHAnsi"/>
          <w:sz w:val="20"/>
        </w:rPr>
        <w:t xml:space="preserve"> 0</w:t>
      </w:r>
      <w:r w:rsidR="00936CD9">
        <w:rPr>
          <w:rFonts w:asciiTheme="minorHAnsi" w:hAnsiTheme="minorHAnsi"/>
          <w:sz w:val="20"/>
        </w:rPr>
        <w:t xml:space="preserve">30 </w:t>
      </w:r>
      <w:r w:rsidRPr="00192CB3">
        <w:rPr>
          <w:rFonts w:asciiTheme="minorHAnsi" w:hAnsiTheme="minorHAnsi"/>
          <w:sz w:val="20"/>
        </w:rPr>
        <w:t xml:space="preserve">хил. лв. или с </w:t>
      </w:r>
      <w:r w:rsidR="00936CD9">
        <w:rPr>
          <w:rFonts w:asciiTheme="minorHAnsi" w:hAnsiTheme="minorHAnsi"/>
          <w:sz w:val="20"/>
        </w:rPr>
        <w:t>6</w:t>
      </w:r>
      <w:r w:rsidRPr="00192CB3">
        <w:rPr>
          <w:rFonts w:asciiTheme="minorHAnsi" w:hAnsiTheme="minorHAnsi"/>
          <w:sz w:val="20"/>
        </w:rPr>
        <w:t>% по</w:t>
      </w:r>
      <w:r w:rsidR="00936CD9">
        <w:rPr>
          <w:rFonts w:asciiTheme="minorHAnsi" w:hAnsiTheme="minorHAnsi"/>
          <w:sz w:val="20"/>
        </w:rPr>
        <w:t>вече</w:t>
      </w:r>
      <w:r w:rsidRPr="00192CB3">
        <w:rPr>
          <w:rFonts w:asciiTheme="minorHAnsi" w:hAnsiTheme="minorHAnsi"/>
          <w:sz w:val="20"/>
        </w:rPr>
        <w:t xml:space="preserve"> спрямо края на 2019 г. Основна причина за това е </w:t>
      </w:r>
      <w:r w:rsidR="00936CD9">
        <w:rPr>
          <w:rFonts w:asciiTheme="minorHAnsi" w:hAnsiTheme="minorHAnsi"/>
          <w:sz w:val="20"/>
        </w:rPr>
        <w:t xml:space="preserve">ръста на </w:t>
      </w:r>
      <w:r w:rsidRPr="00192CB3">
        <w:rPr>
          <w:rFonts w:asciiTheme="minorHAnsi" w:hAnsiTheme="minorHAnsi"/>
          <w:sz w:val="20"/>
        </w:rPr>
        <w:t xml:space="preserve">портфейла на компанията </w:t>
      </w:r>
      <w:r w:rsidR="00936CD9">
        <w:rPr>
          <w:rFonts w:asciiTheme="minorHAnsi" w:hAnsiTheme="minorHAnsi"/>
          <w:sz w:val="20"/>
        </w:rPr>
        <w:t>през полугодието.</w:t>
      </w:r>
      <w:r w:rsidR="00524AF2" w:rsidRPr="00192CB3">
        <w:rPr>
          <w:rFonts w:asciiTheme="minorHAnsi" w:hAnsiTheme="minorHAnsi"/>
          <w:sz w:val="20"/>
        </w:rPr>
        <w:t xml:space="preserve"> </w:t>
      </w:r>
      <w:r w:rsidR="00936CD9">
        <w:rPr>
          <w:rFonts w:asciiTheme="minorHAnsi" w:hAnsiTheme="minorHAnsi"/>
          <w:sz w:val="20"/>
        </w:rPr>
        <w:t>К</w:t>
      </w:r>
      <w:r w:rsidR="00524AF2" w:rsidRPr="00192CB3">
        <w:rPr>
          <w:rFonts w:asciiTheme="minorHAnsi" w:hAnsiTheme="minorHAnsi"/>
          <w:sz w:val="20"/>
        </w:rPr>
        <w:t>ъм 30.06.202</w:t>
      </w:r>
      <w:r w:rsidR="00936CD9">
        <w:rPr>
          <w:rFonts w:asciiTheme="minorHAnsi" w:hAnsiTheme="minorHAnsi"/>
          <w:sz w:val="20"/>
        </w:rPr>
        <w:t>1</w:t>
      </w:r>
      <w:r w:rsidR="00524AF2" w:rsidRPr="00192CB3">
        <w:rPr>
          <w:rFonts w:asciiTheme="minorHAnsi" w:hAnsiTheme="minorHAnsi"/>
          <w:sz w:val="20"/>
        </w:rPr>
        <w:t xml:space="preserve"> г. нетните </w:t>
      </w:r>
      <w:r w:rsidR="00524AF2" w:rsidRPr="00192CB3">
        <w:rPr>
          <w:rFonts w:asciiTheme="minorHAnsi" w:hAnsiTheme="minorHAnsi"/>
          <w:sz w:val="20"/>
        </w:rPr>
        <w:lastRenderedPageBreak/>
        <w:t xml:space="preserve">вземания на компанията от предоставени заеми достигат </w:t>
      </w:r>
      <w:r w:rsidR="00936CD9">
        <w:rPr>
          <w:rFonts w:asciiTheme="minorHAnsi" w:hAnsiTheme="minorHAnsi"/>
          <w:sz w:val="20"/>
        </w:rPr>
        <w:t xml:space="preserve">10 063 </w:t>
      </w:r>
      <w:r w:rsidR="00524AF2" w:rsidRPr="00192CB3">
        <w:rPr>
          <w:rFonts w:asciiTheme="minorHAnsi" w:hAnsiTheme="minorHAnsi"/>
          <w:sz w:val="20"/>
        </w:rPr>
        <w:t xml:space="preserve">хил. лв. и се увеличават с </w:t>
      </w:r>
      <w:r w:rsidR="00936CD9">
        <w:rPr>
          <w:rFonts w:asciiTheme="minorHAnsi" w:hAnsiTheme="minorHAnsi"/>
          <w:sz w:val="20"/>
        </w:rPr>
        <w:t>6</w:t>
      </w:r>
      <w:r w:rsidR="00524AF2" w:rsidRPr="00192CB3">
        <w:rPr>
          <w:rFonts w:asciiTheme="minorHAnsi" w:hAnsiTheme="minorHAnsi"/>
          <w:sz w:val="20"/>
        </w:rPr>
        <w:t>% спрямо края на 20</w:t>
      </w:r>
      <w:r w:rsidR="00936CD9">
        <w:rPr>
          <w:rFonts w:asciiTheme="minorHAnsi" w:hAnsiTheme="minorHAnsi"/>
          <w:sz w:val="20"/>
        </w:rPr>
        <w:t>20</w:t>
      </w:r>
      <w:r w:rsidR="00524AF2" w:rsidRPr="00192CB3">
        <w:rPr>
          <w:rFonts w:asciiTheme="minorHAnsi" w:hAnsiTheme="minorHAnsi"/>
          <w:sz w:val="20"/>
        </w:rPr>
        <w:t xml:space="preserve"> г. </w:t>
      </w:r>
    </w:p>
    <w:p w14:paraId="290ACAF9" w14:textId="0DA2890E" w:rsidR="00795C06" w:rsidRPr="00192CB3" w:rsidRDefault="00B8569D" w:rsidP="00192CB3">
      <w:pPr>
        <w:ind w:right="566"/>
        <w:jc w:val="both"/>
        <w:rPr>
          <w:rFonts w:asciiTheme="minorHAnsi" w:hAnsiTheme="minorHAnsi"/>
          <w:sz w:val="20"/>
        </w:rPr>
      </w:pPr>
      <w:r>
        <w:rPr>
          <w:rFonts w:asciiTheme="minorHAnsi" w:hAnsiTheme="minorHAnsi"/>
          <w:sz w:val="20"/>
        </w:rPr>
        <w:t>Към 30.06.</w:t>
      </w:r>
      <w:r w:rsidR="00795C06" w:rsidRPr="00192CB3">
        <w:rPr>
          <w:rFonts w:asciiTheme="minorHAnsi" w:hAnsiTheme="minorHAnsi"/>
          <w:sz w:val="20"/>
        </w:rPr>
        <w:t>202</w:t>
      </w:r>
      <w:r w:rsidRPr="00B8569D">
        <w:rPr>
          <w:rFonts w:asciiTheme="minorHAnsi" w:hAnsiTheme="minorHAnsi"/>
          <w:sz w:val="20"/>
        </w:rPr>
        <w:t>1</w:t>
      </w:r>
      <w:r w:rsidR="00795C06" w:rsidRPr="00192CB3">
        <w:rPr>
          <w:rFonts w:asciiTheme="minorHAnsi" w:hAnsiTheme="minorHAnsi"/>
          <w:sz w:val="20"/>
        </w:rPr>
        <w:t xml:space="preserve"> г. пасивите на „Ай Ти Еф Груп“ </w:t>
      </w:r>
      <w:r w:rsidR="00DA73E2" w:rsidRPr="00192CB3">
        <w:rPr>
          <w:rFonts w:asciiTheme="minorHAnsi" w:hAnsiTheme="minorHAnsi"/>
          <w:sz w:val="20"/>
        </w:rPr>
        <w:t xml:space="preserve">възлизат на 8 030 хил. лв. и </w:t>
      </w:r>
      <w:r>
        <w:rPr>
          <w:rFonts w:asciiTheme="minorHAnsi" w:hAnsiTheme="minorHAnsi"/>
          <w:sz w:val="20"/>
        </w:rPr>
        <w:t>нарастват</w:t>
      </w:r>
      <w:r w:rsidR="00DA73E2" w:rsidRPr="00192CB3">
        <w:rPr>
          <w:rFonts w:asciiTheme="minorHAnsi" w:hAnsiTheme="minorHAnsi"/>
          <w:sz w:val="20"/>
        </w:rPr>
        <w:t xml:space="preserve"> с </w:t>
      </w:r>
      <w:r>
        <w:rPr>
          <w:rFonts w:asciiTheme="minorHAnsi" w:hAnsiTheme="minorHAnsi"/>
          <w:sz w:val="20"/>
        </w:rPr>
        <w:t>6</w:t>
      </w:r>
      <w:r w:rsidR="00DA73E2" w:rsidRPr="00192CB3">
        <w:rPr>
          <w:rFonts w:asciiTheme="minorHAnsi" w:hAnsiTheme="minorHAnsi"/>
          <w:sz w:val="20"/>
        </w:rPr>
        <w:t xml:space="preserve">% </w:t>
      </w:r>
      <w:r w:rsidR="00936CD9">
        <w:rPr>
          <w:rFonts w:asciiTheme="minorHAnsi" w:hAnsiTheme="minorHAnsi"/>
          <w:sz w:val="20"/>
        </w:rPr>
        <w:t>спрямо края</w:t>
      </w:r>
      <w:r>
        <w:rPr>
          <w:rFonts w:asciiTheme="minorHAnsi" w:hAnsiTheme="minorHAnsi"/>
          <w:sz w:val="20"/>
        </w:rPr>
        <w:t xml:space="preserve"> на миналата година</w:t>
      </w:r>
      <w:r w:rsidR="00DA73E2" w:rsidRPr="00192CB3">
        <w:rPr>
          <w:rFonts w:asciiTheme="minorHAnsi" w:hAnsiTheme="minorHAnsi"/>
          <w:sz w:val="20"/>
        </w:rPr>
        <w:t xml:space="preserve"> в резултат на </w:t>
      </w:r>
      <w:r>
        <w:rPr>
          <w:rFonts w:asciiTheme="minorHAnsi" w:hAnsiTheme="minorHAnsi"/>
          <w:sz w:val="20"/>
        </w:rPr>
        <w:t>нарастването на краткосрочните пасиви</w:t>
      </w:r>
      <w:r w:rsidR="00FD793B" w:rsidRPr="00192CB3">
        <w:rPr>
          <w:rFonts w:asciiTheme="minorHAnsi" w:hAnsiTheme="minorHAnsi"/>
          <w:sz w:val="20"/>
        </w:rPr>
        <w:t>.</w:t>
      </w:r>
      <w:r w:rsidR="002103E0" w:rsidRPr="00192CB3">
        <w:rPr>
          <w:rFonts w:asciiTheme="minorHAnsi" w:hAnsiTheme="minorHAnsi"/>
          <w:sz w:val="20"/>
        </w:rPr>
        <w:t xml:space="preserve"> </w:t>
      </w:r>
      <w:r>
        <w:rPr>
          <w:rFonts w:asciiTheme="minorHAnsi" w:hAnsiTheme="minorHAnsi"/>
          <w:sz w:val="20"/>
        </w:rPr>
        <w:t>Няма съществени изменения в структурата и начина на финансиране на дейността на Дружеството.</w:t>
      </w:r>
    </w:p>
    <w:p w14:paraId="1E196ACE" w14:textId="77777777" w:rsidR="00451DC2" w:rsidRDefault="00451DC2" w:rsidP="00DD31DF">
      <w:pPr>
        <w:jc w:val="both"/>
        <w:rPr>
          <w:rFonts w:asciiTheme="minorHAnsi" w:hAnsiTheme="minorHAnsi"/>
          <w:sz w:val="22"/>
        </w:rPr>
      </w:pPr>
    </w:p>
    <w:tbl>
      <w:tblPr>
        <w:tblW w:w="9107" w:type="dxa"/>
        <w:tblCellMar>
          <w:left w:w="70" w:type="dxa"/>
          <w:right w:w="70" w:type="dxa"/>
        </w:tblCellMar>
        <w:tblLook w:val="04A0" w:firstRow="1" w:lastRow="0" w:firstColumn="1" w:lastColumn="0" w:noHBand="0" w:noVBand="1"/>
      </w:tblPr>
      <w:tblGrid>
        <w:gridCol w:w="3855"/>
        <w:gridCol w:w="794"/>
        <w:gridCol w:w="794"/>
        <w:gridCol w:w="794"/>
        <w:gridCol w:w="1038"/>
        <w:gridCol w:w="1038"/>
        <w:gridCol w:w="794"/>
      </w:tblGrid>
      <w:tr w:rsidR="00192CB3" w:rsidRPr="00192CB3" w14:paraId="79418336" w14:textId="77777777" w:rsidTr="00192CB3">
        <w:trPr>
          <w:trHeight w:val="180"/>
        </w:trPr>
        <w:tc>
          <w:tcPr>
            <w:tcW w:w="3855" w:type="dxa"/>
            <w:tcBorders>
              <w:top w:val="nil"/>
              <w:left w:val="nil"/>
              <w:bottom w:val="nil"/>
              <w:right w:val="nil"/>
            </w:tcBorders>
            <w:shd w:val="clear" w:color="000000" w:fill="B41E37"/>
            <w:noWrap/>
            <w:vAlign w:val="bottom"/>
            <w:hideMark/>
          </w:tcPr>
          <w:p w14:paraId="50232B17" w14:textId="77777777" w:rsidR="00192CB3" w:rsidRPr="00192CB3" w:rsidRDefault="00192CB3">
            <w:pPr>
              <w:rPr>
                <w:rFonts w:asciiTheme="minorHAnsi" w:hAnsiTheme="minorHAnsi"/>
                <w:b/>
                <w:bCs/>
                <w:color w:val="FFFFFF"/>
                <w:sz w:val="18"/>
                <w:szCs w:val="16"/>
              </w:rPr>
            </w:pPr>
            <w:r w:rsidRPr="00192CB3">
              <w:rPr>
                <w:rFonts w:asciiTheme="minorHAnsi" w:hAnsiTheme="minorHAnsi"/>
                <w:b/>
                <w:bCs/>
                <w:color w:val="FFFFFF"/>
                <w:sz w:val="18"/>
                <w:szCs w:val="16"/>
              </w:rPr>
              <w:t>Анализ на ликвидността</w:t>
            </w:r>
          </w:p>
        </w:tc>
        <w:tc>
          <w:tcPr>
            <w:tcW w:w="794" w:type="dxa"/>
            <w:tcBorders>
              <w:top w:val="nil"/>
              <w:left w:val="nil"/>
              <w:bottom w:val="nil"/>
              <w:right w:val="nil"/>
            </w:tcBorders>
            <w:shd w:val="clear" w:color="000000" w:fill="B41E37"/>
            <w:noWrap/>
            <w:vAlign w:val="center"/>
            <w:hideMark/>
          </w:tcPr>
          <w:p w14:paraId="7038EB6B" w14:textId="77777777" w:rsidR="00192CB3" w:rsidRPr="00192CB3" w:rsidRDefault="00192CB3" w:rsidP="00192CB3">
            <w:pPr>
              <w:jc w:val="right"/>
              <w:rPr>
                <w:rFonts w:asciiTheme="minorHAnsi" w:hAnsiTheme="minorHAnsi"/>
                <w:b/>
                <w:bCs/>
                <w:color w:val="FFFFFF"/>
                <w:sz w:val="18"/>
                <w:szCs w:val="16"/>
              </w:rPr>
            </w:pPr>
            <w:r w:rsidRPr="00192CB3">
              <w:rPr>
                <w:rFonts w:asciiTheme="minorHAnsi" w:hAnsiTheme="minorHAnsi"/>
                <w:b/>
                <w:bCs/>
                <w:color w:val="FFFFFF"/>
                <w:sz w:val="18"/>
                <w:szCs w:val="16"/>
              </w:rPr>
              <w:t>2018</w:t>
            </w:r>
          </w:p>
        </w:tc>
        <w:tc>
          <w:tcPr>
            <w:tcW w:w="794" w:type="dxa"/>
            <w:tcBorders>
              <w:top w:val="nil"/>
              <w:left w:val="nil"/>
              <w:bottom w:val="nil"/>
              <w:right w:val="nil"/>
            </w:tcBorders>
            <w:shd w:val="clear" w:color="000000" w:fill="B41E37"/>
            <w:noWrap/>
            <w:vAlign w:val="center"/>
            <w:hideMark/>
          </w:tcPr>
          <w:p w14:paraId="52AC4E72" w14:textId="77777777" w:rsidR="00192CB3" w:rsidRPr="00192CB3" w:rsidRDefault="00192CB3" w:rsidP="00192CB3">
            <w:pPr>
              <w:jc w:val="right"/>
              <w:rPr>
                <w:rFonts w:asciiTheme="minorHAnsi" w:hAnsiTheme="minorHAnsi"/>
                <w:b/>
                <w:bCs/>
                <w:color w:val="FFFFFF"/>
                <w:sz w:val="18"/>
                <w:szCs w:val="16"/>
              </w:rPr>
            </w:pPr>
            <w:r w:rsidRPr="00192CB3">
              <w:rPr>
                <w:rFonts w:asciiTheme="minorHAnsi" w:hAnsiTheme="minorHAnsi"/>
                <w:b/>
                <w:bCs/>
                <w:color w:val="FFFFFF"/>
                <w:sz w:val="18"/>
                <w:szCs w:val="16"/>
              </w:rPr>
              <w:t>2019</w:t>
            </w:r>
          </w:p>
        </w:tc>
        <w:tc>
          <w:tcPr>
            <w:tcW w:w="794" w:type="dxa"/>
            <w:tcBorders>
              <w:top w:val="nil"/>
              <w:left w:val="nil"/>
              <w:bottom w:val="nil"/>
              <w:right w:val="nil"/>
            </w:tcBorders>
            <w:shd w:val="clear" w:color="000000" w:fill="B41E37"/>
            <w:vAlign w:val="center"/>
          </w:tcPr>
          <w:p w14:paraId="6B50C572" w14:textId="6CC4BD61" w:rsidR="00192CB3" w:rsidRPr="00192CB3" w:rsidRDefault="00192CB3" w:rsidP="00192CB3">
            <w:pPr>
              <w:jc w:val="right"/>
              <w:rPr>
                <w:rFonts w:asciiTheme="minorHAnsi" w:hAnsiTheme="minorHAnsi"/>
                <w:b/>
                <w:bCs/>
                <w:color w:val="FFFFFF"/>
                <w:sz w:val="18"/>
                <w:szCs w:val="16"/>
              </w:rPr>
            </w:pPr>
            <w:r w:rsidRPr="00192CB3">
              <w:rPr>
                <w:rFonts w:asciiTheme="minorHAnsi" w:hAnsiTheme="minorHAnsi"/>
                <w:b/>
                <w:bCs/>
                <w:color w:val="FFFFFF"/>
                <w:sz w:val="18"/>
                <w:szCs w:val="16"/>
              </w:rPr>
              <w:t>2020</w:t>
            </w:r>
          </w:p>
        </w:tc>
        <w:tc>
          <w:tcPr>
            <w:tcW w:w="1038" w:type="dxa"/>
            <w:tcBorders>
              <w:top w:val="nil"/>
              <w:left w:val="nil"/>
              <w:bottom w:val="nil"/>
              <w:right w:val="nil"/>
            </w:tcBorders>
            <w:shd w:val="clear" w:color="000000" w:fill="B41E37"/>
            <w:noWrap/>
            <w:vAlign w:val="center"/>
            <w:hideMark/>
          </w:tcPr>
          <w:p w14:paraId="374A5EE1" w14:textId="2FA097B8" w:rsidR="00192CB3" w:rsidRPr="00192CB3" w:rsidRDefault="00192CB3" w:rsidP="00192CB3">
            <w:pPr>
              <w:jc w:val="right"/>
              <w:rPr>
                <w:rFonts w:asciiTheme="minorHAnsi" w:hAnsiTheme="minorHAnsi"/>
                <w:b/>
                <w:bCs/>
                <w:color w:val="FFFFFF"/>
                <w:sz w:val="18"/>
                <w:szCs w:val="16"/>
              </w:rPr>
            </w:pPr>
            <w:r w:rsidRPr="00192CB3">
              <w:rPr>
                <w:rFonts w:asciiTheme="minorHAnsi" w:hAnsiTheme="minorHAnsi"/>
                <w:b/>
                <w:bCs/>
                <w:color w:val="FFFFFF"/>
                <w:sz w:val="18"/>
                <w:szCs w:val="16"/>
              </w:rPr>
              <w:t>30.06.2020</w:t>
            </w:r>
          </w:p>
        </w:tc>
        <w:tc>
          <w:tcPr>
            <w:tcW w:w="1038" w:type="dxa"/>
            <w:tcBorders>
              <w:top w:val="nil"/>
              <w:left w:val="nil"/>
              <w:bottom w:val="nil"/>
              <w:right w:val="nil"/>
            </w:tcBorders>
            <w:shd w:val="clear" w:color="000000" w:fill="B41E37"/>
            <w:noWrap/>
            <w:vAlign w:val="center"/>
            <w:hideMark/>
          </w:tcPr>
          <w:p w14:paraId="3B26B40E" w14:textId="74144EA0" w:rsidR="00192CB3" w:rsidRPr="00192CB3" w:rsidRDefault="00192CB3" w:rsidP="00192CB3">
            <w:pPr>
              <w:jc w:val="right"/>
              <w:rPr>
                <w:rFonts w:asciiTheme="minorHAnsi" w:hAnsiTheme="minorHAnsi"/>
                <w:b/>
                <w:bCs/>
                <w:color w:val="FFFFFF"/>
                <w:sz w:val="18"/>
                <w:szCs w:val="16"/>
              </w:rPr>
            </w:pPr>
            <w:r w:rsidRPr="00192CB3">
              <w:rPr>
                <w:rFonts w:asciiTheme="minorHAnsi" w:hAnsiTheme="minorHAnsi"/>
                <w:b/>
                <w:bCs/>
                <w:color w:val="FFFFFF"/>
                <w:sz w:val="18"/>
                <w:szCs w:val="16"/>
              </w:rPr>
              <w:t>30.06.2021</w:t>
            </w:r>
          </w:p>
        </w:tc>
        <w:tc>
          <w:tcPr>
            <w:tcW w:w="794" w:type="dxa"/>
            <w:tcBorders>
              <w:top w:val="nil"/>
              <w:left w:val="nil"/>
              <w:bottom w:val="nil"/>
              <w:right w:val="nil"/>
            </w:tcBorders>
            <w:shd w:val="clear" w:color="000000" w:fill="B41E37"/>
            <w:noWrap/>
            <w:vAlign w:val="center"/>
            <w:hideMark/>
          </w:tcPr>
          <w:p w14:paraId="56D66084" w14:textId="77777777" w:rsidR="00192CB3" w:rsidRPr="00192CB3" w:rsidRDefault="00192CB3">
            <w:pPr>
              <w:jc w:val="right"/>
              <w:rPr>
                <w:rFonts w:asciiTheme="minorHAnsi" w:hAnsiTheme="minorHAnsi"/>
                <w:b/>
                <w:bCs/>
                <w:color w:val="FFFFFF"/>
                <w:sz w:val="18"/>
                <w:szCs w:val="16"/>
              </w:rPr>
            </w:pPr>
            <w:r w:rsidRPr="00192CB3">
              <w:rPr>
                <w:rFonts w:asciiTheme="minorHAnsi" w:hAnsiTheme="minorHAnsi"/>
                <w:b/>
                <w:bCs/>
                <w:color w:val="FFFFFF"/>
                <w:sz w:val="18"/>
                <w:szCs w:val="16"/>
              </w:rPr>
              <w:t>TTM</w:t>
            </w:r>
          </w:p>
        </w:tc>
      </w:tr>
      <w:tr w:rsidR="00FC23B1" w:rsidRPr="00192CB3" w14:paraId="466D9081" w14:textId="77777777" w:rsidTr="00192CB3">
        <w:trPr>
          <w:trHeight w:val="180"/>
        </w:trPr>
        <w:tc>
          <w:tcPr>
            <w:tcW w:w="3855" w:type="dxa"/>
            <w:tcBorders>
              <w:top w:val="nil"/>
              <w:left w:val="nil"/>
              <w:bottom w:val="nil"/>
              <w:right w:val="nil"/>
            </w:tcBorders>
            <w:shd w:val="clear" w:color="000000" w:fill="FFFFFF"/>
            <w:noWrap/>
            <w:vAlign w:val="bottom"/>
            <w:hideMark/>
          </w:tcPr>
          <w:p w14:paraId="6153B7F6"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Коефициент на общата ликвидност</w:t>
            </w:r>
          </w:p>
        </w:tc>
        <w:tc>
          <w:tcPr>
            <w:tcW w:w="794" w:type="dxa"/>
            <w:tcBorders>
              <w:top w:val="nil"/>
              <w:left w:val="nil"/>
              <w:bottom w:val="nil"/>
              <w:right w:val="nil"/>
            </w:tcBorders>
            <w:shd w:val="clear" w:color="000000" w:fill="FFFFFF"/>
            <w:noWrap/>
            <w:vAlign w:val="center"/>
            <w:hideMark/>
          </w:tcPr>
          <w:p w14:paraId="63C53042"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1.98</w:t>
            </w:r>
          </w:p>
        </w:tc>
        <w:tc>
          <w:tcPr>
            <w:tcW w:w="794" w:type="dxa"/>
            <w:tcBorders>
              <w:top w:val="nil"/>
              <w:left w:val="nil"/>
              <w:bottom w:val="nil"/>
              <w:right w:val="nil"/>
            </w:tcBorders>
            <w:shd w:val="clear" w:color="000000" w:fill="FFFFFF"/>
            <w:noWrap/>
            <w:vAlign w:val="center"/>
            <w:hideMark/>
          </w:tcPr>
          <w:p w14:paraId="1ED9304A"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3.13</w:t>
            </w:r>
          </w:p>
        </w:tc>
        <w:tc>
          <w:tcPr>
            <w:tcW w:w="794" w:type="dxa"/>
            <w:tcBorders>
              <w:top w:val="nil"/>
              <w:left w:val="nil"/>
              <w:bottom w:val="nil"/>
              <w:right w:val="nil"/>
            </w:tcBorders>
            <w:shd w:val="clear" w:color="000000" w:fill="FFFFFF"/>
            <w:vAlign w:val="center"/>
          </w:tcPr>
          <w:p w14:paraId="482BEE41" w14:textId="08EE69A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9.18</w:t>
            </w:r>
          </w:p>
        </w:tc>
        <w:tc>
          <w:tcPr>
            <w:tcW w:w="1038" w:type="dxa"/>
            <w:tcBorders>
              <w:top w:val="nil"/>
              <w:left w:val="nil"/>
              <w:bottom w:val="nil"/>
              <w:right w:val="nil"/>
            </w:tcBorders>
            <w:shd w:val="clear" w:color="000000" w:fill="FFFFFF"/>
            <w:noWrap/>
            <w:vAlign w:val="bottom"/>
            <w:hideMark/>
          </w:tcPr>
          <w:p w14:paraId="0D1E5855" w14:textId="606FDB44"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5.97</w:t>
            </w:r>
          </w:p>
        </w:tc>
        <w:tc>
          <w:tcPr>
            <w:tcW w:w="1038" w:type="dxa"/>
            <w:tcBorders>
              <w:top w:val="nil"/>
              <w:left w:val="nil"/>
              <w:bottom w:val="nil"/>
              <w:right w:val="nil"/>
            </w:tcBorders>
            <w:shd w:val="clear" w:color="000000" w:fill="FFFFFF"/>
            <w:noWrap/>
            <w:vAlign w:val="bottom"/>
            <w:hideMark/>
          </w:tcPr>
          <w:p w14:paraId="602F795D" w14:textId="2FB7964A"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6.73</w:t>
            </w:r>
          </w:p>
        </w:tc>
        <w:tc>
          <w:tcPr>
            <w:tcW w:w="794" w:type="dxa"/>
            <w:tcBorders>
              <w:top w:val="nil"/>
              <w:left w:val="nil"/>
              <w:bottom w:val="nil"/>
              <w:right w:val="nil"/>
            </w:tcBorders>
            <w:shd w:val="clear" w:color="000000" w:fill="FFFFFF"/>
            <w:noWrap/>
            <w:vAlign w:val="bottom"/>
            <w:hideMark/>
          </w:tcPr>
          <w:p w14:paraId="184FBF60" w14:textId="4F673BFD"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6.73</w:t>
            </w:r>
          </w:p>
        </w:tc>
      </w:tr>
      <w:tr w:rsidR="00FC23B1" w:rsidRPr="00192CB3" w14:paraId="041B036C" w14:textId="77777777" w:rsidTr="00192CB3">
        <w:trPr>
          <w:trHeight w:val="180"/>
        </w:trPr>
        <w:tc>
          <w:tcPr>
            <w:tcW w:w="3855" w:type="dxa"/>
            <w:tcBorders>
              <w:top w:val="nil"/>
              <w:left w:val="nil"/>
              <w:bottom w:val="nil"/>
              <w:right w:val="nil"/>
            </w:tcBorders>
            <w:shd w:val="clear" w:color="000000" w:fill="FFFFFF"/>
            <w:noWrap/>
            <w:vAlign w:val="bottom"/>
            <w:hideMark/>
          </w:tcPr>
          <w:p w14:paraId="744D7B67"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Коефициент на бързата ликвидност</w:t>
            </w:r>
          </w:p>
        </w:tc>
        <w:tc>
          <w:tcPr>
            <w:tcW w:w="794" w:type="dxa"/>
            <w:tcBorders>
              <w:top w:val="nil"/>
              <w:left w:val="nil"/>
              <w:bottom w:val="nil"/>
              <w:right w:val="nil"/>
            </w:tcBorders>
            <w:shd w:val="clear" w:color="000000" w:fill="FFFFFF"/>
            <w:noWrap/>
            <w:vAlign w:val="center"/>
            <w:hideMark/>
          </w:tcPr>
          <w:p w14:paraId="5B8416C0"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1.87</w:t>
            </w:r>
          </w:p>
        </w:tc>
        <w:tc>
          <w:tcPr>
            <w:tcW w:w="794" w:type="dxa"/>
            <w:tcBorders>
              <w:top w:val="nil"/>
              <w:left w:val="nil"/>
              <w:bottom w:val="nil"/>
              <w:right w:val="nil"/>
            </w:tcBorders>
            <w:shd w:val="clear" w:color="000000" w:fill="FFFFFF"/>
            <w:noWrap/>
            <w:vAlign w:val="center"/>
            <w:hideMark/>
          </w:tcPr>
          <w:p w14:paraId="7569B929"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3.11</w:t>
            </w:r>
          </w:p>
        </w:tc>
        <w:tc>
          <w:tcPr>
            <w:tcW w:w="794" w:type="dxa"/>
            <w:tcBorders>
              <w:top w:val="nil"/>
              <w:left w:val="nil"/>
              <w:bottom w:val="nil"/>
              <w:right w:val="nil"/>
            </w:tcBorders>
            <w:shd w:val="clear" w:color="000000" w:fill="FFFFFF"/>
            <w:vAlign w:val="center"/>
          </w:tcPr>
          <w:p w14:paraId="760B22AA" w14:textId="3D57D720"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9.16</w:t>
            </w:r>
          </w:p>
        </w:tc>
        <w:tc>
          <w:tcPr>
            <w:tcW w:w="1038" w:type="dxa"/>
            <w:tcBorders>
              <w:top w:val="nil"/>
              <w:left w:val="nil"/>
              <w:bottom w:val="nil"/>
              <w:right w:val="nil"/>
            </w:tcBorders>
            <w:shd w:val="clear" w:color="000000" w:fill="FFFFFF"/>
            <w:noWrap/>
            <w:vAlign w:val="bottom"/>
            <w:hideMark/>
          </w:tcPr>
          <w:p w14:paraId="73F14BEF" w14:textId="0FA3997D"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5.92</w:t>
            </w:r>
          </w:p>
        </w:tc>
        <w:tc>
          <w:tcPr>
            <w:tcW w:w="1038" w:type="dxa"/>
            <w:tcBorders>
              <w:top w:val="nil"/>
              <w:left w:val="nil"/>
              <w:bottom w:val="nil"/>
              <w:right w:val="nil"/>
            </w:tcBorders>
            <w:shd w:val="clear" w:color="000000" w:fill="FFFFFF"/>
            <w:noWrap/>
            <w:vAlign w:val="bottom"/>
            <w:hideMark/>
          </w:tcPr>
          <w:p w14:paraId="0AFAFB5A" w14:textId="69FBF0C9"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6.68</w:t>
            </w:r>
          </w:p>
        </w:tc>
        <w:tc>
          <w:tcPr>
            <w:tcW w:w="794" w:type="dxa"/>
            <w:tcBorders>
              <w:top w:val="nil"/>
              <w:left w:val="nil"/>
              <w:bottom w:val="nil"/>
              <w:right w:val="nil"/>
            </w:tcBorders>
            <w:shd w:val="clear" w:color="000000" w:fill="FFFFFF"/>
            <w:noWrap/>
            <w:vAlign w:val="bottom"/>
            <w:hideMark/>
          </w:tcPr>
          <w:p w14:paraId="598951FC" w14:textId="1845ABA4"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6.68</w:t>
            </w:r>
          </w:p>
        </w:tc>
      </w:tr>
      <w:tr w:rsidR="00FC23B1" w:rsidRPr="00192CB3" w14:paraId="502AC2AD" w14:textId="77777777" w:rsidTr="00192CB3">
        <w:trPr>
          <w:trHeight w:val="180"/>
        </w:trPr>
        <w:tc>
          <w:tcPr>
            <w:tcW w:w="3855" w:type="dxa"/>
            <w:tcBorders>
              <w:top w:val="nil"/>
              <w:left w:val="nil"/>
              <w:bottom w:val="single" w:sz="4" w:space="0" w:color="auto"/>
              <w:right w:val="nil"/>
            </w:tcBorders>
            <w:shd w:val="clear" w:color="000000" w:fill="FFFFFF"/>
            <w:noWrap/>
            <w:vAlign w:val="bottom"/>
            <w:hideMark/>
          </w:tcPr>
          <w:p w14:paraId="1B5EF5AB"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Коефициент на незабавна ликвидност</w:t>
            </w:r>
          </w:p>
        </w:tc>
        <w:tc>
          <w:tcPr>
            <w:tcW w:w="794" w:type="dxa"/>
            <w:tcBorders>
              <w:top w:val="nil"/>
              <w:left w:val="nil"/>
              <w:bottom w:val="single" w:sz="4" w:space="0" w:color="auto"/>
              <w:right w:val="nil"/>
            </w:tcBorders>
            <w:shd w:val="clear" w:color="000000" w:fill="FFFFFF"/>
            <w:noWrap/>
            <w:vAlign w:val="center"/>
            <w:hideMark/>
          </w:tcPr>
          <w:p w14:paraId="250353C6"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0.05</w:t>
            </w:r>
          </w:p>
        </w:tc>
        <w:tc>
          <w:tcPr>
            <w:tcW w:w="794" w:type="dxa"/>
            <w:tcBorders>
              <w:top w:val="nil"/>
              <w:left w:val="nil"/>
              <w:bottom w:val="single" w:sz="4" w:space="0" w:color="auto"/>
              <w:right w:val="nil"/>
            </w:tcBorders>
            <w:shd w:val="clear" w:color="000000" w:fill="FFFFFF"/>
            <w:noWrap/>
            <w:vAlign w:val="center"/>
            <w:hideMark/>
          </w:tcPr>
          <w:p w14:paraId="0BB1A4AE"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1.08</w:t>
            </w:r>
          </w:p>
        </w:tc>
        <w:tc>
          <w:tcPr>
            <w:tcW w:w="794" w:type="dxa"/>
            <w:tcBorders>
              <w:top w:val="nil"/>
              <w:left w:val="nil"/>
              <w:bottom w:val="single" w:sz="4" w:space="0" w:color="auto"/>
              <w:right w:val="nil"/>
            </w:tcBorders>
            <w:shd w:val="clear" w:color="000000" w:fill="FFFFFF"/>
            <w:vAlign w:val="center"/>
          </w:tcPr>
          <w:p w14:paraId="73CB2C98" w14:textId="6DE4CDF3"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0.27</w:t>
            </w:r>
          </w:p>
        </w:tc>
        <w:tc>
          <w:tcPr>
            <w:tcW w:w="1038" w:type="dxa"/>
            <w:tcBorders>
              <w:top w:val="nil"/>
              <w:left w:val="nil"/>
              <w:bottom w:val="single" w:sz="4" w:space="0" w:color="auto"/>
              <w:right w:val="nil"/>
            </w:tcBorders>
            <w:shd w:val="clear" w:color="000000" w:fill="FFFFFF"/>
            <w:noWrap/>
            <w:vAlign w:val="bottom"/>
            <w:hideMark/>
          </w:tcPr>
          <w:p w14:paraId="39076135" w14:textId="59BCE5F3"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0.43</w:t>
            </w:r>
          </w:p>
        </w:tc>
        <w:tc>
          <w:tcPr>
            <w:tcW w:w="1038" w:type="dxa"/>
            <w:tcBorders>
              <w:top w:val="nil"/>
              <w:left w:val="nil"/>
              <w:bottom w:val="single" w:sz="4" w:space="0" w:color="auto"/>
              <w:right w:val="nil"/>
            </w:tcBorders>
            <w:shd w:val="clear" w:color="000000" w:fill="FFFFFF"/>
            <w:noWrap/>
            <w:vAlign w:val="bottom"/>
            <w:hideMark/>
          </w:tcPr>
          <w:p w14:paraId="6B28F85B" w14:textId="22C16446"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0.19</w:t>
            </w:r>
          </w:p>
        </w:tc>
        <w:tc>
          <w:tcPr>
            <w:tcW w:w="794" w:type="dxa"/>
            <w:tcBorders>
              <w:top w:val="nil"/>
              <w:left w:val="nil"/>
              <w:bottom w:val="single" w:sz="4" w:space="0" w:color="auto"/>
              <w:right w:val="nil"/>
            </w:tcBorders>
            <w:shd w:val="clear" w:color="000000" w:fill="FFFFFF"/>
            <w:noWrap/>
            <w:vAlign w:val="bottom"/>
            <w:hideMark/>
          </w:tcPr>
          <w:p w14:paraId="1DCCAD8D" w14:textId="15D07956"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0.19</w:t>
            </w:r>
          </w:p>
        </w:tc>
      </w:tr>
      <w:tr w:rsidR="00192CB3" w:rsidRPr="00192CB3" w14:paraId="36AFCC8F" w14:textId="77777777" w:rsidTr="00192CB3">
        <w:trPr>
          <w:trHeight w:val="180"/>
        </w:trPr>
        <w:tc>
          <w:tcPr>
            <w:tcW w:w="3855" w:type="dxa"/>
            <w:tcBorders>
              <w:top w:val="nil"/>
              <w:left w:val="nil"/>
              <w:bottom w:val="nil"/>
              <w:right w:val="nil"/>
            </w:tcBorders>
            <w:shd w:val="clear" w:color="auto" w:fill="auto"/>
            <w:noWrap/>
            <w:vAlign w:val="bottom"/>
            <w:hideMark/>
          </w:tcPr>
          <w:p w14:paraId="137B597E" w14:textId="77777777" w:rsidR="00192CB3" w:rsidRPr="00192CB3" w:rsidRDefault="00192CB3" w:rsidP="00192CB3">
            <w:pPr>
              <w:rPr>
                <w:rFonts w:asciiTheme="minorHAnsi" w:hAnsiTheme="minorHAnsi"/>
                <w:sz w:val="18"/>
                <w:szCs w:val="16"/>
              </w:rPr>
            </w:pPr>
          </w:p>
        </w:tc>
        <w:tc>
          <w:tcPr>
            <w:tcW w:w="794" w:type="dxa"/>
            <w:tcBorders>
              <w:top w:val="nil"/>
              <w:left w:val="nil"/>
              <w:bottom w:val="nil"/>
              <w:right w:val="nil"/>
            </w:tcBorders>
            <w:shd w:val="clear" w:color="auto" w:fill="auto"/>
            <w:noWrap/>
            <w:vAlign w:val="center"/>
            <w:hideMark/>
          </w:tcPr>
          <w:p w14:paraId="7E24E6CD" w14:textId="77777777" w:rsidR="00192CB3" w:rsidRPr="00192CB3" w:rsidRDefault="00192CB3" w:rsidP="00192CB3">
            <w:pPr>
              <w:jc w:val="right"/>
              <w:rPr>
                <w:rFonts w:asciiTheme="minorHAnsi" w:hAnsiTheme="minorHAnsi"/>
                <w:sz w:val="18"/>
                <w:szCs w:val="16"/>
              </w:rPr>
            </w:pPr>
          </w:p>
        </w:tc>
        <w:tc>
          <w:tcPr>
            <w:tcW w:w="794" w:type="dxa"/>
            <w:tcBorders>
              <w:top w:val="nil"/>
              <w:left w:val="nil"/>
              <w:bottom w:val="nil"/>
              <w:right w:val="nil"/>
            </w:tcBorders>
            <w:shd w:val="clear" w:color="auto" w:fill="auto"/>
            <w:noWrap/>
            <w:vAlign w:val="center"/>
            <w:hideMark/>
          </w:tcPr>
          <w:p w14:paraId="68B730DE" w14:textId="77777777" w:rsidR="00192CB3" w:rsidRPr="00192CB3" w:rsidRDefault="00192CB3" w:rsidP="00192CB3">
            <w:pPr>
              <w:jc w:val="right"/>
              <w:rPr>
                <w:rFonts w:asciiTheme="minorHAnsi" w:hAnsiTheme="minorHAnsi"/>
                <w:sz w:val="18"/>
                <w:szCs w:val="16"/>
              </w:rPr>
            </w:pPr>
          </w:p>
        </w:tc>
        <w:tc>
          <w:tcPr>
            <w:tcW w:w="794" w:type="dxa"/>
            <w:tcBorders>
              <w:top w:val="nil"/>
              <w:left w:val="nil"/>
              <w:bottom w:val="nil"/>
              <w:right w:val="nil"/>
            </w:tcBorders>
            <w:vAlign w:val="center"/>
          </w:tcPr>
          <w:p w14:paraId="057F6E5C" w14:textId="77777777" w:rsidR="00192CB3" w:rsidRPr="00192CB3" w:rsidRDefault="00192CB3" w:rsidP="00192CB3">
            <w:pPr>
              <w:jc w:val="right"/>
              <w:rPr>
                <w:rFonts w:asciiTheme="minorHAnsi" w:hAnsiTheme="minorHAnsi"/>
                <w:sz w:val="18"/>
                <w:szCs w:val="16"/>
              </w:rPr>
            </w:pPr>
          </w:p>
        </w:tc>
        <w:tc>
          <w:tcPr>
            <w:tcW w:w="1038" w:type="dxa"/>
            <w:tcBorders>
              <w:top w:val="nil"/>
              <w:left w:val="nil"/>
              <w:bottom w:val="nil"/>
              <w:right w:val="nil"/>
            </w:tcBorders>
            <w:shd w:val="clear" w:color="auto" w:fill="auto"/>
            <w:noWrap/>
            <w:vAlign w:val="bottom"/>
            <w:hideMark/>
          </w:tcPr>
          <w:p w14:paraId="56DAB227" w14:textId="547AC90A" w:rsidR="00192CB3" w:rsidRPr="00192CB3" w:rsidRDefault="00192CB3" w:rsidP="00192CB3">
            <w:pPr>
              <w:rPr>
                <w:rFonts w:asciiTheme="minorHAnsi" w:hAnsiTheme="minorHAnsi"/>
                <w:sz w:val="18"/>
                <w:szCs w:val="16"/>
              </w:rPr>
            </w:pPr>
          </w:p>
        </w:tc>
        <w:tc>
          <w:tcPr>
            <w:tcW w:w="1038" w:type="dxa"/>
            <w:tcBorders>
              <w:top w:val="nil"/>
              <w:left w:val="nil"/>
              <w:bottom w:val="nil"/>
              <w:right w:val="nil"/>
            </w:tcBorders>
            <w:shd w:val="clear" w:color="auto" w:fill="auto"/>
            <w:noWrap/>
            <w:vAlign w:val="bottom"/>
            <w:hideMark/>
          </w:tcPr>
          <w:p w14:paraId="1EF16586" w14:textId="77777777" w:rsidR="00192CB3" w:rsidRPr="00192CB3" w:rsidRDefault="00192CB3" w:rsidP="00192CB3">
            <w:pPr>
              <w:rPr>
                <w:rFonts w:asciiTheme="minorHAnsi" w:hAnsiTheme="minorHAnsi"/>
                <w:sz w:val="18"/>
                <w:szCs w:val="16"/>
              </w:rPr>
            </w:pPr>
          </w:p>
        </w:tc>
        <w:tc>
          <w:tcPr>
            <w:tcW w:w="794" w:type="dxa"/>
            <w:tcBorders>
              <w:top w:val="nil"/>
              <w:left w:val="nil"/>
              <w:bottom w:val="nil"/>
              <w:right w:val="nil"/>
            </w:tcBorders>
            <w:shd w:val="clear" w:color="auto" w:fill="auto"/>
            <w:noWrap/>
            <w:vAlign w:val="bottom"/>
            <w:hideMark/>
          </w:tcPr>
          <w:p w14:paraId="2DD099FA" w14:textId="77777777" w:rsidR="00192CB3" w:rsidRPr="00192CB3" w:rsidRDefault="00192CB3" w:rsidP="00192CB3">
            <w:pPr>
              <w:rPr>
                <w:rFonts w:asciiTheme="minorHAnsi" w:hAnsiTheme="minorHAnsi"/>
                <w:sz w:val="18"/>
                <w:szCs w:val="16"/>
              </w:rPr>
            </w:pPr>
          </w:p>
        </w:tc>
      </w:tr>
      <w:tr w:rsidR="00FC23B1" w:rsidRPr="00192CB3" w14:paraId="4D86324F" w14:textId="77777777" w:rsidTr="00192CB3">
        <w:trPr>
          <w:trHeight w:val="180"/>
        </w:trPr>
        <w:tc>
          <w:tcPr>
            <w:tcW w:w="3855" w:type="dxa"/>
            <w:tcBorders>
              <w:top w:val="nil"/>
              <w:left w:val="nil"/>
              <w:bottom w:val="nil"/>
              <w:right w:val="nil"/>
            </w:tcBorders>
            <w:shd w:val="clear" w:color="000000" w:fill="B41E37"/>
            <w:noWrap/>
            <w:vAlign w:val="bottom"/>
            <w:hideMark/>
          </w:tcPr>
          <w:p w14:paraId="11476165" w14:textId="77777777" w:rsidR="00FC23B1" w:rsidRPr="00192CB3" w:rsidRDefault="00FC23B1" w:rsidP="00FC23B1">
            <w:pPr>
              <w:rPr>
                <w:rFonts w:asciiTheme="minorHAnsi" w:hAnsiTheme="minorHAnsi"/>
                <w:b/>
                <w:bCs/>
                <w:color w:val="FFFFFF"/>
                <w:sz w:val="18"/>
                <w:szCs w:val="16"/>
              </w:rPr>
            </w:pPr>
            <w:r w:rsidRPr="00192CB3">
              <w:rPr>
                <w:rFonts w:asciiTheme="minorHAnsi" w:hAnsiTheme="minorHAnsi"/>
                <w:b/>
                <w:bCs/>
                <w:color w:val="FFFFFF"/>
                <w:sz w:val="18"/>
                <w:szCs w:val="16"/>
              </w:rPr>
              <w:t>Анализ на задлъжнялостта и платежоспособността</w:t>
            </w:r>
          </w:p>
        </w:tc>
        <w:tc>
          <w:tcPr>
            <w:tcW w:w="794" w:type="dxa"/>
            <w:tcBorders>
              <w:top w:val="nil"/>
              <w:left w:val="nil"/>
              <w:bottom w:val="nil"/>
              <w:right w:val="nil"/>
            </w:tcBorders>
            <w:shd w:val="clear" w:color="000000" w:fill="B41E37"/>
            <w:noWrap/>
            <w:vAlign w:val="center"/>
            <w:hideMark/>
          </w:tcPr>
          <w:p w14:paraId="7A701231" w14:textId="77777777"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2018</w:t>
            </w:r>
          </w:p>
        </w:tc>
        <w:tc>
          <w:tcPr>
            <w:tcW w:w="794" w:type="dxa"/>
            <w:tcBorders>
              <w:top w:val="nil"/>
              <w:left w:val="nil"/>
              <w:bottom w:val="nil"/>
              <w:right w:val="nil"/>
            </w:tcBorders>
            <w:shd w:val="clear" w:color="000000" w:fill="B41E37"/>
            <w:noWrap/>
            <w:vAlign w:val="center"/>
            <w:hideMark/>
          </w:tcPr>
          <w:p w14:paraId="3876CBFA" w14:textId="77777777"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2019</w:t>
            </w:r>
          </w:p>
        </w:tc>
        <w:tc>
          <w:tcPr>
            <w:tcW w:w="794" w:type="dxa"/>
            <w:tcBorders>
              <w:top w:val="nil"/>
              <w:left w:val="nil"/>
              <w:bottom w:val="nil"/>
              <w:right w:val="nil"/>
            </w:tcBorders>
            <w:shd w:val="clear" w:color="000000" w:fill="B41E37"/>
            <w:vAlign w:val="center"/>
          </w:tcPr>
          <w:p w14:paraId="5B2BBFB2" w14:textId="7DBDCF9F"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lang w:val="en-US"/>
              </w:rPr>
              <w:t>2020</w:t>
            </w:r>
          </w:p>
        </w:tc>
        <w:tc>
          <w:tcPr>
            <w:tcW w:w="1038" w:type="dxa"/>
            <w:tcBorders>
              <w:top w:val="nil"/>
              <w:left w:val="nil"/>
              <w:bottom w:val="nil"/>
              <w:right w:val="nil"/>
            </w:tcBorders>
            <w:shd w:val="clear" w:color="000000" w:fill="B41E37"/>
            <w:noWrap/>
            <w:vAlign w:val="center"/>
            <w:hideMark/>
          </w:tcPr>
          <w:p w14:paraId="407BF822" w14:textId="4BC65A78"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30.06.2020</w:t>
            </w:r>
          </w:p>
        </w:tc>
        <w:tc>
          <w:tcPr>
            <w:tcW w:w="1038" w:type="dxa"/>
            <w:tcBorders>
              <w:top w:val="nil"/>
              <w:left w:val="nil"/>
              <w:bottom w:val="nil"/>
              <w:right w:val="nil"/>
            </w:tcBorders>
            <w:shd w:val="clear" w:color="000000" w:fill="B41E37"/>
            <w:noWrap/>
            <w:vAlign w:val="center"/>
            <w:hideMark/>
          </w:tcPr>
          <w:p w14:paraId="6EEB00AC" w14:textId="1D8DC577"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30.06.2021</w:t>
            </w:r>
          </w:p>
        </w:tc>
        <w:tc>
          <w:tcPr>
            <w:tcW w:w="794" w:type="dxa"/>
            <w:tcBorders>
              <w:top w:val="nil"/>
              <w:left w:val="nil"/>
              <w:bottom w:val="nil"/>
              <w:right w:val="nil"/>
            </w:tcBorders>
            <w:shd w:val="clear" w:color="000000" w:fill="B41E37"/>
            <w:noWrap/>
            <w:vAlign w:val="center"/>
            <w:hideMark/>
          </w:tcPr>
          <w:p w14:paraId="4885BBE6" w14:textId="77777777"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TTM</w:t>
            </w:r>
          </w:p>
        </w:tc>
      </w:tr>
      <w:tr w:rsidR="00FC23B1" w:rsidRPr="00192CB3" w14:paraId="63CFA338" w14:textId="77777777" w:rsidTr="00FC23B1">
        <w:trPr>
          <w:trHeight w:val="180"/>
        </w:trPr>
        <w:tc>
          <w:tcPr>
            <w:tcW w:w="3855" w:type="dxa"/>
            <w:tcBorders>
              <w:top w:val="nil"/>
              <w:left w:val="nil"/>
              <w:bottom w:val="nil"/>
              <w:right w:val="nil"/>
            </w:tcBorders>
            <w:shd w:val="clear" w:color="000000" w:fill="FFFFFF"/>
            <w:noWrap/>
            <w:vAlign w:val="bottom"/>
            <w:hideMark/>
          </w:tcPr>
          <w:p w14:paraId="3044CCAE"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Ливъридж (Лихвоносен дълг/Собствен капитал)</w:t>
            </w:r>
          </w:p>
        </w:tc>
        <w:tc>
          <w:tcPr>
            <w:tcW w:w="794" w:type="dxa"/>
            <w:tcBorders>
              <w:top w:val="nil"/>
              <w:left w:val="nil"/>
              <w:bottom w:val="nil"/>
              <w:right w:val="nil"/>
            </w:tcBorders>
            <w:shd w:val="clear" w:color="000000" w:fill="FFFFFF"/>
            <w:noWrap/>
            <w:vAlign w:val="center"/>
            <w:hideMark/>
          </w:tcPr>
          <w:p w14:paraId="5A6CE9BB"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1.73</w:t>
            </w:r>
          </w:p>
        </w:tc>
        <w:tc>
          <w:tcPr>
            <w:tcW w:w="794" w:type="dxa"/>
            <w:tcBorders>
              <w:top w:val="nil"/>
              <w:left w:val="nil"/>
              <w:bottom w:val="nil"/>
              <w:right w:val="nil"/>
            </w:tcBorders>
            <w:shd w:val="clear" w:color="000000" w:fill="FFFFFF"/>
            <w:noWrap/>
            <w:vAlign w:val="center"/>
            <w:hideMark/>
          </w:tcPr>
          <w:p w14:paraId="1F4F7F74"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3.60</w:t>
            </w:r>
          </w:p>
        </w:tc>
        <w:tc>
          <w:tcPr>
            <w:tcW w:w="794" w:type="dxa"/>
            <w:tcBorders>
              <w:top w:val="nil"/>
              <w:left w:val="nil"/>
              <w:bottom w:val="nil"/>
              <w:right w:val="nil"/>
            </w:tcBorders>
            <w:shd w:val="clear" w:color="000000" w:fill="FFFFFF"/>
            <w:vAlign w:val="center"/>
          </w:tcPr>
          <w:p w14:paraId="3D2578B6" w14:textId="75D2F9C6"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2.28</w:t>
            </w:r>
          </w:p>
        </w:tc>
        <w:tc>
          <w:tcPr>
            <w:tcW w:w="1038" w:type="dxa"/>
            <w:tcBorders>
              <w:top w:val="nil"/>
              <w:left w:val="nil"/>
              <w:bottom w:val="nil"/>
              <w:right w:val="nil"/>
            </w:tcBorders>
            <w:shd w:val="clear" w:color="000000" w:fill="FFFFFF"/>
            <w:noWrap/>
            <w:vAlign w:val="center"/>
            <w:hideMark/>
          </w:tcPr>
          <w:p w14:paraId="47D95AC9" w14:textId="75A634BC"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2.46</w:t>
            </w:r>
          </w:p>
        </w:tc>
        <w:tc>
          <w:tcPr>
            <w:tcW w:w="1038" w:type="dxa"/>
            <w:tcBorders>
              <w:top w:val="nil"/>
              <w:left w:val="nil"/>
              <w:bottom w:val="nil"/>
              <w:right w:val="nil"/>
            </w:tcBorders>
            <w:shd w:val="clear" w:color="000000" w:fill="FFFFFF"/>
            <w:noWrap/>
            <w:vAlign w:val="center"/>
          </w:tcPr>
          <w:p w14:paraId="787C9C18" w14:textId="58BC60FA"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2.29</w:t>
            </w:r>
          </w:p>
        </w:tc>
        <w:tc>
          <w:tcPr>
            <w:tcW w:w="794" w:type="dxa"/>
            <w:tcBorders>
              <w:top w:val="nil"/>
              <w:left w:val="nil"/>
              <w:bottom w:val="nil"/>
              <w:right w:val="nil"/>
            </w:tcBorders>
            <w:shd w:val="clear" w:color="000000" w:fill="FFFFFF"/>
            <w:noWrap/>
            <w:vAlign w:val="center"/>
          </w:tcPr>
          <w:p w14:paraId="5F7D4512" w14:textId="348DD49A"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2.29</w:t>
            </w:r>
          </w:p>
        </w:tc>
      </w:tr>
      <w:tr w:rsidR="00FC23B1" w:rsidRPr="00192CB3" w14:paraId="33CFB55E" w14:textId="77777777" w:rsidTr="00FC23B1">
        <w:trPr>
          <w:trHeight w:val="180"/>
        </w:trPr>
        <w:tc>
          <w:tcPr>
            <w:tcW w:w="3855" w:type="dxa"/>
            <w:tcBorders>
              <w:top w:val="nil"/>
              <w:left w:val="nil"/>
              <w:bottom w:val="nil"/>
              <w:right w:val="nil"/>
            </w:tcBorders>
            <w:shd w:val="clear" w:color="000000" w:fill="FFFFFF"/>
            <w:noWrap/>
            <w:vAlign w:val="bottom"/>
            <w:hideMark/>
          </w:tcPr>
          <w:p w14:paraId="2FB599D3"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Коефициент на задлъжнялостта (Пасиви/Активи)</w:t>
            </w:r>
          </w:p>
        </w:tc>
        <w:tc>
          <w:tcPr>
            <w:tcW w:w="794" w:type="dxa"/>
            <w:tcBorders>
              <w:top w:val="nil"/>
              <w:left w:val="nil"/>
              <w:bottom w:val="nil"/>
              <w:right w:val="nil"/>
            </w:tcBorders>
            <w:shd w:val="clear" w:color="000000" w:fill="FFFFFF"/>
            <w:noWrap/>
            <w:vAlign w:val="center"/>
            <w:hideMark/>
          </w:tcPr>
          <w:p w14:paraId="64DAFE81"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0.65</w:t>
            </w:r>
          </w:p>
        </w:tc>
        <w:tc>
          <w:tcPr>
            <w:tcW w:w="794" w:type="dxa"/>
            <w:tcBorders>
              <w:top w:val="nil"/>
              <w:left w:val="nil"/>
              <w:bottom w:val="nil"/>
              <w:right w:val="nil"/>
            </w:tcBorders>
            <w:shd w:val="clear" w:color="000000" w:fill="FFFFFF"/>
            <w:noWrap/>
            <w:vAlign w:val="center"/>
            <w:hideMark/>
          </w:tcPr>
          <w:p w14:paraId="40628650"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0.79</w:t>
            </w:r>
          </w:p>
        </w:tc>
        <w:tc>
          <w:tcPr>
            <w:tcW w:w="794" w:type="dxa"/>
            <w:tcBorders>
              <w:top w:val="nil"/>
              <w:left w:val="nil"/>
              <w:bottom w:val="nil"/>
              <w:right w:val="nil"/>
            </w:tcBorders>
            <w:shd w:val="clear" w:color="000000" w:fill="FFFFFF"/>
            <w:vAlign w:val="center"/>
          </w:tcPr>
          <w:p w14:paraId="2011B2CF" w14:textId="39C51A3D"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0.10</w:t>
            </w:r>
          </w:p>
        </w:tc>
        <w:tc>
          <w:tcPr>
            <w:tcW w:w="1038" w:type="dxa"/>
            <w:tcBorders>
              <w:top w:val="nil"/>
              <w:left w:val="nil"/>
              <w:bottom w:val="nil"/>
              <w:right w:val="nil"/>
            </w:tcBorders>
            <w:shd w:val="clear" w:color="000000" w:fill="FFFFFF"/>
            <w:noWrap/>
            <w:vAlign w:val="center"/>
            <w:hideMark/>
          </w:tcPr>
          <w:p w14:paraId="1EC770AC" w14:textId="760CA9D5"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0.72</w:t>
            </w:r>
          </w:p>
        </w:tc>
        <w:tc>
          <w:tcPr>
            <w:tcW w:w="1038" w:type="dxa"/>
            <w:tcBorders>
              <w:top w:val="nil"/>
              <w:left w:val="nil"/>
              <w:bottom w:val="nil"/>
              <w:right w:val="nil"/>
            </w:tcBorders>
            <w:shd w:val="clear" w:color="000000" w:fill="FFFFFF"/>
            <w:noWrap/>
            <w:vAlign w:val="center"/>
          </w:tcPr>
          <w:p w14:paraId="643A4682" w14:textId="4DE14D48"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0.13</w:t>
            </w:r>
          </w:p>
        </w:tc>
        <w:tc>
          <w:tcPr>
            <w:tcW w:w="794" w:type="dxa"/>
            <w:tcBorders>
              <w:top w:val="nil"/>
              <w:left w:val="nil"/>
              <w:bottom w:val="nil"/>
              <w:right w:val="nil"/>
            </w:tcBorders>
            <w:shd w:val="clear" w:color="000000" w:fill="FFFFFF"/>
            <w:noWrap/>
            <w:vAlign w:val="center"/>
          </w:tcPr>
          <w:p w14:paraId="2AAFC2C4" w14:textId="4021E93E"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0.13</w:t>
            </w:r>
          </w:p>
        </w:tc>
      </w:tr>
      <w:tr w:rsidR="00FC23B1" w:rsidRPr="00192CB3" w14:paraId="50112F5B" w14:textId="77777777" w:rsidTr="00E32B00">
        <w:trPr>
          <w:trHeight w:val="180"/>
        </w:trPr>
        <w:tc>
          <w:tcPr>
            <w:tcW w:w="3855" w:type="dxa"/>
            <w:tcBorders>
              <w:top w:val="nil"/>
              <w:left w:val="nil"/>
              <w:bottom w:val="nil"/>
              <w:right w:val="nil"/>
            </w:tcBorders>
            <w:shd w:val="clear" w:color="000000" w:fill="FFFFFF"/>
            <w:noWrap/>
            <w:vAlign w:val="bottom"/>
            <w:hideMark/>
          </w:tcPr>
          <w:p w14:paraId="426D9AA9"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Покритие на лихвите от EBITDA</w:t>
            </w:r>
          </w:p>
        </w:tc>
        <w:tc>
          <w:tcPr>
            <w:tcW w:w="794" w:type="dxa"/>
            <w:tcBorders>
              <w:top w:val="nil"/>
              <w:left w:val="nil"/>
              <w:bottom w:val="nil"/>
              <w:right w:val="nil"/>
            </w:tcBorders>
            <w:shd w:val="clear" w:color="000000" w:fill="FFFFFF"/>
            <w:noWrap/>
            <w:vAlign w:val="bottom"/>
            <w:hideMark/>
          </w:tcPr>
          <w:p w14:paraId="01D31220" w14:textId="121CC300"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3.96</w:t>
            </w:r>
          </w:p>
        </w:tc>
        <w:tc>
          <w:tcPr>
            <w:tcW w:w="794" w:type="dxa"/>
            <w:tcBorders>
              <w:top w:val="nil"/>
              <w:left w:val="nil"/>
              <w:bottom w:val="nil"/>
              <w:right w:val="nil"/>
            </w:tcBorders>
            <w:shd w:val="clear" w:color="000000" w:fill="FFFFFF"/>
            <w:noWrap/>
            <w:vAlign w:val="bottom"/>
            <w:hideMark/>
          </w:tcPr>
          <w:p w14:paraId="196B091A" w14:textId="451EE1DE"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4.36</w:t>
            </w:r>
          </w:p>
        </w:tc>
        <w:tc>
          <w:tcPr>
            <w:tcW w:w="794" w:type="dxa"/>
            <w:tcBorders>
              <w:top w:val="nil"/>
              <w:left w:val="nil"/>
              <w:bottom w:val="nil"/>
              <w:right w:val="nil"/>
            </w:tcBorders>
            <w:shd w:val="clear" w:color="000000" w:fill="FFFFFF"/>
            <w:vAlign w:val="bottom"/>
          </w:tcPr>
          <w:p w14:paraId="06DA93AA" w14:textId="455988F1" w:rsidR="00FC23B1" w:rsidRPr="00192CB3" w:rsidRDefault="00FC23B1" w:rsidP="00FC23B1">
            <w:pPr>
              <w:jc w:val="right"/>
              <w:rPr>
                <w:rFonts w:asciiTheme="minorHAnsi" w:hAnsiTheme="minorHAnsi"/>
                <w:color w:val="000000"/>
                <w:sz w:val="18"/>
                <w:szCs w:val="16"/>
              </w:rPr>
            </w:pPr>
            <w:r>
              <w:rPr>
                <w:rFonts w:ascii="Verdana" w:hAnsi="Verdana"/>
                <w:color w:val="000000"/>
                <w:sz w:val="14"/>
                <w:szCs w:val="14"/>
              </w:rPr>
              <w:t>4.20</w:t>
            </w:r>
          </w:p>
        </w:tc>
        <w:tc>
          <w:tcPr>
            <w:tcW w:w="1038" w:type="dxa"/>
            <w:tcBorders>
              <w:top w:val="nil"/>
              <w:left w:val="nil"/>
              <w:bottom w:val="nil"/>
              <w:right w:val="nil"/>
            </w:tcBorders>
            <w:shd w:val="clear" w:color="000000" w:fill="FFFFFF"/>
            <w:noWrap/>
            <w:vAlign w:val="bottom"/>
            <w:hideMark/>
          </w:tcPr>
          <w:p w14:paraId="3A48FC1F" w14:textId="6205780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 </w:t>
            </w:r>
          </w:p>
        </w:tc>
        <w:tc>
          <w:tcPr>
            <w:tcW w:w="1038" w:type="dxa"/>
            <w:tcBorders>
              <w:top w:val="nil"/>
              <w:left w:val="nil"/>
              <w:bottom w:val="nil"/>
              <w:right w:val="nil"/>
            </w:tcBorders>
            <w:shd w:val="clear" w:color="000000" w:fill="FFFFFF"/>
            <w:noWrap/>
            <w:vAlign w:val="bottom"/>
            <w:hideMark/>
          </w:tcPr>
          <w:p w14:paraId="1CFCFB4B"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 </w:t>
            </w:r>
          </w:p>
        </w:tc>
        <w:tc>
          <w:tcPr>
            <w:tcW w:w="794" w:type="dxa"/>
            <w:tcBorders>
              <w:top w:val="nil"/>
              <w:left w:val="nil"/>
              <w:bottom w:val="nil"/>
              <w:right w:val="nil"/>
            </w:tcBorders>
            <w:shd w:val="clear" w:color="000000" w:fill="FFFFFF"/>
            <w:noWrap/>
            <w:vAlign w:val="bottom"/>
            <w:hideMark/>
          </w:tcPr>
          <w:p w14:paraId="30413168" w14:textId="7E2A2B11" w:rsidR="00FC23B1" w:rsidRPr="00192CB3" w:rsidRDefault="00AC6F87" w:rsidP="00FC23B1">
            <w:pPr>
              <w:jc w:val="right"/>
              <w:rPr>
                <w:rFonts w:asciiTheme="minorHAnsi" w:hAnsiTheme="minorHAnsi"/>
                <w:color w:val="000000"/>
                <w:sz w:val="18"/>
                <w:szCs w:val="16"/>
              </w:rPr>
            </w:pPr>
            <w:r w:rsidRPr="00AC6F87">
              <w:rPr>
                <w:rFonts w:asciiTheme="minorHAnsi" w:hAnsiTheme="minorHAnsi"/>
                <w:color w:val="000000"/>
                <w:sz w:val="18"/>
                <w:szCs w:val="16"/>
              </w:rPr>
              <w:t>3.87</w:t>
            </w:r>
          </w:p>
        </w:tc>
      </w:tr>
      <w:tr w:rsidR="00FC23B1" w:rsidRPr="00192CB3" w14:paraId="1F71E436" w14:textId="77777777" w:rsidTr="00192CB3">
        <w:trPr>
          <w:trHeight w:val="180"/>
        </w:trPr>
        <w:tc>
          <w:tcPr>
            <w:tcW w:w="3855" w:type="dxa"/>
            <w:tcBorders>
              <w:top w:val="nil"/>
              <w:left w:val="nil"/>
              <w:bottom w:val="single" w:sz="4" w:space="0" w:color="auto"/>
              <w:right w:val="nil"/>
            </w:tcBorders>
            <w:shd w:val="clear" w:color="auto" w:fill="auto"/>
            <w:noWrap/>
            <w:vAlign w:val="bottom"/>
            <w:hideMark/>
          </w:tcPr>
          <w:p w14:paraId="3E52A853"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Нетен дълг/EBITDA</w:t>
            </w:r>
          </w:p>
        </w:tc>
        <w:tc>
          <w:tcPr>
            <w:tcW w:w="794" w:type="dxa"/>
            <w:tcBorders>
              <w:top w:val="nil"/>
              <w:left w:val="nil"/>
              <w:bottom w:val="single" w:sz="4" w:space="0" w:color="auto"/>
              <w:right w:val="nil"/>
            </w:tcBorders>
            <w:shd w:val="clear" w:color="auto" w:fill="auto"/>
            <w:noWrap/>
            <w:vAlign w:val="center"/>
            <w:hideMark/>
          </w:tcPr>
          <w:p w14:paraId="04105212"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4.44</w:t>
            </w:r>
          </w:p>
        </w:tc>
        <w:tc>
          <w:tcPr>
            <w:tcW w:w="794" w:type="dxa"/>
            <w:tcBorders>
              <w:top w:val="nil"/>
              <w:left w:val="nil"/>
              <w:bottom w:val="single" w:sz="4" w:space="0" w:color="auto"/>
              <w:right w:val="nil"/>
            </w:tcBorders>
            <w:shd w:val="clear" w:color="auto" w:fill="auto"/>
            <w:noWrap/>
            <w:vAlign w:val="center"/>
            <w:hideMark/>
          </w:tcPr>
          <w:p w14:paraId="01292ED2" w14:textId="77777777"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4.62</w:t>
            </w:r>
          </w:p>
        </w:tc>
        <w:tc>
          <w:tcPr>
            <w:tcW w:w="794" w:type="dxa"/>
            <w:tcBorders>
              <w:top w:val="nil"/>
              <w:left w:val="nil"/>
              <w:bottom w:val="single" w:sz="4" w:space="0" w:color="auto"/>
              <w:right w:val="nil"/>
            </w:tcBorders>
            <w:vAlign w:val="center"/>
          </w:tcPr>
          <w:p w14:paraId="11EB9AC5" w14:textId="7C247C7F" w:rsidR="00FC23B1" w:rsidRPr="00192CB3" w:rsidRDefault="00FC23B1" w:rsidP="00FC23B1">
            <w:pPr>
              <w:jc w:val="right"/>
              <w:rPr>
                <w:rFonts w:asciiTheme="minorHAnsi" w:hAnsiTheme="minorHAnsi"/>
                <w:color w:val="000000"/>
                <w:sz w:val="18"/>
                <w:szCs w:val="16"/>
              </w:rPr>
            </w:pPr>
            <w:r w:rsidRPr="00192CB3">
              <w:rPr>
                <w:rFonts w:asciiTheme="minorHAnsi" w:hAnsiTheme="minorHAnsi"/>
                <w:color w:val="000000"/>
                <w:sz w:val="18"/>
                <w:szCs w:val="16"/>
              </w:rPr>
              <w:t>3.68</w:t>
            </w:r>
          </w:p>
        </w:tc>
        <w:tc>
          <w:tcPr>
            <w:tcW w:w="1038" w:type="dxa"/>
            <w:tcBorders>
              <w:top w:val="nil"/>
              <w:left w:val="nil"/>
              <w:bottom w:val="single" w:sz="4" w:space="0" w:color="auto"/>
              <w:right w:val="nil"/>
            </w:tcBorders>
            <w:shd w:val="clear" w:color="auto" w:fill="auto"/>
            <w:noWrap/>
            <w:vAlign w:val="bottom"/>
            <w:hideMark/>
          </w:tcPr>
          <w:p w14:paraId="23F5DD32" w14:textId="0A5FA28C"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 </w:t>
            </w:r>
          </w:p>
        </w:tc>
        <w:tc>
          <w:tcPr>
            <w:tcW w:w="1038" w:type="dxa"/>
            <w:tcBorders>
              <w:top w:val="nil"/>
              <w:left w:val="nil"/>
              <w:bottom w:val="single" w:sz="4" w:space="0" w:color="auto"/>
              <w:right w:val="nil"/>
            </w:tcBorders>
            <w:shd w:val="clear" w:color="auto" w:fill="auto"/>
            <w:noWrap/>
            <w:vAlign w:val="bottom"/>
            <w:hideMark/>
          </w:tcPr>
          <w:p w14:paraId="2A3395C4" w14:textId="77777777" w:rsidR="00FC23B1" w:rsidRPr="00192CB3" w:rsidRDefault="00FC23B1" w:rsidP="00FC23B1">
            <w:pPr>
              <w:rPr>
                <w:rFonts w:asciiTheme="minorHAnsi" w:hAnsiTheme="minorHAnsi"/>
                <w:color w:val="000000"/>
                <w:sz w:val="18"/>
                <w:szCs w:val="16"/>
              </w:rPr>
            </w:pPr>
            <w:r w:rsidRPr="00192CB3">
              <w:rPr>
                <w:rFonts w:asciiTheme="minorHAnsi" w:hAnsiTheme="minorHAnsi"/>
                <w:color w:val="000000"/>
                <w:sz w:val="18"/>
                <w:szCs w:val="16"/>
              </w:rPr>
              <w:t> </w:t>
            </w:r>
          </w:p>
        </w:tc>
        <w:tc>
          <w:tcPr>
            <w:tcW w:w="794" w:type="dxa"/>
            <w:tcBorders>
              <w:top w:val="nil"/>
              <w:left w:val="nil"/>
              <w:bottom w:val="single" w:sz="4" w:space="0" w:color="auto"/>
              <w:right w:val="nil"/>
            </w:tcBorders>
            <w:shd w:val="clear" w:color="auto" w:fill="auto"/>
            <w:noWrap/>
            <w:vAlign w:val="bottom"/>
            <w:hideMark/>
          </w:tcPr>
          <w:p w14:paraId="180553F0" w14:textId="5546A271" w:rsidR="00FC23B1" w:rsidRPr="00192CB3" w:rsidRDefault="00AC6F87" w:rsidP="00FC23B1">
            <w:pPr>
              <w:jc w:val="right"/>
              <w:rPr>
                <w:rFonts w:asciiTheme="minorHAnsi" w:hAnsiTheme="minorHAnsi"/>
                <w:color w:val="000000"/>
                <w:sz w:val="18"/>
                <w:szCs w:val="16"/>
              </w:rPr>
            </w:pPr>
            <w:r w:rsidRPr="00AC6F87">
              <w:rPr>
                <w:rFonts w:asciiTheme="minorHAnsi" w:hAnsiTheme="minorHAnsi"/>
                <w:color w:val="000000"/>
                <w:sz w:val="18"/>
                <w:szCs w:val="16"/>
              </w:rPr>
              <w:t>2.58</w:t>
            </w:r>
          </w:p>
        </w:tc>
      </w:tr>
      <w:tr w:rsidR="00FC23B1" w:rsidRPr="00192CB3" w14:paraId="7BE4D7D0" w14:textId="77777777" w:rsidTr="00192CB3">
        <w:trPr>
          <w:trHeight w:val="180"/>
        </w:trPr>
        <w:tc>
          <w:tcPr>
            <w:tcW w:w="3855" w:type="dxa"/>
            <w:tcBorders>
              <w:top w:val="nil"/>
              <w:left w:val="nil"/>
              <w:bottom w:val="nil"/>
              <w:right w:val="nil"/>
            </w:tcBorders>
            <w:shd w:val="clear" w:color="auto" w:fill="auto"/>
            <w:noWrap/>
            <w:vAlign w:val="bottom"/>
            <w:hideMark/>
          </w:tcPr>
          <w:p w14:paraId="6F4CA86B" w14:textId="77777777" w:rsidR="00FC23B1" w:rsidRPr="00192CB3" w:rsidRDefault="00FC23B1" w:rsidP="00FC23B1">
            <w:pPr>
              <w:rPr>
                <w:rFonts w:asciiTheme="minorHAnsi" w:hAnsiTheme="minorHAnsi"/>
                <w:sz w:val="18"/>
                <w:szCs w:val="16"/>
              </w:rPr>
            </w:pPr>
          </w:p>
        </w:tc>
        <w:tc>
          <w:tcPr>
            <w:tcW w:w="794" w:type="dxa"/>
            <w:tcBorders>
              <w:top w:val="nil"/>
              <w:left w:val="nil"/>
              <w:bottom w:val="nil"/>
              <w:right w:val="nil"/>
            </w:tcBorders>
            <w:shd w:val="clear" w:color="auto" w:fill="auto"/>
            <w:noWrap/>
            <w:vAlign w:val="center"/>
            <w:hideMark/>
          </w:tcPr>
          <w:p w14:paraId="6AE60D4A" w14:textId="77777777" w:rsidR="00FC23B1" w:rsidRPr="00192CB3" w:rsidRDefault="00FC23B1" w:rsidP="00FC23B1">
            <w:pPr>
              <w:jc w:val="right"/>
              <w:rPr>
                <w:rFonts w:asciiTheme="minorHAnsi" w:hAnsiTheme="minorHAnsi"/>
                <w:sz w:val="18"/>
                <w:szCs w:val="16"/>
              </w:rPr>
            </w:pPr>
          </w:p>
        </w:tc>
        <w:tc>
          <w:tcPr>
            <w:tcW w:w="794" w:type="dxa"/>
            <w:tcBorders>
              <w:top w:val="nil"/>
              <w:left w:val="nil"/>
              <w:bottom w:val="nil"/>
              <w:right w:val="nil"/>
            </w:tcBorders>
            <w:shd w:val="clear" w:color="auto" w:fill="auto"/>
            <w:noWrap/>
            <w:vAlign w:val="center"/>
            <w:hideMark/>
          </w:tcPr>
          <w:p w14:paraId="1698AE38" w14:textId="77777777" w:rsidR="00FC23B1" w:rsidRPr="00192CB3" w:rsidRDefault="00FC23B1" w:rsidP="00FC23B1">
            <w:pPr>
              <w:jc w:val="right"/>
              <w:rPr>
                <w:rFonts w:asciiTheme="minorHAnsi" w:hAnsiTheme="minorHAnsi"/>
                <w:sz w:val="18"/>
                <w:szCs w:val="16"/>
              </w:rPr>
            </w:pPr>
          </w:p>
        </w:tc>
        <w:tc>
          <w:tcPr>
            <w:tcW w:w="794" w:type="dxa"/>
            <w:tcBorders>
              <w:top w:val="nil"/>
              <w:left w:val="nil"/>
              <w:bottom w:val="nil"/>
              <w:right w:val="nil"/>
            </w:tcBorders>
            <w:vAlign w:val="center"/>
          </w:tcPr>
          <w:p w14:paraId="293DD781" w14:textId="77777777" w:rsidR="00FC23B1" w:rsidRPr="00192CB3" w:rsidRDefault="00FC23B1" w:rsidP="00FC23B1">
            <w:pPr>
              <w:jc w:val="right"/>
              <w:rPr>
                <w:rFonts w:asciiTheme="minorHAnsi" w:hAnsiTheme="minorHAnsi"/>
                <w:sz w:val="18"/>
                <w:szCs w:val="16"/>
              </w:rPr>
            </w:pPr>
          </w:p>
        </w:tc>
        <w:tc>
          <w:tcPr>
            <w:tcW w:w="1038" w:type="dxa"/>
            <w:tcBorders>
              <w:top w:val="nil"/>
              <w:left w:val="nil"/>
              <w:bottom w:val="nil"/>
              <w:right w:val="nil"/>
            </w:tcBorders>
            <w:shd w:val="clear" w:color="auto" w:fill="auto"/>
            <w:noWrap/>
            <w:vAlign w:val="bottom"/>
            <w:hideMark/>
          </w:tcPr>
          <w:p w14:paraId="7A606831" w14:textId="169D3D1A" w:rsidR="00FC23B1" w:rsidRPr="00192CB3" w:rsidRDefault="00FC23B1" w:rsidP="00FC23B1">
            <w:pPr>
              <w:rPr>
                <w:rFonts w:asciiTheme="minorHAnsi" w:hAnsiTheme="minorHAnsi"/>
                <w:sz w:val="18"/>
                <w:szCs w:val="16"/>
              </w:rPr>
            </w:pPr>
          </w:p>
        </w:tc>
        <w:tc>
          <w:tcPr>
            <w:tcW w:w="1038" w:type="dxa"/>
            <w:tcBorders>
              <w:top w:val="nil"/>
              <w:left w:val="nil"/>
              <w:bottom w:val="nil"/>
              <w:right w:val="nil"/>
            </w:tcBorders>
            <w:shd w:val="clear" w:color="auto" w:fill="auto"/>
            <w:noWrap/>
            <w:vAlign w:val="bottom"/>
            <w:hideMark/>
          </w:tcPr>
          <w:p w14:paraId="5F8A1570" w14:textId="77777777" w:rsidR="00FC23B1" w:rsidRPr="00192CB3" w:rsidRDefault="00FC23B1" w:rsidP="00FC23B1">
            <w:pPr>
              <w:rPr>
                <w:rFonts w:asciiTheme="minorHAnsi" w:hAnsiTheme="minorHAnsi"/>
                <w:sz w:val="18"/>
                <w:szCs w:val="16"/>
              </w:rPr>
            </w:pPr>
          </w:p>
        </w:tc>
        <w:tc>
          <w:tcPr>
            <w:tcW w:w="794" w:type="dxa"/>
            <w:tcBorders>
              <w:top w:val="nil"/>
              <w:left w:val="nil"/>
              <w:bottom w:val="nil"/>
              <w:right w:val="nil"/>
            </w:tcBorders>
            <w:shd w:val="clear" w:color="auto" w:fill="auto"/>
            <w:noWrap/>
            <w:vAlign w:val="bottom"/>
            <w:hideMark/>
          </w:tcPr>
          <w:p w14:paraId="4F654A6B" w14:textId="77777777" w:rsidR="00FC23B1" w:rsidRPr="00192CB3" w:rsidRDefault="00FC23B1" w:rsidP="00FC23B1">
            <w:pPr>
              <w:rPr>
                <w:rFonts w:asciiTheme="minorHAnsi" w:hAnsiTheme="minorHAnsi"/>
                <w:sz w:val="18"/>
                <w:szCs w:val="16"/>
              </w:rPr>
            </w:pPr>
          </w:p>
        </w:tc>
      </w:tr>
      <w:tr w:rsidR="00FC23B1" w:rsidRPr="00192CB3" w14:paraId="18B26687" w14:textId="77777777" w:rsidTr="00192CB3">
        <w:trPr>
          <w:trHeight w:val="180"/>
        </w:trPr>
        <w:tc>
          <w:tcPr>
            <w:tcW w:w="3855" w:type="dxa"/>
            <w:tcBorders>
              <w:top w:val="nil"/>
              <w:left w:val="nil"/>
              <w:bottom w:val="nil"/>
              <w:right w:val="nil"/>
            </w:tcBorders>
            <w:shd w:val="clear" w:color="000000" w:fill="B41E37"/>
            <w:noWrap/>
            <w:vAlign w:val="bottom"/>
            <w:hideMark/>
          </w:tcPr>
          <w:p w14:paraId="15384AD0" w14:textId="77777777" w:rsidR="00FC23B1" w:rsidRPr="00192CB3" w:rsidRDefault="00FC23B1" w:rsidP="00FC23B1">
            <w:pPr>
              <w:rPr>
                <w:rFonts w:asciiTheme="minorHAnsi" w:hAnsiTheme="minorHAnsi"/>
                <w:b/>
                <w:bCs/>
                <w:color w:val="FFFFFF"/>
                <w:sz w:val="18"/>
                <w:szCs w:val="16"/>
              </w:rPr>
            </w:pPr>
            <w:r w:rsidRPr="00192CB3">
              <w:rPr>
                <w:rFonts w:asciiTheme="minorHAnsi" w:hAnsiTheme="minorHAnsi"/>
                <w:b/>
                <w:bCs/>
                <w:color w:val="FFFFFF"/>
                <w:sz w:val="18"/>
                <w:szCs w:val="16"/>
              </w:rPr>
              <w:t>Анализ на рентабилността</w:t>
            </w:r>
          </w:p>
        </w:tc>
        <w:tc>
          <w:tcPr>
            <w:tcW w:w="794" w:type="dxa"/>
            <w:tcBorders>
              <w:top w:val="nil"/>
              <w:left w:val="nil"/>
              <w:bottom w:val="nil"/>
              <w:right w:val="nil"/>
            </w:tcBorders>
            <w:shd w:val="clear" w:color="000000" w:fill="B41E37"/>
            <w:noWrap/>
            <w:vAlign w:val="center"/>
            <w:hideMark/>
          </w:tcPr>
          <w:p w14:paraId="2B9AD7F8" w14:textId="77777777"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2018</w:t>
            </w:r>
          </w:p>
        </w:tc>
        <w:tc>
          <w:tcPr>
            <w:tcW w:w="794" w:type="dxa"/>
            <w:tcBorders>
              <w:top w:val="nil"/>
              <w:left w:val="nil"/>
              <w:bottom w:val="nil"/>
              <w:right w:val="nil"/>
            </w:tcBorders>
            <w:shd w:val="clear" w:color="000000" w:fill="B41E37"/>
            <w:noWrap/>
            <w:vAlign w:val="center"/>
            <w:hideMark/>
          </w:tcPr>
          <w:p w14:paraId="6E5C06BA" w14:textId="77777777"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2019</w:t>
            </w:r>
          </w:p>
        </w:tc>
        <w:tc>
          <w:tcPr>
            <w:tcW w:w="794" w:type="dxa"/>
            <w:tcBorders>
              <w:top w:val="nil"/>
              <w:left w:val="nil"/>
              <w:bottom w:val="nil"/>
              <w:right w:val="nil"/>
            </w:tcBorders>
            <w:shd w:val="clear" w:color="000000" w:fill="B41E37"/>
            <w:vAlign w:val="center"/>
          </w:tcPr>
          <w:p w14:paraId="29C82BAF" w14:textId="1EC90881"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lang w:val="en-US"/>
              </w:rPr>
              <w:t>2020</w:t>
            </w:r>
          </w:p>
        </w:tc>
        <w:tc>
          <w:tcPr>
            <w:tcW w:w="1038" w:type="dxa"/>
            <w:tcBorders>
              <w:top w:val="nil"/>
              <w:left w:val="nil"/>
              <w:bottom w:val="nil"/>
              <w:right w:val="nil"/>
            </w:tcBorders>
            <w:shd w:val="clear" w:color="000000" w:fill="B41E37"/>
            <w:noWrap/>
            <w:vAlign w:val="center"/>
            <w:hideMark/>
          </w:tcPr>
          <w:p w14:paraId="5B7B1244" w14:textId="3A73C45B"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30.06.2020</w:t>
            </w:r>
          </w:p>
        </w:tc>
        <w:tc>
          <w:tcPr>
            <w:tcW w:w="1038" w:type="dxa"/>
            <w:tcBorders>
              <w:top w:val="nil"/>
              <w:left w:val="nil"/>
              <w:bottom w:val="nil"/>
              <w:right w:val="nil"/>
            </w:tcBorders>
            <w:shd w:val="clear" w:color="000000" w:fill="B41E37"/>
            <w:noWrap/>
            <w:vAlign w:val="center"/>
            <w:hideMark/>
          </w:tcPr>
          <w:p w14:paraId="1B78AEEB" w14:textId="7BC66E1A"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30.06.2021</w:t>
            </w:r>
          </w:p>
        </w:tc>
        <w:tc>
          <w:tcPr>
            <w:tcW w:w="794" w:type="dxa"/>
            <w:tcBorders>
              <w:top w:val="nil"/>
              <w:left w:val="nil"/>
              <w:bottom w:val="nil"/>
              <w:right w:val="nil"/>
            </w:tcBorders>
            <w:shd w:val="clear" w:color="000000" w:fill="B41E37"/>
            <w:noWrap/>
            <w:vAlign w:val="center"/>
            <w:hideMark/>
          </w:tcPr>
          <w:p w14:paraId="7FDB3CA4" w14:textId="77777777" w:rsidR="00FC23B1" w:rsidRPr="00192CB3" w:rsidRDefault="00FC23B1" w:rsidP="00FC23B1">
            <w:pPr>
              <w:jc w:val="right"/>
              <w:rPr>
                <w:rFonts w:asciiTheme="minorHAnsi" w:hAnsiTheme="minorHAnsi"/>
                <w:b/>
                <w:bCs/>
                <w:color w:val="FFFFFF"/>
                <w:sz w:val="18"/>
                <w:szCs w:val="16"/>
              </w:rPr>
            </w:pPr>
            <w:r w:rsidRPr="00192CB3">
              <w:rPr>
                <w:rFonts w:asciiTheme="minorHAnsi" w:hAnsiTheme="minorHAnsi"/>
                <w:b/>
                <w:bCs/>
                <w:color w:val="FFFFFF"/>
                <w:sz w:val="18"/>
                <w:szCs w:val="16"/>
              </w:rPr>
              <w:t>TTM</w:t>
            </w:r>
          </w:p>
        </w:tc>
      </w:tr>
      <w:tr w:rsidR="00AC6F87" w:rsidRPr="00192CB3" w14:paraId="36B84C0C" w14:textId="77777777" w:rsidTr="002D139A">
        <w:trPr>
          <w:trHeight w:val="180"/>
        </w:trPr>
        <w:tc>
          <w:tcPr>
            <w:tcW w:w="3855" w:type="dxa"/>
            <w:tcBorders>
              <w:top w:val="nil"/>
              <w:left w:val="nil"/>
              <w:bottom w:val="nil"/>
              <w:right w:val="nil"/>
            </w:tcBorders>
            <w:shd w:val="clear" w:color="000000" w:fill="FFFFFF"/>
            <w:noWrap/>
            <w:vAlign w:val="bottom"/>
            <w:hideMark/>
          </w:tcPr>
          <w:p w14:paraId="0F1401C4" w14:textId="77777777" w:rsidR="00AC6F87" w:rsidRPr="00192CB3" w:rsidRDefault="00AC6F87" w:rsidP="00AC6F87">
            <w:pPr>
              <w:rPr>
                <w:rFonts w:asciiTheme="minorHAnsi" w:hAnsiTheme="minorHAnsi"/>
                <w:color w:val="000000"/>
                <w:sz w:val="18"/>
                <w:szCs w:val="16"/>
              </w:rPr>
            </w:pPr>
            <w:r w:rsidRPr="00192CB3">
              <w:rPr>
                <w:rFonts w:asciiTheme="minorHAnsi" w:hAnsiTheme="minorHAnsi"/>
                <w:color w:val="000000"/>
                <w:sz w:val="18"/>
                <w:szCs w:val="16"/>
              </w:rPr>
              <w:t>Възвращаемост на капитала</w:t>
            </w:r>
          </w:p>
        </w:tc>
        <w:tc>
          <w:tcPr>
            <w:tcW w:w="794" w:type="dxa"/>
            <w:tcBorders>
              <w:top w:val="nil"/>
              <w:left w:val="nil"/>
              <w:bottom w:val="nil"/>
              <w:right w:val="nil"/>
            </w:tcBorders>
            <w:shd w:val="clear" w:color="000000" w:fill="FFFFFF"/>
            <w:noWrap/>
            <w:vAlign w:val="center"/>
            <w:hideMark/>
          </w:tcPr>
          <w:p w14:paraId="0D9482F0" w14:textId="77777777" w:rsidR="00AC6F87" w:rsidRPr="00192CB3" w:rsidRDefault="00AC6F87" w:rsidP="00AC6F87">
            <w:pPr>
              <w:jc w:val="right"/>
              <w:rPr>
                <w:rFonts w:asciiTheme="minorHAnsi" w:hAnsiTheme="minorHAnsi"/>
                <w:color w:val="000000"/>
                <w:sz w:val="18"/>
                <w:szCs w:val="16"/>
              </w:rPr>
            </w:pPr>
            <w:r w:rsidRPr="00192CB3">
              <w:rPr>
                <w:rFonts w:asciiTheme="minorHAnsi" w:hAnsiTheme="minorHAnsi"/>
                <w:color w:val="000000"/>
                <w:sz w:val="18"/>
                <w:szCs w:val="16"/>
              </w:rPr>
              <w:t>18%</w:t>
            </w:r>
          </w:p>
        </w:tc>
        <w:tc>
          <w:tcPr>
            <w:tcW w:w="794" w:type="dxa"/>
            <w:tcBorders>
              <w:top w:val="nil"/>
              <w:left w:val="nil"/>
              <w:bottom w:val="nil"/>
              <w:right w:val="nil"/>
            </w:tcBorders>
            <w:shd w:val="clear" w:color="000000" w:fill="FFFFFF"/>
            <w:noWrap/>
            <w:vAlign w:val="center"/>
            <w:hideMark/>
          </w:tcPr>
          <w:p w14:paraId="156FF6A6" w14:textId="77777777" w:rsidR="00AC6F87" w:rsidRPr="00192CB3" w:rsidRDefault="00AC6F87" w:rsidP="00AC6F87">
            <w:pPr>
              <w:jc w:val="right"/>
              <w:rPr>
                <w:rFonts w:asciiTheme="minorHAnsi" w:hAnsiTheme="minorHAnsi"/>
                <w:color w:val="000000"/>
                <w:sz w:val="18"/>
                <w:szCs w:val="16"/>
              </w:rPr>
            </w:pPr>
            <w:r w:rsidRPr="00192CB3">
              <w:rPr>
                <w:rFonts w:asciiTheme="minorHAnsi" w:hAnsiTheme="minorHAnsi"/>
                <w:color w:val="000000"/>
                <w:sz w:val="18"/>
                <w:szCs w:val="16"/>
              </w:rPr>
              <w:t>16%</w:t>
            </w:r>
          </w:p>
        </w:tc>
        <w:tc>
          <w:tcPr>
            <w:tcW w:w="794" w:type="dxa"/>
            <w:tcBorders>
              <w:top w:val="nil"/>
              <w:left w:val="nil"/>
              <w:bottom w:val="nil"/>
              <w:right w:val="nil"/>
            </w:tcBorders>
            <w:shd w:val="clear" w:color="000000" w:fill="FFFFFF"/>
            <w:vAlign w:val="center"/>
          </w:tcPr>
          <w:p w14:paraId="6D37DEA3" w14:textId="2157F3CA" w:rsidR="00AC6F87" w:rsidRPr="00192CB3" w:rsidRDefault="00AC6F87" w:rsidP="00AC6F87">
            <w:pPr>
              <w:jc w:val="right"/>
              <w:rPr>
                <w:rFonts w:asciiTheme="minorHAnsi" w:hAnsiTheme="minorHAnsi"/>
                <w:color w:val="000000"/>
                <w:sz w:val="18"/>
                <w:szCs w:val="16"/>
              </w:rPr>
            </w:pPr>
            <w:r w:rsidRPr="00192CB3">
              <w:rPr>
                <w:rFonts w:asciiTheme="minorHAnsi" w:hAnsiTheme="minorHAnsi"/>
                <w:color w:val="000000"/>
                <w:sz w:val="18"/>
                <w:szCs w:val="16"/>
              </w:rPr>
              <w:t>23%</w:t>
            </w:r>
          </w:p>
        </w:tc>
        <w:tc>
          <w:tcPr>
            <w:tcW w:w="1038" w:type="dxa"/>
            <w:tcBorders>
              <w:top w:val="nil"/>
              <w:left w:val="nil"/>
              <w:bottom w:val="nil"/>
              <w:right w:val="nil"/>
            </w:tcBorders>
            <w:shd w:val="clear" w:color="000000" w:fill="FFFFFF"/>
            <w:noWrap/>
            <w:vAlign w:val="bottom"/>
            <w:hideMark/>
          </w:tcPr>
          <w:p w14:paraId="03560065" w14:textId="705602EB" w:rsidR="00AC6F87" w:rsidRPr="00192CB3" w:rsidRDefault="00AC6F87" w:rsidP="00AC6F87">
            <w:pPr>
              <w:jc w:val="right"/>
              <w:rPr>
                <w:rFonts w:asciiTheme="minorHAnsi" w:hAnsiTheme="minorHAnsi"/>
                <w:color w:val="000000"/>
                <w:sz w:val="18"/>
                <w:szCs w:val="16"/>
              </w:rPr>
            </w:pPr>
            <w:r w:rsidRPr="00192CB3">
              <w:rPr>
                <w:rFonts w:asciiTheme="minorHAnsi" w:hAnsiTheme="minorHAnsi"/>
                <w:color w:val="000000"/>
                <w:sz w:val="18"/>
                <w:szCs w:val="16"/>
              </w:rPr>
              <w:t>14%</w:t>
            </w:r>
          </w:p>
        </w:tc>
        <w:tc>
          <w:tcPr>
            <w:tcW w:w="1038" w:type="dxa"/>
            <w:tcBorders>
              <w:top w:val="nil"/>
              <w:left w:val="nil"/>
              <w:bottom w:val="nil"/>
              <w:right w:val="nil"/>
            </w:tcBorders>
            <w:shd w:val="clear" w:color="000000" w:fill="FFFFFF"/>
            <w:noWrap/>
          </w:tcPr>
          <w:p w14:paraId="1559DE1D" w14:textId="369F0118" w:rsidR="00AC6F87" w:rsidRPr="00192CB3" w:rsidRDefault="00AC6F87" w:rsidP="00AC6F87">
            <w:pPr>
              <w:jc w:val="right"/>
              <w:rPr>
                <w:rFonts w:asciiTheme="minorHAnsi" w:hAnsiTheme="minorHAnsi"/>
                <w:color w:val="000000"/>
                <w:sz w:val="18"/>
                <w:szCs w:val="16"/>
              </w:rPr>
            </w:pPr>
            <w:r w:rsidRPr="00AC6F87">
              <w:rPr>
                <w:rFonts w:asciiTheme="minorHAnsi" w:hAnsiTheme="minorHAnsi"/>
                <w:color w:val="000000"/>
                <w:sz w:val="18"/>
                <w:szCs w:val="16"/>
              </w:rPr>
              <w:t>12%</w:t>
            </w:r>
          </w:p>
        </w:tc>
        <w:tc>
          <w:tcPr>
            <w:tcW w:w="794" w:type="dxa"/>
            <w:tcBorders>
              <w:top w:val="nil"/>
              <w:left w:val="nil"/>
              <w:bottom w:val="nil"/>
              <w:right w:val="nil"/>
            </w:tcBorders>
            <w:shd w:val="clear" w:color="000000" w:fill="FFFFFF"/>
            <w:noWrap/>
            <w:vAlign w:val="bottom"/>
            <w:hideMark/>
          </w:tcPr>
          <w:p w14:paraId="33AAB396" w14:textId="482DE41E" w:rsidR="00AC6F87" w:rsidRPr="00192CB3" w:rsidRDefault="00AC6F87" w:rsidP="00AC6F87">
            <w:pPr>
              <w:jc w:val="right"/>
              <w:rPr>
                <w:rFonts w:asciiTheme="minorHAnsi" w:hAnsiTheme="minorHAnsi"/>
                <w:color w:val="000000"/>
                <w:sz w:val="18"/>
                <w:szCs w:val="16"/>
              </w:rPr>
            </w:pPr>
            <w:r>
              <w:rPr>
                <w:rFonts w:ascii="Verdana" w:hAnsi="Verdana"/>
                <w:color w:val="000000"/>
                <w:sz w:val="14"/>
                <w:szCs w:val="14"/>
              </w:rPr>
              <w:t>15%</w:t>
            </w:r>
          </w:p>
        </w:tc>
      </w:tr>
      <w:tr w:rsidR="00AC6F87" w:rsidRPr="00192CB3" w14:paraId="32411A11" w14:textId="77777777" w:rsidTr="002D139A">
        <w:trPr>
          <w:trHeight w:val="180"/>
        </w:trPr>
        <w:tc>
          <w:tcPr>
            <w:tcW w:w="3855" w:type="dxa"/>
            <w:tcBorders>
              <w:top w:val="nil"/>
              <w:left w:val="nil"/>
              <w:bottom w:val="single" w:sz="4" w:space="0" w:color="auto"/>
              <w:right w:val="nil"/>
            </w:tcBorders>
            <w:shd w:val="clear" w:color="000000" w:fill="FFFFFF"/>
            <w:noWrap/>
            <w:vAlign w:val="bottom"/>
            <w:hideMark/>
          </w:tcPr>
          <w:p w14:paraId="574A37EF" w14:textId="77777777" w:rsidR="00AC6F87" w:rsidRPr="00192CB3" w:rsidRDefault="00AC6F87" w:rsidP="00AC6F87">
            <w:pPr>
              <w:rPr>
                <w:rFonts w:asciiTheme="minorHAnsi" w:hAnsiTheme="minorHAnsi"/>
                <w:color w:val="000000"/>
                <w:sz w:val="18"/>
                <w:szCs w:val="16"/>
              </w:rPr>
            </w:pPr>
            <w:r w:rsidRPr="00192CB3">
              <w:rPr>
                <w:rFonts w:asciiTheme="minorHAnsi" w:hAnsiTheme="minorHAnsi"/>
                <w:color w:val="000000"/>
                <w:sz w:val="18"/>
                <w:szCs w:val="16"/>
              </w:rPr>
              <w:t>Възвращаемост на активите</w:t>
            </w:r>
          </w:p>
        </w:tc>
        <w:tc>
          <w:tcPr>
            <w:tcW w:w="794" w:type="dxa"/>
            <w:tcBorders>
              <w:top w:val="nil"/>
              <w:left w:val="nil"/>
              <w:bottom w:val="single" w:sz="4" w:space="0" w:color="auto"/>
              <w:right w:val="nil"/>
            </w:tcBorders>
            <w:shd w:val="clear" w:color="000000" w:fill="FFFFFF"/>
            <w:noWrap/>
            <w:vAlign w:val="center"/>
            <w:hideMark/>
          </w:tcPr>
          <w:p w14:paraId="5550A1EA" w14:textId="77777777" w:rsidR="00AC6F87" w:rsidRPr="00192CB3" w:rsidRDefault="00AC6F87" w:rsidP="00AC6F87">
            <w:pPr>
              <w:jc w:val="right"/>
              <w:rPr>
                <w:rFonts w:asciiTheme="minorHAnsi" w:hAnsiTheme="minorHAnsi"/>
                <w:color w:val="000000"/>
                <w:sz w:val="18"/>
                <w:szCs w:val="16"/>
              </w:rPr>
            </w:pPr>
            <w:r w:rsidRPr="00192CB3">
              <w:rPr>
                <w:rFonts w:asciiTheme="minorHAnsi" w:hAnsiTheme="minorHAnsi"/>
                <w:color w:val="000000"/>
                <w:sz w:val="18"/>
                <w:szCs w:val="16"/>
              </w:rPr>
              <w:t>6%</w:t>
            </w:r>
          </w:p>
        </w:tc>
        <w:tc>
          <w:tcPr>
            <w:tcW w:w="794" w:type="dxa"/>
            <w:tcBorders>
              <w:top w:val="nil"/>
              <w:left w:val="nil"/>
              <w:bottom w:val="single" w:sz="4" w:space="0" w:color="auto"/>
              <w:right w:val="nil"/>
            </w:tcBorders>
            <w:shd w:val="clear" w:color="000000" w:fill="FFFFFF"/>
            <w:noWrap/>
            <w:vAlign w:val="center"/>
            <w:hideMark/>
          </w:tcPr>
          <w:p w14:paraId="116082E6" w14:textId="77777777" w:rsidR="00AC6F87" w:rsidRPr="00192CB3" w:rsidRDefault="00AC6F87" w:rsidP="00AC6F87">
            <w:pPr>
              <w:jc w:val="right"/>
              <w:rPr>
                <w:rFonts w:asciiTheme="minorHAnsi" w:hAnsiTheme="minorHAnsi"/>
                <w:color w:val="000000"/>
                <w:sz w:val="18"/>
                <w:szCs w:val="16"/>
              </w:rPr>
            </w:pPr>
            <w:r w:rsidRPr="00192CB3">
              <w:rPr>
                <w:rFonts w:asciiTheme="minorHAnsi" w:hAnsiTheme="minorHAnsi"/>
                <w:color w:val="000000"/>
                <w:sz w:val="18"/>
                <w:szCs w:val="16"/>
              </w:rPr>
              <w:t>3%</w:t>
            </w:r>
          </w:p>
        </w:tc>
        <w:tc>
          <w:tcPr>
            <w:tcW w:w="794" w:type="dxa"/>
            <w:tcBorders>
              <w:top w:val="nil"/>
              <w:left w:val="nil"/>
              <w:bottom w:val="single" w:sz="4" w:space="0" w:color="auto"/>
              <w:right w:val="nil"/>
            </w:tcBorders>
            <w:shd w:val="clear" w:color="000000" w:fill="FFFFFF"/>
            <w:vAlign w:val="center"/>
          </w:tcPr>
          <w:p w14:paraId="2761C4B9" w14:textId="46304554" w:rsidR="00AC6F87" w:rsidRPr="00192CB3" w:rsidRDefault="00AC6F87" w:rsidP="00AC6F87">
            <w:pPr>
              <w:jc w:val="right"/>
              <w:rPr>
                <w:rFonts w:asciiTheme="minorHAnsi" w:hAnsiTheme="minorHAnsi"/>
                <w:color w:val="000000"/>
                <w:sz w:val="18"/>
                <w:szCs w:val="16"/>
              </w:rPr>
            </w:pPr>
            <w:r w:rsidRPr="00192CB3">
              <w:rPr>
                <w:rFonts w:asciiTheme="minorHAnsi" w:hAnsiTheme="minorHAnsi"/>
                <w:color w:val="000000"/>
                <w:sz w:val="18"/>
                <w:szCs w:val="16"/>
              </w:rPr>
              <w:t>7%</w:t>
            </w:r>
          </w:p>
        </w:tc>
        <w:tc>
          <w:tcPr>
            <w:tcW w:w="1038" w:type="dxa"/>
            <w:tcBorders>
              <w:top w:val="nil"/>
              <w:left w:val="nil"/>
              <w:bottom w:val="single" w:sz="4" w:space="0" w:color="auto"/>
              <w:right w:val="nil"/>
            </w:tcBorders>
            <w:shd w:val="clear" w:color="000000" w:fill="FFFFFF"/>
            <w:noWrap/>
            <w:vAlign w:val="bottom"/>
            <w:hideMark/>
          </w:tcPr>
          <w:p w14:paraId="3E8A72D1" w14:textId="51CD2903" w:rsidR="00AC6F87" w:rsidRPr="00192CB3" w:rsidRDefault="00AC6F87" w:rsidP="00AC6F87">
            <w:pPr>
              <w:jc w:val="right"/>
              <w:rPr>
                <w:rFonts w:asciiTheme="minorHAnsi" w:hAnsiTheme="minorHAnsi"/>
                <w:color w:val="000000"/>
                <w:sz w:val="18"/>
                <w:szCs w:val="16"/>
              </w:rPr>
            </w:pPr>
            <w:r w:rsidRPr="00192CB3">
              <w:rPr>
                <w:rFonts w:asciiTheme="minorHAnsi" w:hAnsiTheme="minorHAnsi"/>
                <w:color w:val="000000"/>
                <w:sz w:val="18"/>
                <w:szCs w:val="16"/>
              </w:rPr>
              <w:t>4%</w:t>
            </w:r>
          </w:p>
        </w:tc>
        <w:tc>
          <w:tcPr>
            <w:tcW w:w="1038" w:type="dxa"/>
            <w:tcBorders>
              <w:top w:val="nil"/>
              <w:left w:val="nil"/>
              <w:bottom w:val="single" w:sz="4" w:space="0" w:color="auto"/>
              <w:right w:val="nil"/>
            </w:tcBorders>
            <w:shd w:val="clear" w:color="000000" w:fill="FFFFFF"/>
            <w:noWrap/>
          </w:tcPr>
          <w:p w14:paraId="60639DC8" w14:textId="0CF9D7BA" w:rsidR="00AC6F87" w:rsidRPr="00192CB3" w:rsidRDefault="00AC6F87" w:rsidP="00AC6F87">
            <w:pPr>
              <w:jc w:val="right"/>
              <w:rPr>
                <w:rFonts w:asciiTheme="minorHAnsi" w:hAnsiTheme="minorHAnsi"/>
                <w:color w:val="000000"/>
                <w:sz w:val="18"/>
                <w:szCs w:val="16"/>
              </w:rPr>
            </w:pPr>
            <w:r w:rsidRPr="00AC6F87">
              <w:rPr>
                <w:rFonts w:asciiTheme="minorHAnsi" w:hAnsiTheme="minorHAnsi"/>
                <w:color w:val="000000"/>
                <w:sz w:val="18"/>
                <w:szCs w:val="16"/>
              </w:rPr>
              <w:t>4%</w:t>
            </w:r>
          </w:p>
        </w:tc>
        <w:tc>
          <w:tcPr>
            <w:tcW w:w="794" w:type="dxa"/>
            <w:tcBorders>
              <w:top w:val="nil"/>
              <w:left w:val="nil"/>
              <w:bottom w:val="single" w:sz="4" w:space="0" w:color="auto"/>
              <w:right w:val="nil"/>
            </w:tcBorders>
            <w:shd w:val="clear" w:color="000000" w:fill="FFFFFF"/>
            <w:noWrap/>
            <w:vAlign w:val="bottom"/>
            <w:hideMark/>
          </w:tcPr>
          <w:p w14:paraId="68A8E409" w14:textId="2A559DB1" w:rsidR="00AC6F87" w:rsidRPr="00192CB3" w:rsidRDefault="00AC6F87" w:rsidP="00AC6F87">
            <w:pPr>
              <w:jc w:val="right"/>
              <w:rPr>
                <w:rFonts w:asciiTheme="minorHAnsi" w:hAnsiTheme="minorHAnsi"/>
                <w:color w:val="000000"/>
                <w:sz w:val="18"/>
                <w:szCs w:val="16"/>
              </w:rPr>
            </w:pPr>
            <w:r>
              <w:rPr>
                <w:rFonts w:ascii="Verdana" w:hAnsi="Verdana"/>
                <w:color w:val="000000"/>
                <w:sz w:val="14"/>
                <w:szCs w:val="14"/>
              </w:rPr>
              <w:t>4%</w:t>
            </w:r>
          </w:p>
        </w:tc>
      </w:tr>
    </w:tbl>
    <w:p w14:paraId="0D7F8273" w14:textId="77777777" w:rsidR="00B6316D" w:rsidRPr="001931E6" w:rsidRDefault="00B6316D" w:rsidP="001931E6">
      <w:pPr>
        <w:pStyle w:val="bs2"/>
        <w:numPr>
          <w:ilvl w:val="0"/>
          <w:numId w:val="7"/>
        </w:numPr>
        <w:spacing w:before="240" w:after="240"/>
        <w:ind w:left="714" w:hanging="357"/>
        <w:rPr>
          <w:rFonts w:asciiTheme="minorHAnsi" w:hAnsiTheme="minorHAnsi"/>
          <w:sz w:val="22"/>
        </w:rPr>
      </w:pPr>
      <w:r w:rsidRPr="001931E6">
        <w:rPr>
          <w:rFonts w:asciiTheme="minorHAnsi" w:hAnsiTheme="minorHAnsi"/>
          <w:sz w:val="22"/>
        </w:rPr>
        <w:t>Обстоятелства по чл. 100г, ал. 3 от ЗППЦК</w:t>
      </w:r>
    </w:p>
    <w:p w14:paraId="22E03942" w14:textId="77777777" w:rsidR="00B6316D" w:rsidRPr="00A77CDB" w:rsidRDefault="00B6316D" w:rsidP="00A77CDB">
      <w:pPr>
        <w:spacing w:after="120"/>
        <w:ind w:right="566"/>
        <w:jc w:val="both"/>
        <w:rPr>
          <w:rFonts w:asciiTheme="minorHAnsi" w:hAnsiTheme="minorHAnsi"/>
          <w:sz w:val="20"/>
        </w:rPr>
      </w:pPr>
      <w:r w:rsidRPr="00A77CDB">
        <w:rPr>
          <w:rFonts w:asciiTheme="minorHAnsi" w:hAnsiTheme="minorHAnsi"/>
          <w:sz w:val="20"/>
        </w:rPr>
        <w:t>Не са налице обстоятелства по чл. 100г, ал. 3 от ЗППЦК.</w:t>
      </w:r>
    </w:p>
    <w:p w14:paraId="42F82C1E" w14:textId="77777777" w:rsidR="00DC17B6" w:rsidRPr="00A77CDB" w:rsidRDefault="00DC17B6" w:rsidP="00A77CDB">
      <w:pPr>
        <w:spacing w:after="120"/>
        <w:ind w:right="566"/>
        <w:jc w:val="both"/>
        <w:rPr>
          <w:rFonts w:asciiTheme="minorHAnsi" w:hAnsiTheme="minorHAnsi"/>
          <w:sz w:val="20"/>
        </w:rPr>
      </w:pPr>
      <w:r w:rsidRPr="00A77CDB">
        <w:rPr>
          <w:rFonts w:asciiTheme="minorHAnsi" w:hAnsiTheme="minorHAnsi"/>
          <w:sz w:val="20"/>
        </w:rPr>
        <w:t>“</w:t>
      </w:r>
      <w:r w:rsidR="00DA48A0" w:rsidRPr="00A77CDB">
        <w:rPr>
          <w:rFonts w:asciiTheme="minorHAnsi" w:hAnsiTheme="minorHAnsi"/>
          <w:sz w:val="20"/>
        </w:rPr>
        <w:t>ЕЛАНА трейдинг</w:t>
      </w:r>
      <w:r w:rsidRPr="00A77CDB">
        <w:rPr>
          <w:rFonts w:asciiTheme="minorHAnsi" w:hAnsiTheme="minorHAnsi"/>
          <w:sz w:val="20"/>
        </w:rPr>
        <w:t>” АД е извършила анализ на финансовото състоянието на “</w:t>
      </w:r>
      <w:r w:rsidR="00DA48A0" w:rsidRPr="00A77CDB">
        <w:rPr>
          <w:rFonts w:asciiTheme="minorHAnsi" w:hAnsiTheme="minorHAnsi"/>
          <w:sz w:val="20"/>
        </w:rPr>
        <w:t>Ай Ти Еф Груп</w:t>
      </w:r>
      <w:r w:rsidRPr="00A77CDB">
        <w:rPr>
          <w:rFonts w:asciiTheme="minorHAnsi" w:hAnsiTheme="minorHAnsi"/>
          <w:sz w:val="20"/>
        </w:rPr>
        <w:t xml:space="preserve">” </w:t>
      </w:r>
      <w:r w:rsidR="00DA48A0" w:rsidRPr="00A77CDB">
        <w:rPr>
          <w:rFonts w:asciiTheme="minorHAnsi" w:hAnsiTheme="minorHAnsi"/>
          <w:sz w:val="20"/>
        </w:rPr>
        <w:t>АД</w:t>
      </w:r>
      <w:r w:rsidRPr="00A77CDB">
        <w:rPr>
          <w:rFonts w:asciiTheme="minorHAnsi" w:hAnsiTheme="minorHAnsi"/>
          <w:sz w:val="20"/>
        </w:rPr>
        <w:t>;</w:t>
      </w:r>
    </w:p>
    <w:p w14:paraId="45C161C6" w14:textId="77777777" w:rsidR="00DC17B6" w:rsidRPr="00A77CDB" w:rsidRDefault="00DC17B6" w:rsidP="00A77CDB">
      <w:pPr>
        <w:spacing w:after="120"/>
        <w:ind w:right="566"/>
        <w:jc w:val="both"/>
        <w:rPr>
          <w:rFonts w:asciiTheme="minorHAnsi" w:hAnsiTheme="minorHAnsi"/>
          <w:sz w:val="20"/>
        </w:rPr>
      </w:pPr>
      <w:r w:rsidRPr="00A77CDB">
        <w:rPr>
          <w:rFonts w:asciiTheme="minorHAnsi" w:hAnsiTheme="minorHAnsi"/>
          <w:sz w:val="20"/>
        </w:rPr>
        <w:t>“</w:t>
      </w:r>
      <w:r w:rsidR="00DA48A0" w:rsidRPr="00A77CDB">
        <w:rPr>
          <w:rFonts w:asciiTheme="minorHAnsi" w:hAnsiTheme="minorHAnsi"/>
          <w:sz w:val="20"/>
        </w:rPr>
        <w:t>ЕЛАНА трейдинг</w:t>
      </w:r>
      <w:r w:rsidRPr="00A77CDB">
        <w:rPr>
          <w:rFonts w:asciiTheme="minorHAnsi" w:hAnsiTheme="minorHAnsi"/>
          <w:sz w:val="20"/>
        </w:rPr>
        <w:t>” АД не е поемател на емисията облигации или довереник по облигации</w:t>
      </w:r>
      <w:r w:rsidR="004D0228" w:rsidRPr="00A77CDB">
        <w:rPr>
          <w:rFonts w:asciiTheme="minorHAnsi" w:hAnsiTheme="minorHAnsi"/>
          <w:sz w:val="20"/>
        </w:rPr>
        <w:t xml:space="preserve"> </w:t>
      </w:r>
      <w:r w:rsidRPr="00A77CDB">
        <w:rPr>
          <w:rFonts w:asciiTheme="minorHAnsi" w:hAnsiTheme="minorHAnsi"/>
          <w:sz w:val="20"/>
        </w:rPr>
        <w:t xml:space="preserve">от друг клас, издадени от </w:t>
      </w:r>
      <w:r w:rsidR="004D0228" w:rsidRPr="00A77CDB">
        <w:rPr>
          <w:rFonts w:asciiTheme="minorHAnsi" w:hAnsiTheme="minorHAnsi"/>
          <w:sz w:val="20"/>
        </w:rPr>
        <w:t>“Ай Ти Еф Груп” АД;</w:t>
      </w:r>
    </w:p>
    <w:p w14:paraId="26D0D1D5" w14:textId="77777777" w:rsidR="00DC17B6" w:rsidRPr="00A77CDB" w:rsidRDefault="00DC17B6" w:rsidP="00A77CDB">
      <w:pPr>
        <w:spacing w:after="120"/>
        <w:ind w:right="566"/>
        <w:jc w:val="both"/>
        <w:rPr>
          <w:rFonts w:asciiTheme="minorHAnsi" w:hAnsiTheme="minorHAnsi"/>
          <w:sz w:val="20"/>
        </w:rPr>
      </w:pPr>
      <w:r w:rsidRPr="00A77CDB">
        <w:rPr>
          <w:rFonts w:asciiTheme="minorHAnsi" w:hAnsiTheme="minorHAnsi"/>
          <w:sz w:val="20"/>
        </w:rPr>
        <w:t>“</w:t>
      </w:r>
      <w:r w:rsidR="007343AE" w:rsidRPr="00A77CDB">
        <w:rPr>
          <w:rFonts w:asciiTheme="minorHAnsi" w:hAnsiTheme="minorHAnsi"/>
          <w:sz w:val="20"/>
        </w:rPr>
        <w:t>ЕЛАНА трейдинг</w:t>
      </w:r>
      <w:r w:rsidRPr="00A77CDB">
        <w:rPr>
          <w:rFonts w:asciiTheme="minorHAnsi" w:hAnsiTheme="minorHAnsi"/>
          <w:sz w:val="20"/>
        </w:rPr>
        <w:t>” АД н</w:t>
      </w:r>
      <w:r w:rsidR="00770BD9" w:rsidRPr="00A77CDB">
        <w:rPr>
          <w:rFonts w:asciiTheme="minorHAnsi" w:hAnsiTheme="minorHAnsi"/>
          <w:sz w:val="20"/>
        </w:rPr>
        <w:t>е контролира пряко или непряко “Ай Ти Еф Груп” АД</w:t>
      </w:r>
      <w:r w:rsidRPr="00A77CDB">
        <w:rPr>
          <w:rFonts w:asciiTheme="minorHAnsi" w:hAnsiTheme="minorHAnsi"/>
          <w:sz w:val="20"/>
        </w:rPr>
        <w:t>;</w:t>
      </w:r>
    </w:p>
    <w:p w14:paraId="340E973F" w14:textId="77777777" w:rsidR="00DC17B6" w:rsidRPr="00A77CDB" w:rsidRDefault="00DC17B6" w:rsidP="00A77CDB">
      <w:pPr>
        <w:spacing w:after="120"/>
        <w:ind w:right="566"/>
        <w:jc w:val="both"/>
        <w:rPr>
          <w:rFonts w:asciiTheme="minorHAnsi" w:hAnsiTheme="minorHAnsi"/>
          <w:sz w:val="20"/>
        </w:rPr>
      </w:pPr>
      <w:r w:rsidRPr="00A77CDB">
        <w:rPr>
          <w:rFonts w:asciiTheme="minorHAnsi" w:hAnsiTheme="minorHAnsi"/>
          <w:sz w:val="20"/>
        </w:rPr>
        <w:t>“</w:t>
      </w:r>
      <w:r w:rsidR="007343AE" w:rsidRPr="00A77CDB">
        <w:rPr>
          <w:rFonts w:asciiTheme="minorHAnsi" w:hAnsiTheme="minorHAnsi"/>
          <w:sz w:val="20"/>
        </w:rPr>
        <w:t>ЕЛАНА трейдинг</w:t>
      </w:r>
      <w:r w:rsidRPr="00A77CDB">
        <w:rPr>
          <w:rFonts w:asciiTheme="minorHAnsi" w:hAnsiTheme="minorHAnsi"/>
          <w:sz w:val="20"/>
        </w:rPr>
        <w:t xml:space="preserve">” АД не е контролирана пряко или непряко от </w:t>
      </w:r>
      <w:r w:rsidR="00770BD9" w:rsidRPr="00A77CDB">
        <w:rPr>
          <w:rFonts w:asciiTheme="minorHAnsi" w:hAnsiTheme="minorHAnsi"/>
          <w:sz w:val="20"/>
        </w:rPr>
        <w:t>“Ай Ти Еф Груп” АД</w:t>
      </w:r>
      <w:r w:rsidRPr="00A77CDB">
        <w:rPr>
          <w:rFonts w:asciiTheme="minorHAnsi" w:hAnsiTheme="minorHAnsi"/>
          <w:sz w:val="20"/>
        </w:rPr>
        <w:t>;</w:t>
      </w:r>
    </w:p>
    <w:p w14:paraId="2ECD0E93" w14:textId="77777777" w:rsidR="00DC17B6" w:rsidRPr="00A77CDB" w:rsidRDefault="00770BD9" w:rsidP="00A77CDB">
      <w:pPr>
        <w:spacing w:after="120"/>
        <w:ind w:right="566"/>
        <w:jc w:val="both"/>
        <w:rPr>
          <w:rFonts w:asciiTheme="minorHAnsi" w:hAnsiTheme="minorHAnsi"/>
          <w:sz w:val="20"/>
        </w:rPr>
      </w:pPr>
      <w:r w:rsidRPr="00A77CDB">
        <w:rPr>
          <w:rFonts w:asciiTheme="minorHAnsi" w:hAnsiTheme="minorHAnsi"/>
          <w:sz w:val="20"/>
        </w:rPr>
        <w:t>Н</w:t>
      </w:r>
      <w:r w:rsidR="00DC17B6" w:rsidRPr="00A77CDB">
        <w:rPr>
          <w:rFonts w:asciiTheme="minorHAnsi" w:hAnsiTheme="minorHAnsi"/>
          <w:sz w:val="20"/>
        </w:rPr>
        <w:t>е са налице обстоятелствата по чл. 100г, ал.2, т. 3 от ЗППЦК</w:t>
      </w:r>
      <w:r w:rsidRPr="00A77CDB">
        <w:rPr>
          <w:rFonts w:asciiTheme="minorHAnsi" w:hAnsiTheme="minorHAnsi"/>
          <w:sz w:val="20"/>
        </w:rPr>
        <w:t>;</w:t>
      </w:r>
    </w:p>
    <w:p w14:paraId="0BB4EA35" w14:textId="77777777" w:rsidR="00DC17B6" w:rsidRPr="00A77CDB" w:rsidRDefault="00DC17B6" w:rsidP="00A77CDB">
      <w:pPr>
        <w:spacing w:after="120"/>
        <w:ind w:right="566"/>
        <w:jc w:val="both"/>
        <w:rPr>
          <w:rFonts w:asciiTheme="minorHAnsi" w:hAnsiTheme="minorHAnsi"/>
          <w:sz w:val="20"/>
        </w:rPr>
      </w:pPr>
      <w:r w:rsidRPr="00A77CDB">
        <w:rPr>
          <w:rFonts w:asciiTheme="minorHAnsi" w:hAnsiTheme="minorHAnsi"/>
          <w:sz w:val="20"/>
        </w:rPr>
        <w:t xml:space="preserve">Не е налице конфликт на интереса на </w:t>
      </w:r>
      <w:r w:rsidR="007343AE" w:rsidRPr="00A77CDB">
        <w:rPr>
          <w:rFonts w:asciiTheme="minorHAnsi" w:hAnsiTheme="minorHAnsi"/>
          <w:sz w:val="20"/>
        </w:rPr>
        <w:t xml:space="preserve">„ЕЛАНА трейдинг“ </w:t>
      </w:r>
      <w:r w:rsidRPr="00A77CDB">
        <w:rPr>
          <w:rFonts w:asciiTheme="minorHAnsi" w:hAnsiTheme="minorHAnsi"/>
          <w:sz w:val="20"/>
        </w:rPr>
        <w:t>и на лицата, които я контролират, и интереса на</w:t>
      </w:r>
      <w:r w:rsidR="007343AE" w:rsidRPr="00A77CDB">
        <w:rPr>
          <w:rFonts w:asciiTheme="minorHAnsi" w:hAnsiTheme="minorHAnsi"/>
          <w:sz w:val="20"/>
        </w:rPr>
        <w:t xml:space="preserve"> </w:t>
      </w:r>
      <w:r w:rsidRPr="00A77CDB">
        <w:rPr>
          <w:rFonts w:asciiTheme="minorHAnsi" w:hAnsiTheme="minorHAnsi"/>
          <w:sz w:val="20"/>
        </w:rPr>
        <w:t>облигационерите.</w:t>
      </w:r>
    </w:p>
    <w:p w14:paraId="3689ADB3" w14:textId="77777777" w:rsidR="005B7761" w:rsidRPr="00A77CDB" w:rsidRDefault="00DC17B6" w:rsidP="00A77CDB">
      <w:pPr>
        <w:spacing w:after="120"/>
        <w:ind w:right="566"/>
        <w:jc w:val="both"/>
        <w:rPr>
          <w:rFonts w:asciiTheme="minorHAnsi" w:hAnsiTheme="minorHAnsi"/>
          <w:sz w:val="20"/>
        </w:rPr>
      </w:pPr>
      <w:r w:rsidRPr="00A77CDB">
        <w:rPr>
          <w:rFonts w:asciiTheme="minorHAnsi" w:hAnsiTheme="minorHAnsi"/>
          <w:sz w:val="20"/>
        </w:rPr>
        <w:t>Този доклад се дава само за целите на емисия ISIN BG21000</w:t>
      </w:r>
      <w:r w:rsidR="007343AE" w:rsidRPr="00A77CDB">
        <w:rPr>
          <w:rFonts w:asciiTheme="minorHAnsi" w:hAnsiTheme="minorHAnsi"/>
          <w:sz w:val="20"/>
        </w:rPr>
        <w:t>1</w:t>
      </w:r>
      <w:r w:rsidR="00F764D5" w:rsidRPr="00A77CDB">
        <w:rPr>
          <w:rFonts w:asciiTheme="minorHAnsi" w:hAnsiTheme="minorHAnsi"/>
          <w:sz w:val="20"/>
        </w:rPr>
        <w:t>7198</w:t>
      </w:r>
      <w:r w:rsidRPr="00A77CDB">
        <w:rPr>
          <w:rFonts w:asciiTheme="minorHAnsi" w:hAnsiTheme="minorHAnsi"/>
          <w:sz w:val="20"/>
        </w:rPr>
        <w:t xml:space="preserve"> и само с цел анализиране</w:t>
      </w:r>
      <w:r w:rsidR="007343AE" w:rsidRPr="00A77CDB">
        <w:rPr>
          <w:rFonts w:asciiTheme="minorHAnsi" w:hAnsiTheme="minorHAnsi"/>
          <w:sz w:val="20"/>
        </w:rPr>
        <w:t xml:space="preserve"> </w:t>
      </w:r>
      <w:r w:rsidRPr="00A77CDB">
        <w:rPr>
          <w:rFonts w:asciiTheme="minorHAnsi" w:hAnsiTheme="minorHAnsi"/>
          <w:sz w:val="20"/>
        </w:rPr>
        <w:t xml:space="preserve">способността на </w:t>
      </w:r>
      <w:r w:rsidR="00770BD9" w:rsidRPr="00A77CDB">
        <w:rPr>
          <w:rFonts w:asciiTheme="minorHAnsi" w:hAnsiTheme="minorHAnsi"/>
          <w:sz w:val="20"/>
        </w:rPr>
        <w:t>Е</w:t>
      </w:r>
      <w:r w:rsidRPr="00A77CDB">
        <w:rPr>
          <w:rFonts w:asciiTheme="minorHAnsi" w:hAnsiTheme="minorHAnsi"/>
          <w:sz w:val="20"/>
        </w:rPr>
        <w:t>митента да изпълнява задълженията си към облигационерите по конкретната емисия.</w:t>
      </w:r>
      <w:r w:rsidR="007343AE" w:rsidRPr="00A77CDB">
        <w:rPr>
          <w:rFonts w:asciiTheme="minorHAnsi" w:hAnsiTheme="minorHAnsi"/>
          <w:sz w:val="20"/>
        </w:rPr>
        <w:t xml:space="preserve"> </w:t>
      </w:r>
      <w:r w:rsidRPr="00A77CDB">
        <w:rPr>
          <w:rFonts w:asciiTheme="minorHAnsi" w:hAnsiTheme="minorHAnsi"/>
          <w:sz w:val="20"/>
        </w:rPr>
        <w:t>Заключенията в него подлежат на самостоятелно тълкуване от лицата, до които този доклад е достигнал</w:t>
      </w:r>
      <w:r w:rsidR="007343AE" w:rsidRPr="00A77CDB">
        <w:rPr>
          <w:rFonts w:asciiTheme="minorHAnsi" w:hAnsiTheme="minorHAnsi"/>
          <w:sz w:val="20"/>
        </w:rPr>
        <w:t xml:space="preserve"> </w:t>
      </w:r>
      <w:r w:rsidRPr="00A77CDB">
        <w:rPr>
          <w:rFonts w:asciiTheme="minorHAnsi" w:hAnsiTheme="minorHAnsi"/>
          <w:sz w:val="20"/>
        </w:rPr>
        <w:t xml:space="preserve">и </w:t>
      </w:r>
      <w:r w:rsidR="007343AE" w:rsidRPr="00A77CDB">
        <w:rPr>
          <w:rFonts w:asciiTheme="minorHAnsi" w:hAnsiTheme="minorHAnsi"/>
          <w:sz w:val="20"/>
        </w:rPr>
        <w:t>Д</w:t>
      </w:r>
      <w:r w:rsidRPr="00A77CDB">
        <w:rPr>
          <w:rFonts w:asciiTheme="minorHAnsi" w:hAnsiTheme="minorHAnsi"/>
          <w:sz w:val="20"/>
        </w:rPr>
        <w:t xml:space="preserve">овереник </w:t>
      </w:r>
      <w:r w:rsidR="007343AE" w:rsidRPr="00A77CDB">
        <w:rPr>
          <w:rFonts w:asciiTheme="minorHAnsi" w:hAnsiTheme="minorHAnsi"/>
          <w:sz w:val="20"/>
        </w:rPr>
        <w:t xml:space="preserve">на облигационерите </w:t>
      </w:r>
      <w:r w:rsidRPr="00A77CDB">
        <w:rPr>
          <w:rFonts w:asciiTheme="minorHAnsi" w:hAnsiTheme="minorHAnsi"/>
          <w:sz w:val="20"/>
        </w:rPr>
        <w:t>не поема отговорност, нито дава съвет за инвестиционни или други решения</w:t>
      </w:r>
      <w:r w:rsidR="007343AE" w:rsidRPr="00A77CDB">
        <w:rPr>
          <w:rFonts w:asciiTheme="minorHAnsi" w:hAnsiTheme="minorHAnsi"/>
          <w:sz w:val="20"/>
        </w:rPr>
        <w:t xml:space="preserve"> </w:t>
      </w:r>
      <w:r w:rsidRPr="00A77CDB">
        <w:rPr>
          <w:rFonts w:asciiTheme="minorHAnsi" w:hAnsiTheme="minorHAnsi"/>
          <w:sz w:val="20"/>
        </w:rPr>
        <w:t>относно емитента или облигациите на лицата, до които е достигнал този доклад. Заключенията в</w:t>
      </w:r>
      <w:r w:rsidR="007343AE" w:rsidRPr="00A77CDB">
        <w:rPr>
          <w:rFonts w:asciiTheme="minorHAnsi" w:hAnsiTheme="minorHAnsi"/>
          <w:sz w:val="20"/>
        </w:rPr>
        <w:t xml:space="preserve"> </w:t>
      </w:r>
      <w:r w:rsidRPr="00A77CDB">
        <w:rPr>
          <w:rFonts w:asciiTheme="minorHAnsi" w:hAnsiTheme="minorHAnsi"/>
          <w:sz w:val="20"/>
        </w:rPr>
        <w:t>доклада са направени единствено на база информацията и финансовите отчети на емитента,</w:t>
      </w:r>
      <w:r w:rsidR="007343AE" w:rsidRPr="00A77CDB">
        <w:rPr>
          <w:rFonts w:asciiTheme="minorHAnsi" w:hAnsiTheme="minorHAnsi"/>
          <w:sz w:val="20"/>
        </w:rPr>
        <w:t xml:space="preserve"> </w:t>
      </w:r>
      <w:r w:rsidR="00770BD9" w:rsidRPr="00A77CDB">
        <w:rPr>
          <w:rFonts w:asciiTheme="minorHAnsi" w:hAnsiTheme="minorHAnsi"/>
          <w:sz w:val="20"/>
        </w:rPr>
        <w:t>представени от Е</w:t>
      </w:r>
      <w:r w:rsidRPr="00A77CDB">
        <w:rPr>
          <w:rFonts w:asciiTheme="minorHAnsi" w:hAnsiTheme="minorHAnsi"/>
          <w:sz w:val="20"/>
        </w:rPr>
        <w:t>митента при условията на чл. 100е от ЗППЦК</w:t>
      </w:r>
      <w:r w:rsidR="00770BD9" w:rsidRPr="00A77CDB">
        <w:rPr>
          <w:rFonts w:asciiTheme="minorHAnsi" w:hAnsiTheme="minorHAnsi"/>
          <w:sz w:val="20"/>
        </w:rPr>
        <w:t>,</w:t>
      </w:r>
      <w:r w:rsidRPr="00A77CDB">
        <w:rPr>
          <w:rFonts w:asciiTheme="minorHAnsi" w:hAnsiTheme="minorHAnsi"/>
          <w:sz w:val="20"/>
        </w:rPr>
        <w:t xml:space="preserve"> като </w:t>
      </w:r>
      <w:r w:rsidR="007343AE" w:rsidRPr="00A77CDB">
        <w:rPr>
          <w:rFonts w:asciiTheme="minorHAnsi" w:hAnsiTheme="minorHAnsi"/>
          <w:sz w:val="20"/>
        </w:rPr>
        <w:t>Д</w:t>
      </w:r>
      <w:r w:rsidRPr="00A77CDB">
        <w:rPr>
          <w:rFonts w:asciiTheme="minorHAnsi" w:hAnsiTheme="minorHAnsi"/>
          <w:sz w:val="20"/>
        </w:rPr>
        <w:t>овереник</w:t>
      </w:r>
      <w:r w:rsidR="007343AE" w:rsidRPr="00A77CDB">
        <w:rPr>
          <w:rFonts w:asciiTheme="minorHAnsi" w:hAnsiTheme="minorHAnsi"/>
          <w:sz w:val="20"/>
        </w:rPr>
        <w:t xml:space="preserve"> на облигационерите</w:t>
      </w:r>
      <w:r w:rsidRPr="00A77CDB">
        <w:rPr>
          <w:rFonts w:asciiTheme="minorHAnsi" w:hAnsiTheme="minorHAnsi"/>
          <w:sz w:val="20"/>
        </w:rPr>
        <w:t xml:space="preserve"> не поема</w:t>
      </w:r>
      <w:r w:rsidR="00770BD9" w:rsidRPr="00A77CDB">
        <w:rPr>
          <w:rFonts w:asciiTheme="minorHAnsi" w:hAnsiTheme="minorHAnsi"/>
          <w:sz w:val="20"/>
        </w:rPr>
        <w:t xml:space="preserve"> </w:t>
      </w:r>
      <w:r w:rsidRPr="00A77CDB">
        <w:rPr>
          <w:rFonts w:asciiTheme="minorHAnsi" w:hAnsiTheme="minorHAnsi"/>
          <w:sz w:val="20"/>
        </w:rPr>
        <w:t xml:space="preserve">отговорност за верността и пълнотата на тази информация, нито поема отговорност за </w:t>
      </w:r>
      <w:proofErr w:type="spellStart"/>
      <w:r w:rsidRPr="00A77CDB">
        <w:rPr>
          <w:rFonts w:asciiTheme="minorHAnsi" w:hAnsiTheme="minorHAnsi"/>
          <w:sz w:val="20"/>
        </w:rPr>
        <w:t>непредоставяне</w:t>
      </w:r>
      <w:proofErr w:type="spellEnd"/>
      <w:r w:rsidR="00770BD9" w:rsidRPr="00A77CDB">
        <w:rPr>
          <w:rFonts w:asciiTheme="minorHAnsi" w:hAnsiTheme="minorHAnsi"/>
          <w:sz w:val="20"/>
        </w:rPr>
        <w:t xml:space="preserve"> </w:t>
      </w:r>
      <w:r w:rsidRPr="00A77CDB">
        <w:rPr>
          <w:rFonts w:asciiTheme="minorHAnsi" w:hAnsiTheme="minorHAnsi"/>
          <w:sz w:val="20"/>
        </w:rPr>
        <w:t>на релевантна информация, коя</w:t>
      </w:r>
      <w:r w:rsidR="00770BD9" w:rsidRPr="00A77CDB">
        <w:rPr>
          <w:rFonts w:asciiTheme="minorHAnsi" w:hAnsiTheme="minorHAnsi"/>
          <w:sz w:val="20"/>
        </w:rPr>
        <w:t>то не й е била предоставена от Е</w:t>
      </w:r>
      <w:r w:rsidRPr="00A77CDB">
        <w:rPr>
          <w:rFonts w:asciiTheme="minorHAnsi" w:hAnsiTheme="minorHAnsi"/>
          <w:sz w:val="20"/>
        </w:rPr>
        <w:t>митента в изпълнение на задълженията</w:t>
      </w:r>
      <w:r w:rsidR="00770BD9" w:rsidRPr="00A77CDB">
        <w:rPr>
          <w:rFonts w:asciiTheme="minorHAnsi" w:hAnsiTheme="minorHAnsi"/>
          <w:sz w:val="20"/>
        </w:rPr>
        <w:t xml:space="preserve"> </w:t>
      </w:r>
      <w:r w:rsidRPr="00A77CDB">
        <w:rPr>
          <w:rFonts w:asciiTheme="minorHAnsi" w:hAnsiTheme="minorHAnsi"/>
          <w:sz w:val="20"/>
        </w:rPr>
        <w:t>му по чл. 100е от ЗППЦК</w:t>
      </w:r>
      <w:r w:rsidR="00770BD9" w:rsidRPr="00A77CDB">
        <w:rPr>
          <w:rFonts w:asciiTheme="minorHAnsi" w:hAnsiTheme="minorHAnsi"/>
          <w:sz w:val="20"/>
        </w:rPr>
        <w:t>.</w:t>
      </w:r>
    </w:p>
    <w:p w14:paraId="09930CC1" w14:textId="77777777" w:rsidR="002F2238" w:rsidRDefault="002F2238" w:rsidP="00D64977">
      <w:pPr>
        <w:jc w:val="both"/>
        <w:rPr>
          <w:rStyle w:val="fontstyle01"/>
          <w:rFonts w:asciiTheme="minorHAnsi" w:hAnsiTheme="minorHAnsi"/>
          <w:b w:val="0"/>
          <w:sz w:val="20"/>
        </w:rPr>
      </w:pPr>
      <w:bookmarkStart w:id="0" w:name="_GoBack"/>
      <w:bookmarkEnd w:id="0"/>
    </w:p>
    <w:sectPr w:rsidR="002F2238" w:rsidSect="00E74B42">
      <w:headerReference w:type="even" r:id="rId10"/>
      <w:headerReference w:type="default" r:id="rId11"/>
      <w:footerReference w:type="default" r:id="rId12"/>
      <w:pgSz w:w="11906" w:h="16838" w:code="9"/>
      <w:pgMar w:top="1418" w:right="1134" w:bottom="1418"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B841B" w14:textId="77777777" w:rsidR="000D36F4" w:rsidRDefault="000D36F4">
      <w:r>
        <w:separator/>
      </w:r>
    </w:p>
  </w:endnote>
  <w:endnote w:type="continuationSeparator" w:id="0">
    <w:p w14:paraId="37E7AE68" w14:textId="77777777" w:rsidR="000D36F4" w:rsidRDefault="000D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FD81" w14:textId="77777777" w:rsidR="000D36F4" w:rsidRPr="001F78ED" w:rsidRDefault="000D36F4" w:rsidP="00B6766A">
    <w:pPr>
      <w:pStyle w:val="Footer"/>
    </w:pPr>
  </w:p>
  <w:p w14:paraId="766F14A1" w14:textId="77777777" w:rsidR="000D36F4" w:rsidRPr="008D1DAB" w:rsidRDefault="000D36F4" w:rsidP="001F78ED">
    <w:pPr>
      <w:pStyle w:val="Footer"/>
      <w:framePr w:w="539" w:h="533" w:hRule="exact" w:wrap="notBeside" w:vAnchor="page" w:hAnchor="page" w:x="10264" w:y="16217"/>
      <w:jc w:val="right"/>
      <w:rPr>
        <w:rStyle w:val="PageNumber"/>
        <w:rFonts w:ascii="Arial" w:hAnsi="Arial" w:cs="Arial"/>
        <w:sz w:val="14"/>
        <w:szCs w:val="14"/>
      </w:rPr>
    </w:pPr>
    <w:r w:rsidRPr="001F78ED">
      <w:rPr>
        <w:rStyle w:val="PageNumber"/>
        <w:rFonts w:ascii="Arial" w:hAnsi="Arial" w:cs="Arial"/>
        <w:sz w:val="16"/>
        <w:szCs w:val="16"/>
        <w:lang w:val="ru-RU"/>
      </w:rPr>
      <w:t xml:space="preserve"> </w:t>
    </w:r>
    <w:r w:rsidRPr="001F78ED">
      <w:rPr>
        <w:rStyle w:val="PageNumber"/>
        <w:rFonts w:ascii="Arial" w:hAnsi="Arial" w:cs="Arial"/>
        <w:sz w:val="14"/>
        <w:szCs w:val="14"/>
        <w:lang w:val="ru-RU"/>
      </w:rPr>
      <w:t xml:space="preserve"> </w:t>
    </w:r>
    <w:bookmarkStart w:id="1" w:name="OLE_LINK1"/>
    <w:r w:rsidRPr="008D1DAB">
      <w:rPr>
        <w:rStyle w:val="PageNumber"/>
        <w:rFonts w:ascii="Arial" w:hAnsi="Arial" w:cs="Arial"/>
        <w:sz w:val="14"/>
        <w:szCs w:val="14"/>
      </w:rPr>
      <w:fldChar w:fldCharType="begin"/>
    </w:r>
    <w:r w:rsidRPr="008D1DAB">
      <w:rPr>
        <w:rStyle w:val="PageNumber"/>
        <w:rFonts w:ascii="Arial" w:hAnsi="Arial" w:cs="Arial"/>
        <w:sz w:val="14"/>
        <w:szCs w:val="14"/>
      </w:rPr>
      <w:instrText xml:space="preserve">PAGE  </w:instrText>
    </w:r>
    <w:r w:rsidRPr="008D1DAB">
      <w:rPr>
        <w:rStyle w:val="PageNumber"/>
        <w:rFonts w:ascii="Arial" w:hAnsi="Arial" w:cs="Arial"/>
        <w:sz w:val="14"/>
        <w:szCs w:val="14"/>
      </w:rPr>
      <w:fldChar w:fldCharType="separate"/>
    </w:r>
    <w:r w:rsidR="002F2238">
      <w:rPr>
        <w:rStyle w:val="PageNumber"/>
        <w:rFonts w:ascii="Arial" w:hAnsi="Arial" w:cs="Arial"/>
        <w:noProof/>
        <w:sz w:val="14"/>
        <w:szCs w:val="14"/>
      </w:rPr>
      <w:t>15</w:t>
    </w:r>
    <w:r w:rsidRPr="008D1DAB">
      <w:rPr>
        <w:rStyle w:val="PageNumber"/>
        <w:rFonts w:ascii="Arial" w:hAnsi="Arial" w:cs="Arial"/>
        <w:sz w:val="14"/>
        <w:szCs w:val="14"/>
      </w:rPr>
      <w:fldChar w:fldCharType="end"/>
    </w:r>
  </w:p>
  <w:bookmarkEnd w:id="1"/>
  <w:p w14:paraId="1E774B5E" w14:textId="77777777" w:rsidR="000D36F4" w:rsidRPr="00DA164E" w:rsidRDefault="000D36F4" w:rsidP="003052FB">
    <w:pPr>
      <w:pStyle w:val="Footer"/>
      <w:tabs>
        <w:tab w:val="clear" w:pos="4536"/>
        <w:tab w:val="clear" w:pos="9072"/>
      </w:tabs>
      <w:ind w:left="5040" w:right="360"/>
      <w:jc w:val="both"/>
      <w:rPr>
        <w:rFonts w:ascii="Arial" w:hAnsi="Arial" w:cs="Arial"/>
        <w:b/>
        <w:i/>
        <w:color w:val="595959"/>
        <w:sz w:val="17"/>
        <w:szCs w:val="17"/>
        <w:lang w:val="ru-RU"/>
      </w:rPr>
    </w:pPr>
    <w:r>
      <w:rPr>
        <w:rFonts w:ascii="Arial" w:hAnsi="Arial" w:cs="Arial"/>
        <w:b/>
        <w:i/>
        <w:color w:val="595959"/>
        <w:sz w:val="17"/>
        <w:szCs w:val="17"/>
        <w:lang w:val="ru-RU"/>
      </w:rPr>
      <w:t>ЕЛАНА</w:t>
    </w:r>
    <w:r w:rsidRPr="00DA164E">
      <w:rPr>
        <w:rFonts w:ascii="Arial" w:hAnsi="Arial" w:cs="Arial"/>
        <w:b/>
        <w:i/>
        <w:color w:val="595959"/>
        <w:sz w:val="17"/>
        <w:szCs w:val="17"/>
        <w:lang w:val="ru-RU"/>
      </w:rPr>
      <w:t xml:space="preserve"> </w:t>
    </w:r>
    <w:r>
      <w:rPr>
        <w:rFonts w:ascii="Arial" w:hAnsi="Arial" w:cs="Arial"/>
        <w:b/>
        <w:i/>
        <w:color w:val="595959"/>
        <w:sz w:val="17"/>
        <w:szCs w:val="17"/>
        <w:lang w:val="ru-RU"/>
      </w:rPr>
      <w:t>Трейдинг</w:t>
    </w:r>
  </w:p>
  <w:p w14:paraId="619317C2" w14:textId="77777777" w:rsidR="000D36F4" w:rsidRDefault="000D36F4" w:rsidP="003052FB">
    <w:pPr>
      <w:pStyle w:val="Footer"/>
      <w:tabs>
        <w:tab w:val="clear" w:pos="4536"/>
        <w:tab w:val="clear" w:pos="9072"/>
      </w:tabs>
      <w:ind w:left="5040" w:right="-3037"/>
      <w:jc w:val="both"/>
      <w:rPr>
        <w:rFonts w:ascii="Arial" w:hAnsi="Arial" w:cs="Arial"/>
        <w:i/>
        <w:color w:val="595959"/>
        <w:sz w:val="17"/>
        <w:szCs w:val="17"/>
      </w:rPr>
    </w:pPr>
    <w:r w:rsidRPr="00DA164E">
      <w:rPr>
        <w:rFonts w:ascii="Arial" w:hAnsi="Arial" w:cs="Arial"/>
        <w:i/>
        <w:color w:val="595959"/>
        <w:sz w:val="17"/>
        <w:szCs w:val="17"/>
        <w:lang w:val="ru-RU"/>
      </w:rPr>
      <w:t>Со</w:t>
    </w:r>
    <w:r>
      <w:rPr>
        <w:rFonts w:ascii="Arial" w:hAnsi="Arial" w:cs="Arial"/>
        <w:i/>
        <w:color w:val="595959"/>
        <w:sz w:val="17"/>
        <w:szCs w:val="17"/>
        <w:lang w:val="ru-RU"/>
      </w:rPr>
      <w:t xml:space="preserve">фия </w:t>
    </w:r>
    <w:r w:rsidRPr="000F6BE3">
      <w:rPr>
        <w:rFonts w:ascii="Arial" w:hAnsi="Arial" w:cs="Arial"/>
        <w:i/>
        <w:color w:val="595959"/>
        <w:sz w:val="17"/>
        <w:szCs w:val="17"/>
      </w:rPr>
      <w:t>1797</w:t>
    </w:r>
    <w:r>
      <w:rPr>
        <w:rFonts w:ascii="Arial" w:hAnsi="Arial" w:cs="Arial"/>
        <w:i/>
        <w:color w:val="595959"/>
        <w:sz w:val="17"/>
        <w:szCs w:val="17"/>
        <w:lang w:val="ru-RU"/>
      </w:rPr>
      <w:t xml:space="preserve">, </w:t>
    </w:r>
    <w:r>
      <w:rPr>
        <w:rFonts w:ascii="Arial" w:hAnsi="Arial" w:cs="Arial"/>
        <w:i/>
        <w:color w:val="595959"/>
        <w:sz w:val="17"/>
        <w:szCs w:val="17"/>
      </w:rPr>
      <w:t xml:space="preserve">ул. Лъчезар Станчев 5, </w:t>
    </w:r>
  </w:p>
  <w:p w14:paraId="630359AC" w14:textId="77777777" w:rsidR="000D36F4" w:rsidRPr="006E0C88" w:rsidRDefault="000D36F4" w:rsidP="003052FB">
    <w:pPr>
      <w:pStyle w:val="Footer"/>
      <w:tabs>
        <w:tab w:val="clear" w:pos="4536"/>
        <w:tab w:val="clear" w:pos="9072"/>
      </w:tabs>
      <w:ind w:left="5040" w:right="-3037"/>
      <w:jc w:val="both"/>
      <w:rPr>
        <w:rFonts w:ascii="Arial" w:hAnsi="Arial" w:cs="Arial"/>
        <w:i/>
        <w:color w:val="595959"/>
        <w:sz w:val="17"/>
        <w:szCs w:val="17"/>
        <w:lang w:val="ru-RU"/>
      </w:rPr>
    </w:pPr>
    <w:r>
      <w:rPr>
        <w:rFonts w:ascii="Arial" w:hAnsi="Arial" w:cs="Arial"/>
        <w:i/>
        <w:color w:val="595959"/>
        <w:sz w:val="17"/>
        <w:szCs w:val="17"/>
      </w:rPr>
      <w:t xml:space="preserve">Софарма Бизнес </w:t>
    </w:r>
    <w:proofErr w:type="spellStart"/>
    <w:r>
      <w:rPr>
        <w:rFonts w:ascii="Arial" w:hAnsi="Arial" w:cs="Arial"/>
        <w:i/>
        <w:color w:val="595959"/>
        <w:sz w:val="17"/>
        <w:szCs w:val="17"/>
      </w:rPr>
      <w:t>Тауърс,кула</w:t>
    </w:r>
    <w:proofErr w:type="spellEnd"/>
    <w:r>
      <w:rPr>
        <w:rFonts w:ascii="Arial" w:hAnsi="Arial" w:cs="Arial"/>
        <w:i/>
        <w:color w:val="595959"/>
        <w:sz w:val="17"/>
        <w:szCs w:val="17"/>
      </w:rPr>
      <w:t xml:space="preserve"> Б</w:t>
    </w:r>
  </w:p>
  <w:p w14:paraId="1294006A" w14:textId="77777777" w:rsidR="000D36F4" w:rsidRPr="00DA164E" w:rsidRDefault="000D36F4" w:rsidP="003052FB">
    <w:pPr>
      <w:pStyle w:val="Footer"/>
      <w:tabs>
        <w:tab w:val="clear" w:pos="4536"/>
        <w:tab w:val="clear" w:pos="9072"/>
      </w:tabs>
      <w:ind w:left="5040" w:right="-3037"/>
      <w:jc w:val="both"/>
      <w:rPr>
        <w:rFonts w:ascii="Arial" w:hAnsi="Arial" w:cs="Arial"/>
        <w:i/>
        <w:color w:val="595959"/>
        <w:sz w:val="17"/>
        <w:szCs w:val="17"/>
        <w:lang w:val="ru-RU"/>
      </w:rPr>
    </w:pPr>
    <w:r w:rsidRPr="00DA164E">
      <w:rPr>
        <w:rFonts w:ascii="Arial" w:hAnsi="Arial" w:cs="Arial"/>
        <w:i/>
        <w:color w:val="595959"/>
        <w:sz w:val="17"/>
        <w:szCs w:val="17"/>
        <w:lang w:val="ru-RU"/>
      </w:rPr>
      <w:t xml:space="preserve">тел: +359 2 81 000 </w:t>
    </w:r>
    <w:r w:rsidRPr="000F6BE3">
      <w:rPr>
        <w:rFonts w:ascii="Arial" w:hAnsi="Arial" w:cs="Arial"/>
        <w:i/>
        <w:color w:val="595959"/>
        <w:sz w:val="17"/>
        <w:szCs w:val="17"/>
      </w:rPr>
      <w:t>2</w:t>
    </w:r>
    <w:r>
      <w:rPr>
        <w:rFonts w:ascii="Arial" w:hAnsi="Arial" w:cs="Arial"/>
        <w:i/>
        <w:color w:val="595959"/>
        <w:sz w:val="17"/>
        <w:szCs w:val="17"/>
        <w:lang w:val="ru-RU"/>
      </w:rPr>
      <w:t>0</w:t>
    </w:r>
  </w:p>
  <w:p w14:paraId="52E0AFAF" w14:textId="77777777" w:rsidR="000D36F4" w:rsidRPr="001F78ED" w:rsidRDefault="000D36F4" w:rsidP="001F78ED">
    <w:pPr>
      <w:pStyle w:val="Footer"/>
      <w:rPr>
        <w:rFonts w:ascii="Arial" w:hAnsi="Arial" w:cs="Arial"/>
        <w:b/>
        <w:i/>
        <w:color w:val="333333"/>
        <w:sz w:val="18"/>
        <w:szCs w:val="18"/>
        <w:lang w:val="ru-RU"/>
      </w:rPr>
    </w:pPr>
    <w:r>
      <w:rPr>
        <w:rFonts w:ascii="Arial" w:hAnsi="Arial" w:cs="Arial"/>
        <w:i/>
        <w:noProof/>
        <w:color w:val="595959"/>
        <w:sz w:val="17"/>
        <w:szCs w:val="17"/>
      </w:rPr>
      <mc:AlternateContent>
        <mc:Choice Requires="wps">
          <w:drawing>
            <wp:anchor distT="0" distB="0" distL="114300" distR="114300" simplePos="0" relativeHeight="251657728" behindDoc="0" locked="0" layoutInCell="1" allowOverlap="1" wp14:anchorId="73B78435" wp14:editId="6257E2D5">
              <wp:simplePos x="0" y="0"/>
              <wp:positionH relativeFrom="column">
                <wp:posOffset>788670</wp:posOffset>
              </wp:positionH>
              <wp:positionV relativeFrom="paragraph">
                <wp:posOffset>95885</wp:posOffset>
              </wp:positionV>
              <wp:extent cx="2339975" cy="1905"/>
              <wp:effectExtent l="7620" t="10160" r="5080" b="6985"/>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39975" cy="1905"/>
                      </a:xfrm>
                      <a:custGeom>
                        <a:avLst/>
                        <a:gdLst>
                          <a:gd name="T0" fmla="*/ 0 w 3777"/>
                          <a:gd name="T1" fmla="*/ 3 h 3"/>
                          <a:gd name="T2" fmla="*/ 3777 w 3777"/>
                          <a:gd name="T3" fmla="*/ 0 h 3"/>
                        </a:gdLst>
                        <a:ahLst/>
                        <a:cxnLst>
                          <a:cxn ang="0">
                            <a:pos x="T0" y="T1"/>
                          </a:cxn>
                          <a:cxn ang="0">
                            <a:pos x="T2" y="T3"/>
                          </a:cxn>
                        </a:cxnLst>
                        <a:rect l="0" t="0" r="r" b="b"/>
                        <a:pathLst>
                          <a:path w="3777" h="3">
                            <a:moveTo>
                              <a:pt x="0" y="3"/>
                            </a:moveTo>
                            <a:lnTo>
                              <a:pt x="3777" y="0"/>
                            </a:lnTo>
                          </a:path>
                        </a:pathLst>
                      </a:custGeom>
                      <a:noFill/>
                      <a:ln w="9525">
                        <a:solidFill>
                          <a:srgbClr val="C7002E"/>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A0E7E" id="Freeform 12" o:spid="_x0000_s1026" style="position:absolute;margin-left:62.1pt;margin-top:7.55pt;width:184.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" path="m,3l3777,e" filled="f" strokecolor="#c7002e">
              <v:path arrowok="t" o:connecttype="custom" o:connectlocs="0,1905;2339975,0" o:connectangles="0,0"/>
            </v:shape>
          </w:pict>
        </mc:Fallback>
      </mc:AlternateContent>
    </w:r>
    <w:hyperlink r:id="rId1" w:history="1">
      <w:r w:rsidRPr="001F78ED">
        <w:rPr>
          <w:rStyle w:val="Hyperlink"/>
          <w:rFonts w:ascii="Arial" w:hAnsi="Arial" w:cs="Arial"/>
          <w:b/>
          <w:i/>
          <w:color w:val="595959"/>
          <w:sz w:val="17"/>
          <w:szCs w:val="17"/>
          <w:u w:val="none"/>
          <w:lang w:val="en-US"/>
        </w:rPr>
        <w:t>www</w:t>
      </w:r>
      <w:r w:rsidRPr="001F78ED">
        <w:rPr>
          <w:rStyle w:val="Hyperlink"/>
          <w:rFonts w:ascii="Arial" w:hAnsi="Arial" w:cs="Arial"/>
          <w:b/>
          <w:i/>
          <w:color w:val="595959"/>
          <w:sz w:val="17"/>
          <w:szCs w:val="17"/>
          <w:u w:val="none"/>
        </w:rPr>
        <w:t>.</w:t>
      </w:r>
      <w:r w:rsidRPr="001F78ED">
        <w:rPr>
          <w:rStyle w:val="Hyperlink"/>
          <w:rFonts w:ascii="Arial" w:hAnsi="Arial" w:cs="Arial"/>
          <w:b/>
          <w:i/>
          <w:color w:val="595959"/>
          <w:sz w:val="17"/>
          <w:szCs w:val="17"/>
          <w:u w:val="none"/>
          <w:lang w:val="en-US"/>
        </w:rPr>
        <w:t>elana</w:t>
      </w:r>
      <w:r w:rsidRPr="001F78ED">
        <w:rPr>
          <w:rStyle w:val="Hyperlink"/>
          <w:rFonts w:ascii="Arial" w:hAnsi="Arial" w:cs="Arial"/>
          <w:b/>
          <w:i/>
          <w:color w:val="595959"/>
          <w:sz w:val="17"/>
          <w:szCs w:val="17"/>
          <w:u w:val="none"/>
        </w:rPr>
        <w:t>.</w:t>
      </w:r>
      <w:r w:rsidRPr="001F78ED">
        <w:rPr>
          <w:rStyle w:val="Hyperlink"/>
          <w:rFonts w:ascii="Arial" w:hAnsi="Arial" w:cs="Arial"/>
          <w:b/>
          <w:i/>
          <w:color w:val="595959"/>
          <w:sz w:val="17"/>
          <w:szCs w:val="17"/>
          <w:u w:val="none"/>
          <w:lang w:val="en-US"/>
        </w:rPr>
        <w:t>net</w:t>
      </w:r>
    </w:hyperlink>
    <w:r w:rsidRPr="001F78ED">
      <w:rPr>
        <w:rFonts w:ascii="Arial" w:hAnsi="Arial" w:cs="Arial"/>
        <w:i/>
        <w:color w:val="595959"/>
        <w:sz w:val="17"/>
        <w:szCs w:val="17"/>
      </w:rPr>
      <w:tab/>
    </w:r>
    <w:r w:rsidRPr="001F78ED">
      <w:rPr>
        <w:rFonts w:ascii="Arial" w:hAnsi="Arial" w:cs="Arial"/>
        <w:i/>
        <w:color w:val="595959"/>
        <w:sz w:val="17"/>
        <w:szCs w:val="17"/>
        <w:lang w:val="ru-RU"/>
      </w:rPr>
      <w:t xml:space="preserve">                                                                                </w:t>
    </w:r>
    <w:r>
      <w:rPr>
        <w:rFonts w:ascii="Arial" w:hAnsi="Arial" w:cs="Arial"/>
        <w:i/>
        <w:color w:val="595959"/>
        <w:sz w:val="17"/>
        <w:szCs w:val="17"/>
        <w:lang w:val="en-US"/>
      </w:rPr>
      <w:t xml:space="preserve">  </w:t>
    </w:r>
    <w:hyperlink r:id="rId2" w:history="1">
      <w:r w:rsidRPr="00C3011F">
        <w:rPr>
          <w:rStyle w:val="Hyperlink"/>
          <w:rFonts w:ascii="Arial" w:hAnsi="Arial" w:cs="Arial"/>
          <w:i/>
          <w:color w:val="595959"/>
          <w:sz w:val="17"/>
          <w:szCs w:val="17"/>
          <w:u w:val="none"/>
          <w:lang w:val="en-US"/>
        </w:rPr>
        <w:t>trading</w:t>
      </w:r>
      <w:r w:rsidRPr="00C3011F">
        <w:rPr>
          <w:rStyle w:val="Hyperlink"/>
          <w:rFonts w:ascii="Arial" w:hAnsi="Arial" w:cs="Arial"/>
          <w:i/>
          <w:color w:val="595959"/>
          <w:sz w:val="17"/>
          <w:szCs w:val="17"/>
          <w:u w:val="none"/>
        </w:rPr>
        <w:t>@</w:t>
      </w:r>
      <w:r w:rsidRPr="00C3011F">
        <w:rPr>
          <w:rStyle w:val="Hyperlink"/>
          <w:rFonts w:ascii="Arial" w:hAnsi="Arial" w:cs="Arial"/>
          <w:i/>
          <w:color w:val="595959"/>
          <w:sz w:val="17"/>
          <w:szCs w:val="17"/>
          <w:u w:val="none"/>
          <w:lang w:val="en-US"/>
        </w:rPr>
        <w:t>elana</w:t>
      </w:r>
      <w:r w:rsidRPr="00C3011F">
        <w:rPr>
          <w:rStyle w:val="Hyperlink"/>
          <w:rFonts w:ascii="Arial" w:hAnsi="Arial" w:cs="Arial"/>
          <w:i/>
          <w:color w:val="595959"/>
          <w:sz w:val="17"/>
          <w:szCs w:val="17"/>
          <w:u w:val="none"/>
        </w:rPr>
        <w:t>.</w:t>
      </w:r>
      <w:r w:rsidRPr="00C3011F">
        <w:rPr>
          <w:rStyle w:val="Hyperlink"/>
          <w:rFonts w:ascii="Arial" w:hAnsi="Arial" w:cs="Arial"/>
          <w:i/>
          <w:color w:val="595959"/>
          <w:sz w:val="17"/>
          <w:szCs w:val="17"/>
          <w:u w:val="none"/>
          <w:lang w:val="en-US"/>
        </w:rPr>
        <w:t>net</w:t>
      </w:r>
    </w:hyperlink>
    <w:r w:rsidRPr="00C3011F">
      <w:rPr>
        <w:rFonts w:ascii="Arial" w:hAnsi="Arial" w:cs="Arial"/>
        <w:i/>
        <w:color w:val="595959"/>
        <w:sz w:val="17"/>
        <w:szCs w:val="17"/>
        <w:lang w:val="ru-RU"/>
      </w:rPr>
      <w:t xml:space="preserve">, </w:t>
    </w:r>
    <w:hyperlink r:id="rId3" w:history="1">
      <w:r>
        <w:rPr>
          <w:rStyle w:val="Hyperlink"/>
          <w:rFonts w:ascii="Arial" w:hAnsi="Arial" w:cs="Arial"/>
          <w:i/>
          <w:color w:val="595959"/>
          <w:sz w:val="17"/>
          <w:szCs w:val="17"/>
          <w:u w:val="none"/>
          <w:lang w:val="en-US"/>
        </w:rPr>
        <w:t>Bloomberg:</w:t>
      </w:r>
    </w:hyperlink>
    <w:r>
      <w:rPr>
        <w:rFonts w:ascii="Arial" w:hAnsi="Arial" w:cs="Arial"/>
        <w:i/>
        <w:color w:val="595959"/>
        <w:sz w:val="17"/>
        <w:szCs w:val="17"/>
        <w:lang w:val="en-US"/>
      </w:rPr>
      <w:t xml:space="preserve"> ELAN 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D0EE0" w14:textId="77777777" w:rsidR="000D36F4" w:rsidRDefault="000D36F4">
      <w:r>
        <w:separator/>
      </w:r>
    </w:p>
  </w:footnote>
  <w:footnote w:type="continuationSeparator" w:id="0">
    <w:p w14:paraId="550CE33A" w14:textId="77777777" w:rsidR="000D36F4" w:rsidRDefault="000D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3B25E" w14:textId="77777777" w:rsidR="000D36F4" w:rsidRDefault="000D36F4" w:rsidP="006249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3EA154" w14:textId="77777777" w:rsidR="000D36F4" w:rsidRDefault="000D36F4" w:rsidP="000B3B1A">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A6BF" w14:textId="77777777" w:rsidR="000D36F4" w:rsidRPr="001F78ED" w:rsidRDefault="000D36F4" w:rsidP="001F78ED">
    <w:pPr>
      <w:pStyle w:val="Header"/>
      <w:ind w:right="360"/>
      <w:rPr>
        <w:lang w:val="en-US"/>
      </w:rPr>
    </w:pPr>
    <w:r w:rsidRPr="0087291E">
      <w:rPr>
        <w:noProof/>
      </w:rPr>
      <w:drawing>
        <wp:anchor distT="36576" distB="36576" distL="36576" distR="36576" simplePos="0" relativeHeight="251659776" behindDoc="0" locked="0" layoutInCell="1" allowOverlap="1" wp14:anchorId="43B07F12" wp14:editId="6507B4FF">
          <wp:simplePos x="0" y="0"/>
          <wp:positionH relativeFrom="column">
            <wp:posOffset>0</wp:posOffset>
          </wp:positionH>
          <wp:positionV relativeFrom="paragraph">
            <wp:posOffset>-226060</wp:posOffset>
          </wp:positionV>
          <wp:extent cx="2202815" cy="648335"/>
          <wp:effectExtent l="0" t="0" r="6985" b="0"/>
          <wp:wrapNone/>
          <wp:docPr id="10" name="Picture 10" descr="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LE"/>
                  <pic:cNvPicPr preferRelativeResize="0">
                    <a:picLocks noChangeArrowheads="1"/>
                  </pic:cNvPicPr>
                </pic:nvPicPr>
                <pic:blipFill>
                  <a:blip r:embed="rId1">
                    <a:extLst>
                      <a:ext uri="{28A0092B-C50C-407E-A947-70E740481C1C}">
                        <a14:useLocalDpi xmlns:a14="http://schemas.microsoft.com/office/drawing/2010/main" val="0"/>
                      </a:ext>
                    </a:extLst>
                  </a:blip>
                  <a:srcRect l="406" r="406"/>
                  <a:stretch>
                    <a:fillRect/>
                  </a:stretch>
                </pic:blipFill>
                <pic:spPr bwMode="auto">
                  <a:xfrm>
                    <a:off x="0" y="0"/>
                    <a:ext cx="2202815" cy="648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3in;height:3in" o:bullet="t"/>
    </w:pict>
  </w:numPicBullet>
  <w:numPicBullet w:numPicBulletId="1">
    <w:pict>
      <v:shape id="_x0000_i1256" type="#_x0000_t75" style="width:3in;height:3in" o:bullet="t"/>
    </w:pict>
  </w:numPicBullet>
  <w:numPicBullet w:numPicBulletId="2">
    <w:pict>
      <v:shape id="_x0000_i1257" type="#_x0000_t75" style="width:3in;height:3in" o:bullet="t"/>
    </w:pict>
  </w:numPicBullet>
  <w:abstractNum w:abstractNumId="0">
    <w:nsid w:val="009574FB"/>
    <w:multiLevelType w:val="hybridMultilevel"/>
    <w:tmpl w:val="4D8A35C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3EA6365"/>
    <w:multiLevelType w:val="hybridMultilevel"/>
    <w:tmpl w:val="ADD659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5623C61"/>
    <w:multiLevelType w:val="multilevel"/>
    <w:tmpl w:val="58FC4506"/>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57742E"/>
    <w:multiLevelType w:val="hybridMultilevel"/>
    <w:tmpl w:val="96AE3A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7E749D"/>
    <w:multiLevelType w:val="hybridMultilevel"/>
    <w:tmpl w:val="167E3D3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
    <w:nsid w:val="11226A52"/>
    <w:multiLevelType w:val="hybridMultilevel"/>
    <w:tmpl w:val="5130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91483"/>
    <w:multiLevelType w:val="hybridMultilevel"/>
    <w:tmpl w:val="0FA6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92533"/>
    <w:multiLevelType w:val="hybridMultilevel"/>
    <w:tmpl w:val="B58065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EFE2BF3"/>
    <w:multiLevelType w:val="hybridMultilevel"/>
    <w:tmpl w:val="AF560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23209A5"/>
    <w:multiLevelType w:val="hybridMultilevel"/>
    <w:tmpl w:val="796EF3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308250D"/>
    <w:multiLevelType w:val="multilevel"/>
    <w:tmpl w:val="1F464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ED341E"/>
    <w:multiLevelType w:val="hybridMultilevel"/>
    <w:tmpl w:val="5FBA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E748A"/>
    <w:multiLevelType w:val="hybridMultilevel"/>
    <w:tmpl w:val="6776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AA33F3"/>
    <w:multiLevelType w:val="hybridMultilevel"/>
    <w:tmpl w:val="A90487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2910717"/>
    <w:multiLevelType w:val="hybridMultilevel"/>
    <w:tmpl w:val="2B06DD9E"/>
    <w:lvl w:ilvl="0" w:tplc="19DC8948">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5A04C72"/>
    <w:multiLevelType w:val="hybridMultilevel"/>
    <w:tmpl w:val="08840E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66C4E08"/>
    <w:multiLevelType w:val="hybridMultilevel"/>
    <w:tmpl w:val="BACE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C6402E"/>
    <w:multiLevelType w:val="multilevel"/>
    <w:tmpl w:val="167E3D3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48036AA7"/>
    <w:multiLevelType w:val="multilevel"/>
    <w:tmpl w:val="CBEEF23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03A98"/>
    <w:multiLevelType w:val="hybridMultilevel"/>
    <w:tmpl w:val="1B5609C8"/>
    <w:lvl w:ilvl="0" w:tplc="F7844A46">
      <w:start w:val="1"/>
      <w:numFmt w:val="bullet"/>
      <w:lvlText w:val=""/>
      <w:lvlJc w:val="left"/>
      <w:pPr>
        <w:tabs>
          <w:tab w:val="num" w:pos="1080"/>
        </w:tabs>
        <w:ind w:left="1080" w:hanging="360"/>
      </w:pPr>
      <w:rPr>
        <w:rFonts w:ascii="Symbol" w:hAnsi="Symbol" w:hint="default"/>
        <w:color w:val="663300"/>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nsid w:val="4A5C711B"/>
    <w:multiLevelType w:val="hybridMultilevel"/>
    <w:tmpl w:val="F2A4FE7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9135A"/>
    <w:multiLevelType w:val="hybridMultilevel"/>
    <w:tmpl w:val="E7625106"/>
    <w:lvl w:ilvl="0" w:tplc="DB10A3C2">
      <w:start w:val="1"/>
      <w:numFmt w:val="decimal"/>
      <w:lvlText w:val="%1."/>
      <w:lvlJc w:val="left"/>
      <w:pPr>
        <w:ind w:left="720" w:hanging="360"/>
      </w:pPr>
      <w:rPr>
        <w:rFonts w:hint="default"/>
      </w:rPr>
    </w:lvl>
    <w:lvl w:ilvl="1" w:tplc="0402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563EEC"/>
    <w:multiLevelType w:val="multilevel"/>
    <w:tmpl w:val="A8A089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CD7A25"/>
    <w:multiLevelType w:val="hybridMultilevel"/>
    <w:tmpl w:val="F1889420"/>
    <w:lvl w:ilvl="0" w:tplc="E8CEA60C">
      <w:start w:val="1"/>
      <w:numFmt w:val="bullet"/>
      <w:lvlText w:val=""/>
      <w:lvlJc w:val="left"/>
      <w:pPr>
        <w:tabs>
          <w:tab w:val="num" w:pos="1080"/>
        </w:tabs>
        <w:ind w:left="1080" w:hanging="360"/>
      </w:pPr>
      <w:rPr>
        <w:rFonts w:ascii="Symbol" w:hAnsi="Symbol" w:hint="default"/>
        <w:color w:val="A50021"/>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nsid w:val="6FB839AB"/>
    <w:multiLevelType w:val="hybridMultilevel"/>
    <w:tmpl w:val="2E885C5E"/>
    <w:lvl w:ilvl="0" w:tplc="094AB440">
      <w:start w:val="1"/>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70A70267"/>
    <w:multiLevelType w:val="multilevel"/>
    <w:tmpl w:val="C3FAFD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916704"/>
    <w:multiLevelType w:val="multilevel"/>
    <w:tmpl w:val="A20C33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5A75860"/>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585345"/>
    <w:multiLevelType w:val="multilevel"/>
    <w:tmpl w:val="F1889420"/>
    <w:lvl w:ilvl="0">
      <w:start w:val="1"/>
      <w:numFmt w:val="bullet"/>
      <w:lvlText w:val=""/>
      <w:lvlJc w:val="left"/>
      <w:pPr>
        <w:tabs>
          <w:tab w:val="num" w:pos="1080"/>
        </w:tabs>
        <w:ind w:left="1080" w:hanging="360"/>
      </w:pPr>
      <w:rPr>
        <w:rFonts w:ascii="Symbol" w:hAnsi="Symbol" w:hint="default"/>
        <w:color w:val="A50021"/>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
  </w:num>
  <w:num w:numId="3">
    <w:abstractNumId w:val="17"/>
  </w:num>
  <w:num w:numId="4">
    <w:abstractNumId w:val="23"/>
  </w:num>
  <w:num w:numId="5">
    <w:abstractNumId w:val="28"/>
  </w:num>
  <w:num w:numId="6">
    <w:abstractNumId w:val="19"/>
  </w:num>
  <w:num w:numId="7">
    <w:abstractNumId w:val="27"/>
  </w:num>
  <w:num w:numId="8">
    <w:abstractNumId w:val="12"/>
  </w:num>
  <w:num w:numId="9">
    <w:abstractNumId w:val="20"/>
  </w:num>
  <w:num w:numId="10">
    <w:abstractNumId w:val="16"/>
  </w:num>
  <w:num w:numId="11">
    <w:abstractNumId w:val="11"/>
  </w:num>
  <w:num w:numId="12">
    <w:abstractNumId w:val="5"/>
  </w:num>
  <w:num w:numId="13">
    <w:abstractNumId w:val="6"/>
  </w:num>
  <w:num w:numId="14">
    <w:abstractNumId w:val="26"/>
  </w:num>
  <w:num w:numId="15">
    <w:abstractNumId w:val="24"/>
  </w:num>
  <w:num w:numId="16">
    <w:abstractNumId w:val="9"/>
  </w:num>
  <w:num w:numId="17">
    <w:abstractNumId w:val="10"/>
  </w:num>
  <w:num w:numId="18">
    <w:abstractNumId w:val="14"/>
  </w:num>
  <w:num w:numId="19">
    <w:abstractNumId w:val="7"/>
  </w:num>
  <w:num w:numId="20">
    <w:abstractNumId w:val="1"/>
  </w:num>
  <w:num w:numId="21">
    <w:abstractNumId w:val="22"/>
  </w:num>
  <w:num w:numId="22">
    <w:abstractNumId w:val="25"/>
  </w:num>
  <w:num w:numId="23">
    <w:abstractNumId w:val="0"/>
  </w:num>
  <w:num w:numId="24">
    <w:abstractNumId w:val="15"/>
  </w:num>
  <w:num w:numId="25">
    <w:abstractNumId w:val="2"/>
  </w:num>
  <w:num w:numId="26">
    <w:abstractNumId w:val="3"/>
  </w:num>
  <w:num w:numId="27">
    <w:abstractNumId w:val="13"/>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a50021,#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8"/>
    <w:rsid w:val="00006F8F"/>
    <w:rsid w:val="00010AFD"/>
    <w:rsid w:val="00013A94"/>
    <w:rsid w:val="00041EDA"/>
    <w:rsid w:val="000436C1"/>
    <w:rsid w:val="00053F11"/>
    <w:rsid w:val="00056007"/>
    <w:rsid w:val="00064B20"/>
    <w:rsid w:val="00066B89"/>
    <w:rsid w:val="000719BB"/>
    <w:rsid w:val="000831BA"/>
    <w:rsid w:val="000842C6"/>
    <w:rsid w:val="00096132"/>
    <w:rsid w:val="000A2704"/>
    <w:rsid w:val="000A6EDF"/>
    <w:rsid w:val="000B3B1A"/>
    <w:rsid w:val="000B3EAC"/>
    <w:rsid w:val="000C572B"/>
    <w:rsid w:val="000D36F4"/>
    <w:rsid w:val="000D58EF"/>
    <w:rsid w:val="000E00A5"/>
    <w:rsid w:val="000E0D36"/>
    <w:rsid w:val="000F6BE3"/>
    <w:rsid w:val="001068F0"/>
    <w:rsid w:val="00110484"/>
    <w:rsid w:val="00124D9B"/>
    <w:rsid w:val="00130314"/>
    <w:rsid w:val="00144C66"/>
    <w:rsid w:val="001460D3"/>
    <w:rsid w:val="00146D1F"/>
    <w:rsid w:val="0015717B"/>
    <w:rsid w:val="0017391A"/>
    <w:rsid w:val="00192CB3"/>
    <w:rsid w:val="001930C3"/>
    <w:rsid w:val="001931E6"/>
    <w:rsid w:val="00193A97"/>
    <w:rsid w:val="0019614A"/>
    <w:rsid w:val="001A3C7A"/>
    <w:rsid w:val="001A3D4E"/>
    <w:rsid w:val="001B2F3A"/>
    <w:rsid w:val="001B30F6"/>
    <w:rsid w:val="001C5048"/>
    <w:rsid w:val="001D372D"/>
    <w:rsid w:val="001E0B44"/>
    <w:rsid w:val="001E2D79"/>
    <w:rsid w:val="001F1245"/>
    <w:rsid w:val="001F60E9"/>
    <w:rsid w:val="001F78ED"/>
    <w:rsid w:val="00204BE9"/>
    <w:rsid w:val="002103E0"/>
    <w:rsid w:val="00212C95"/>
    <w:rsid w:val="0022327F"/>
    <w:rsid w:val="002248DB"/>
    <w:rsid w:val="00225022"/>
    <w:rsid w:val="00230107"/>
    <w:rsid w:val="002322A0"/>
    <w:rsid w:val="00233C71"/>
    <w:rsid w:val="002429BA"/>
    <w:rsid w:val="00245DAA"/>
    <w:rsid w:val="00250E4B"/>
    <w:rsid w:val="00252C91"/>
    <w:rsid w:val="00260818"/>
    <w:rsid w:val="00263742"/>
    <w:rsid w:val="00267FAC"/>
    <w:rsid w:val="00285084"/>
    <w:rsid w:val="0028537A"/>
    <w:rsid w:val="00286741"/>
    <w:rsid w:val="002B7727"/>
    <w:rsid w:val="002C24B5"/>
    <w:rsid w:val="002D3551"/>
    <w:rsid w:val="002D4C0F"/>
    <w:rsid w:val="002D546D"/>
    <w:rsid w:val="002F139A"/>
    <w:rsid w:val="002F2238"/>
    <w:rsid w:val="00301290"/>
    <w:rsid w:val="003052FB"/>
    <w:rsid w:val="00320E13"/>
    <w:rsid w:val="0032733C"/>
    <w:rsid w:val="00340BF6"/>
    <w:rsid w:val="00342A15"/>
    <w:rsid w:val="00346B8B"/>
    <w:rsid w:val="00355A4F"/>
    <w:rsid w:val="00360BB4"/>
    <w:rsid w:val="003669F7"/>
    <w:rsid w:val="003711A9"/>
    <w:rsid w:val="0037322D"/>
    <w:rsid w:val="0037646B"/>
    <w:rsid w:val="00386960"/>
    <w:rsid w:val="003A29C8"/>
    <w:rsid w:val="003B31E2"/>
    <w:rsid w:val="003B4235"/>
    <w:rsid w:val="003C73C5"/>
    <w:rsid w:val="003D5852"/>
    <w:rsid w:val="003D6A7C"/>
    <w:rsid w:val="003E1E24"/>
    <w:rsid w:val="003F4A28"/>
    <w:rsid w:val="00402C33"/>
    <w:rsid w:val="004052C1"/>
    <w:rsid w:val="004064CE"/>
    <w:rsid w:val="00406F9B"/>
    <w:rsid w:val="004147E1"/>
    <w:rsid w:val="0041484B"/>
    <w:rsid w:val="00416218"/>
    <w:rsid w:val="00432E76"/>
    <w:rsid w:val="00437EDD"/>
    <w:rsid w:val="004509D4"/>
    <w:rsid w:val="00451DC2"/>
    <w:rsid w:val="00452D36"/>
    <w:rsid w:val="00453644"/>
    <w:rsid w:val="00455A22"/>
    <w:rsid w:val="00456C29"/>
    <w:rsid w:val="00467E79"/>
    <w:rsid w:val="00473AF7"/>
    <w:rsid w:val="0048719E"/>
    <w:rsid w:val="004954C3"/>
    <w:rsid w:val="00496977"/>
    <w:rsid w:val="004A1C54"/>
    <w:rsid w:val="004A5156"/>
    <w:rsid w:val="004B6B50"/>
    <w:rsid w:val="004C0AD3"/>
    <w:rsid w:val="004C3251"/>
    <w:rsid w:val="004D0228"/>
    <w:rsid w:val="00502DEA"/>
    <w:rsid w:val="00504132"/>
    <w:rsid w:val="00524AF2"/>
    <w:rsid w:val="00537F6E"/>
    <w:rsid w:val="00540769"/>
    <w:rsid w:val="00541BFA"/>
    <w:rsid w:val="00541FCC"/>
    <w:rsid w:val="005539AF"/>
    <w:rsid w:val="00566350"/>
    <w:rsid w:val="00571DB2"/>
    <w:rsid w:val="00574132"/>
    <w:rsid w:val="00574CDA"/>
    <w:rsid w:val="00582AA3"/>
    <w:rsid w:val="005934B8"/>
    <w:rsid w:val="005A1AA4"/>
    <w:rsid w:val="005A469C"/>
    <w:rsid w:val="005B0898"/>
    <w:rsid w:val="005B3443"/>
    <w:rsid w:val="005B6751"/>
    <w:rsid w:val="005B7761"/>
    <w:rsid w:val="005E66C5"/>
    <w:rsid w:val="005F2E4C"/>
    <w:rsid w:val="00620B03"/>
    <w:rsid w:val="006249EC"/>
    <w:rsid w:val="0063116F"/>
    <w:rsid w:val="00642DDE"/>
    <w:rsid w:val="00654F9D"/>
    <w:rsid w:val="006635DD"/>
    <w:rsid w:val="006721AE"/>
    <w:rsid w:val="00676E53"/>
    <w:rsid w:val="006863D2"/>
    <w:rsid w:val="006966B2"/>
    <w:rsid w:val="006A08D3"/>
    <w:rsid w:val="006A4242"/>
    <w:rsid w:val="006B304E"/>
    <w:rsid w:val="006B378D"/>
    <w:rsid w:val="006B4BB2"/>
    <w:rsid w:val="006C41F0"/>
    <w:rsid w:val="006C6CE8"/>
    <w:rsid w:val="006D11D3"/>
    <w:rsid w:val="006D1774"/>
    <w:rsid w:val="006D434B"/>
    <w:rsid w:val="006E4227"/>
    <w:rsid w:val="006F5DF2"/>
    <w:rsid w:val="007002B3"/>
    <w:rsid w:val="007343AE"/>
    <w:rsid w:val="00734BFE"/>
    <w:rsid w:val="00740AA8"/>
    <w:rsid w:val="00743EDC"/>
    <w:rsid w:val="00770BD9"/>
    <w:rsid w:val="00770EEF"/>
    <w:rsid w:val="00772B84"/>
    <w:rsid w:val="00777951"/>
    <w:rsid w:val="00780F23"/>
    <w:rsid w:val="00795C06"/>
    <w:rsid w:val="00797C74"/>
    <w:rsid w:val="007A00C4"/>
    <w:rsid w:val="007A270E"/>
    <w:rsid w:val="007A43EA"/>
    <w:rsid w:val="007A76EF"/>
    <w:rsid w:val="007B0934"/>
    <w:rsid w:val="007B34D2"/>
    <w:rsid w:val="007C7C2B"/>
    <w:rsid w:val="007D23F2"/>
    <w:rsid w:val="007D5EDF"/>
    <w:rsid w:val="007D71C1"/>
    <w:rsid w:val="007E16BD"/>
    <w:rsid w:val="007E2715"/>
    <w:rsid w:val="00812428"/>
    <w:rsid w:val="00823B79"/>
    <w:rsid w:val="00825FF1"/>
    <w:rsid w:val="008370CB"/>
    <w:rsid w:val="0085051F"/>
    <w:rsid w:val="00855B74"/>
    <w:rsid w:val="00856B2A"/>
    <w:rsid w:val="00860211"/>
    <w:rsid w:val="008616E7"/>
    <w:rsid w:val="0087291E"/>
    <w:rsid w:val="00883CE8"/>
    <w:rsid w:val="008A419D"/>
    <w:rsid w:val="008A7CB1"/>
    <w:rsid w:val="008B6926"/>
    <w:rsid w:val="008C660E"/>
    <w:rsid w:val="008D0B34"/>
    <w:rsid w:val="008E588D"/>
    <w:rsid w:val="008E71EE"/>
    <w:rsid w:val="0090365B"/>
    <w:rsid w:val="009061E4"/>
    <w:rsid w:val="00906E9E"/>
    <w:rsid w:val="00913E02"/>
    <w:rsid w:val="00913EE9"/>
    <w:rsid w:val="00925825"/>
    <w:rsid w:val="00936CD9"/>
    <w:rsid w:val="009558E5"/>
    <w:rsid w:val="00962AF3"/>
    <w:rsid w:val="00970258"/>
    <w:rsid w:val="009703C8"/>
    <w:rsid w:val="009A49E8"/>
    <w:rsid w:val="009A521A"/>
    <w:rsid w:val="009B775C"/>
    <w:rsid w:val="009D0DDA"/>
    <w:rsid w:val="009D38AD"/>
    <w:rsid w:val="009F4B2B"/>
    <w:rsid w:val="009F5299"/>
    <w:rsid w:val="00A0349E"/>
    <w:rsid w:val="00A21543"/>
    <w:rsid w:val="00A27694"/>
    <w:rsid w:val="00A3166F"/>
    <w:rsid w:val="00A371C0"/>
    <w:rsid w:val="00A53E57"/>
    <w:rsid w:val="00A77CDB"/>
    <w:rsid w:val="00A80CC9"/>
    <w:rsid w:val="00A87477"/>
    <w:rsid w:val="00A90250"/>
    <w:rsid w:val="00A919CB"/>
    <w:rsid w:val="00A92B7F"/>
    <w:rsid w:val="00A9381E"/>
    <w:rsid w:val="00AA1DB3"/>
    <w:rsid w:val="00AB64D3"/>
    <w:rsid w:val="00AC2EE4"/>
    <w:rsid w:val="00AC5231"/>
    <w:rsid w:val="00AC6F87"/>
    <w:rsid w:val="00AC7B63"/>
    <w:rsid w:val="00AE4895"/>
    <w:rsid w:val="00AE4A54"/>
    <w:rsid w:val="00B04415"/>
    <w:rsid w:val="00B11992"/>
    <w:rsid w:val="00B3429E"/>
    <w:rsid w:val="00B50AEF"/>
    <w:rsid w:val="00B50D65"/>
    <w:rsid w:val="00B6316D"/>
    <w:rsid w:val="00B64113"/>
    <w:rsid w:val="00B6766A"/>
    <w:rsid w:val="00B765D3"/>
    <w:rsid w:val="00B767FA"/>
    <w:rsid w:val="00B806F2"/>
    <w:rsid w:val="00B80C16"/>
    <w:rsid w:val="00B8569D"/>
    <w:rsid w:val="00B902C7"/>
    <w:rsid w:val="00B905D0"/>
    <w:rsid w:val="00B95085"/>
    <w:rsid w:val="00B97528"/>
    <w:rsid w:val="00BA5398"/>
    <w:rsid w:val="00BC017A"/>
    <w:rsid w:val="00BC1A2B"/>
    <w:rsid w:val="00BF110A"/>
    <w:rsid w:val="00C079B7"/>
    <w:rsid w:val="00C10FA4"/>
    <w:rsid w:val="00C14561"/>
    <w:rsid w:val="00C14F22"/>
    <w:rsid w:val="00C3011F"/>
    <w:rsid w:val="00C314B6"/>
    <w:rsid w:val="00C3555D"/>
    <w:rsid w:val="00C41054"/>
    <w:rsid w:val="00C43ECE"/>
    <w:rsid w:val="00C5353E"/>
    <w:rsid w:val="00C54312"/>
    <w:rsid w:val="00C55822"/>
    <w:rsid w:val="00C66E7F"/>
    <w:rsid w:val="00C74EC9"/>
    <w:rsid w:val="00C76F94"/>
    <w:rsid w:val="00C811A1"/>
    <w:rsid w:val="00C81AD7"/>
    <w:rsid w:val="00C9257A"/>
    <w:rsid w:val="00C93E15"/>
    <w:rsid w:val="00C96BE3"/>
    <w:rsid w:val="00CB03EA"/>
    <w:rsid w:val="00CB0BBB"/>
    <w:rsid w:val="00CB1771"/>
    <w:rsid w:val="00CB6DE8"/>
    <w:rsid w:val="00CC75F4"/>
    <w:rsid w:val="00CD3007"/>
    <w:rsid w:val="00CF5922"/>
    <w:rsid w:val="00D01412"/>
    <w:rsid w:val="00D02F51"/>
    <w:rsid w:val="00D14386"/>
    <w:rsid w:val="00D152AD"/>
    <w:rsid w:val="00D209B8"/>
    <w:rsid w:val="00D31DCA"/>
    <w:rsid w:val="00D327BC"/>
    <w:rsid w:val="00D3724C"/>
    <w:rsid w:val="00D43D35"/>
    <w:rsid w:val="00D64977"/>
    <w:rsid w:val="00D74C1B"/>
    <w:rsid w:val="00D850F9"/>
    <w:rsid w:val="00D94013"/>
    <w:rsid w:val="00D94C57"/>
    <w:rsid w:val="00D971C2"/>
    <w:rsid w:val="00DA48A0"/>
    <w:rsid w:val="00DA73E2"/>
    <w:rsid w:val="00DB0E58"/>
    <w:rsid w:val="00DB4027"/>
    <w:rsid w:val="00DC0BCF"/>
    <w:rsid w:val="00DC17B6"/>
    <w:rsid w:val="00DC72BB"/>
    <w:rsid w:val="00DD1B33"/>
    <w:rsid w:val="00DD31DF"/>
    <w:rsid w:val="00DD5400"/>
    <w:rsid w:val="00DF01C4"/>
    <w:rsid w:val="00DF094E"/>
    <w:rsid w:val="00DF25AD"/>
    <w:rsid w:val="00DF721D"/>
    <w:rsid w:val="00E01B94"/>
    <w:rsid w:val="00E01EC5"/>
    <w:rsid w:val="00E05CA7"/>
    <w:rsid w:val="00E16FC7"/>
    <w:rsid w:val="00E27B0E"/>
    <w:rsid w:val="00E30462"/>
    <w:rsid w:val="00E34164"/>
    <w:rsid w:val="00E34F18"/>
    <w:rsid w:val="00E43E26"/>
    <w:rsid w:val="00E5113D"/>
    <w:rsid w:val="00E545E3"/>
    <w:rsid w:val="00E56D30"/>
    <w:rsid w:val="00E62A83"/>
    <w:rsid w:val="00E74B42"/>
    <w:rsid w:val="00E81347"/>
    <w:rsid w:val="00E852CF"/>
    <w:rsid w:val="00E86722"/>
    <w:rsid w:val="00E86D90"/>
    <w:rsid w:val="00EA082A"/>
    <w:rsid w:val="00EA0C92"/>
    <w:rsid w:val="00EB26F8"/>
    <w:rsid w:val="00EB5E78"/>
    <w:rsid w:val="00EC4C32"/>
    <w:rsid w:val="00ED351B"/>
    <w:rsid w:val="00EF1A6F"/>
    <w:rsid w:val="00EF6B7C"/>
    <w:rsid w:val="00EF721F"/>
    <w:rsid w:val="00F061CA"/>
    <w:rsid w:val="00F1164E"/>
    <w:rsid w:val="00F22F03"/>
    <w:rsid w:val="00F3194B"/>
    <w:rsid w:val="00F372E8"/>
    <w:rsid w:val="00F40747"/>
    <w:rsid w:val="00F433C6"/>
    <w:rsid w:val="00F622DF"/>
    <w:rsid w:val="00F764D5"/>
    <w:rsid w:val="00FA00CC"/>
    <w:rsid w:val="00FA0376"/>
    <w:rsid w:val="00FA4B2E"/>
    <w:rsid w:val="00FA5AB4"/>
    <w:rsid w:val="00FB20FA"/>
    <w:rsid w:val="00FC04E5"/>
    <w:rsid w:val="00FC07F5"/>
    <w:rsid w:val="00FC23B1"/>
    <w:rsid w:val="00FC4081"/>
    <w:rsid w:val="00FD793B"/>
    <w:rsid w:val="00FE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50021,#630"/>
    </o:shapedefaults>
    <o:shapelayout v:ext="edit">
      <o:idmap v:ext="edit" data="1"/>
    </o:shapelayout>
  </w:shapeDefaults>
  <w:decimalSymbol w:val="."/>
  <w:listSeparator w:val=","/>
  <w14:docId w14:val="58E99C90"/>
  <w15:chartTrackingRefBased/>
  <w15:docId w15:val="{DDC418B4-8B99-4A61-ADA9-F0B45DE8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2">
    <w:name w:val="heading 2"/>
    <w:basedOn w:val="Normal"/>
    <w:next w:val="Normal"/>
    <w:link w:val="Heading2Char"/>
    <w:semiHidden/>
    <w:unhideWhenUsed/>
    <w:qFormat/>
    <w:rsid w:val="00582A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0898"/>
    <w:pPr>
      <w:tabs>
        <w:tab w:val="center" w:pos="4536"/>
        <w:tab w:val="right" w:pos="9072"/>
      </w:tabs>
    </w:pPr>
  </w:style>
  <w:style w:type="paragraph" w:styleId="Footer">
    <w:name w:val="footer"/>
    <w:basedOn w:val="Normal"/>
    <w:rsid w:val="005B0898"/>
    <w:pPr>
      <w:tabs>
        <w:tab w:val="center" w:pos="4536"/>
        <w:tab w:val="right" w:pos="9072"/>
      </w:tabs>
    </w:pPr>
  </w:style>
  <w:style w:type="paragraph" w:styleId="NormalWeb">
    <w:name w:val="Normal (Web)"/>
    <w:basedOn w:val="Normal"/>
    <w:uiPriority w:val="99"/>
    <w:rsid w:val="00541FCC"/>
    <w:pPr>
      <w:spacing w:before="100" w:beforeAutospacing="1" w:after="100" w:afterAutospacing="1"/>
      <w:jc w:val="both"/>
    </w:pPr>
    <w:rPr>
      <w:rFonts w:ascii="Verdana" w:hAnsi="Verdana"/>
      <w:color w:val="000000"/>
      <w:sz w:val="17"/>
      <w:szCs w:val="17"/>
    </w:rPr>
  </w:style>
  <w:style w:type="character" w:styleId="Strong">
    <w:name w:val="Strong"/>
    <w:qFormat/>
    <w:rsid w:val="00541FCC"/>
    <w:rPr>
      <w:b/>
      <w:bCs/>
    </w:rPr>
  </w:style>
  <w:style w:type="character" w:styleId="PageNumber">
    <w:name w:val="page number"/>
    <w:basedOn w:val="DefaultParagraphFont"/>
    <w:rsid w:val="000B3B1A"/>
  </w:style>
  <w:style w:type="character" w:styleId="Hyperlink">
    <w:name w:val="Hyperlink"/>
    <w:rsid w:val="00455A22"/>
    <w:rPr>
      <w:color w:val="0000FF"/>
      <w:u w:val="single"/>
    </w:rPr>
  </w:style>
  <w:style w:type="paragraph" w:styleId="BalloonText">
    <w:name w:val="Balloon Text"/>
    <w:basedOn w:val="Normal"/>
    <w:link w:val="BalloonTextChar"/>
    <w:rsid w:val="00CF5922"/>
    <w:rPr>
      <w:rFonts w:ascii="Segoe UI" w:hAnsi="Segoe UI" w:cs="Segoe UI"/>
      <w:sz w:val="18"/>
      <w:szCs w:val="18"/>
    </w:rPr>
  </w:style>
  <w:style w:type="character" w:customStyle="1" w:styleId="BalloonTextChar">
    <w:name w:val="Balloon Text Char"/>
    <w:link w:val="BalloonText"/>
    <w:rsid w:val="00CF5922"/>
    <w:rPr>
      <w:rFonts w:ascii="Segoe UI" w:hAnsi="Segoe UI" w:cs="Segoe UI"/>
      <w:sz w:val="18"/>
      <w:szCs w:val="18"/>
    </w:rPr>
  </w:style>
  <w:style w:type="character" w:customStyle="1" w:styleId="fontstyle01">
    <w:name w:val="fontstyle01"/>
    <w:rsid w:val="00B6316D"/>
    <w:rPr>
      <w:rFonts w:ascii="Arial-BoldMT" w:hAnsi="Arial-BoldMT" w:hint="default"/>
      <w:b/>
      <w:bCs/>
      <w:i w:val="0"/>
      <w:iCs w:val="0"/>
      <w:color w:val="000000"/>
      <w:sz w:val="36"/>
      <w:szCs w:val="36"/>
    </w:rPr>
  </w:style>
  <w:style w:type="character" w:customStyle="1" w:styleId="fontstyle11">
    <w:name w:val="fontstyle11"/>
    <w:rsid w:val="00B6316D"/>
    <w:rPr>
      <w:rFonts w:ascii="ArialMT" w:hAnsi="ArialMT" w:hint="default"/>
      <w:b w:val="0"/>
      <w:bCs w:val="0"/>
      <w:i w:val="0"/>
      <w:iCs w:val="0"/>
      <w:color w:val="000000"/>
      <w:sz w:val="28"/>
      <w:szCs w:val="28"/>
    </w:rPr>
  </w:style>
  <w:style w:type="paragraph" w:styleId="ListParagraph">
    <w:name w:val="List Paragraph"/>
    <w:basedOn w:val="Normal"/>
    <w:uiPriority w:val="34"/>
    <w:qFormat/>
    <w:rsid w:val="00B6316D"/>
    <w:pPr>
      <w:spacing w:after="160" w:line="259" w:lineRule="auto"/>
      <w:ind w:left="720"/>
      <w:contextualSpacing/>
    </w:pPr>
    <w:rPr>
      <w:rFonts w:ascii="Calibri" w:eastAsia="Calibri" w:hAnsi="Calibri"/>
      <w:sz w:val="22"/>
      <w:szCs w:val="22"/>
      <w:lang w:val="en-US" w:eastAsia="en-US"/>
    </w:rPr>
  </w:style>
  <w:style w:type="table" w:styleId="PlainTable5">
    <w:name w:val="Plain Table 5"/>
    <w:basedOn w:val="TableNormal"/>
    <w:uiPriority w:val="45"/>
    <w:rsid w:val="00B6316D"/>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502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2">
    <w:name w:val="bs2"/>
    <w:basedOn w:val="Heading2"/>
    <w:qFormat/>
    <w:rsid w:val="00582AA3"/>
    <w:pPr>
      <w:keepLines w:val="0"/>
      <w:spacing w:before="60" w:after="60" w:line="260" w:lineRule="exact"/>
      <w:jc w:val="both"/>
    </w:pPr>
    <w:rPr>
      <w:rFonts w:ascii="Verdana" w:eastAsia="Times New Roman" w:hAnsi="Verdana" w:cs="Arial"/>
      <w:b/>
      <w:bCs/>
      <w:iCs/>
      <w:smallCaps/>
      <w:color w:val="auto"/>
      <w:sz w:val="20"/>
      <w:szCs w:val="20"/>
    </w:rPr>
  </w:style>
  <w:style w:type="character" w:customStyle="1" w:styleId="Heading2Char">
    <w:name w:val="Heading 2 Char"/>
    <w:basedOn w:val="DefaultParagraphFont"/>
    <w:link w:val="Heading2"/>
    <w:uiPriority w:val="9"/>
    <w:rsid w:val="00582AA3"/>
    <w:rPr>
      <w:rFonts w:asciiTheme="majorHAnsi" w:eastAsiaTheme="majorEastAsia" w:hAnsiTheme="majorHAnsi" w:cstheme="majorBidi"/>
      <w:color w:val="2E74B5" w:themeColor="accent1" w:themeShade="BF"/>
      <w:sz w:val="26"/>
      <w:szCs w:val="26"/>
      <w:lang w:val="bg-BG" w:eastAsia="bg-BG"/>
    </w:rPr>
  </w:style>
  <w:style w:type="character" w:styleId="CommentReference">
    <w:name w:val="annotation reference"/>
    <w:basedOn w:val="DefaultParagraphFont"/>
    <w:rsid w:val="004064CE"/>
    <w:rPr>
      <w:sz w:val="16"/>
      <w:szCs w:val="16"/>
    </w:rPr>
  </w:style>
  <w:style w:type="paragraph" w:styleId="CommentText">
    <w:name w:val="annotation text"/>
    <w:basedOn w:val="Normal"/>
    <w:link w:val="CommentTextChar"/>
    <w:rsid w:val="004064CE"/>
    <w:rPr>
      <w:sz w:val="20"/>
      <w:szCs w:val="20"/>
    </w:rPr>
  </w:style>
  <w:style w:type="character" w:customStyle="1" w:styleId="CommentTextChar">
    <w:name w:val="Comment Text Char"/>
    <w:basedOn w:val="DefaultParagraphFont"/>
    <w:link w:val="CommentText"/>
    <w:rsid w:val="004064CE"/>
    <w:rPr>
      <w:lang w:val="bg-BG" w:eastAsia="bg-BG"/>
    </w:rPr>
  </w:style>
  <w:style w:type="paragraph" w:styleId="CommentSubject">
    <w:name w:val="annotation subject"/>
    <w:basedOn w:val="CommentText"/>
    <w:next w:val="CommentText"/>
    <w:link w:val="CommentSubjectChar"/>
    <w:rsid w:val="004064CE"/>
    <w:rPr>
      <w:b/>
      <w:bCs/>
    </w:rPr>
  </w:style>
  <w:style w:type="character" w:customStyle="1" w:styleId="CommentSubjectChar">
    <w:name w:val="Comment Subject Char"/>
    <w:basedOn w:val="CommentTextChar"/>
    <w:link w:val="CommentSubject"/>
    <w:rsid w:val="004064CE"/>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2936">
      <w:bodyDiv w:val="1"/>
      <w:marLeft w:val="0"/>
      <w:marRight w:val="0"/>
      <w:marTop w:val="0"/>
      <w:marBottom w:val="0"/>
      <w:divBdr>
        <w:top w:val="none" w:sz="0" w:space="0" w:color="auto"/>
        <w:left w:val="none" w:sz="0" w:space="0" w:color="auto"/>
        <w:bottom w:val="none" w:sz="0" w:space="0" w:color="auto"/>
        <w:right w:val="none" w:sz="0" w:space="0" w:color="auto"/>
      </w:divBdr>
    </w:div>
    <w:div w:id="163472432">
      <w:bodyDiv w:val="1"/>
      <w:marLeft w:val="0"/>
      <w:marRight w:val="0"/>
      <w:marTop w:val="0"/>
      <w:marBottom w:val="0"/>
      <w:divBdr>
        <w:top w:val="none" w:sz="0" w:space="0" w:color="auto"/>
        <w:left w:val="none" w:sz="0" w:space="0" w:color="auto"/>
        <w:bottom w:val="none" w:sz="0" w:space="0" w:color="auto"/>
        <w:right w:val="none" w:sz="0" w:space="0" w:color="auto"/>
      </w:divBdr>
    </w:div>
    <w:div w:id="599417392">
      <w:bodyDiv w:val="1"/>
      <w:marLeft w:val="0"/>
      <w:marRight w:val="0"/>
      <w:marTop w:val="0"/>
      <w:marBottom w:val="0"/>
      <w:divBdr>
        <w:top w:val="none" w:sz="0" w:space="0" w:color="auto"/>
        <w:left w:val="none" w:sz="0" w:space="0" w:color="auto"/>
        <w:bottom w:val="none" w:sz="0" w:space="0" w:color="auto"/>
        <w:right w:val="none" w:sz="0" w:space="0" w:color="auto"/>
      </w:divBdr>
    </w:div>
    <w:div w:id="617180328">
      <w:bodyDiv w:val="1"/>
      <w:marLeft w:val="0"/>
      <w:marRight w:val="0"/>
      <w:marTop w:val="0"/>
      <w:marBottom w:val="0"/>
      <w:divBdr>
        <w:top w:val="none" w:sz="0" w:space="0" w:color="auto"/>
        <w:left w:val="none" w:sz="0" w:space="0" w:color="auto"/>
        <w:bottom w:val="none" w:sz="0" w:space="0" w:color="auto"/>
        <w:right w:val="none" w:sz="0" w:space="0" w:color="auto"/>
      </w:divBdr>
    </w:div>
    <w:div w:id="827285142">
      <w:bodyDiv w:val="1"/>
      <w:marLeft w:val="0"/>
      <w:marRight w:val="0"/>
      <w:marTop w:val="0"/>
      <w:marBottom w:val="0"/>
      <w:divBdr>
        <w:top w:val="none" w:sz="0" w:space="0" w:color="auto"/>
        <w:left w:val="none" w:sz="0" w:space="0" w:color="auto"/>
        <w:bottom w:val="none" w:sz="0" w:space="0" w:color="auto"/>
        <w:right w:val="none" w:sz="0" w:space="0" w:color="auto"/>
      </w:divBdr>
    </w:div>
    <w:div w:id="857893022">
      <w:bodyDiv w:val="1"/>
      <w:marLeft w:val="0"/>
      <w:marRight w:val="0"/>
      <w:marTop w:val="0"/>
      <w:marBottom w:val="0"/>
      <w:divBdr>
        <w:top w:val="none" w:sz="0" w:space="0" w:color="auto"/>
        <w:left w:val="none" w:sz="0" w:space="0" w:color="auto"/>
        <w:bottom w:val="none" w:sz="0" w:space="0" w:color="auto"/>
        <w:right w:val="none" w:sz="0" w:space="0" w:color="auto"/>
      </w:divBdr>
    </w:div>
    <w:div w:id="994183142">
      <w:bodyDiv w:val="1"/>
      <w:marLeft w:val="0"/>
      <w:marRight w:val="0"/>
      <w:marTop w:val="0"/>
      <w:marBottom w:val="0"/>
      <w:divBdr>
        <w:top w:val="none" w:sz="0" w:space="0" w:color="auto"/>
        <w:left w:val="none" w:sz="0" w:space="0" w:color="auto"/>
        <w:bottom w:val="none" w:sz="0" w:space="0" w:color="auto"/>
        <w:right w:val="none" w:sz="0" w:space="0" w:color="auto"/>
      </w:divBdr>
    </w:div>
    <w:div w:id="1075277079">
      <w:bodyDiv w:val="1"/>
      <w:marLeft w:val="0"/>
      <w:marRight w:val="0"/>
      <w:marTop w:val="0"/>
      <w:marBottom w:val="0"/>
      <w:divBdr>
        <w:top w:val="none" w:sz="0" w:space="0" w:color="auto"/>
        <w:left w:val="none" w:sz="0" w:space="0" w:color="auto"/>
        <w:bottom w:val="none" w:sz="0" w:space="0" w:color="auto"/>
        <w:right w:val="none" w:sz="0" w:space="0" w:color="auto"/>
      </w:divBdr>
    </w:div>
    <w:div w:id="1137455761">
      <w:bodyDiv w:val="1"/>
      <w:marLeft w:val="0"/>
      <w:marRight w:val="0"/>
      <w:marTop w:val="0"/>
      <w:marBottom w:val="0"/>
      <w:divBdr>
        <w:top w:val="none" w:sz="0" w:space="0" w:color="auto"/>
        <w:left w:val="none" w:sz="0" w:space="0" w:color="auto"/>
        <w:bottom w:val="none" w:sz="0" w:space="0" w:color="auto"/>
        <w:right w:val="none" w:sz="0" w:space="0" w:color="auto"/>
      </w:divBdr>
    </w:div>
    <w:div w:id="1222716970">
      <w:bodyDiv w:val="1"/>
      <w:marLeft w:val="0"/>
      <w:marRight w:val="0"/>
      <w:marTop w:val="0"/>
      <w:marBottom w:val="0"/>
      <w:divBdr>
        <w:top w:val="none" w:sz="0" w:space="0" w:color="auto"/>
        <w:left w:val="none" w:sz="0" w:space="0" w:color="auto"/>
        <w:bottom w:val="none" w:sz="0" w:space="0" w:color="auto"/>
        <w:right w:val="none" w:sz="0" w:space="0" w:color="auto"/>
      </w:divBdr>
    </w:div>
    <w:div w:id="1296251149">
      <w:bodyDiv w:val="1"/>
      <w:marLeft w:val="0"/>
      <w:marRight w:val="0"/>
      <w:marTop w:val="0"/>
      <w:marBottom w:val="0"/>
      <w:divBdr>
        <w:top w:val="none" w:sz="0" w:space="0" w:color="auto"/>
        <w:left w:val="none" w:sz="0" w:space="0" w:color="auto"/>
        <w:bottom w:val="none" w:sz="0" w:space="0" w:color="auto"/>
        <w:right w:val="none" w:sz="0" w:space="0" w:color="auto"/>
      </w:divBdr>
    </w:div>
    <w:div w:id="1344939312">
      <w:bodyDiv w:val="1"/>
      <w:marLeft w:val="0"/>
      <w:marRight w:val="0"/>
      <w:marTop w:val="0"/>
      <w:marBottom w:val="0"/>
      <w:divBdr>
        <w:top w:val="none" w:sz="0" w:space="0" w:color="auto"/>
        <w:left w:val="none" w:sz="0" w:space="0" w:color="auto"/>
        <w:bottom w:val="none" w:sz="0" w:space="0" w:color="auto"/>
        <w:right w:val="none" w:sz="0" w:space="0" w:color="auto"/>
      </w:divBdr>
    </w:div>
    <w:div w:id="1379428783">
      <w:bodyDiv w:val="1"/>
      <w:marLeft w:val="0"/>
      <w:marRight w:val="0"/>
      <w:marTop w:val="0"/>
      <w:marBottom w:val="0"/>
      <w:divBdr>
        <w:top w:val="none" w:sz="0" w:space="0" w:color="auto"/>
        <w:left w:val="none" w:sz="0" w:space="0" w:color="auto"/>
        <w:bottom w:val="none" w:sz="0" w:space="0" w:color="auto"/>
        <w:right w:val="none" w:sz="0" w:space="0" w:color="auto"/>
      </w:divBdr>
    </w:div>
    <w:div w:id="1524712406">
      <w:bodyDiv w:val="1"/>
      <w:marLeft w:val="0"/>
      <w:marRight w:val="0"/>
      <w:marTop w:val="0"/>
      <w:marBottom w:val="0"/>
      <w:divBdr>
        <w:top w:val="none" w:sz="0" w:space="0" w:color="auto"/>
        <w:left w:val="none" w:sz="0" w:space="0" w:color="auto"/>
        <w:bottom w:val="none" w:sz="0" w:space="0" w:color="auto"/>
        <w:right w:val="none" w:sz="0" w:space="0" w:color="auto"/>
      </w:divBdr>
    </w:div>
    <w:div w:id="1703094877">
      <w:bodyDiv w:val="1"/>
      <w:marLeft w:val="0"/>
      <w:marRight w:val="0"/>
      <w:marTop w:val="0"/>
      <w:marBottom w:val="0"/>
      <w:divBdr>
        <w:top w:val="none" w:sz="0" w:space="0" w:color="auto"/>
        <w:left w:val="none" w:sz="0" w:space="0" w:color="auto"/>
        <w:bottom w:val="none" w:sz="0" w:space="0" w:color="auto"/>
        <w:right w:val="none" w:sz="0" w:space="0" w:color="auto"/>
      </w:divBdr>
    </w:div>
    <w:div w:id="1933126107">
      <w:bodyDiv w:val="1"/>
      <w:marLeft w:val="0"/>
      <w:marRight w:val="0"/>
      <w:marTop w:val="0"/>
      <w:marBottom w:val="0"/>
      <w:divBdr>
        <w:top w:val="none" w:sz="0" w:space="0" w:color="auto"/>
        <w:left w:val="none" w:sz="0" w:space="0" w:color="auto"/>
        <w:bottom w:val="none" w:sz="0" w:space="0" w:color="auto"/>
        <w:right w:val="none" w:sz="0" w:space="0" w:color="auto"/>
      </w:divBdr>
    </w:div>
    <w:div w:id="2020546373">
      <w:bodyDiv w:val="1"/>
      <w:marLeft w:val="0"/>
      <w:marRight w:val="0"/>
      <w:marTop w:val="0"/>
      <w:marBottom w:val="0"/>
      <w:divBdr>
        <w:top w:val="none" w:sz="0" w:space="0" w:color="auto"/>
        <w:left w:val="none" w:sz="0" w:space="0" w:color="auto"/>
        <w:bottom w:val="none" w:sz="0" w:space="0" w:color="auto"/>
        <w:right w:val="none" w:sz="0" w:space="0" w:color="auto"/>
      </w:divBdr>
    </w:div>
    <w:div w:id="20965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vestment@elana.net" TargetMode="External"/><Relationship Id="rId2" Type="http://schemas.openxmlformats.org/officeDocument/2006/relationships/hyperlink" Target="mailto:trading@elana.net" TargetMode="External"/><Relationship Id="rId1" Type="http://schemas.openxmlformats.org/officeDocument/2006/relationships/hyperlink" Target="http://www.elana.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DBD37-6F33-404A-85BA-A874F756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6547</Words>
  <Characters>35779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Изх</vt:lpstr>
    </vt:vector>
  </TitlesOfParts>
  <Company>- ETH0 -</Company>
  <LinksUpToDate>false</LinksUpToDate>
  <CharactersWithSpaces>42242</CharactersWithSpaces>
  <SharedDoc>false</SharedDoc>
  <HLinks>
    <vt:vector size="18" baseType="variant">
      <vt:variant>
        <vt:i4>262191</vt:i4>
      </vt:variant>
      <vt:variant>
        <vt:i4>11</vt:i4>
      </vt:variant>
      <vt:variant>
        <vt:i4>0</vt:i4>
      </vt:variant>
      <vt:variant>
        <vt:i4>5</vt:i4>
      </vt:variant>
      <vt:variant>
        <vt:lpwstr>mailto:investment@elana.net</vt:lpwstr>
      </vt:variant>
      <vt:variant>
        <vt:lpwstr/>
      </vt:variant>
      <vt:variant>
        <vt:i4>393275</vt:i4>
      </vt:variant>
      <vt:variant>
        <vt:i4>8</vt:i4>
      </vt:variant>
      <vt:variant>
        <vt:i4>0</vt:i4>
      </vt:variant>
      <vt:variant>
        <vt:i4>5</vt:i4>
      </vt:variant>
      <vt:variant>
        <vt:lpwstr>mailto:trading@elana.net</vt:lpwstr>
      </vt:variant>
      <vt:variant>
        <vt:lpwstr/>
      </vt:variant>
      <vt:variant>
        <vt:i4>5505049</vt:i4>
      </vt:variant>
      <vt:variant>
        <vt:i4>5</vt:i4>
      </vt:variant>
      <vt:variant>
        <vt:i4>0</vt:i4>
      </vt:variant>
      <vt:variant>
        <vt:i4>5</vt:i4>
      </vt:variant>
      <vt:variant>
        <vt:lpwstr>http://www.elana.net/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subject/>
  <dc:creator>X</dc:creator>
  <cp:keywords/>
  <dc:description/>
  <cp:lastModifiedBy>Inv. Banking</cp:lastModifiedBy>
  <cp:revision>3</cp:revision>
  <cp:lastPrinted>2019-08-29T06:31:00Z</cp:lastPrinted>
  <dcterms:created xsi:type="dcterms:W3CDTF">2021-08-30T09:30:00Z</dcterms:created>
  <dcterms:modified xsi:type="dcterms:W3CDTF">2021-08-30T09:32:00Z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00080088000000000000010262610207f74006b004c800</vt:lpwstr>
  </property>
</Properties>
</file>