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D5" w:rsidRDefault="006E7FD5" w:rsidP="00D83FE8">
      <w:pPr>
        <w:ind w:left="4395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6E7FD5" w:rsidRDefault="006E7FD5" w:rsidP="006E7FD5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:rsidR="002311AC" w:rsidRDefault="00571FD6" w:rsidP="006E7FD5">
      <w:pPr>
        <w:rPr>
          <w:rFonts w:ascii="Arial" w:hAnsi="Arial" w:cs="Arial"/>
          <w:b/>
          <w:sz w:val="22"/>
          <w:szCs w:val="22"/>
          <w:lang w:val="bg-BG"/>
        </w:rPr>
      </w:pPr>
      <w:r w:rsidRPr="00E3628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5866FE" w:rsidRPr="00E36286">
        <w:rPr>
          <w:rFonts w:ascii="Arial" w:hAnsi="Arial" w:cs="Arial"/>
          <w:b/>
          <w:sz w:val="22"/>
          <w:szCs w:val="22"/>
        </w:rPr>
        <w:tab/>
      </w:r>
      <w:r w:rsidR="002311AC" w:rsidRPr="00E36286">
        <w:rPr>
          <w:rFonts w:ascii="Arial" w:hAnsi="Arial" w:cs="Arial"/>
          <w:b/>
          <w:sz w:val="22"/>
          <w:szCs w:val="22"/>
          <w:lang w:val="bg-BG"/>
        </w:rPr>
        <w:tab/>
      </w:r>
    </w:p>
    <w:p w:rsidR="000D4C70" w:rsidRPr="00E36286" w:rsidRDefault="000D4C70" w:rsidP="006E7FD5">
      <w:pPr>
        <w:rPr>
          <w:rFonts w:ascii="Arial" w:hAnsi="Arial" w:cs="Arial"/>
          <w:b/>
          <w:sz w:val="22"/>
          <w:szCs w:val="22"/>
          <w:lang w:val="bg-BG"/>
        </w:rPr>
      </w:pPr>
    </w:p>
    <w:p w:rsidR="00D9764F" w:rsidRPr="00E36286" w:rsidRDefault="00D9764F" w:rsidP="00D9764F">
      <w:pPr>
        <w:jc w:val="center"/>
        <w:rPr>
          <w:rFonts w:ascii="Arial" w:hAnsi="Arial" w:cs="Arial"/>
          <w:b/>
          <w:sz w:val="22"/>
          <w:szCs w:val="22"/>
        </w:rPr>
      </w:pPr>
      <w:r w:rsidRPr="00E36286">
        <w:rPr>
          <w:rFonts w:ascii="Arial" w:hAnsi="Arial" w:cs="Arial"/>
          <w:b/>
          <w:sz w:val="22"/>
          <w:szCs w:val="22"/>
        </w:rPr>
        <w:t>Доклад</w:t>
      </w:r>
    </w:p>
    <w:p w:rsidR="00D9764F" w:rsidRPr="00E36286" w:rsidRDefault="00A65AD0" w:rsidP="00D9764F">
      <w:pPr>
        <w:jc w:val="center"/>
        <w:rPr>
          <w:rFonts w:ascii="Arial" w:hAnsi="Arial" w:cs="Arial"/>
          <w:b/>
          <w:sz w:val="22"/>
          <w:szCs w:val="22"/>
        </w:rPr>
      </w:pPr>
      <w:r w:rsidRPr="00E36286">
        <w:rPr>
          <w:rFonts w:ascii="Arial" w:hAnsi="Arial" w:cs="Arial"/>
          <w:b/>
          <w:sz w:val="22"/>
          <w:szCs w:val="22"/>
          <w:lang w:val="bg-BG"/>
        </w:rPr>
        <w:t>от</w:t>
      </w:r>
      <w:r w:rsidR="00D9764F" w:rsidRPr="00E36286">
        <w:rPr>
          <w:rFonts w:ascii="Arial" w:hAnsi="Arial" w:cs="Arial"/>
          <w:b/>
          <w:sz w:val="22"/>
          <w:szCs w:val="22"/>
        </w:rPr>
        <w:t xml:space="preserve"> Де Ново ЕАД</w:t>
      </w:r>
    </w:p>
    <w:p w:rsidR="00E36286" w:rsidRDefault="00D9764F" w:rsidP="00D9764F">
      <w:pPr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E36286">
        <w:rPr>
          <w:rFonts w:ascii="Arial" w:hAnsi="Arial" w:cs="Arial"/>
          <w:b/>
          <w:sz w:val="22"/>
          <w:szCs w:val="22"/>
        </w:rPr>
        <w:t xml:space="preserve">в качеството </w:t>
      </w:r>
      <w:r w:rsidRPr="00E36286">
        <w:rPr>
          <w:rFonts w:ascii="Arial" w:hAnsi="Arial" w:cs="Arial"/>
          <w:b/>
          <w:sz w:val="22"/>
          <w:szCs w:val="22"/>
          <w:lang w:val="bg-BG"/>
        </w:rPr>
        <w:t>му</w:t>
      </w:r>
      <w:r w:rsidRPr="00E36286">
        <w:rPr>
          <w:rFonts w:ascii="Arial" w:hAnsi="Arial" w:cs="Arial"/>
          <w:b/>
          <w:sz w:val="22"/>
          <w:szCs w:val="22"/>
        </w:rPr>
        <w:t xml:space="preserve"> на Довереник на облигационерите</w:t>
      </w:r>
    </w:p>
    <w:p w:rsidR="00D9764F" w:rsidRPr="00800B73" w:rsidRDefault="00A65AD0" w:rsidP="00D9764F">
      <w:pPr>
        <w:jc w:val="center"/>
        <w:rPr>
          <w:rFonts w:ascii="Arial" w:hAnsi="Arial" w:cs="Arial"/>
          <w:b/>
          <w:sz w:val="22"/>
          <w:szCs w:val="22"/>
        </w:rPr>
      </w:pPr>
      <w:r w:rsidRPr="00020416">
        <w:rPr>
          <w:rFonts w:ascii="Arial" w:hAnsi="Arial" w:cs="Arial"/>
          <w:b/>
          <w:sz w:val="22"/>
          <w:szCs w:val="22"/>
          <w:lang w:val="bg-BG"/>
        </w:rPr>
        <w:t xml:space="preserve"> по </w:t>
      </w:r>
      <w:r w:rsidRPr="00800B73">
        <w:rPr>
          <w:rFonts w:ascii="Arial" w:hAnsi="Arial" w:cs="Arial"/>
          <w:b/>
          <w:sz w:val="22"/>
          <w:szCs w:val="22"/>
          <w:lang w:val="bg-BG"/>
        </w:rPr>
        <w:t>емисия корпоративни облигации с емитент</w:t>
      </w:r>
      <w:r w:rsidR="00D9764F" w:rsidRPr="00800B73">
        <w:rPr>
          <w:rFonts w:ascii="Arial" w:hAnsi="Arial" w:cs="Arial"/>
          <w:b/>
          <w:sz w:val="22"/>
          <w:szCs w:val="22"/>
        </w:rPr>
        <w:t xml:space="preserve"> </w:t>
      </w:r>
      <w:r w:rsidR="008D0EDE">
        <w:rPr>
          <w:rFonts w:ascii="Arial" w:hAnsi="Arial" w:cs="Arial"/>
          <w:b/>
          <w:sz w:val="22"/>
          <w:szCs w:val="22"/>
        </w:rPr>
        <w:t>АДАРА АД</w:t>
      </w:r>
      <w:r w:rsidRPr="00800B73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="00D9764F" w:rsidRPr="00800B73">
        <w:rPr>
          <w:rFonts w:ascii="Arial" w:hAnsi="Arial" w:cs="Arial"/>
          <w:b/>
          <w:sz w:val="22"/>
          <w:szCs w:val="22"/>
        </w:rPr>
        <w:t>ISIN:</w:t>
      </w:r>
      <w:r w:rsidR="00CE1904">
        <w:rPr>
          <w:rFonts w:ascii="Arial" w:hAnsi="Arial" w:cs="Arial"/>
          <w:b/>
          <w:sz w:val="22"/>
          <w:szCs w:val="22"/>
        </w:rPr>
        <w:t>BG2100026173</w:t>
      </w:r>
      <w:r w:rsidRPr="00800B73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="005B3E71" w:rsidRPr="00800B73">
        <w:rPr>
          <w:rFonts w:ascii="Arial" w:hAnsi="Arial" w:cs="Arial"/>
          <w:b/>
          <w:sz w:val="22"/>
          <w:szCs w:val="22"/>
          <w:lang w:val="bg-BG"/>
        </w:rPr>
        <w:t>б</w:t>
      </w:r>
      <w:r w:rsidR="00D9764F" w:rsidRPr="00800B73">
        <w:rPr>
          <w:rFonts w:ascii="Arial" w:hAnsi="Arial" w:cs="Arial"/>
          <w:b/>
          <w:sz w:val="22"/>
          <w:szCs w:val="22"/>
        </w:rPr>
        <w:t>орсов код:</w:t>
      </w:r>
      <w:r w:rsidR="00800B73" w:rsidRPr="00800B73">
        <w:rPr>
          <w:rFonts w:ascii="Arial" w:hAnsi="Arial" w:cs="Arial"/>
          <w:b/>
          <w:sz w:val="22"/>
          <w:szCs w:val="22"/>
        </w:rPr>
        <w:t xml:space="preserve"> </w:t>
      </w:r>
      <w:r w:rsidR="001C252C">
        <w:rPr>
          <w:rFonts w:ascii="Arial" w:hAnsi="Arial" w:cs="Arial"/>
          <w:b/>
          <w:sz w:val="22"/>
          <w:szCs w:val="22"/>
        </w:rPr>
        <w:t>16TA</w:t>
      </w:r>
    </w:p>
    <w:p w:rsidR="00D9764F" w:rsidRPr="00E36286" w:rsidRDefault="00D9764F" w:rsidP="00D9764F">
      <w:pPr>
        <w:jc w:val="center"/>
        <w:rPr>
          <w:rFonts w:ascii="Arial" w:hAnsi="Arial" w:cs="Arial"/>
          <w:b/>
          <w:sz w:val="22"/>
          <w:szCs w:val="22"/>
        </w:rPr>
      </w:pPr>
      <w:r w:rsidRPr="00E36286">
        <w:rPr>
          <w:rFonts w:ascii="Arial" w:hAnsi="Arial" w:cs="Arial"/>
          <w:b/>
          <w:sz w:val="22"/>
          <w:szCs w:val="22"/>
        </w:rPr>
        <w:t>Период: 01.</w:t>
      </w:r>
      <w:r w:rsidR="005E612E">
        <w:rPr>
          <w:rFonts w:ascii="Arial" w:hAnsi="Arial" w:cs="Arial"/>
          <w:b/>
          <w:sz w:val="22"/>
          <w:szCs w:val="22"/>
        </w:rPr>
        <w:t>10</w:t>
      </w:r>
      <w:r w:rsidRPr="00E36286">
        <w:rPr>
          <w:rFonts w:ascii="Arial" w:hAnsi="Arial" w:cs="Arial"/>
          <w:b/>
          <w:sz w:val="22"/>
          <w:szCs w:val="22"/>
        </w:rPr>
        <w:t>.201</w:t>
      </w:r>
      <w:r w:rsidR="00A96F6F">
        <w:rPr>
          <w:rFonts w:ascii="Arial" w:hAnsi="Arial" w:cs="Arial"/>
          <w:b/>
          <w:sz w:val="22"/>
          <w:szCs w:val="22"/>
          <w:lang w:val="bg-BG"/>
        </w:rPr>
        <w:t>9</w:t>
      </w:r>
      <w:r w:rsidRPr="00E36286">
        <w:rPr>
          <w:rFonts w:ascii="Arial" w:hAnsi="Arial" w:cs="Arial"/>
          <w:b/>
          <w:sz w:val="22"/>
          <w:szCs w:val="22"/>
        </w:rPr>
        <w:t>г.</w:t>
      </w:r>
      <w:r w:rsidRPr="00E3628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E36286">
        <w:rPr>
          <w:rFonts w:ascii="Arial" w:hAnsi="Arial" w:cs="Arial"/>
          <w:b/>
          <w:sz w:val="22"/>
          <w:szCs w:val="22"/>
        </w:rPr>
        <w:t>- 3</w:t>
      </w:r>
      <w:r w:rsidR="005E612E">
        <w:rPr>
          <w:rFonts w:ascii="Arial" w:hAnsi="Arial" w:cs="Arial"/>
          <w:b/>
          <w:sz w:val="22"/>
          <w:szCs w:val="22"/>
        </w:rPr>
        <w:t>1</w:t>
      </w:r>
      <w:r w:rsidRPr="00E36286">
        <w:rPr>
          <w:rFonts w:ascii="Arial" w:hAnsi="Arial" w:cs="Arial"/>
          <w:b/>
          <w:sz w:val="22"/>
          <w:szCs w:val="22"/>
        </w:rPr>
        <w:t>.</w:t>
      </w:r>
      <w:r w:rsidR="005E612E">
        <w:rPr>
          <w:rFonts w:ascii="Arial" w:hAnsi="Arial" w:cs="Arial"/>
          <w:b/>
          <w:sz w:val="22"/>
          <w:szCs w:val="22"/>
        </w:rPr>
        <w:t>12</w:t>
      </w:r>
      <w:r w:rsidRPr="00E36286">
        <w:rPr>
          <w:rFonts w:ascii="Arial" w:hAnsi="Arial" w:cs="Arial"/>
          <w:b/>
          <w:sz w:val="22"/>
          <w:szCs w:val="22"/>
        </w:rPr>
        <w:t>.201</w:t>
      </w:r>
      <w:r w:rsidR="00A96F6F">
        <w:rPr>
          <w:rFonts w:ascii="Arial" w:hAnsi="Arial" w:cs="Arial"/>
          <w:b/>
          <w:sz w:val="22"/>
          <w:szCs w:val="22"/>
          <w:lang w:val="bg-BG"/>
        </w:rPr>
        <w:t>9</w:t>
      </w:r>
      <w:r w:rsidRPr="00E36286">
        <w:rPr>
          <w:rFonts w:ascii="Arial" w:hAnsi="Arial" w:cs="Arial"/>
          <w:b/>
          <w:sz w:val="22"/>
          <w:szCs w:val="22"/>
        </w:rPr>
        <w:t>г.</w:t>
      </w:r>
    </w:p>
    <w:p w:rsidR="00D9764F" w:rsidRDefault="00D9764F" w:rsidP="00D9764F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E36286" w:rsidRDefault="00E36286" w:rsidP="00D9764F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E36286" w:rsidRPr="00E36286" w:rsidRDefault="00E36286" w:rsidP="00D9764F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D9764F" w:rsidRPr="00E36286" w:rsidRDefault="00D9764F" w:rsidP="00A65AD0">
      <w:pPr>
        <w:jc w:val="both"/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t>Настоящия</w:t>
      </w:r>
      <w:r w:rsidR="00BE512E" w:rsidRPr="00E36286">
        <w:rPr>
          <w:rFonts w:ascii="Arial" w:hAnsi="Arial" w:cs="Arial"/>
          <w:sz w:val="22"/>
          <w:szCs w:val="22"/>
          <w:lang w:val="bg-BG"/>
        </w:rPr>
        <w:t>т</w:t>
      </w:r>
      <w:r w:rsidRPr="00E36286">
        <w:rPr>
          <w:rFonts w:ascii="Arial" w:hAnsi="Arial" w:cs="Arial"/>
          <w:sz w:val="22"/>
          <w:szCs w:val="22"/>
        </w:rPr>
        <w:t xml:space="preserve"> доклад е изготвен в съответствие </w:t>
      </w:r>
      <w:r w:rsidR="00BE512E" w:rsidRPr="00E36286">
        <w:rPr>
          <w:rFonts w:ascii="Arial" w:hAnsi="Arial" w:cs="Arial"/>
          <w:sz w:val="22"/>
          <w:szCs w:val="22"/>
        </w:rPr>
        <w:t>с изискванията на чл. 100ж, ал.</w:t>
      </w:r>
      <w:r w:rsidRPr="00E36286">
        <w:rPr>
          <w:rFonts w:ascii="Arial" w:hAnsi="Arial" w:cs="Arial"/>
          <w:sz w:val="22"/>
          <w:szCs w:val="22"/>
        </w:rPr>
        <w:t>1, т.</w:t>
      </w:r>
      <w:r w:rsidRPr="00E36286">
        <w:rPr>
          <w:rFonts w:ascii="Arial" w:hAnsi="Arial" w:cs="Arial"/>
          <w:sz w:val="22"/>
          <w:szCs w:val="22"/>
          <w:lang w:val="ru-RU"/>
        </w:rPr>
        <w:t>3</w:t>
      </w:r>
      <w:r w:rsidRPr="00E36286">
        <w:rPr>
          <w:rFonts w:ascii="Arial" w:hAnsi="Arial" w:cs="Arial"/>
          <w:sz w:val="22"/>
          <w:szCs w:val="22"/>
        </w:rPr>
        <w:t xml:space="preserve"> от Закона за публично</w:t>
      </w:r>
      <w:r w:rsidR="00B958E1">
        <w:rPr>
          <w:rFonts w:ascii="Arial" w:hAnsi="Arial" w:cs="Arial"/>
          <w:sz w:val="22"/>
          <w:szCs w:val="22"/>
          <w:lang w:val="bg-BG"/>
        </w:rPr>
        <w:t>то</w:t>
      </w:r>
      <w:r w:rsidRPr="00E36286">
        <w:rPr>
          <w:rFonts w:ascii="Arial" w:hAnsi="Arial" w:cs="Arial"/>
          <w:sz w:val="22"/>
          <w:szCs w:val="22"/>
        </w:rPr>
        <w:t xml:space="preserve"> предлагане на ценни книжа </w:t>
      </w:r>
      <w:r w:rsidR="00DC70E5">
        <w:rPr>
          <w:rFonts w:ascii="Arial" w:hAnsi="Arial" w:cs="Arial"/>
          <w:sz w:val="22"/>
          <w:szCs w:val="22"/>
          <w:lang w:val="bg-BG"/>
        </w:rPr>
        <w:t>/</w:t>
      </w:r>
      <w:r w:rsidRPr="00E36286">
        <w:rPr>
          <w:rFonts w:ascii="Arial" w:hAnsi="Arial" w:cs="Arial"/>
          <w:sz w:val="22"/>
          <w:szCs w:val="22"/>
        </w:rPr>
        <w:t>ЗППЦК</w:t>
      </w:r>
      <w:r w:rsidR="00DC70E5">
        <w:rPr>
          <w:rFonts w:ascii="Arial" w:hAnsi="Arial" w:cs="Arial"/>
          <w:sz w:val="22"/>
          <w:szCs w:val="22"/>
          <w:lang w:val="bg-BG"/>
        </w:rPr>
        <w:t>/</w:t>
      </w:r>
      <w:r w:rsidRPr="00E36286">
        <w:rPr>
          <w:rFonts w:ascii="Arial" w:hAnsi="Arial" w:cs="Arial"/>
          <w:sz w:val="22"/>
          <w:szCs w:val="22"/>
        </w:rPr>
        <w:t xml:space="preserve">, в изпълнение на задълженията на Де Ново ЕАД в качеството </w:t>
      </w:r>
      <w:r w:rsidR="000846F9" w:rsidRPr="00E36286">
        <w:rPr>
          <w:rFonts w:ascii="Arial" w:hAnsi="Arial" w:cs="Arial"/>
          <w:sz w:val="22"/>
          <w:szCs w:val="22"/>
          <w:lang w:val="bg-BG"/>
        </w:rPr>
        <w:t>му</w:t>
      </w:r>
      <w:r w:rsidRPr="00E36286">
        <w:rPr>
          <w:rFonts w:ascii="Arial" w:hAnsi="Arial" w:cs="Arial"/>
          <w:sz w:val="22"/>
          <w:szCs w:val="22"/>
        </w:rPr>
        <w:t xml:space="preserve"> на Довереник на облигационерите по емисия корпоративни облигации</w:t>
      </w:r>
      <w:r w:rsidR="00DC70E5" w:rsidRPr="00DC70E5">
        <w:rPr>
          <w:rFonts w:ascii="Arial" w:hAnsi="Arial" w:cs="Arial"/>
          <w:sz w:val="22"/>
          <w:szCs w:val="22"/>
        </w:rPr>
        <w:t xml:space="preserve"> </w:t>
      </w:r>
      <w:r w:rsidR="00DC70E5" w:rsidRPr="00E36286">
        <w:rPr>
          <w:rFonts w:ascii="Arial" w:hAnsi="Arial" w:cs="Arial"/>
          <w:sz w:val="22"/>
          <w:szCs w:val="22"/>
        </w:rPr>
        <w:t>ISIN:</w:t>
      </w:r>
      <w:r w:rsidR="00CE1904" w:rsidRPr="0087566B">
        <w:rPr>
          <w:rFonts w:ascii="Arial" w:hAnsi="Arial" w:cs="Arial"/>
          <w:sz w:val="22"/>
          <w:szCs w:val="22"/>
          <w:lang w:val="bg-BG"/>
        </w:rPr>
        <w:t>BG2100026173</w:t>
      </w:r>
      <w:r w:rsidRPr="00E36286">
        <w:rPr>
          <w:rFonts w:ascii="Arial" w:hAnsi="Arial" w:cs="Arial"/>
          <w:sz w:val="22"/>
          <w:szCs w:val="22"/>
        </w:rPr>
        <w:t>, емитирани от</w:t>
      </w:r>
      <w:r w:rsidR="00DC70E5" w:rsidRPr="00DC70E5">
        <w:rPr>
          <w:rFonts w:ascii="Arial" w:hAnsi="Arial" w:cs="Arial"/>
          <w:sz w:val="22"/>
          <w:szCs w:val="22"/>
          <w:lang w:val="bg-BG"/>
        </w:rPr>
        <w:t xml:space="preserve"> </w:t>
      </w:r>
      <w:r w:rsidR="008D0EDE">
        <w:rPr>
          <w:rFonts w:ascii="Arial" w:hAnsi="Arial" w:cs="Arial"/>
          <w:sz w:val="22"/>
          <w:szCs w:val="22"/>
        </w:rPr>
        <w:t>АДАРА АД</w:t>
      </w:r>
      <w:r w:rsidRPr="00E36286">
        <w:rPr>
          <w:rFonts w:ascii="Arial" w:hAnsi="Arial" w:cs="Arial"/>
          <w:sz w:val="22"/>
          <w:szCs w:val="22"/>
        </w:rPr>
        <w:t xml:space="preserve"> на </w:t>
      </w:r>
      <w:r w:rsidR="00800B73">
        <w:rPr>
          <w:rFonts w:ascii="Arial" w:hAnsi="Arial" w:cs="Arial"/>
          <w:sz w:val="22"/>
          <w:szCs w:val="22"/>
          <w:lang w:val="bg-BG"/>
        </w:rPr>
        <w:t>2</w:t>
      </w:r>
      <w:r w:rsidR="001C252C">
        <w:rPr>
          <w:rFonts w:ascii="Arial" w:hAnsi="Arial" w:cs="Arial"/>
          <w:sz w:val="22"/>
          <w:szCs w:val="22"/>
        </w:rPr>
        <w:t>0</w:t>
      </w:r>
      <w:r w:rsidRPr="00E36286">
        <w:rPr>
          <w:rFonts w:ascii="Arial" w:hAnsi="Arial" w:cs="Arial"/>
          <w:sz w:val="22"/>
          <w:szCs w:val="22"/>
        </w:rPr>
        <w:t>.</w:t>
      </w:r>
      <w:r w:rsidR="00800B73">
        <w:rPr>
          <w:rFonts w:ascii="Arial" w:hAnsi="Arial" w:cs="Arial"/>
          <w:sz w:val="22"/>
          <w:szCs w:val="22"/>
          <w:lang w:val="bg-BG"/>
        </w:rPr>
        <w:t>1</w:t>
      </w:r>
      <w:r w:rsidR="001C252C">
        <w:rPr>
          <w:rFonts w:ascii="Arial" w:hAnsi="Arial" w:cs="Arial"/>
          <w:sz w:val="22"/>
          <w:szCs w:val="22"/>
        </w:rPr>
        <w:t>2</w:t>
      </w:r>
      <w:r w:rsidRPr="00E36286">
        <w:rPr>
          <w:rFonts w:ascii="Arial" w:hAnsi="Arial" w:cs="Arial"/>
          <w:sz w:val="22"/>
          <w:szCs w:val="22"/>
        </w:rPr>
        <w:t>.2017г.</w:t>
      </w:r>
    </w:p>
    <w:p w:rsidR="00D40892" w:rsidRDefault="00D40892" w:rsidP="00D40892">
      <w:pPr>
        <w:tabs>
          <w:tab w:val="left" w:pos="1112"/>
        </w:tabs>
        <w:jc w:val="both"/>
        <w:rPr>
          <w:rFonts w:ascii="Arial" w:hAnsi="Arial" w:cs="Arial"/>
          <w:sz w:val="22"/>
          <w:szCs w:val="22"/>
        </w:rPr>
      </w:pPr>
    </w:p>
    <w:p w:rsidR="00D9764F" w:rsidRPr="00E36286" w:rsidRDefault="00D9764F" w:rsidP="00D9764F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D9764F" w:rsidRPr="00E36286" w:rsidRDefault="00D9764F" w:rsidP="00D9764F">
      <w:pPr>
        <w:pStyle w:val="1"/>
        <w:numPr>
          <w:ilvl w:val="0"/>
          <w:numId w:val="1"/>
        </w:numPr>
        <w:spacing w:before="0" w:line="240" w:lineRule="auto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E36286">
        <w:rPr>
          <w:rFonts w:ascii="Arial" w:hAnsi="Arial" w:cs="Arial"/>
          <w:color w:val="auto"/>
          <w:sz w:val="22"/>
          <w:szCs w:val="22"/>
        </w:rPr>
        <w:t>Финансово състояние на емитента на облигациите.</w:t>
      </w:r>
    </w:p>
    <w:p w:rsidR="00E36286" w:rsidRDefault="00E36286" w:rsidP="00A65AD0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:rsidR="00463111" w:rsidRPr="0069628F" w:rsidRDefault="004137DD" w:rsidP="00A65AD0">
      <w:pPr>
        <w:pStyle w:val="a6"/>
        <w:spacing w:after="0" w:line="240" w:lineRule="auto"/>
        <w:ind w:left="0"/>
        <w:jc w:val="both"/>
        <w:rPr>
          <w:rStyle w:val="a9"/>
          <w:rFonts w:ascii="Arial" w:hAnsi="Arial" w:cs="Arial"/>
          <w:b w:val="0"/>
          <w:spacing w:val="3"/>
          <w:shd w:val="clear" w:color="auto" w:fill="FFFFFF"/>
        </w:rPr>
      </w:pPr>
      <w:r>
        <w:rPr>
          <w:rFonts w:ascii="Arial" w:hAnsi="Arial" w:cs="Arial"/>
          <w:lang w:val="en-US"/>
        </w:rPr>
        <w:t>О</w:t>
      </w:r>
      <w:r w:rsidR="009D7A61">
        <w:rPr>
          <w:rFonts w:ascii="Arial" w:hAnsi="Arial" w:cs="Arial"/>
        </w:rPr>
        <w:t>сновната</w:t>
      </w:r>
      <w:r w:rsidR="00D9764F" w:rsidRPr="000D4C70">
        <w:rPr>
          <w:rFonts w:ascii="Arial" w:hAnsi="Arial" w:cs="Arial"/>
        </w:rPr>
        <w:t xml:space="preserve"> дейност</w:t>
      </w:r>
      <w:r w:rsidR="009D7A61">
        <w:rPr>
          <w:rFonts w:ascii="Arial" w:hAnsi="Arial" w:cs="Arial"/>
        </w:rPr>
        <w:t xml:space="preserve"> на</w:t>
      </w:r>
      <w:r w:rsidR="009D7A61" w:rsidRPr="009D7A61">
        <w:rPr>
          <w:rFonts w:ascii="Arial" w:hAnsi="Arial" w:cs="Arial"/>
        </w:rPr>
        <w:t xml:space="preserve"> </w:t>
      </w:r>
      <w:r w:rsidR="009D7A61" w:rsidRPr="000D4C70">
        <w:rPr>
          <w:rFonts w:ascii="Arial" w:hAnsi="Arial" w:cs="Arial"/>
        </w:rPr>
        <w:t>АДАРА АД</w:t>
      </w:r>
      <w:r w:rsidR="009D7A61">
        <w:rPr>
          <w:rFonts w:ascii="Arial" w:hAnsi="Arial" w:cs="Arial"/>
        </w:rPr>
        <w:t xml:space="preserve"> и неговите дъщерни предприятия се състои от</w:t>
      </w:r>
      <w:r w:rsidR="00D9764F" w:rsidRPr="000D4C70">
        <w:rPr>
          <w:rFonts w:ascii="Arial" w:hAnsi="Arial" w:cs="Arial"/>
        </w:rPr>
        <w:t>:</w:t>
      </w:r>
      <w:r w:rsidR="000200FE" w:rsidRPr="000D4C70">
        <w:rPr>
          <w:rFonts w:ascii="Arial" w:hAnsi="Arial" w:cs="Arial"/>
          <w:lang w:val="en-US"/>
        </w:rPr>
        <w:t xml:space="preserve"> </w:t>
      </w:r>
      <w:r w:rsidR="00942C11">
        <w:rPr>
          <w:rFonts w:ascii="Arial" w:hAnsi="Arial" w:cs="Arial"/>
        </w:rPr>
        <w:t xml:space="preserve">придобиване, </w:t>
      </w:r>
      <w:r w:rsidR="00E03A1E">
        <w:rPr>
          <w:rFonts w:ascii="Arial" w:hAnsi="Arial" w:cs="Arial"/>
        </w:rPr>
        <w:t xml:space="preserve">управление, </w:t>
      </w:r>
      <w:r w:rsidR="00942C11">
        <w:rPr>
          <w:rFonts w:ascii="Arial" w:hAnsi="Arial" w:cs="Arial"/>
        </w:rPr>
        <w:t>оценка и продажба на участия в бълг</w:t>
      </w:r>
      <w:r w:rsidR="00FB359C">
        <w:rPr>
          <w:rFonts w:ascii="Arial" w:hAnsi="Arial" w:cs="Arial"/>
        </w:rPr>
        <w:t xml:space="preserve">арски и чуждестранни дружества; </w:t>
      </w:r>
      <w:r w:rsidR="00A759B2">
        <w:rPr>
          <w:rFonts w:ascii="Arial" w:hAnsi="Arial" w:cs="Arial"/>
        </w:rPr>
        <w:t>п</w:t>
      </w:r>
      <w:r w:rsidR="000D4C70" w:rsidRPr="000D4C70">
        <w:rPr>
          <w:rStyle w:val="a9"/>
          <w:rFonts w:ascii="Arial" w:hAnsi="Arial" w:cs="Arial"/>
          <w:b w:val="0"/>
          <w:spacing w:val="3"/>
          <w:shd w:val="clear" w:color="auto" w:fill="FFFFFF"/>
        </w:rPr>
        <w:t>окупка на стоки или други вещи с цел да ги препродаде в първоначален, преработен или обработен вид, търговско представителство и посредничество, комисионни сделки, други спомагателни бизнес услуги, отдаване под наем и управление на недвижими имоти</w:t>
      </w:r>
      <w:r w:rsidR="00986158">
        <w:rPr>
          <w:rStyle w:val="a9"/>
          <w:rFonts w:ascii="Arial" w:hAnsi="Arial" w:cs="Arial"/>
          <w:b w:val="0"/>
          <w:spacing w:val="3"/>
          <w:shd w:val="clear" w:color="auto" w:fill="FFFFFF"/>
        </w:rPr>
        <w:t xml:space="preserve"> </w:t>
      </w:r>
      <w:r w:rsidR="000D4C70" w:rsidRPr="000D4C70">
        <w:rPr>
          <w:rStyle w:val="a9"/>
          <w:rFonts w:ascii="Arial" w:hAnsi="Arial" w:cs="Arial"/>
          <w:b w:val="0"/>
          <w:spacing w:val="3"/>
          <w:shd w:val="clear" w:color="auto" w:fill="FFFFFF"/>
        </w:rPr>
        <w:t>и всякаква друга дейност, незабранена със закон.</w:t>
      </w:r>
    </w:p>
    <w:p w:rsidR="006820C4" w:rsidRPr="006820C4" w:rsidRDefault="006820C4" w:rsidP="00A65AD0">
      <w:pPr>
        <w:pStyle w:val="a6"/>
        <w:spacing w:after="0" w:line="240" w:lineRule="auto"/>
        <w:ind w:left="0"/>
        <w:jc w:val="both"/>
        <w:rPr>
          <w:rStyle w:val="a9"/>
          <w:rFonts w:ascii="Arial" w:hAnsi="Arial" w:cs="Arial"/>
          <w:b w:val="0"/>
          <w:spacing w:val="3"/>
          <w:shd w:val="clear" w:color="auto" w:fill="FFFFFF"/>
          <w:lang w:val="en-US"/>
        </w:rPr>
      </w:pPr>
    </w:p>
    <w:p w:rsidR="00D9764F" w:rsidRPr="00E36286" w:rsidRDefault="00D9764F" w:rsidP="00D9764F">
      <w:pPr>
        <w:pStyle w:val="2"/>
        <w:keepLines/>
        <w:numPr>
          <w:ilvl w:val="1"/>
          <w:numId w:val="1"/>
        </w:numPr>
        <w:spacing w:before="200" w:line="276" w:lineRule="auto"/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t xml:space="preserve">Анализ на активите на </w:t>
      </w:r>
      <w:r w:rsidR="008D0EDE">
        <w:rPr>
          <w:rFonts w:ascii="Arial" w:hAnsi="Arial" w:cs="Arial"/>
          <w:sz w:val="22"/>
          <w:szCs w:val="22"/>
        </w:rPr>
        <w:t>АДАРА АД</w:t>
      </w:r>
    </w:p>
    <w:p w:rsidR="00E36286" w:rsidRDefault="00E36286" w:rsidP="00A65AD0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:rsidR="00683AFE" w:rsidRDefault="00D9764F" w:rsidP="00E3628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 xml:space="preserve">Към </w:t>
      </w:r>
      <w:r w:rsidR="00AD67DE" w:rsidRPr="00E36286">
        <w:rPr>
          <w:rFonts w:ascii="Arial" w:hAnsi="Arial" w:cs="Arial"/>
        </w:rPr>
        <w:t>3</w:t>
      </w:r>
      <w:r w:rsidR="001F09A6">
        <w:rPr>
          <w:rFonts w:ascii="Arial" w:hAnsi="Arial" w:cs="Arial"/>
          <w:lang w:val="en-US"/>
        </w:rPr>
        <w:t>1</w:t>
      </w:r>
      <w:r w:rsidR="00AD67DE" w:rsidRPr="00E36286">
        <w:rPr>
          <w:rFonts w:ascii="Arial" w:hAnsi="Arial" w:cs="Arial"/>
        </w:rPr>
        <w:t>.</w:t>
      </w:r>
      <w:r w:rsidR="001F09A6">
        <w:rPr>
          <w:rFonts w:ascii="Arial" w:hAnsi="Arial" w:cs="Arial"/>
          <w:lang w:val="en-US"/>
        </w:rPr>
        <w:t>12</w:t>
      </w:r>
      <w:r w:rsidR="00AD67DE" w:rsidRPr="00E36286">
        <w:rPr>
          <w:rFonts w:ascii="Arial" w:hAnsi="Arial" w:cs="Arial"/>
        </w:rPr>
        <w:t>.201</w:t>
      </w:r>
      <w:r w:rsidR="0009236B">
        <w:rPr>
          <w:rFonts w:ascii="Arial" w:hAnsi="Arial" w:cs="Arial"/>
        </w:rPr>
        <w:t>9</w:t>
      </w:r>
      <w:r w:rsidR="00AD67DE" w:rsidRPr="00E36286">
        <w:rPr>
          <w:rFonts w:ascii="Arial" w:hAnsi="Arial" w:cs="Arial"/>
        </w:rPr>
        <w:t>г.</w:t>
      </w:r>
      <w:r w:rsidRPr="00E36286">
        <w:rPr>
          <w:rFonts w:ascii="Arial" w:hAnsi="Arial" w:cs="Arial"/>
        </w:rPr>
        <w:t xml:space="preserve"> </w:t>
      </w:r>
      <w:r w:rsidR="003445E7">
        <w:rPr>
          <w:rFonts w:ascii="Arial" w:hAnsi="Arial" w:cs="Arial"/>
        </w:rPr>
        <w:t xml:space="preserve">балансовото число </w:t>
      </w:r>
      <w:r w:rsidRPr="00E36286">
        <w:rPr>
          <w:rFonts w:ascii="Arial" w:hAnsi="Arial" w:cs="Arial"/>
        </w:rPr>
        <w:t xml:space="preserve">на </w:t>
      </w:r>
      <w:r w:rsidR="008D0EDE">
        <w:rPr>
          <w:rFonts w:ascii="Arial" w:hAnsi="Arial" w:cs="Arial"/>
        </w:rPr>
        <w:t>АДАРА АД</w:t>
      </w:r>
      <w:r w:rsidR="00AD67DE" w:rsidRPr="00E36286">
        <w:rPr>
          <w:rFonts w:ascii="Arial" w:hAnsi="Arial" w:cs="Arial"/>
        </w:rPr>
        <w:t xml:space="preserve"> </w:t>
      </w:r>
      <w:r w:rsidR="00F57B60">
        <w:rPr>
          <w:rFonts w:ascii="Arial" w:hAnsi="Arial" w:cs="Arial"/>
          <w:lang w:val="en-US"/>
        </w:rPr>
        <w:t>се понижава</w:t>
      </w:r>
      <w:r w:rsidR="00572B80">
        <w:rPr>
          <w:rFonts w:ascii="Arial" w:hAnsi="Arial" w:cs="Arial"/>
        </w:rPr>
        <w:t xml:space="preserve"> </w:t>
      </w:r>
      <w:r w:rsidR="00F57B60">
        <w:rPr>
          <w:rFonts w:ascii="Arial" w:hAnsi="Arial" w:cs="Arial"/>
          <w:lang w:val="en-US"/>
        </w:rPr>
        <w:t xml:space="preserve">с </w:t>
      </w:r>
      <w:r w:rsidR="00572B80">
        <w:rPr>
          <w:rFonts w:ascii="Arial" w:hAnsi="Arial" w:cs="Arial"/>
        </w:rPr>
        <w:t>9</w:t>
      </w:r>
      <w:r w:rsidR="00121949">
        <w:rPr>
          <w:rFonts w:ascii="Arial" w:hAnsi="Arial" w:cs="Arial"/>
          <w:lang w:val="en-US"/>
        </w:rPr>
        <w:t>.</w:t>
      </w:r>
      <w:r w:rsidR="00F57B60">
        <w:rPr>
          <w:rFonts w:ascii="Arial" w:hAnsi="Arial" w:cs="Arial"/>
          <w:lang w:val="en-US"/>
        </w:rPr>
        <w:t>59</w:t>
      </w:r>
      <w:r w:rsidR="00572B80">
        <w:rPr>
          <w:rFonts w:ascii="Arial" w:hAnsi="Arial" w:cs="Arial"/>
        </w:rPr>
        <w:t>%</w:t>
      </w:r>
      <w:r w:rsidR="00F57B60">
        <w:rPr>
          <w:rFonts w:ascii="Arial" w:hAnsi="Arial" w:cs="Arial"/>
          <w:lang w:val="en-US"/>
        </w:rPr>
        <w:t>,</w:t>
      </w:r>
      <w:r w:rsidR="00683AFE" w:rsidRPr="00683AFE">
        <w:rPr>
          <w:rFonts w:ascii="Arial" w:hAnsi="Arial" w:cs="Arial"/>
        </w:rPr>
        <w:t xml:space="preserve"> </w:t>
      </w:r>
      <w:r w:rsidR="00C51793">
        <w:rPr>
          <w:rFonts w:ascii="Arial" w:hAnsi="Arial" w:cs="Arial"/>
        </w:rPr>
        <w:t xml:space="preserve">до ниво от </w:t>
      </w:r>
      <w:r w:rsidR="00F57B60">
        <w:rPr>
          <w:rFonts w:ascii="Arial" w:hAnsi="Arial" w:cs="Arial"/>
          <w:lang w:val="en-US"/>
        </w:rPr>
        <w:t>83</w:t>
      </w:r>
      <w:r w:rsidR="00C51793">
        <w:rPr>
          <w:rFonts w:ascii="Arial" w:hAnsi="Arial" w:cs="Arial"/>
        </w:rPr>
        <w:t>,</w:t>
      </w:r>
      <w:r w:rsidR="00F57B60">
        <w:rPr>
          <w:rFonts w:ascii="Arial" w:hAnsi="Arial" w:cs="Arial"/>
          <w:lang w:val="en-US"/>
        </w:rPr>
        <w:t>491</w:t>
      </w:r>
      <w:r w:rsidR="0069628F">
        <w:rPr>
          <w:rFonts w:ascii="Arial" w:hAnsi="Arial" w:cs="Arial"/>
        </w:rPr>
        <w:t xml:space="preserve"> млн. лева</w:t>
      </w:r>
      <w:r w:rsidR="00C350DE">
        <w:rPr>
          <w:rFonts w:ascii="Arial" w:hAnsi="Arial" w:cs="Arial"/>
        </w:rPr>
        <w:t xml:space="preserve"> </w:t>
      </w:r>
      <w:r w:rsidR="0069628F" w:rsidRPr="00E36286">
        <w:rPr>
          <w:rFonts w:ascii="Arial" w:hAnsi="Arial" w:cs="Arial"/>
        </w:rPr>
        <w:t xml:space="preserve">спрямо </w:t>
      </w:r>
      <w:r w:rsidR="00F57B60" w:rsidRPr="00F57B60">
        <w:rPr>
          <w:rFonts w:ascii="Arial" w:hAnsi="Arial" w:cs="Arial"/>
        </w:rPr>
        <w:t>92,345</w:t>
      </w:r>
      <w:r w:rsidR="0069628F">
        <w:rPr>
          <w:rFonts w:ascii="Arial" w:hAnsi="Arial" w:cs="Arial"/>
        </w:rPr>
        <w:t xml:space="preserve"> млн. лева към </w:t>
      </w:r>
      <w:r w:rsidR="0069628F" w:rsidRPr="00E36286">
        <w:rPr>
          <w:rFonts w:ascii="Arial" w:hAnsi="Arial" w:cs="Arial"/>
        </w:rPr>
        <w:t>3</w:t>
      </w:r>
      <w:r w:rsidR="0069628F">
        <w:rPr>
          <w:rFonts w:ascii="Arial" w:hAnsi="Arial" w:cs="Arial"/>
        </w:rPr>
        <w:t>0</w:t>
      </w:r>
      <w:r w:rsidR="0069628F" w:rsidRPr="00E36286">
        <w:rPr>
          <w:rFonts w:ascii="Arial" w:hAnsi="Arial" w:cs="Arial"/>
        </w:rPr>
        <w:t>.</w:t>
      </w:r>
      <w:r w:rsidR="0069628F">
        <w:rPr>
          <w:rFonts w:ascii="Arial" w:hAnsi="Arial" w:cs="Arial"/>
        </w:rPr>
        <w:t>0</w:t>
      </w:r>
      <w:r w:rsidR="00F57B60">
        <w:rPr>
          <w:rFonts w:ascii="Arial" w:hAnsi="Arial" w:cs="Arial"/>
          <w:lang w:val="en-US"/>
        </w:rPr>
        <w:t>9</w:t>
      </w:r>
      <w:r w:rsidR="0069628F">
        <w:rPr>
          <w:rFonts w:ascii="Arial" w:hAnsi="Arial" w:cs="Arial"/>
        </w:rPr>
        <w:t>.2019</w:t>
      </w:r>
      <w:r w:rsidR="0069628F" w:rsidRPr="00E36286">
        <w:rPr>
          <w:rFonts w:ascii="Arial" w:hAnsi="Arial" w:cs="Arial"/>
        </w:rPr>
        <w:t>г.</w:t>
      </w:r>
    </w:p>
    <w:p w:rsidR="00683AFE" w:rsidRDefault="00683AFE" w:rsidP="00E3628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:rsidR="00572B80" w:rsidRPr="00F57B60" w:rsidRDefault="00F57B60" w:rsidP="00E3628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След р</w:t>
      </w:r>
      <w:r w:rsidR="00572B80">
        <w:rPr>
          <w:rFonts w:ascii="Arial" w:hAnsi="Arial" w:cs="Arial"/>
        </w:rPr>
        <w:t>язкото нарастване</w:t>
      </w:r>
      <w:r>
        <w:rPr>
          <w:rFonts w:ascii="Arial" w:hAnsi="Arial" w:cs="Arial"/>
          <w:lang w:val="en-US"/>
        </w:rPr>
        <w:t xml:space="preserve"> през третото тримесечие на 2019г.</w:t>
      </w:r>
      <w:r w:rsidR="00572B8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572B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позицията “Инвестиционни имоти“</w:t>
      </w:r>
      <w:r>
        <w:rPr>
          <w:rFonts w:ascii="Arial" w:hAnsi="Arial" w:cs="Arial"/>
          <w:lang w:val="en-US"/>
        </w:rPr>
        <w:t xml:space="preserve">, </w:t>
      </w:r>
      <w:r w:rsidR="00572B80">
        <w:rPr>
          <w:rFonts w:ascii="Arial" w:hAnsi="Arial" w:cs="Arial"/>
        </w:rPr>
        <w:t>свързано с придобиването</w:t>
      </w:r>
      <w:r w:rsidR="005416A4">
        <w:rPr>
          <w:rFonts w:ascii="Arial" w:hAnsi="Arial" w:cs="Arial"/>
        </w:rPr>
        <w:t>,</w:t>
      </w:r>
      <w:r w:rsidR="00572B80">
        <w:rPr>
          <w:rFonts w:ascii="Arial" w:hAnsi="Arial" w:cs="Arial"/>
        </w:rPr>
        <w:t xml:space="preserve"> през месец септември 2019г.</w:t>
      </w:r>
      <w:r w:rsidR="005416A4">
        <w:rPr>
          <w:rFonts w:ascii="Arial" w:hAnsi="Arial" w:cs="Arial"/>
        </w:rPr>
        <w:t>,</w:t>
      </w:r>
      <w:r w:rsidR="00572B80">
        <w:rPr>
          <w:rFonts w:ascii="Arial" w:hAnsi="Arial" w:cs="Arial"/>
        </w:rPr>
        <w:t xml:space="preserve"> на </w:t>
      </w:r>
      <w:r w:rsidR="00F17F40">
        <w:rPr>
          <w:rFonts w:ascii="Arial" w:hAnsi="Arial" w:cs="Arial"/>
        </w:rPr>
        <w:t>100% дял в дружеството Хит Иммобил</w:t>
      </w:r>
      <w:r w:rsidR="000A2071">
        <w:rPr>
          <w:rFonts w:ascii="Arial" w:hAnsi="Arial" w:cs="Arial"/>
        </w:rPr>
        <w:t>и</w:t>
      </w:r>
      <w:r w:rsidR="00F17F40">
        <w:rPr>
          <w:rFonts w:ascii="Arial" w:hAnsi="Arial" w:cs="Arial"/>
        </w:rPr>
        <w:t>ен</w:t>
      </w:r>
      <w:r w:rsidR="000A2071">
        <w:rPr>
          <w:rFonts w:ascii="Arial" w:hAnsi="Arial" w:cs="Arial"/>
        </w:rPr>
        <w:t xml:space="preserve"> София ЕООД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нетекущите активи</w:t>
      </w:r>
      <w:r>
        <w:rPr>
          <w:rFonts w:ascii="Arial" w:hAnsi="Arial" w:cs="Arial"/>
          <w:lang w:val="en-US"/>
        </w:rPr>
        <w:t xml:space="preserve"> са без промяна през четвъртото тримесечие</w:t>
      </w:r>
      <w:r w:rsidR="00BE4058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на ниво от 41,729 млн. лева</w:t>
      </w:r>
      <w:r w:rsidR="00BE4058" w:rsidRPr="00BE4058">
        <w:rPr>
          <w:rFonts w:ascii="Arial" w:hAnsi="Arial" w:cs="Arial"/>
          <w:lang w:val="en-US"/>
        </w:rPr>
        <w:t xml:space="preserve"> </w:t>
      </w:r>
      <w:r w:rsidR="00BE4058">
        <w:rPr>
          <w:rFonts w:ascii="Arial" w:hAnsi="Arial" w:cs="Arial"/>
          <w:lang w:val="en-US"/>
        </w:rPr>
        <w:t>към 31.12.2019г.</w:t>
      </w:r>
    </w:p>
    <w:p w:rsidR="00572B80" w:rsidRDefault="00572B80" w:rsidP="00E3628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:rsidR="001F5FF8" w:rsidRPr="00E32D18" w:rsidRDefault="00E32D18" w:rsidP="00E36286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>Спадът</w:t>
      </w:r>
      <w:r w:rsidR="00683AFE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от почти 9 млн. лева </w:t>
      </w:r>
      <w:r w:rsidR="00683AFE">
        <w:rPr>
          <w:rFonts w:ascii="Arial" w:hAnsi="Arial" w:cs="Arial"/>
        </w:rPr>
        <w:t>при</w:t>
      </w:r>
      <w:r w:rsidR="00152907" w:rsidRPr="00152907">
        <w:rPr>
          <w:rFonts w:ascii="Arial" w:hAnsi="Arial" w:cs="Arial"/>
          <w:color w:val="000000"/>
        </w:rPr>
        <w:t xml:space="preserve"> </w:t>
      </w:r>
      <w:r w:rsidR="00683AFE">
        <w:rPr>
          <w:rFonts w:ascii="Arial" w:hAnsi="Arial" w:cs="Arial"/>
          <w:color w:val="000000"/>
        </w:rPr>
        <w:t>п</w:t>
      </w:r>
      <w:r w:rsidR="00EC564D">
        <w:rPr>
          <w:rFonts w:ascii="Arial" w:hAnsi="Arial" w:cs="Arial"/>
          <w:color w:val="000000"/>
        </w:rPr>
        <w:t>озицията</w:t>
      </w:r>
      <w:r w:rsidR="00A61C53">
        <w:rPr>
          <w:rFonts w:ascii="Arial" w:hAnsi="Arial" w:cs="Arial"/>
          <w:color w:val="000000"/>
        </w:rPr>
        <w:t xml:space="preserve"> </w:t>
      </w:r>
      <w:r w:rsidR="00765B6E" w:rsidRPr="00BB02E9">
        <w:rPr>
          <w:rFonts w:ascii="Arial" w:hAnsi="Arial" w:cs="Arial"/>
          <w:color w:val="000000"/>
        </w:rPr>
        <w:t>“Търговски  вземания“</w:t>
      </w:r>
      <w:r w:rsidR="00683AFE">
        <w:rPr>
          <w:rFonts w:ascii="Arial" w:hAnsi="Arial" w:cs="Arial"/>
          <w:color w:val="000000"/>
        </w:rPr>
        <w:t xml:space="preserve"> /</w:t>
      </w:r>
      <w:r>
        <w:rPr>
          <w:rFonts w:ascii="Arial" w:hAnsi="Arial" w:cs="Arial"/>
          <w:color w:val="000000"/>
          <w:lang w:val="en-US"/>
        </w:rPr>
        <w:t>-2</w:t>
      </w:r>
      <w:r w:rsidR="007D2584">
        <w:rPr>
          <w:rFonts w:ascii="Arial" w:hAnsi="Arial" w:cs="Arial"/>
          <w:color w:val="000000"/>
        </w:rPr>
        <w:t>7</w:t>
      </w:r>
      <w:r w:rsidR="00321E3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val="en-US"/>
        </w:rPr>
        <w:t>74</w:t>
      </w:r>
      <w:r w:rsidR="00A61C53">
        <w:rPr>
          <w:rFonts w:ascii="Arial" w:hAnsi="Arial" w:cs="Arial"/>
          <w:color w:val="000000"/>
        </w:rPr>
        <w:t>%</w:t>
      </w:r>
      <w:r w:rsidR="00683AFE">
        <w:rPr>
          <w:rFonts w:ascii="Arial" w:hAnsi="Arial" w:cs="Arial"/>
          <w:color w:val="000000"/>
        </w:rPr>
        <w:t>/</w:t>
      </w:r>
      <w:r w:rsidR="00AF0A10">
        <w:rPr>
          <w:rFonts w:ascii="Arial" w:hAnsi="Arial" w:cs="Arial"/>
          <w:color w:val="000000"/>
        </w:rPr>
        <w:t>,</w:t>
      </w:r>
      <w:r w:rsidR="00152907">
        <w:rPr>
          <w:rFonts w:ascii="Arial" w:hAnsi="Arial" w:cs="Arial"/>
          <w:color w:val="000000"/>
        </w:rPr>
        <w:t xml:space="preserve"> до ниво от </w:t>
      </w:r>
      <w:r>
        <w:rPr>
          <w:rFonts w:ascii="Arial" w:hAnsi="Arial" w:cs="Arial"/>
          <w:color w:val="000000"/>
        </w:rPr>
        <w:t>23,</w:t>
      </w:r>
      <w:r>
        <w:rPr>
          <w:rFonts w:ascii="Arial" w:hAnsi="Arial" w:cs="Arial"/>
          <w:color w:val="000000"/>
          <w:lang w:val="en-US"/>
        </w:rPr>
        <w:t xml:space="preserve">142 </w:t>
      </w:r>
      <w:r w:rsidR="007C2371">
        <w:rPr>
          <w:rFonts w:ascii="Arial" w:hAnsi="Arial" w:cs="Arial"/>
          <w:color w:val="000000"/>
        </w:rPr>
        <w:t>млн. лева</w:t>
      </w:r>
      <w:r>
        <w:rPr>
          <w:rFonts w:ascii="Arial" w:hAnsi="Arial" w:cs="Arial"/>
          <w:color w:val="000000"/>
        </w:rPr>
        <w:t xml:space="preserve"> спрямо</w:t>
      </w:r>
      <w:r w:rsidR="001529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32,024</w:t>
      </w:r>
      <w:r>
        <w:rPr>
          <w:rFonts w:ascii="Arial" w:hAnsi="Arial" w:cs="Arial"/>
          <w:color w:val="000000"/>
          <w:lang w:val="en-US"/>
        </w:rPr>
        <w:t xml:space="preserve"> </w:t>
      </w:r>
      <w:r w:rsidR="00152907">
        <w:rPr>
          <w:rFonts w:ascii="Arial" w:hAnsi="Arial" w:cs="Arial"/>
          <w:color w:val="000000"/>
        </w:rPr>
        <w:t>млн. лева</w:t>
      </w:r>
      <w:r w:rsidR="007D2584">
        <w:rPr>
          <w:rFonts w:ascii="Arial" w:hAnsi="Arial" w:cs="Arial"/>
          <w:color w:val="000000"/>
        </w:rPr>
        <w:t xml:space="preserve"> към 30.0</w:t>
      </w:r>
      <w:r>
        <w:rPr>
          <w:rFonts w:ascii="Arial" w:hAnsi="Arial" w:cs="Arial"/>
          <w:color w:val="000000"/>
          <w:lang w:val="en-US"/>
        </w:rPr>
        <w:t>9</w:t>
      </w:r>
      <w:r w:rsidR="007D2584">
        <w:rPr>
          <w:rFonts w:ascii="Arial" w:hAnsi="Arial" w:cs="Arial"/>
          <w:color w:val="000000"/>
        </w:rPr>
        <w:t xml:space="preserve">.2019г. </w:t>
      </w:r>
      <w:r>
        <w:rPr>
          <w:rFonts w:ascii="Arial" w:hAnsi="Arial" w:cs="Arial"/>
          <w:color w:val="000000"/>
          <w:lang w:val="en-US"/>
        </w:rPr>
        <w:t xml:space="preserve">е </w:t>
      </w:r>
      <w:r>
        <w:rPr>
          <w:rFonts w:ascii="Arial" w:hAnsi="Arial" w:cs="Arial"/>
        </w:rPr>
        <w:t>основ</w:t>
      </w:r>
      <w:r>
        <w:rPr>
          <w:rFonts w:ascii="Arial" w:hAnsi="Arial" w:cs="Arial"/>
          <w:lang w:val="en-US"/>
        </w:rPr>
        <w:t>н</w:t>
      </w:r>
      <w:r>
        <w:rPr>
          <w:rFonts w:ascii="Arial" w:hAnsi="Arial" w:cs="Arial"/>
        </w:rPr>
        <w:t>ата промяна</w:t>
      </w:r>
      <w:r>
        <w:rPr>
          <w:rFonts w:ascii="Arial" w:hAnsi="Arial" w:cs="Arial"/>
          <w:lang w:val="en-US"/>
        </w:rPr>
        <w:t xml:space="preserve"> при активите на дружеството. </w:t>
      </w:r>
      <w:r w:rsidR="00BE4058">
        <w:rPr>
          <w:rFonts w:ascii="Arial" w:hAnsi="Arial" w:cs="Arial"/>
          <w:lang w:val="en-US"/>
        </w:rPr>
        <w:t>След скока през третото тримесечие на 2019г., т</w:t>
      </w:r>
      <w:r>
        <w:rPr>
          <w:rFonts w:ascii="Arial" w:hAnsi="Arial" w:cs="Arial"/>
          <w:lang w:val="en-US"/>
        </w:rPr>
        <w:t>ази позиция се връща на нивото си от 30.06.2019г.</w:t>
      </w:r>
    </w:p>
    <w:p w:rsidR="007D2584" w:rsidRDefault="007D2584" w:rsidP="00E36286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D2584" w:rsidRPr="00BB02E9" w:rsidRDefault="007D2584" w:rsidP="00E3628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структурно отношение </w:t>
      </w:r>
      <w:r w:rsidR="00BA0981">
        <w:rPr>
          <w:rFonts w:ascii="Arial" w:hAnsi="Arial" w:cs="Arial"/>
          <w:lang w:val="en-US"/>
        </w:rPr>
        <w:t>на практика е налице паритет между</w:t>
      </w:r>
      <w:r>
        <w:rPr>
          <w:rFonts w:ascii="Arial" w:hAnsi="Arial" w:cs="Arial"/>
        </w:rPr>
        <w:t xml:space="preserve"> </w:t>
      </w:r>
      <w:r w:rsidR="00BA0981">
        <w:rPr>
          <w:rFonts w:ascii="Arial" w:hAnsi="Arial" w:cs="Arial"/>
          <w:lang w:val="en-US"/>
        </w:rPr>
        <w:t xml:space="preserve">краткосрочните и дългосрочните активи, като </w:t>
      </w:r>
      <w:r w:rsidR="00BA0981">
        <w:rPr>
          <w:rFonts w:ascii="Arial" w:hAnsi="Arial" w:cs="Arial"/>
        </w:rPr>
        <w:t>текущите</w:t>
      </w:r>
      <w:r w:rsidR="00BA0981">
        <w:rPr>
          <w:rFonts w:ascii="Arial" w:hAnsi="Arial" w:cs="Arial"/>
          <w:lang w:val="en-US"/>
        </w:rPr>
        <w:t xml:space="preserve"> са </w:t>
      </w:r>
      <w:r w:rsidR="00BA0981" w:rsidRPr="00BA0981">
        <w:rPr>
          <w:rFonts w:ascii="Arial" w:hAnsi="Arial" w:cs="Arial"/>
          <w:lang w:val="en-US"/>
        </w:rPr>
        <w:t>с дял от 5</w:t>
      </w:r>
      <w:r w:rsidR="00BA0981">
        <w:rPr>
          <w:rFonts w:ascii="Arial" w:hAnsi="Arial" w:cs="Arial"/>
          <w:lang w:val="en-US"/>
        </w:rPr>
        <w:t>0</w:t>
      </w:r>
      <w:r w:rsidR="00BA0981" w:rsidRPr="00BA0981">
        <w:rPr>
          <w:rFonts w:ascii="Arial" w:hAnsi="Arial" w:cs="Arial"/>
          <w:lang w:val="en-US"/>
        </w:rPr>
        <w:t>.</w:t>
      </w:r>
      <w:r w:rsidR="00BA0981">
        <w:rPr>
          <w:rFonts w:ascii="Arial" w:hAnsi="Arial" w:cs="Arial"/>
          <w:lang w:val="en-US"/>
        </w:rPr>
        <w:t>02</w:t>
      </w:r>
      <w:r w:rsidR="00BA0981" w:rsidRPr="00BA0981">
        <w:rPr>
          <w:rFonts w:ascii="Arial" w:hAnsi="Arial" w:cs="Arial"/>
          <w:lang w:val="en-US"/>
        </w:rPr>
        <w:t>%</w:t>
      </w:r>
      <w:r w:rsidR="00BA0981">
        <w:rPr>
          <w:rFonts w:ascii="Arial" w:hAnsi="Arial" w:cs="Arial"/>
          <w:lang w:val="en-US"/>
        </w:rPr>
        <w:t>,</w:t>
      </w:r>
      <w:r w:rsidR="00BA0981">
        <w:rPr>
          <w:rFonts w:ascii="Arial" w:hAnsi="Arial" w:cs="Arial"/>
        </w:rPr>
        <w:t xml:space="preserve"> </w:t>
      </w:r>
      <w:r w:rsidR="00BA0981">
        <w:rPr>
          <w:rFonts w:ascii="Arial" w:hAnsi="Arial" w:cs="Arial"/>
          <w:lang w:val="en-US"/>
        </w:rPr>
        <w:t xml:space="preserve">а </w:t>
      </w:r>
      <w:r>
        <w:rPr>
          <w:rFonts w:ascii="Arial" w:hAnsi="Arial" w:cs="Arial"/>
        </w:rPr>
        <w:t>нет</w:t>
      </w:r>
      <w:r w:rsidRPr="00E36286">
        <w:rPr>
          <w:rFonts w:ascii="Arial" w:hAnsi="Arial" w:cs="Arial"/>
        </w:rPr>
        <w:t xml:space="preserve">екущите </w:t>
      </w:r>
      <w:r w:rsidR="00BA0981">
        <w:rPr>
          <w:rFonts w:ascii="Arial" w:hAnsi="Arial" w:cs="Arial"/>
          <w:lang w:val="en-US"/>
        </w:rPr>
        <w:t>са</w:t>
      </w:r>
      <w:r w:rsidRPr="00E36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дял от </w:t>
      </w:r>
      <w:r w:rsidR="00BA0981">
        <w:rPr>
          <w:rFonts w:ascii="Arial" w:hAnsi="Arial" w:cs="Arial"/>
          <w:lang w:val="en-US"/>
        </w:rPr>
        <w:t>49</w:t>
      </w:r>
      <w:r w:rsidR="00321E36">
        <w:rPr>
          <w:rFonts w:ascii="Arial" w:hAnsi="Arial" w:cs="Arial"/>
        </w:rPr>
        <w:t>.</w:t>
      </w:r>
      <w:r w:rsidR="00BA0981">
        <w:rPr>
          <w:rFonts w:ascii="Arial" w:hAnsi="Arial" w:cs="Arial"/>
          <w:lang w:val="en-US"/>
        </w:rPr>
        <w:t>98</w:t>
      </w:r>
      <w:r>
        <w:rPr>
          <w:rFonts w:ascii="Arial" w:hAnsi="Arial" w:cs="Arial"/>
        </w:rPr>
        <w:t xml:space="preserve">% от </w:t>
      </w:r>
      <w:r w:rsidR="00BA0981">
        <w:rPr>
          <w:rFonts w:ascii="Arial" w:hAnsi="Arial" w:cs="Arial"/>
          <w:lang w:val="en-US"/>
        </w:rPr>
        <w:t xml:space="preserve">всички </w:t>
      </w:r>
      <w:r>
        <w:rPr>
          <w:rFonts w:ascii="Arial" w:hAnsi="Arial" w:cs="Arial"/>
        </w:rPr>
        <w:t>активи на емитента.</w:t>
      </w:r>
    </w:p>
    <w:p w:rsidR="00D9764F" w:rsidRDefault="00F30714" w:rsidP="00E3628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9166C" w:rsidRDefault="0069166C" w:rsidP="00E3628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4915" w:type="pct"/>
        <w:tblLook w:val="04A0"/>
      </w:tblPr>
      <w:tblGrid>
        <w:gridCol w:w="3544"/>
        <w:gridCol w:w="1217"/>
        <w:gridCol w:w="1217"/>
        <w:gridCol w:w="1219"/>
        <w:gridCol w:w="1558"/>
      </w:tblGrid>
      <w:tr w:rsidR="008864A0" w:rsidRPr="00E36286" w:rsidTr="00A20003">
        <w:trPr>
          <w:trHeight w:val="415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4A0" w:rsidRPr="00E36286" w:rsidRDefault="008864A0" w:rsidP="006648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Активи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4A0" w:rsidRPr="00E36286" w:rsidRDefault="00A20003" w:rsidP="00B34F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3</w:t>
            </w:r>
            <w:r w:rsidR="00B34F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.</w:t>
            </w:r>
            <w:r w:rsidR="00B34F1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.</w:t>
            </w:r>
            <w:r w:rsidR="008864A0"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3D28B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4A0" w:rsidRPr="00A20003" w:rsidRDefault="00A20003" w:rsidP="00B34F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3</w:t>
            </w:r>
            <w:r w:rsidR="00CF02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.</w:t>
            </w:r>
            <w:r w:rsidR="008613A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B34F1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.</w:t>
            </w:r>
            <w:r w:rsidR="008864A0"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8613A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8864A0" w:rsidRPr="00E36286" w:rsidRDefault="00775195" w:rsidP="004328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3</w:t>
            </w:r>
            <w:r w:rsidR="00B34F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.</w:t>
            </w:r>
            <w:r w:rsidR="00B34F1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A20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.</w:t>
            </w:r>
            <w:r w:rsidR="00A20003"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3D28B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8864A0" w:rsidRPr="00E36286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  <w:r w:rsidR="008864A0"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8864A0" w:rsidRPr="00DC6FBA" w:rsidRDefault="00A20003" w:rsidP="00B34F1C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3</w:t>
            </w:r>
            <w:r w:rsidR="00CF02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.</w:t>
            </w:r>
            <w:r w:rsidR="00CF02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B34F1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.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8613A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4A0" w:rsidRPr="00E36286" w:rsidRDefault="008864A0" w:rsidP="00B34F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% от активите към 3</w:t>
            </w:r>
            <w:r w:rsidR="00B34F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34F1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.201</w:t>
            </w:r>
            <w:r w:rsidR="003D28B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8864A0" w:rsidRPr="00E36286" w:rsidTr="00A20003">
        <w:trPr>
          <w:trHeight w:val="33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4A0" w:rsidRPr="00E36286" w:rsidRDefault="008864A0" w:rsidP="006648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4A0" w:rsidRPr="00E36286" w:rsidRDefault="008864A0" w:rsidP="006648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‘000 лв.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4A0" w:rsidRPr="00E36286" w:rsidRDefault="008864A0" w:rsidP="006648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‘000 лв.</w:t>
            </w:r>
          </w:p>
        </w:tc>
        <w:tc>
          <w:tcPr>
            <w:tcW w:w="6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4A0" w:rsidRPr="00E36286" w:rsidRDefault="008864A0" w:rsidP="008864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A0" w:rsidRPr="00E36286" w:rsidRDefault="008864A0" w:rsidP="006648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4A0" w:rsidRPr="00E36286" w:rsidTr="00A20003">
        <w:trPr>
          <w:trHeight w:val="33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06B" w:rsidRPr="00E36286" w:rsidRDefault="001F606B" w:rsidP="00A110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Нетекущи активи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06B" w:rsidRPr="00E36286" w:rsidRDefault="001F606B" w:rsidP="00A110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06B" w:rsidRPr="00E36286" w:rsidRDefault="001F606B" w:rsidP="00A110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06B" w:rsidRPr="00FD28B5" w:rsidRDefault="00FD28B5" w:rsidP="00FD28B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%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06B" w:rsidRPr="00E36286" w:rsidRDefault="00FD28B5" w:rsidP="00FD2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%</w:t>
            </w:r>
          </w:p>
        </w:tc>
      </w:tr>
      <w:tr w:rsidR="00B34F1C" w:rsidRPr="00E36286" w:rsidTr="00857ACA">
        <w:trPr>
          <w:trHeight w:val="33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E36286" w:rsidRDefault="00B34F1C" w:rsidP="00857ACA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Инвестиционни имоти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8D2479" w:rsidRDefault="00285000" w:rsidP="00857ACA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41635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8D2479" w:rsidRDefault="00B34F1C" w:rsidP="0081603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41635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FC0EF2" w:rsidRDefault="00285000" w:rsidP="00857A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B3778D" w:rsidRDefault="00B3778D" w:rsidP="00857A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49.87</w:t>
            </w:r>
          </w:p>
        </w:tc>
      </w:tr>
      <w:tr w:rsidR="00B34F1C" w:rsidRPr="00E36286" w:rsidTr="00A20003">
        <w:trPr>
          <w:trHeight w:val="33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E36286" w:rsidRDefault="00B34F1C" w:rsidP="00F505D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Други и</w:t>
            </w:r>
            <w:r w:rsidRPr="00E36286"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нвестиции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8D2479" w:rsidRDefault="00285000" w:rsidP="001F606B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8D2479" w:rsidRDefault="00B34F1C" w:rsidP="0081603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8D2479" w:rsidRDefault="00285000" w:rsidP="000351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2D7BA9" w:rsidRDefault="00B3778D" w:rsidP="00351A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B34F1C" w:rsidRPr="00E36286" w:rsidTr="00A20003">
        <w:trPr>
          <w:trHeight w:val="315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4F1C" w:rsidRPr="00E36286" w:rsidRDefault="00B34F1C" w:rsidP="006648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Нетекущи активи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B34F1C" w:rsidRPr="008D2479" w:rsidRDefault="00285000" w:rsidP="001F60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41729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B34F1C" w:rsidRPr="008D2479" w:rsidRDefault="00B34F1C" w:rsidP="008160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41729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B34F1C" w:rsidRPr="00FC0EF2" w:rsidRDefault="00285000" w:rsidP="00716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B34F1C" w:rsidRPr="00B3778D" w:rsidRDefault="00B3778D" w:rsidP="00716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49.98</w:t>
            </w:r>
          </w:p>
        </w:tc>
      </w:tr>
      <w:tr w:rsidR="00B34F1C" w:rsidRPr="00E36286" w:rsidTr="00F505D1">
        <w:trPr>
          <w:trHeight w:val="33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F1C" w:rsidRPr="00E36286" w:rsidRDefault="00B34F1C" w:rsidP="006648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Текущи активи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E36286" w:rsidRDefault="00B34F1C" w:rsidP="00F505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E36286" w:rsidRDefault="00B34F1C" w:rsidP="008160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E36286" w:rsidRDefault="00B34F1C" w:rsidP="00F505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E36286" w:rsidRDefault="00B34F1C" w:rsidP="00F505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F1C" w:rsidRPr="00E36286" w:rsidTr="00F505D1">
        <w:trPr>
          <w:trHeight w:val="315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F1C" w:rsidRPr="00E36286" w:rsidRDefault="00B34F1C" w:rsidP="00F50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Краткосрочни ф</w:t>
            </w:r>
            <w:r w:rsidRPr="00E36286">
              <w:rPr>
                <w:rFonts w:ascii="Arial" w:hAnsi="Arial" w:cs="Arial"/>
                <w:color w:val="000000"/>
                <w:sz w:val="20"/>
                <w:szCs w:val="20"/>
              </w:rPr>
              <w:t>инансови активи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190A23" w:rsidRDefault="001549AE" w:rsidP="00F505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15189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190A23" w:rsidRDefault="00B34F1C" w:rsidP="008160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14743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451CD2" w:rsidRDefault="00B3778D" w:rsidP="00F505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103.03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2D7BA9" w:rsidRDefault="00B3778D" w:rsidP="00F505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18.19</w:t>
            </w:r>
          </w:p>
        </w:tc>
      </w:tr>
      <w:tr w:rsidR="00B34F1C" w:rsidRPr="00E36286" w:rsidTr="006D72AC">
        <w:trPr>
          <w:trHeight w:val="33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F1C" w:rsidRPr="00E36286" w:rsidRDefault="00B34F1C" w:rsidP="00D34963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Търговски  в</w:t>
            </w:r>
            <w:r w:rsidRPr="00E36286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земания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190A23" w:rsidRDefault="001549AE" w:rsidP="006D72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23142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190A23" w:rsidRDefault="00B34F1C" w:rsidP="008160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32024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451CD2" w:rsidRDefault="00B3778D" w:rsidP="006D7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72.26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2D7BA9" w:rsidRDefault="00B3778D" w:rsidP="006D7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</w:t>
            </w:r>
            <w:r w:rsidR="006E76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34F1C" w:rsidRPr="00E36286" w:rsidTr="00F505D1">
        <w:trPr>
          <w:trHeight w:val="315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E36286" w:rsidRDefault="00B34F1C" w:rsidP="00664872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Вземания по предоставени заеми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190A23" w:rsidRDefault="001549AE" w:rsidP="00F505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190A23" w:rsidRDefault="00B34F1C" w:rsidP="008160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451CD2" w:rsidRDefault="00B3778D" w:rsidP="00F505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90.36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2D7BA9" w:rsidRDefault="006E7659" w:rsidP="00F505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3.82</w:t>
            </w:r>
          </w:p>
        </w:tc>
      </w:tr>
      <w:tr w:rsidR="00B34F1C" w:rsidRPr="00E36286" w:rsidTr="00857ACA">
        <w:trPr>
          <w:trHeight w:val="315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E36286" w:rsidRDefault="00B34F1C" w:rsidP="00190A23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Други вземания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190A23" w:rsidRDefault="001549AE" w:rsidP="00857A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190A23" w:rsidRDefault="00B34F1C" w:rsidP="008160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B3778D" w:rsidRDefault="00B3778D" w:rsidP="00857A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2D7BA9" w:rsidRDefault="006E7659" w:rsidP="002D7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B34F1C" w:rsidRPr="00E36286" w:rsidTr="00F505D1">
        <w:trPr>
          <w:trHeight w:val="315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E36286" w:rsidRDefault="00B34F1C" w:rsidP="00664872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E36286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Пари и парични еквиваленти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190A23" w:rsidRDefault="001549AE" w:rsidP="00F505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190A23" w:rsidRDefault="00B34F1C" w:rsidP="008160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2C3801" w:rsidRDefault="00B3778D" w:rsidP="00F505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92.69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2D7BA9" w:rsidRDefault="006E7659" w:rsidP="00F505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</w:tr>
      <w:tr w:rsidR="00B34F1C" w:rsidRPr="00E36286" w:rsidTr="00F505D1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4F1C" w:rsidRPr="00E36286" w:rsidRDefault="00B34F1C" w:rsidP="006648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Текущи активи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B34F1C" w:rsidRPr="008D2479" w:rsidRDefault="001549AE" w:rsidP="00F505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41762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B34F1C" w:rsidRPr="008D2479" w:rsidRDefault="00B34F1C" w:rsidP="008160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50616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B34F1C" w:rsidRPr="002D7BA9" w:rsidRDefault="00B3778D" w:rsidP="00F505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82.51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B34F1C" w:rsidRPr="00B3778D" w:rsidRDefault="00B3778D" w:rsidP="00F505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50.02</w:t>
            </w:r>
          </w:p>
        </w:tc>
      </w:tr>
      <w:tr w:rsidR="00B34F1C" w:rsidRPr="00E36286" w:rsidTr="00F505D1">
        <w:trPr>
          <w:trHeight w:val="315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4F1C" w:rsidRPr="00E36286" w:rsidRDefault="00B34F1C" w:rsidP="006648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Общо активи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B34F1C" w:rsidRPr="008D2479" w:rsidRDefault="00E8087D" w:rsidP="00F505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83491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B34F1C" w:rsidRPr="008D2479" w:rsidRDefault="00B34F1C" w:rsidP="008160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92345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B34F1C" w:rsidRPr="00B3778D" w:rsidRDefault="00B3778D" w:rsidP="008E58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90.41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B34F1C" w:rsidRPr="005E76FB" w:rsidRDefault="00B34F1C" w:rsidP="00F505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100.00</w:t>
            </w:r>
          </w:p>
        </w:tc>
      </w:tr>
    </w:tbl>
    <w:p w:rsidR="00D9764F" w:rsidRPr="00E36286" w:rsidRDefault="00D9764F" w:rsidP="00D9764F">
      <w:pPr>
        <w:pStyle w:val="a6"/>
        <w:spacing w:after="0" w:line="240" w:lineRule="auto"/>
        <w:jc w:val="both"/>
        <w:rPr>
          <w:rFonts w:ascii="Arial" w:hAnsi="Arial" w:cs="Arial"/>
          <w:b/>
        </w:rPr>
      </w:pPr>
    </w:p>
    <w:p w:rsidR="00D9764F" w:rsidRPr="00E36286" w:rsidRDefault="00D9764F" w:rsidP="00D9764F">
      <w:pPr>
        <w:pStyle w:val="2"/>
        <w:keepLines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t xml:space="preserve">Анализ на собствения капитал и пасивите на </w:t>
      </w:r>
      <w:r w:rsidR="008D0EDE">
        <w:rPr>
          <w:rFonts w:ascii="Arial" w:hAnsi="Arial" w:cs="Arial"/>
          <w:sz w:val="22"/>
          <w:szCs w:val="22"/>
        </w:rPr>
        <w:t>АДАРА АД</w:t>
      </w:r>
    </w:p>
    <w:p w:rsidR="00D9764F" w:rsidRPr="00E36286" w:rsidRDefault="00D9764F" w:rsidP="00D9764F">
      <w:pPr>
        <w:rPr>
          <w:rFonts w:ascii="Arial" w:hAnsi="Arial" w:cs="Arial"/>
          <w:sz w:val="22"/>
          <w:szCs w:val="22"/>
        </w:rPr>
      </w:pPr>
    </w:p>
    <w:tbl>
      <w:tblPr>
        <w:tblW w:w="4915" w:type="pct"/>
        <w:tblLayout w:type="fixed"/>
        <w:tblLook w:val="04A0"/>
      </w:tblPr>
      <w:tblGrid>
        <w:gridCol w:w="3508"/>
        <w:gridCol w:w="1277"/>
        <w:gridCol w:w="1276"/>
        <w:gridCol w:w="1276"/>
        <w:gridCol w:w="1418"/>
      </w:tblGrid>
      <w:tr w:rsidR="006B6BF6" w:rsidRPr="00DC70E5" w:rsidTr="005B659D">
        <w:trPr>
          <w:trHeight w:val="420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BF6" w:rsidRPr="00DC70E5" w:rsidRDefault="006B6BF6" w:rsidP="006648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Собствен капитал и пасиви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F6" w:rsidRPr="00DC70E5" w:rsidRDefault="005B659D" w:rsidP="00B34F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3</w:t>
            </w:r>
            <w:r w:rsidR="00B34F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.</w:t>
            </w:r>
            <w:r w:rsidR="00B34F1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.</w:t>
            </w:r>
            <w:r w:rsidR="006B6BF6"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A6762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F6" w:rsidRPr="005B659D" w:rsidRDefault="005B659D" w:rsidP="00B34F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3</w:t>
            </w:r>
            <w:r w:rsidR="00A548D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.</w:t>
            </w:r>
            <w:r w:rsidR="008613A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B34F1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.</w:t>
            </w:r>
            <w:r w:rsidR="006B6BF6"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8613A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693694" w:rsidRDefault="005B659D" w:rsidP="005B6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3</w:t>
            </w:r>
            <w:r w:rsidR="00B34F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9369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.</w:t>
            </w:r>
            <w:r w:rsidR="00B34F1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.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A6762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</w:p>
          <w:p w:rsidR="005B659D" w:rsidRPr="00E36286" w:rsidRDefault="005B659D" w:rsidP="005B6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5B659D" w:rsidRPr="00DA3E8A" w:rsidRDefault="005B659D" w:rsidP="00B34F1C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3</w:t>
            </w:r>
            <w:r w:rsidR="00A548D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.</w:t>
            </w:r>
            <w:r w:rsidR="00A548D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B34F1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.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8613A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BF6" w:rsidRPr="00DC70E5" w:rsidRDefault="006B6BF6" w:rsidP="00B34F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% от СК и Пасивите към 3</w:t>
            </w:r>
            <w:r w:rsidR="00B34F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34F1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.201</w:t>
            </w:r>
            <w:r w:rsidR="00A6762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B6BF6" w:rsidRPr="00DC70E5" w:rsidTr="005B659D">
        <w:trPr>
          <w:trHeight w:val="315"/>
        </w:trPr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BF6" w:rsidRPr="00DC70E5" w:rsidRDefault="006B6BF6" w:rsidP="006648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BF6" w:rsidRPr="00DC70E5" w:rsidRDefault="006B6BF6" w:rsidP="006648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‘000 лв.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BF6" w:rsidRPr="00DC70E5" w:rsidRDefault="006B6BF6" w:rsidP="006648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‘000 лв.</w:t>
            </w:r>
          </w:p>
        </w:tc>
        <w:tc>
          <w:tcPr>
            <w:tcW w:w="7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F6" w:rsidRPr="00DC70E5" w:rsidRDefault="006B6BF6" w:rsidP="00AD67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F6" w:rsidRPr="00DC70E5" w:rsidRDefault="006B6BF6" w:rsidP="006648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512E" w:rsidRPr="00DC70E5" w:rsidTr="005B659D">
        <w:trPr>
          <w:trHeight w:val="315"/>
        </w:trPr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12E" w:rsidRPr="00DC70E5" w:rsidRDefault="00BE512E" w:rsidP="006648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Собствен капитал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12E" w:rsidRPr="00DC70E5" w:rsidRDefault="00BE512E" w:rsidP="006648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12E" w:rsidRPr="00DC70E5" w:rsidRDefault="00BE512E" w:rsidP="006648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12E" w:rsidRPr="00AE5580" w:rsidRDefault="00AE5580" w:rsidP="00AE558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%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12E" w:rsidRPr="00DC70E5" w:rsidRDefault="00AE5580" w:rsidP="00AE5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%</w:t>
            </w:r>
          </w:p>
        </w:tc>
      </w:tr>
      <w:tr w:rsidR="00B34F1C" w:rsidRPr="00DC70E5" w:rsidTr="005B659D">
        <w:trPr>
          <w:trHeight w:val="315"/>
        </w:trPr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F1C" w:rsidRPr="00DC70E5" w:rsidRDefault="00B34F1C" w:rsidP="00713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Акционерен</w:t>
            </w:r>
            <w:r w:rsidRPr="00DC70E5">
              <w:rPr>
                <w:rFonts w:ascii="Arial" w:hAnsi="Arial" w:cs="Arial"/>
                <w:sz w:val="20"/>
                <w:szCs w:val="20"/>
              </w:rPr>
              <w:t xml:space="preserve"> капитал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89244A" w:rsidRDefault="00F37EDD" w:rsidP="006648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89244A" w:rsidRDefault="00B34F1C" w:rsidP="008160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BE08FA" w:rsidRDefault="00F37EDD" w:rsidP="006648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E71903" w:rsidRDefault="001C0D70" w:rsidP="00BE0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B34F1C" w:rsidRPr="00DC70E5" w:rsidTr="005B659D">
        <w:trPr>
          <w:trHeight w:val="285"/>
        </w:trPr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F1C" w:rsidRPr="00DC70E5" w:rsidRDefault="00B34F1C" w:rsidP="00EC02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Други р</w:t>
            </w:r>
            <w:r w:rsidRPr="00DC70E5">
              <w:rPr>
                <w:rFonts w:ascii="Arial" w:hAnsi="Arial" w:cs="Arial"/>
                <w:sz w:val="20"/>
                <w:szCs w:val="20"/>
              </w:rPr>
              <w:t xml:space="preserve">езерви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89244A" w:rsidRDefault="00F37EDD" w:rsidP="006648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89244A" w:rsidRDefault="00B34F1C" w:rsidP="008160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BE08FA" w:rsidRDefault="00F37EDD" w:rsidP="006648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E71903" w:rsidRDefault="001C0D70" w:rsidP="00CF59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</w:tr>
      <w:tr w:rsidR="00B34F1C" w:rsidRPr="00DC70E5" w:rsidTr="005B659D">
        <w:trPr>
          <w:trHeight w:val="261"/>
        </w:trPr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F1C" w:rsidRPr="00DC70E5" w:rsidRDefault="00B34F1C" w:rsidP="00643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Неразпределена </w:t>
            </w:r>
            <w:r w:rsidRPr="00DC70E5">
              <w:rPr>
                <w:rFonts w:ascii="Arial" w:hAnsi="Arial" w:cs="Arial"/>
                <w:sz w:val="20"/>
                <w:szCs w:val="20"/>
              </w:rPr>
              <w:t>печалба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89244A" w:rsidRDefault="00F37EDD" w:rsidP="006648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89244A" w:rsidRDefault="00B34F1C" w:rsidP="008160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1C0D70" w:rsidRDefault="001C0D70" w:rsidP="00197C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98.62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E71903" w:rsidRDefault="001C0D70" w:rsidP="00D669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4.18</w:t>
            </w:r>
          </w:p>
        </w:tc>
      </w:tr>
      <w:tr w:rsidR="00B34F1C" w:rsidRPr="00DC70E5" w:rsidTr="005B659D">
        <w:trPr>
          <w:trHeight w:val="315"/>
        </w:trPr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4F1C" w:rsidRPr="00DC70E5" w:rsidRDefault="00B34F1C" w:rsidP="00D42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собствен 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капитал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B34F1C" w:rsidRPr="0089244A" w:rsidRDefault="00F37EDD" w:rsidP="006648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4373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B34F1C" w:rsidRPr="0089244A" w:rsidRDefault="00B34F1C" w:rsidP="008160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4422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B34F1C" w:rsidRPr="00BE08FA" w:rsidRDefault="001C0D70" w:rsidP="006B6B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98.89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B34F1C" w:rsidRPr="00510A4F" w:rsidRDefault="00DC5FD1" w:rsidP="00D6699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5.24</w:t>
            </w:r>
          </w:p>
        </w:tc>
      </w:tr>
      <w:tr w:rsidR="00B34F1C" w:rsidRPr="00DC70E5" w:rsidTr="005B659D">
        <w:trPr>
          <w:trHeight w:val="315"/>
        </w:trPr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F1C" w:rsidRPr="00DC70E5" w:rsidRDefault="00B34F1C" w:rsidP="006648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Пасиви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DC70E5" w:rsidRDefault="00B34F1C" w:rsidP="006648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DC70E5" w:rsidRDefault="00B34F1C" w:rsidP="008160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DC70E5" w:rsidRDefault="00B34F1C" w:rsidP="00664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DC70E5" w:rsidRDefault="00B34F1C" w:rsidP="006648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F1C" w:rsidRPr="00DC70E5" w:rsidTr="005B659D">
        <w:trPr>
          <w:trHeight w:val="315"/>
        </w:trPr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F1C" w:rsidRPr="00DC70E5" w:rsidRDefault="00B34F1C" w:rsidP="006648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Нетекущи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DC70E5" w:rsidRDefault="00B34F1C" w:rsidP="006648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DC70E5" w:rsidRDefault="00B34F1C" w:rsidP="008160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DC70E5" w:rsidRDefault="00B34F1C" w:rsidP="00664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DC70E5" w:rsidRDefault="00B34F1C" w:rsidP="006648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F1C" w:rsidRPr="00DC70E5" w:rsidTr="005B659D">
        <w:trPr>
          <w:trHeight w:val="315"/>
        </w:trPr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F1C" w:rsidRPr="00DC70E5" w:rsidRDefault="00B34F1C" w:rsidP="00BC2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Дългосрочни</w:t>
            </w:r>
            <w:r w:rsidRPr="00DC70E5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заеми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8D2479" w:rsidRDefault="00502E37" w:rsidP="002102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50177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8D2479" w:rsidRDefault="00B34F1C" w:rsidP="008160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51995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BE08FA" w:rsidRDefault="001C0D70" w:rsidP="006648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96.50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8513FE" w:rsidRDefault="001C0D70" w:rsidP="00D669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60.10</w:t>
            </w:r>
          </w:p>
        </w:tc>
      </w:tr>
      <w:tr w:rsidR="00B34F1C" w:rsidRPr="00DC70E5" w:rsidTr="005B659D">
        <w:trPr>
          <w:trHeight w:val="315"/>
        </w:trPr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F1C" w:rsidRPr="009416CD" w:rsidRDefault="00B34F1C" w:rsidP="00BC23CB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Отсрочени данъчни пасиви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8D2479" w:rsidRDefault="00502E37" w:rsidP="002102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8D2479" w:rsidRDefault="00B34F1C" w:rsidP="008160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BE08FA" w:rsidRDefault="00E178BF" w:rsidP="006B6B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8513FE" w:rsidRDefault="001C0D70" w:rsidP="00D669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</w:tr>
      <w:tr w:rsidR="00B34F1C" w:rsidRPr="00DC70E5" w:rsidTr="005B659D">
        <w:trPr>
          <w:trHeight w:val="315"/>
        </w:trPr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4F1C" w:rsidRPr="00DC70E5" w:rsidRDefault="00B34F1C" w:rsidP="006648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Нетекущи пасиви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B34F1C" w:rsidRPr="0089244A" w:rsidRDefault="00015D70" w:rsidP="008F32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50380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B34F1C" w:rsidRPr="0089244A" w:rsidRDefault="00B34F1C" w:rsidP="008160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52198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B34F1C" w:rsidRPr="00BE08FA" w:rsidRDefault="001C0D70" w:rsidP="003445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96.52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B34F1C" w:rsidRPr="00510A4F" w:rsidRDefault="00DC5FD1" w:rsidP="00D6699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60.34</w:t>
            </w:r>
          </w:p>
        </w:tc>
      </w:tr>
      <w:tr w:rsidR="00B34F1C" w:rsidRPr="00DC70E5" w:rsidTr="00210299">
        <w:trPr>
          <w:trHeight w:val="315"/>
        </w:trPr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F1C" w:rsidRPr="00DC70E5" w:rsidRDefault="00B34F1C" w:rsidP="002102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Т</w:t>
            </w:r>
            <w:r w:rsidRPr="00DC7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екущи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DC70E5" w:rsidRDefault="00B34F1C" w:rsidP="002102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DC70E5" w:rsidRDefault="00B34F1C" w:rsidP="008160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DC70E5" w:rsidRDefault="00B34F1C" w:rsidP="00210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DC70E5" w:rsidRDefault="00B34F1C" w:rsidP="00210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F1C" w:rsidRPr="00DC70E5" w:rsidTr="00210299">
        <w:trPr>
          <w:trHeight w:val="315"/>
        </w:trPr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Default="00B34F1C" w:rsidP="00210299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Пенсионни и други задължения към персонала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C15B73" w:rsidRDefault="00E178BF" w:rsidP="002102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C15B73" w:rsidRDefault="00B34F1C" w:rsidP="008160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533399" w:rsidRDefault="005A7B81" w:rsidP="002102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128.57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FF28ED" w:rsidRDefault="001C0D70" w:rsidP="002102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B34F1C" w:rsidRPr="00DC70E5" w:rsidTr="00210299">
        <w:trPr>
          <w:trHeight w:val="315"/>
        </w:trPr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F1C" w:rsidRPr="00DC70E5" w:rsidRDefault="00B34F1C" w:rsidP="002102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Краткосрочни</w:t>
            </w:r>
            <w:r w:rsidRPr="00DC70E5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заеми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C15B73" w:rsidRDefault="00E178BF" w:rsidP="002102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C15B73" w:rsidRDefault="00B34F1C" w:rsidP="008160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9594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533399" w:rsidRDefault="005A7B81" w:rsidP="002102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35.28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FF28ED" w:rsidRDefault="001C0D70" w:rsidP="002102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4.05</w:t>
            </w:r>
          </w:p>
        </w:tc>
      </w:tr>
      <w:tr w:rsidR="00B34F1C" w:rsidRPr="00DC70E5" w:rsidTr="00210299">
        <w:trPr>
          <w:trHeight w:val="315"/>
        </w:trPr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F1C" w:rsidRPr="00DC70E5" w:rsidRDefault="00B34F1C" w:rsidP="002102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Търговски и други задължения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C15B73" w:rsidRDefault="00E178BF" w:rsidP="002102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C15B73" w:rsidRDefault="00B34F1C" w:rsidP="008160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26065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EB31D4" w:rsidRDefault="005A7B81" w:rsidP="005333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97.14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FF28ED" w:rsidRDefault="001C0D70" w:rsidP="00FF2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30.33</w:t>
            </w:r>
          </w:p>
        </w:tc>
      </w:tr>
      <w:tr w:rsidR="00B34F1C" w:rsidRPr="00DC70E5" w:rsidTr="00210299">
        <w:trPr>
          <w:trHeight w:val="315"/>
        </w:trPr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Default="00B34F1C" w:rsidP="00210299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Краткосрочни задължения към свързани лица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C15B73" w:rsidRDefault="00E178BF" w:rsidP="002102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C15B73" w:rsidRDefault="00B34F1C" w:rsidP="008160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E71903" w:rsidRDefault="005A7B81" w:rsidP="002102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FF28ED" w:rsidRDefault="001C0D70" w:rsidP="002102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B34F1C" w:rsidRPr="00DC70E5" w:rsidTr="00210299">
        <w:trPr>
          <w:trHeight w:val="315"/>
        </w:trPr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F1C" w:rsidRPr="00DC70E5" w:rsidRDefault="00B34F1C" w:rsidP="00DD12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Данъчни задължения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C15B73" w:rsidRDefault="00E178BF" w:rsidP="002102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C15B73" w:rsidRDefault="00B34F1C" w:rsidP="008160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E71903" w:rsidRDefault="005A7B81" w:rsidP="002102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FF28ED" w:rsidRDefault="001C0D70" w:rsidP="002102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B34F1C" w:rsidRPr="00DC70E5" w:rsidTr="005B659D">
        <w:trPr>
          <w:trHeight w:val="315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B34F1C" w:rsidRPr="008F3235" w:rsidRDefault="00B34F1C" w:rsidP="006648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DC7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Текущи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 xml:space="preserve"> пасиви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34F1C" w:rsidRPr="00C15B73" w:rsidRDefault="00E178BF" w:rsidP="008F32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28738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34F1C" w:rsidRPr="00C15B73" w:rsidRDefault="00B34F1C" w:rsidP="008160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35725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34F1C" w:rsidRPr="00533399" w:rsidRDefault="005A7B81" w:rsidP="00D42B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80.44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34F1C" w:rsidRPr="00510A4F" w:rsidRDefault="00DC5FD1" w:rsidP="00402F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34.42</w:t>
            </w:r>
          </w:p>
        </w:tc>
      </w:tr>
      <w:tr w:rsidR="00B34F1C" w:rsidRPr="00DC70E5" w:rsidTr="005B659D">
        <w:trPr>
          <w:trHeight w:val="315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B34F1C" w:rsidRPr="00920977" w:rsidRDefault="00B34F1C" w:rsidP="0066487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 w:rsidRPr="00920977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Общо пасиви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34F1C" w:rsidRPr="00C15B73" w:rsidRDefault="00E178BF" w:rsidP="0066487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79118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34F1C" w:rsidRPr="00C15B73" w:rsidRDefault="00B34F1C" w:rsidP="0081603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87923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34F1C" w:rsidRPr="005A7B81" w:rsidRDefault="005A7B81" w:rsidP="00197C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89.99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34F1C" w:rsidRPr="00BE0709" w:rsidRDefault="00DC5FD1" w:rsidP="00BB08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94.76</w:t>
            </w:r>
          </w:p>
        </w:tc>
      </w:tr>
      <w:tr w:rsidR="00B34F1C" w:rsidRPr="00DC70E5" w:rsidTr="00F86A7C">
        <w:trPr>
          <w:trHeight w:val="222"/>
        </w:trPr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920977" w:rsidRDefault="00B34F1C" w:rsidP="008F323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920977" w:rsidRDefault="00B34F1C" w:rsidP="0066487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F1C" w:rsidRPr="00920977" w:rsidRDefault="00B34F1C" w:rsidP="0081603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DC70E5" w:rsidRDefault="00B34F1C" w:rsidP="00664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F1C" w:rsidRPr="00DC70E5" w:rsidRDefault="00B34F1C" w:rsidP="006648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F1C" w:rsidRPr="00DC70E5" w:rsidTr="005B659D">
        <w:trPr>
          <w:trHeight w:val="315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B34F1C" w:rsidRPr="00920977" w:rsidRDefault="00B34F1C" w:rsidP="008F323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 w:rsidRPr="00920977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Общо собствен капитал и пасиви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34F1C" w:rsidRPr="0089244A" w:rsidRDefault="00E178BF" w:rsidP="0066487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83491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34F1C" w:rsidRPr="0089244A" w:rsidRDefault="00B34F1C" w:rsidP="0081603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92345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34F1C" w:rsidRPr="00EB31D4" w:rsidRDefault="005A7B81" w:rsidP="003445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90.41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34F1C" w:rsidRPr="008233A8" w:rsidRDefault="00B34F1C" w:rsidP="003445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100.00</w:t>
            </w:r>
          </w:p>
        </w:tc>
      </w:tr>
    </w:tbl>
    <w:p w:rsidR="00D9764F" w:rsidRDefault="00D9764F" w:rsidP="00D9764F">
      <w:pPr>
        <w:rPr>
          <w:rFonts w:ascii="Arial" w:hAnsi="Arial" w:cs="Arial"/>
          <w:sz w:val="22"/>
          <w:szCs w:val="22"/>
          <w:lang w:val="bg-BG"/>
        </w:rPr>
      </w:pPr>
    </w:p>
    <w:p w:rsidR="00DD120C" w:rsidRPr="00DD120C" w:rsidRDefault="00DD120C" w:rsidP="00D9764F">
      <w:pPr>
        <w:rPr>
          <w:rFonts w:ascii="Arial" w:hAnsi="Arial" w:cs="Arial"/>
          <w:sz w:val="22"/>
          <w:szCs w:val="22"/>
          <w:lang w:val="bg-BG"/>
        </w:rPr>
      </w:pPr>
    </w:p>
    <w:p w:rsidR="00D9764F" w:rsidRPr="00E36286" w:rsidRDefault="00D9764F" w:rsidP="00E561DD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 xml:space="preserve">Към </w:t>
      </w:r>
      <w:r w:rsidR="00AD67DE" w:rsidRPr="00E36286">
        <w:rPr>
          <w:rFonts w:ascii="Arial" w:hAnsi="Arial" w:cs="Arial"/>
        </w:rPr>
        <w:t>3</w:t>
      </w:r>
      <w:r w:rsidR="00133A9A">
        <w:rPr>
          <w:rFonts w:ascii="Arial" w:hAnsi="Arial" w:cs="Arial"/>
          <w:lang w:val="en-US"/>
        </w:rPr>
        <w:t>1</w:t>
      </w:r>
      <w:r w:rsidR="00AD67DE" w:rsidRPr="00E36286">
        <w:rPr>
          <w:rFonts w:ascii="Arial" w:hAnsi="Arial" w:cs="Arial"/>
        </w:rPr>
        <w:t>.</w:t>
      </w:r>
      <w:r w:rsidR="00133A9A">
        <w:rPr>
          <w:rFonts w:ascii="Arial" w:hAnsi="Arial" w:cs="Arial"/>
          <w:lang w:val="en-US"/>
        </w:rPr>
        <w:t>12</w:t>
      </w:r>
      <w:r w:rsidR="00AD67DE" w:rsidRPr="00E36286">
        <w:rPr>
          <w:rFonts w:ascii="Arial" w:hAnsi="Arial" w:cs="Arial"/>
        </w:rPr>
        <w:t>.201</w:t>
      </w:r>
      <w:r w:rsidR="003172F2">
        <w:rPr>
          <w:rFonts w:ascii="Arial" w:hAnsi="Arial" w:cs="Arial"/>
          <w:lang w:val="en-US"/>
        </w:rPr>
        <w:t>9</w:t>
      </w:r>
      <w:r w:rsidR="00AD67DE" w:rsidRPr="00E36286">
        <w:rPr>
          <w:rFonts w:ascii="Arial" w:hAnsi="Arial" w:cs="Arial"/>
        </w:rPr>
        <w:t>г.</w:t>
      </w:r>
      <w:r w:rsidRPr="00E36286">
        <w:rPr>
          <w:rFonts w:ascii="Arial" w:hAnsi="Arial" w:cs="Arial"/>
        </w:rPr>
        <w:t xml:space="preserve"> пасивите на </w:t>
      </w:r>
      <w:r w:rsidR="008D0EDE">
        <w:rPr>
          <w:rFonts w:ascii="Arial" w:hAnsi="Arial" w:cs="Arial"/>
        </w:rPr>
        <w:t>АДАРА АД</w:t>
      </w:r>
      <w:r w:rsidRPr="00E36286">
        <w:rPr>
          <w:rFonts w:ascii="Arial" w:hAnsi="Arial" w:cs="Arial"/>
        </w:rPr>
        <w:t xml:space="preserve"> </w:t>
      </w:r>
      <w:r w:rsidR="00211DA9">
        <w:rPr>
          <w:rFonts w:ascii="Arial" w:hAnsi="Arial" w:cs="Arial"/>
          <w:lang w:val="en-US"/>
        </w:rPr>
        <w:t>спадат</w:t>
      </w:r>
      <w:r w:rsidR="00A17FE2">
        <w:rPr>
          <w:rFonts w:ascii="Arial" w:hAnsi="Arial" w:cs="Arial"/>
        </w:rPr>
        <w:t xml:space="preserve"> с</w:t>
      </w:r>
      <w:r w:rsidR="00211DA9">
        <w:rPr>
          <w:rFonts w:ascii="Arial" w:hAnsi="Arial" w:cs="Arial"/>
          <w:lang w:val="en-US"/>
        </w:rPr>
        <w:t xml:space="preserve"> приблизително</w:t>
      </w:r>
      <w:r w:rsidR="00A17FE2">
        <w:rPr>
          <w:rFonts w:ascii="Arial" w:hAnsi="Arial" w:cs="Arial"/>
        </w:rPr>
        <w:t xml:space="preserve"> </w:t>
      </w:r>
      <w:r w:rsidR="00E626A6">
        <w:rPr>
          <w:rFonts w:ascii="Arial" w:hAnsi="Arial" w:cs="Arial"/>
        </w:rPr>
        <w:t>10</w:t>
      </w:r>
      <w:r w:rsidR="00A17FE2">
        <w:rPr>
          <w:rFonts w:ascii="Arial" w:hAnsi="Arial" w:cs="Arial"/>
        </w:rPr>
        <w:t xml:space="preserve">% </w:t>
      </w:r>
      <w:r w:rsidRPr="00E36286">
        <w:rPr>
          <w:rFonts w:ascii="Arial" w:hAnsi="Arial" w:cs="Arial"/>
        </w:rPr>
        <w:t>спрямо 3</w:t>
      </w:r>
      <w:r w:rsidR="00FF5E99">
        <w:rPr>
          <w:rFonts w:ascii="Arial" w:hAnsi="Arial" w:cs="Arial"/>
        </w:rPr>
        <w:t>0</w:t>
      </w:r>
      <w:r w:rsidRPr="00E36286">
        <w:rPr>
          <w:rFonts w:ascii="Arial" w:hAnsi="Arial" w:cs="Arial"/>
        </w:rPr>
        <w:t>.</w:t>
      </w:r>
      <w:r w:rsidR="00BE0709">
        <w:rPr>
          <w:rFonts w:ascii="Arial" w:hAnsi="Arial" w:cs="Arial"/>
        </w:rPr>
        <w:t>0</w:t>
      </w:r>
      <w:r w:rsidR="00EA7769">
        <w:rPr>
          <w:rFonts w:ascii="Arial" w:hAnsi="Arial" w:cs="Arial"/>
          <w:lang w:val="en-US"/>
        </w:rPr>
        <w:t>9</w:t>
      </w:r>
      <w:r w:rsidRPr="00E36286">
        <w:rPr>
          <w:rFonts w:ascii="Arial" w:hAnsi="Arial" w:cs="Arial"/>
        </w:rPr>
        <w:t>.201</w:t>
      </w:r>
      <w:r w:rsidR="00BE0709">
        <w:rPr>
          <w:rFonts w:ascii="Arial" w:hAnsi="Arial" w:cs="Arial"/>
        </w:rPr>
        <w:t>9</w:t>
      </w:r>
      <w:r w:rsidRPr="00E36286">
        <w:rPr>
          <w:rFonts w:ascii="Arial" w:hAnsi="Arial" w:cs="Arial"/>
        </w:rPr>
        <w:t xml:space="preserve">г. </w:t>
      </w:r>
      <w:r w:rsidR="00D04A83">
        <w:rPr>
          <w:rFonts w:ascii="Arial" w:hAnsi="Arial" w:cs="Arial"/>
          <w:lang w:val="en-US"/>
        </w:rPr>
        <w:t>до ниво от 79,118 милиона лева. Спадът</w:t>
      </w:r>
      <w:r w:rsidR="00A17FE2">
        <w:rPr>
          <w:rFonts w:ascii="Arial" w:hAnsi="Arial" w:cs="Arial"/>
        </w:rPr>
        <w:t xml:space="preserve"> се дължи на </w:t>
      </w:r>
      <w:r w:rsidR="00D04A83">
        <w:rPr>
          <w:rFonts w:ascii="Arial" w:hAnsi="Arial" w:cs="Arial"/>
          <w:lang w:val="en-US"/>
        </w:rPr>
        <w:t>намаление</w:t>
      </w:r>
      <w:r w:rsidR="00A17FE2">
        <w:rPr>
          <w:rFonts w:ascii="Arial" w:hAnsi="Arial" w:cs="Arial"/>
        </w:rPr>
        <w:t xml:space="preserve"> на </w:t>
      </w:r>
      <w:r w:rsidR="00D04A83">
        <w:rPr>
          <w:rFonts w:ascii="Arial" w:hAnsi="Arial" w:cs="Arial"/>
          <w:lang w:val="en-US"/>
        </w:rPr>
        <w:t>дългосрочните и краткосрочните заеми</w:t>
      </w:r>
      <w:r w:rsidR="00A17FE2">
        <w:rPr>
          <w:rFonts w:ascii="Arial" w:hAnsi="Arial" w:cs="Arial"/>
        </w:rPr>
        <w:t xml:space="preserve">, </w:t>
      </w:r>
      <w:r w:rsidR="00D04A83">
        <w:rPr>
          <w:rFonts w:ascii="Arial" w:hAnsi="Arial" w:cs="Arial"/>
          <w:lang w:val="en-US"/>
        </w:rPr>
        <w:t>съответно с около 2 и 6 млн. лева.</w:t>
      </w:r>
      <w:r w:rsidR="00C17DE7">
        <w:rPr>
          <w:rFonts w:ascii="Arial" w:hAnsi="Arial" w:cs="Arial"/>
        </w:rPr>
        <w:t xml:space="preserve"> </w:t>
      </w:r>
    </w:p>
    <w:p w:rsidR="00E561DD" w:rsidRPr="00E36286" w:rsidRDefault="00E561DD" w:rsidP="00E561DD">
      <w:pPr>
        <w:pStyle w:val="a6"/>
        <w:spacing w:before="120" w:after="0" w:line="240" w:lineRule="auto"/>
        <w:ind w:left="0"/>
        <w:jc w:val="both"/>
        <w:rPr>
          <w:rFonts w:ascii="Arial" w:hAnsi="Arial" w:cs="Arial"/>
        </w:rPr>
      </w:pPr>
    </w:p>
    <w:p w:rsidR="00955142" w:rsidRDefault="002F56B5" w:rsidP="00E561DD">
      <w:pPr>
        <w:pStyle w:val="a6"/>
        <w:spacing w:before="120"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Позицията </w:t>
      </w:r>
      <w:r w:rsidR="00955142" w:rsidRPr="000060C2">
        <w:rPr>
          <w:rFonts w:ascii="Arial" w:hAnsi="Arial" w:cs="Arial"/>
        </w:rPr>
        <w:t>“</w:t>
      </w:r>
      <w:r w:rsidR="00D04A83">
        <w:rPr>
          <w:rFonts w:ascii="Arial" w:hAnsi="Arial" w:cs="Arial"/>
          <w:color w:val="000000"/>
          <w:lang w:val="en-US"/>
        </w:rPr>
        <w:t>Дългосрочни</w:t>
      </w:r>
      <w:r>
        <w:rPr>
          <w:rFonts w:ascii="Arial" w:hAnsi="Arial" w:cs="Arial"/>
          <w:color w:val="000000"/>
        </w:rPr>
        <w:t xml:space="preserve"> заеми</w:t>
      </w:r>
      <w:r w:rsidR="00955142" w:rsidRPr="000060C2">
        <w:rPr>
          <w:rFonts w:ascii="Arial" w:hAnsi="Arial" w:cs="Arial"/>
          <w:color w:val="000000"/>
        </w:rPr>
        <w:t>“</w:t>
      </w:r>
      <w:r w:rsidR="00D04A83">
        <w:rPr>
          <w:rFonts w:ascii="Arial" w:hAnsi="Arial" w:cs="Arial"/>
          <w:color w:val="000000"/>
          <w:lang w:val="en-US"/>
        </w:rPr>
        <w:t>,</w:t>
      </w:r>
      <w:r w:rsidR="00955142" w:rsidRPr="000060C2">
        <w:rPr>
          <w:rFonts w:ascii="Arial" w:hAnsi="Arial" w:cs="Arial"/>
          <w:color w:val="000000"/>
        </w:rPr>
        <w:t xml:space="preserve"> </w:t>
      </w:r>
      <w:r w:rsidR="00D04A83">
        <w:rPr>
          <w:rFonts w:ascii="Arial" w:hAnsi="Arial" w:cs="Arial"/>
        </w:rPr>
        <w:t>чрез ко</w:t>
      </w:r>
      <w:r w:rsidR="00D04A83">
        <w:rPr>
          <w:rFonts w:ascii="Arial" w:hAnsi="Arial" w:cs="Arial"/>
          <w:lang w:val="en-US"/>
        </w:rPr>
        <w:t>я</w:t>
      </w:r>
      <w:r w:rsidR="00D04A83">
        <w:rPr>
          <w:rFonts w:ascii="Arial" w:hAnsi="Arial" w:cs="Arial"/>
        </w:rPr>
        <w:t>то</w:t>
      </w:r>
      <w:r w:rsidR="00D04A83">
        <w:rPr>
          <w:rFonts w:ascii="Arial" w:hAnsi="Arial" w:cs="Arial"/>
          <w:lang w:val="en-US"/>
        </w:rPr>
        <w:t xml:space="preserve"> основно</w:t>
      </w:r>
      <w:r w:rsidR="00D04A83">
        <w:rPr>
          <w:rFonts w:ascii="Arial" w:hAnsi="Arial" w:cs="Arial"/>
        </w:rPr>
        <w:t xml:space="preserve"> се е финансирало придобиването на дъщерното дружество разгледано в т. 1.1 по-горе</w:t>
      </w:r>
      <w:r w:rsidR="00D04A83">
        <w:rPr>
          <w:rFonts w:ascii="Arial" w:hAnsi="Arial" w:cs="Arial"/>
          <w:lang w:val="en-US"/>
        </w:rPr>
        <w:t xml:space="preserve">, </w:t>
      </w:r>
      <w:r w:rsidR="00D04A83">
        <w:rPr>
          <w:rFonts w:ascii="Arial" w:hAnsi="Arial" w:cs="Arial"/>
          <w:color w:val="000000"/>
          <w:lang w:val="en-US"/>
        </w:rPr>
        <w:t>е най-голяма в пасивната част на баланса с дял от 60.</w:t>
      </w:r>
      <w:r w:rsidR="00BE2B79">
        <w:rPr>
          <w:rFonts w:ascii="Arial" w:hAnsi="Arial" w:cs="Arial"/>
          <w:color w:val="000000"/>
          <w:lang w:val="en-US"/>
        </w:rPr>
        <w:t>10</w:t>
      </w:r>
      <w:r w:rsidR="00D04A83">
        <w:rPr>
          <w:rFonts w:ascii="Arial" w:hAnsi="Arial" w:cs="Arial"/>
          <w:color w:val="000000"/>
          <w:lang w:val="en-US"/>
        </w:rPr>
        <w:t>% от общо собствен капитал и пасиви</w:t>
      </w:r>
      <w:r>
        <w:rPr>
          <w:rFonts w:ascii="Arial" w:hAnsi="Arial" w:cs="Arial"/>
        </w:rPr>
        <w:t>.</w:t>
      </w:r>
      <w:r w:rsidR="00F61D9F">
        <w:rPr>
          <w:rFonts w:ascii="Arial" w:hAnsi="Arial" w:cs="Arial"/>
        </w:rPr>
        <w:t xml:space="preserve"> </w:t>
      </w:r>
    </w:p>
    <w:p w:rsidR="00955142" w:rsidRDefault="00955142" w:rsidP="00E561DD">
      <w:pPr>
        <w:pStyle w:val="a6"/>
        <w:spacing w:before="120" w:after="0" w:line="240" w:lineRule="auto"/>
        <w:ind w:left="0"/>
        <w:jc w:val="both"/>
        <w:rPr>
          <w:rFonts w:ascii="Arial" w:hAnsi="Arial" w:cs="Arial"/>
        </w:rPr>
      </w:pPr>
    </w:p>
    <w:p w:rsidR="00D9764F" w:rsidRPr="007F22CA" w:rsidRDefault="0069166C" w:rsidP="00E561DD">
      <w:pPr>
        <w:pStyle w:val="a6"/>
        <w:spacing w:before="120"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Към края на</w:t>
      </w:r>
      <w:r w:rsidR="00E133C8">
        <w:rPr>
          <w:rFonts w:ascii="Arial" w:hAnsi="Arial" w:cs="Arial"/>
        </w:rPr>
        <w:t xml:space="preserve"> </w:t>
      </w:r>
      <w:r w:rsidR="00955142" w:rsidRPr="00E36286">
        <w:rPr>
          <w:rFonts w:ascii="Arial" w:hAnsi="Arial" w:cs="Arial"/>
        </w:rPr>
        <w:t>201</w:t>
      </w:r>
      <w:r w:rsidR="00E133C8">
        <w:rPr>
          <w:rFonts w:ascii="Arial" w:hAnsi="Arial" w:cs="Arial"/>
        </w:rPr>
        <w:t>9</w:t>
      </w:r>
      <w:r w:rsidR="00955142" w:rsidRPr="00E36286">
        <w:rPr>
          <w:rFonts w:ascii="Arial" w:hAnsi="Arial" w:cs="Arial"/>
        </w:rPr>
        <w:t>г.</w:t>
      </w:r>
      <w:r w:rsidR="00955142">
        <w:rPr>
          <w:rFonts w:ascii="Arial" w:hAnsi="Arial" w:cs="Arial"/>
        </w:rPr>
        <w:t>,</w:t>
      </w:r>
      <w:r w:rsidR="00955142" w:rsidRPr="00E36286">
        <w:rPr>
          <w:rFonts w:ascii="Arial" w:hAnsi="Arial" w:cs="Arial"/>
        </w:rPr>
        <w:t xml:space="preserve"> собственият капитал на Дружеството </w:t>
      </w:r>
      <w:r w:rsidR="007F22CA">
        <w:rPr>
          <w:rFonts w:ascii="Arial" w:hAnsi="Arial" w:cs="Arial"/>
          <w:lang w:val="en-US"/>
        </w:rPr>
        <w:t>спада леко</w:t>
      </w:r>
      <w:r w:rsidR="00C544FC">
        <w:rPr>
          <w:rFonts w:ascii="Arial" w:hAnsi="Arial" w:cs="Arial"/>
        </w:rPr>
        <w:t xml:space="preserve"> до </w:t>
      </w:r>
      <w:r w:rsidR="00C34009">
        <w:rPr>
          <w:rFonts w:ascii="Arial" w:hAnsi="Arial" w:cs="Arial"/>
        </w:rPr>
        <w:t>4,</w:t>
      </w:r>
      <w:r w:rsidR="00EA7769">
        <w:rPr>
          <w:rFonts w:ascii="Arial" w:hAnsi="Arial" w:cs="Arial"/>
          <w:lang w:val="en-US"/>
        </w:rPr>
        <w:t>373</w:t>
      </w:r>
      <w:r w:rsidR="00C34009">
        <w:rPr>
          <w:rFonts w:ascii="Arial" w:hAnsi="Arial" w:cs="Arial"/>
        </w:rPr>
        <w:t xml:space="preserve"> млн.</w:t>
      </w:r>
      <w:r w:rsidR="00152A54">
        <w:rPr>
          <w:rFonts w:ascii="Arial" w:hAnsi="Arial" w:cs="Arial"/>
          <w:lang w:val="en-US"/>
        </w:rPr>
        <w:t xml:space="preserve"> </w:t>
      </w:r>
      <w:r w:rsidR="00C34009">
        <w:rPr>
          <w:rFonts w:ascii="Arial" w:hAnsi="Arial" w:cs="Arial"/>
        </w:rPr>
        <w:t xml:space="preserve">лева спрямо </w:t>
      </w:r>
      <w:r w:rsidR="007F22CA">
        <w:rPr>
          <w:rFonts w:ascii="Arial" w:hAnsi="Arial" w:cs="Arial"/>
          <w:lang w:val="en-US"/>
        </w:rPr>
        <w:t>4</w:t>
      </w:r>
      <w:r w:rsidR="00C544FC">
        <w:rPr>
          <w:rFonts w:ascii="Arial" w:hAnsi="Arial" w:cs="Arial"/>
        </w:rPr>
        <w:t>,</w:t>
      </w:r>
      <w:r w:rsidR="007F22CA">
        <w:rPr>
          <w:rFonts w:ascii="Arial" w:hAnsi="Arial" w:cs="Arial"/>
          <w:lang w:val="en-US"/>
        </w:rPr>
        <w:t>4</w:t>
      </w:r>
      <w:r w:rsidR="00C544FC">
        <w:rPr>
          <w:rFonts w:ascii="Arial" w:hAnsi="Arial" w:cs="Arial"/>
        </w:rPr>
        <w:t>22 млн. лева към 3</w:t>
      </w:r>
      <w:r w:rsidR="00C34009">
        <w:rPr>
          <w:rFonts w:ascii="Arial" w:hAnsi="Arial" w:cs="Arial"/>
        </w:rPr>
        <w:t>0</w:t>
      </w:r>
      <w:r w:rsidR="00C544FC">
        <w:rPr>
          <w:rFonts w:ascii="Arial" w:hAnsi="Arial" w:cs="Arial"/>
        </w:rPr>
        <w:t>.0</w:t>
      </w:r>
      <w:r w:rsidR="00EA7769">
        <w:rPr>
          <w:rFonts w:ascii="Arial" w:hAnsi="Arial" w:cs="Arial"/>
          <w:lang w:val="en-US"/>
        </w:rPr>
        <w:t>9</w:t>
      </w:r>
      <w:r w:rsidR="00C544FC">
        <w:rPr>
          <w:rFonts w:ascii="Arial" w:hAnsi="Arial" w:cs="Arial"/>
        </w:rPr>
        <w:t>.2019г.</w:t>
      </w:r>
      <w:r>
        <w:rPr>
          <w:rFonts w:ascii="Arial" w:hAnsi="Arial" w:cs="Arial"/>
        </w:rPr>
        <w:t>,</w:t>
      </w:r>
      <w:r w:rsidR="00955142" w:rsidRPr="00E36286">
        <w:rPr>
          <w:rFonts w:ascii="Arial" w:hAnsi="Arial" w:cs="Arial"/>
        </w:rPr>
        <w:t xml:space="preserve"> поради</w:t>
      </w:r>
      <w:r w:rsidR="00C544FC">
        <w:rPr>
          <w:rFonts w:ascii="Arial" w:hAnsi="Arial" w:cs="Arial"/>
        </w:rPr>
        <w:t xml:space="preserve"> </w:t>
      </w:r>
      <w:r w:rsidR="007F22CA">
        <w:rPr>
          <w:rFonts w:ascii="Arial" w:hAnsi="Arial" w:cs="Arial"/>
          <w:lang w:val="en-US"/>
        </w:rPr>
        <w:t>свиването</w:t>
      </w:r>
      <w:r w:rsidR="00C544FC">
        <w:rPr>
          <w:rFonts w:ascii="Arial" w:hAnsi="Arial" w:cs="Arial"/>
        </w:rPr>
        <w:t xml:space="preserve"> на</w:t>
      </w:r>
      <w:r w:rsidR="004A7B41">
        <w:rPr>
          <w:rFonts w:ascii="Arial" w:hAnsi="Arial" w:cs="Arial"/>
        </w:rPr>
        <w:t xml:space="preserve"> </w:t>
      </w:r>
      <w:r w:rsidR="00E133C8">
        <w:rPr>
          <w:rFonts w:ascii="Arial" w:hAnsi="Arial" w:cs="Arial"/>
        </w:rPr>
        <w:t>отчетения</w:t>
      </w:r>
      <w:r>
        <w:rPr>
          <w:rFonts w:ascii="Arial" w:hAnsi="Arial" w:cs="Arial"/>
        </w:rPr>
        <w:t xml:space="preserve"> положителен финансов резултат </w:t>
      </w:r>
      <w:r w:rsidR="00C544FC">
        <w:rPr>
          <w:rFonts w:ascii="Arial" w:hAnsi="Arial" w:cs="Arial"/>
        </w:rPr>
        <w:t xml:space="preserve">от </w:t>
      </w:r>
      <w:r w:rsidR="007F22CA" w:rsidRPr="007F22CA">
        <w:rPr>
          <w:rFonts w:ascii="Arial" w:hAnsi="Arial" w:cs="Arial"/>
        </w:rPr>
        <w:t>1,922</w:t>
      </w:r>
      <w:r w:rsidR="00C34009">
        <w:rPr>
          <w:rFonts w:ascii="Arial" w:hAnsi="Arial" w:cs="Arial"/>
        </w:rPr>
        <w:t xml:space="preserve"> </w:t>
      </w:r>
      <w:r w:rsidR="00C544FC">
        <w:rPr>
          <w:rFonts w:ascii="Arial" w:hAnsi="Arial" w:cs="Arial"/>
        </w:rPr>
        <w:t>хиляди лева към 3</w:t>
      </w:r>
      <w:r w:rsidR="00C34009">
        <w:rPr>
          <w:rFonts w:ascii="Arial" w:hAnsi="Arial" w:cs="Arial"/>
        </w:rPr>
        <w:t>0</w:t>
      </w:r>
      <w:r w:rsidR="00C544FC">
        <w:rPr>
          <w:rFonts w:ascii="Arial" w:hAnsi="Arial" w:cs="Arial"/>
        </w:rPr>
        <w:t>.0</w:t>
      </w:r>
      <w:r w:rsidR="007F22CA">
        <w:rPr>
          <w:rFonts w:ascii="Arial" w:hAnsi="Arial" w:cs="Arial"/>
          <w:lang w:val="en-US"/>
        </w:rPr>
        <w:t>9</w:t>
      </w:r>
      <w:r w:rsidR="00C544FC">
        <w:rPr>
          <w:rFonts w:ascii="Arial" w:hAnsi="Arial" w:cs="Arial"/>
        </w:rPr>
        <w:t xml:space="preserve">.2019г. на </w:t>
      </w:r>
      <w:r w:rsidR="00C34009">
        <w:rPr>
          <w:rFonts w:ascii="Arial" w:hAnsi="Arial" w:cs="Arial"/>
        </w:rPr>
        <w:t>1,</w:t>
      </w:r>
      <w:r w:rsidR="007F22CA">
        <w:rPr>
          <w:rFonts w:ascii="Arial" w:hAnsi="Arial" w:cs="Arial"/>
          <w:lang w:val="en-US"/>
        </w:rPr>
        <w:t>873</w:t>
      </w:r>
      <w:r w:rsidR="00C34009">
        <w:rPr>
          <w:rFonts w:ascii="Arial" w:hAnsi="Arial" w:cs="Arial"/>
        </w:rPr>
        <w:t xml:space="preserve"> млн.</w:t>
      </w:r>
      <w:r w:rsidR="00152A54">
        <w:rPr>
          <w:rFonts w:ascii="Arial" w:hAnsi="Arial" w:cs="Arial"/>
          <w:lang w:val="en-US"/>
        </w:rPr>
        <w:t xml:space="preserve"> </w:t>
      </w:r>
      <w:r w:rsidR="00C34009">
        <w:rPr>
          <w:rFonts w:ascii="Arial" w:hAnsi="Arial" w:cs="Arial"/>
        </w:rPr>
        <w:t xml:space="preserve">лева </w:t>
      </w:r>
      <w:r w:rsidR="00C544FC">
        <w:rPr>
          <w:rFonts w:ascii="Arial" w:hAnsi="Arial" w:cs="Arial"/>
        </w:rPr>
        <w:t>към 3</w:t>
      </w:r>
      <w:r w:rsidR="007F22CA">
        <w:rPr>
          <w:rFonts w:ascii="Arial" w:hAnsi="Arial" w:cs="Arial"/>
          <w:lang w:val="en-US"/>
        </w:rPr>
        <w:t>1</w:t>
      </w:r>
      <w:r w:rsidR="00C544FC">
        <w:rPr>
          <w:rFonts w:ascii="Arial" w:hAnsi="Arial" w:cs="Arial"/>
        </w:rPr>
        <w:t>.</w:t>
      </w:r>
      <w:r w:rsidR="007F22CA">
        <w:rPr>
          <w:rFonts w:ascii="Arial" w:hAnsi="Arial" w:cs="Arial"/>
          <w:lang w:val="en-US"/>
        </w:rPr>
        <w:t>12</w:t>
      </w:r>
      <w:r w:rsidR="00C544FC">
        <w:rPr>
          <w:rFonts w:ascii="Arial" w:hAnsi="Arial" w:cs="Arial"/>
        </w:rPr>
        <w:t>.2019г.</w:t>
      </w:r>
      <w:r w:rsidR="00B12716">
        <w:rPr>
          <w:rFonts w:ascii="Arial" w:hAnsi="Arial" w:cs="Arial"/>
        </w:rPr>
        <w:t xml:space="preserve"> </w:t>
      </w:r>
      <w:r w:rsidR="007F22CA">
        <w:rPr>
          <w:rFonts w:ascii="Arial" w:hAnsi="Arial" w:cs="Arial"/>
          <w:lang w:val="en-US"/>
        </w:rPr>
        <w:t>Акционерният капитал и резервите в собствения капитал са без промяна.</w:t>
      </w:r>
    </w:p>
    <w:p w:rsidR="00D9764F" w:rsidRPr="00E36286" w:rsidRDefault="00D9764F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:rsidR="00D9764F" w:rsidRPr="00E36286" w:rsidRDefault="00D9764F" w:rsidP="00D9764F">
      <w:pPr>
        <w:pStyle w:val="2"/>
        <w:keepLines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t>Анализ на Приходите и Разходите</w:t>
      </w:r>
    </w:p>
    <w:p w:rsidR="00D9764F" w:rsidRPr="00E36286" w:rsidRDefault="00D9764F" w:rsidP="00D9764F">
      <w:pPr>
        <w:rPr>
          <w:rFonts w:ascii="Arial" w:hAnsi="Arial" w:cs="Arial"/>
          <w:sz w:val="22"/>
          <w:szCs w:val="22"/>
        </w:rPr>
      </w:pPr>
    </w:p>
    <w:tbl>
      <w:tblPr>
        <w:tblW w:w="4969" w:type="pct"/>
        <w:tblCellMar>
          <w:left w:w="70" w:type="dxa"/>
          <w:right w:w="70" w:type="dxa"/>
        </w:tblCellMar>
        <w:tblLook w:val="04A0"/>
      </w:tblPr>
      <w:tblGrid>
        <w:gridCol w:w="4983"/>
        <w:gridCol w:w="1243"/>
        <w:gridCol w:w="1243"/>
        <w:gridCol w:w="1306"/>
      </w:tblGrid>
      <w:tr w:rsidR="00D42B80" w:rsidRPr="006F3643" w:rsidTr="006F3643">
        <w:trPr>
          <w:trHeight w:val="615"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B80" w:rsidRPr="006F3643" w:rsidRDefault="00D42B80" w:rsidP="00EF6D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6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0" w:rsidRPr="006F3643" w:rsidRDefault="00D12AB4" w:rsidP="004662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6F36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3</w:t>
            </w:r>
            <w:r w:rsidR="004662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6F36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.</w:t>
            </w:r>
            <w:r w:rsidR="004662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Pr="006F36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.</w:t>
            </w:r>
            <w:r w:rsidR="00D42B80" w:rsidRPr="006F36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3172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0" w:rsidRPr="006F3643" w:rsidRDefault="00D12AB4" w:rsidP="004662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6F36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3</w:t>
            </w:r>
            <w:r w:rsidR="004662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6F36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.</w:t>
            </w:r>
            <w:r w:rsidR="004662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Pr="006F36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.</w:t>
            </w:r>
            <w:r w:rsidR="00D42B80" w:rsidRPr="006F36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3172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6F3643" w:rsidRDefault="00D42B80" w:rsidP="00AD67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6F364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6620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F364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6620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6F3643">
              <w:rPr>
                <w:rFonts w:ascii="Arial" w:hAnsi="Arial" w:cs="Arial"/>
                <w:b/>
                <w:bCs/>
                <w:sz w:val="20"/>
                <w:szCs w:val="20"/>
              </w:rPr>
              <w:t>.201</w:t>
            </w:r>
            <w:r w:rsidR="003172F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6F364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</w:p>
          <w:p w:rsidR="00D42B80" w:rsidRPr="006F3643" w:rsidRDefault="00D42B80" w:rsidP="00AD67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643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D42B80" w:rsidRPr="006F3643" w:rsidRDefault="00D42B80" w:rsidP="004662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64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6620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F364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6620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6F3643">
              <w:rPr>
                <w:rFonts w:ascii="Arial" w:hAnsi="Arial" w:cs="Arial"/>
                <w:b/>
                <w:bCs/>
                <w:sz w:val="20"/>
                <w:szCs w:val="20"/>
              </w:rPr>
              <w:t>.201</w:t>
            </w:r>
            <w:r w:rsidR="003172F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D42B80" w:rsidRPr="006F3643" w:rsidTr="006F3643">
        <w:trPr>
          <w:trHeight w:val="390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B80" w:rsidRPr="006F3643" w:rsidRDefault="00D42B80" w:rsidP="00EF6D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6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0" w:rsidRPr="006F3643" w:rsidRDefault="00D42B80" w:rsidP="006648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6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‘000 лв.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0" w:rsidRPr="006F3643" w:rsidRDefault="00D42B80" w:rsidP="006648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6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‘000 лв.</w:t>
            </w:r>
          </w:p>
        </w:tc>
        <w:tc>
          <w:tcPr>
            <w:tcW w:w="7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B80" w:rsidRPr="006F3643" w:rsidRDefault="00D42B80" w:rsidP="00AD67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D9764F" w:rsidRPr="006F3643" w:rsidTr="006F3643">
        <w:trPr>
          <w:trHeight w:val="315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4F" w:rsidRPr="006F3643" w:rsidRDefault="00EF6DF0" w:rsidP="00EF6DF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 w:rsidRPr="006F3643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Приходи от дейността: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64F" w:rsidRPr="006F3643" w:rsidRDefault="00D9764F" w:rsidP="00664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6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64F" w:rsidRPr="006F3643" w:rsidRDefault="00D9764F" w:rsidP="00664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6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64F" w:rsidRPr="006F3643" w:rsidRDefault="00F150A2" w:rsidP="00F150A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F3643">
              <w:rPr>
                <w:rFonts w:ascii="Arial" w:hAnsi="Arial" w:cs="Arial"/>
                <w:sz w:val="20"/>
                <w:szCs w:val="20"/>
                <w:lang w:val="bg-BG"/>
              </w:rPr>
              <w:t>%</w:t>
            </w:r>
          </w:p>
        </w:tc>
      </w:tr>
      <w:tr w:rsidR="00D12AB4" w:rsidRPr="006F3643" w:rsidTr="006F3643">
        <w:trPr>
          <w:trHeight w:val="315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AB4" w:rsidRPr="006F3643" w:rsidRDefault="00D12AB4" w:rsidP="00EF6DF0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6F3643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Резултат от операции с финансови активи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AB4" w:rsidRPr="009027DC" w:rsidRDefault="008F70F5" w:rsidP="00EF6D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(185)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AB4" w:rsidRPr="00B673F8" w:rsidRDefault="008F70F5" w:rsidP="00EF6D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AB4" w:rsidRPr="009E7DDC" w:rsidRDefault="00DA4AAC" w:rsidP="00EF6D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0568B3" w:rsidRPr="006F3643" w:rsidTr="006F3643">
        <w:trPr>
          <w:trHeight w:val="315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8B3" w:rsidRPr="000568B3" w:rsidRDefault="000568B3" w:rsidP="00EF6DF0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Други приходи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8B3" w:rsidRPr="00B673F8" w:rsidRDefault="008F70F5" w:rsidP="00EF6D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8B3" w:rsidRPr="00B673F8" w:rsidRDefault="008F70F5" w:rsidP="00EF6D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8B3" w:rsidRPr="009E7DDC" w:rsidRDefault="008F70F5" w:rsidP="00EF6D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D9764F" w:rsidRPr="006F3643" w:rsidTr="006F3643">
        <w:trPr>
          <w:trHeight w:val="315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64F" w:rsidRPr="006F3643" w:rsidRDefault="00D9764F" w:rsidP="00EF6D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643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Приходи от </w:t>
            </w:r>
            <w:r w:rsidR="007D4BD9" w:rsidRPr="006F3643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продажби</w:t>
            </w:r>
            <w:r w:rsidRPr="006F36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64F" w:rsidRPr="00B673F8" w:rsidRDefault="008F70F5" w:rsidP="00EF6D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64F" w:rsidRPr="00B673F8" w:rsidRDefault="008F70F5" w:rsidP="00EF6D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64F" w:rsidRPr="00A96F6F" w:rsidRDefault="00E30A30" w:rsidP="00EF6D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1475.00</w:t>
            </w:r>
          </w:p>
        </w:tc>
      </w:tr>
      <w:tr w:rsidR="00D806C6" w:rsidRPr="006F3643" w:rsidTr="006F3643">
        <w:trPr>
          <w:trHeight w:val="315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C6" w:rsidRPr="006F3643" w:rsidRDefault="00D806C6" w:rsidP="00BE08FA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6F3643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Нетна печалба от последващ</w:t>
            </w:r>
            <w:r w:rsidR="00BE08FA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и</w:t>
            </w:r>
            <w:r w:rsidRPr="006F3643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 xml:space="preserve"> оценк</w:t>
            </w:r>
            <w:r w:rsidR="00BE08FA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и</w:t>
            </w:r>
            <w:r w:rsidRPr="006F3643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 xml:space="preserve"> на финансови активи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C6" w:rsidRPr="00B673F8" w:rsidRDefault="00B160FB" w:rsidP="00EF6D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C6" w:rsidRPr="009027DC" w:rsidRDefault="00B160FB" w:rsidP="00EF6D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C6" w:rsidRPr="009E7DDC" w:rsidRDefault="00A87F2C" w:rsidP="00EF6D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208.44</w:t>
            </w:r>
          </w:p>
        </w:tc>
      </w:tr>
      <w:tr w:rsidR="00EF6DF0" w:rsidRPr="006F3643" w:rsidTr="006F3643">
        <w:trPr>
          <w:trHeight w:val="315"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EF6DF0" w:rsidRPr="006F3643" w:rsidRDefault="00EF6DF0" w:rsidP="00EF6DF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6F36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Общо приходи от дейността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EF6DF0" w:rsidRPr="009E7DDC" w:rsidRDefault="00DA4AAC" w:rsidP="00EF6D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EF6DF0" w:rsidRPr="009E7DDC" w:rsidRDefault="00DA4AAC" w:rsidP="00EF6D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2561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EF6DF0" w:rsidRPr="00A96F6F" w:rsidRDefault="00E30A30" w:rsidP="00EF6D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183.13</w:t>
            </w:r>
          </w:p>
        </w:tc>
      </w:tr>
      <w:tr w:rsidR="00D9764F" w:rsidRPr="006F3643" w:rsidTr="006F3643">
        <w:trPr>
          <w:trHeight w:val="315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64F" w:rsidRPr="006F3643" w:rsidRDefault="00D9764F" w:rsidP="00EF6DF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6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Разходи </w:t>
            </w:r>
            <w:r w:rsidR="007D4BD9" w:rsidRPr="006F36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за дейността</w:t>
            </w:r>
            <w:r w:rsidRPr="006F36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64F" w:rsidRPr="006F3643" w:rsidRDefault="00D9764F" w:rsidP="00EF6D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64F" w:rsidRPr="006F3643" w:rsidRDefault="00D9764F" w:rsidP="00EF6D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64F" w:rsidRPr="006F3643" w:rsidRDefault="00D9764F" w:rsidP="00EF6D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64F" w:rsidRPr="006F3643" w:rsidTr="006F3643">
        <w:trPr>
          <w:trHeight w:val="315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64F" w:rsidRPr="006F3643" w:rsidRDefault="00D9764F" w:rsidP="00EF6D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643">
              <w:rPr>
                <w:rFonts w:ascii="Arial" w:hAnsi="Arial" w:cs="Arial"/>
                <w:color w:val="000000"/>
                <w:sz w:val="20"/>
                <w:szCs w:val="20"/>
              </w:rPr>
              <w:t>Разходи за външни услуги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64F" w:rsidRPr="00B673F8" w:rsidRDefault="00B160FB" w:rsidP="00EF6D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64F" w:rsidRPr="00B673F8" w:rsidRDefault="00B160FB" w:rsidP="00EF6D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64F" w:rsidRPr="00820AA1" w:rsidRDefault="00E30A30" w:rsidP="009929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782.14</w:t>
            </w:r>
          </w:p>
        </w:tc>
      </w:tr>
      <w:tr w:rsidR="00D9764F" w:rsidRPr="006F3643" w:rsidTr="006F3643">
        <w:trPr>
          <w:trHeight w:val="315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64F" w:rsidRPr="006F3643" w:rsidRDefault="00D9764F" w:rsidP="00EF6D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643">
              <w:rPr>
                <w:rFonts w:ascii="Arial" w:hAnsi="Arial" w:cs="Arial"/>
                <w:color w:val="000000"/>
                <w:sz w:val="20"/>
                <w:szCs w:val="20"/>
              </w:rPr>
              <w:t>Разходи за персонала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64F" w:rsidRPr="00B673F8" w:rsidRDefault="00B160FB" w:rsidP="00EF6D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64F" w:rsidRPr="00B673F8" w:rsidRDefault="00B160FB" w:rsidP="00EF6D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64F" w:rsidRPr="00820AA1" w:rsidRDefault="00E30A30" w:rsidP="009929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125.33</w:t>
            </w:r>
          </w:p>
        </w:tc>
      </w:tr>
      <w:tr w:rsidR="00EE045A" w:rsidRPr="006F3643" w:rsidTr="006F3643">
        <w:trPr>
          <w:trHeight w:val="315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5A" w:rsidRPr="006F3643" w:rsidRDefault="00EE045A" w:rsidP="00EF6DF0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6F3643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Други разходи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5A" w:rsidRPr="00B673F8" w:rsidRDefault="00B160FB" w:rsidP="00EF6D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5A" w:rsidRPr="00B673F8" w:rsidRDefault="00B160FB" w:rsidP="00EF6D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5A" w:rsidRPr="006F3643" w:rsidRDefault="00E30A30" w:rsidP="009929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278.03</w:t>
            </w:r>
          </w:p>
        </w:tc>
      </w:tr>
      <w:tr w:rsidR="007D4BD9" w:rsidRPr="006F3643" w:rsidTr="006F3643">
        <w:trPr>
          <w:trHeight w:val="315"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7D4BD9" w:rsidRPr="006F3643" w:rsidRDefault="007D4BD9" w:rsidP="00EF6DF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6F3643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Общо разходи за дейността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7D4BD9" w:rsidRPr="009E7DDC" w:rsidRDefault="00DA4AAC" w:rsidP="00EF6D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794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7D4BD9" w:rsidRPr="009E7DDC" w:rsidRDefault="00DA4AAC" w:rsidP="00EF6D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7D4BD9" w:rsidRPr="00A96F6F" w:rsidRDefault="00A87F2C" w:rsidP="009929E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287.68</w:t>
            </w:r>
          </w:p>
        </w:tc>
      </w:tr>
      <w:tr w:rsidR="00E43165" w:rsidRPr="006F3643" w:rsidTr="006F3643">
        <w:trPr>
          <w:trHeight w:val="315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165" w:rsidRPr="006F3643" w:rsidRDefault="00E43165" w:rsidP="000C608A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165" w:rsidRPr="006F3643" w:rsidRDefault="00E43165" w:rsidP="000C608A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165" w:rsidRPr="006F3643" w:rsidRDefault="00E43165" w:rsidP="000C608A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165" w:rsidRPr="006F3643" w:rsidRDefault="00E43165" w:rsidP="000C608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</w:p>
        </w:tc>
      </w:tr>
      <w:tr w:rsidR="00FC3DEF" w:rsidRPr="006F3643" w:rsidTr="006F3643">
        <w:trPr>
          <w:trHeight w:val="315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3DEF" w:rsidRPr="006F3643" w:rsidRDefault="00FC3DEF" w:rsidP="00FC3DEF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6F36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Печалба/(Загуба) </w:t>
            </w:r>
            <w:r w:rsidRPr="006F36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от оперативна дейност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C3DEF" w:rsidRPr="009E7DDC" w:rsidRDefault="00B160FB" w:rsidP="00EB2D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3896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C3DEF" w:rsidRPr="009E7DDC" w:rsidRDefault="00B160FB" w:rsidP="00EB2D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2285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C3DEF" w:rsidRPr="00A96F6F" w:rsidRDefault="00DA4AAC" w:rsidP="00EB2D1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170.50</w:t>
            </w:r>
          </w:p>
        </w:tc>
      </w:tr>
      <w:tr w:rsidR="00B62C96" w:rsidRPr="006F3643" w:rsidTr="006F3643">
        <w:trPr>
          <w:trHeight w:val="315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96" w:rsidRPr="006F3643" w:rsidRDefault="00B62C96" w:rsidP="00EF6DF0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C96" w:rsidRPr="006F3643" w:rsidRDefault="00B62C96" w:rsidP="00EF6D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C96" w:rsidRPr="006F3643" w:rsidRDefault="00B62C96" w:rsidP="00EF6D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C96" w:rsidRPr="006F3643" w:rsidRDefault="00B62C96" w:rsidP="00EF6D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</w:p>
        </w:tc>
      </w:tr>
      <w:tr w:rsidR="007D4BD9" w:rsidRPr="006F3643" w:rsidTr="006F3643">
        <w:trPr>
          <w:trHeight w:val="315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BD9" w:rsidRPr="006F3643" w:rsidRDefault="007D4BD9" w:rsidP="00EF6DF0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6F3643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Финансови приходи: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BD9" w:rsidRPr="00B673F8" w:rsidRDefault="00B160FB" w:rsidP="00EF6D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BD9" w:rsidRPr="00B673F8" w:rsidRDefault="0033367C" w:rsidP="00EF6D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BD9" w:rsidRPr="00A96F6F" w:rsidRDefault="00A87F2C" w:rsidP="00EF6D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33.79</w:t>
            </w:r>
          </w:p>
        </w:tc>
      </w:tr>
      <w:tr w:rsidR="00FC3DEF" w:rsidRPr="006F3643" w:rsidTr="006F3643">
        <w:trPr>
          <w:trHeight w:val="315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EF" w:rsidRPr="006F3643" w:rsidRDefault="00FC3DEF" w:rsidP="00EB2D19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6F3643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Финансови разходи: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DEF" w:rsidRPr="00B673F8" w:rsidRDefault="00B160FB" w:rsidP="00EB2D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(3635)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DEF" w:rsidRPr="00B673F8" w:rsidRDefault="00B160FB" w:rsidP="00EB2D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(3626)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DEF" w:rsidRPr="00A96F6F" w:rsidRDefault="00DA4AAC" w:rsidP="00EB2D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100.25</w:t>
            </w:r>
          </w:p>
        </w:tc>
      </w:tr>
      <w:tr w:rsidR="00013ACF" w:rsidRPr="006F3643" w:rsidTr="006F3643">
        <w:trPr>
          <w:trHeight w:val="315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13ACF" w:rsidRPr="006F3643" w:rsidRDefault="00013ACF" w:rsidP="007170E1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6F36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Нетно финансови приходи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13ACF" w:rsidRPr="00B673F8" w:rsidRDefault="00DA4AAC" w:rsidP="007170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(2753)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13ACF" w:rsidRPr="00052876" w:rsidRDefault="00DA4AAC" w:rsidP="007170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(1016)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13ACF" w:rsidRPr="00147A7E" w:rsidRDefault="00DA4AAC" w:rsidP="007170E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270.96</w:t>
            </w:r>
          </w:p>
        </w:tc>
      </w:tr>
      <w:tr w:rsidR="00013ACF" w:rsidRPr="006F3643" w:rsidTr="006F3643">
        <w:trPr>
          <w:trHeight w:val="315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ACF" w:rsidRPr="00B673F8" w:rsidRDefault="00B673F8" w:rsidP="007170E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  <w:r w:rsidRPr="00B673F8"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Печалба от придобиване на дъщерно дружество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ACF" w:rsidRPr="00B72BDB" w:rsidRDefault="00B72BDB" w:rsidP="007170E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ACF" w:rsidRPr="00B72BDB" w:rsidRDefault="00B72BDB" w:rsidP="007170E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ACF" w:rsidRPr="00B673F8" w:rsidRDefault="00B72BDB" w:rsidP="007170E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B72B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***</w:t>
            </w:r>
          </w:p>
        </w:tc>
      </w:tr>
      <w:tr w:rsidR="007D4BD9" w:rsidRPr="006F3643" w:rsidTr="006F3643">
        <w:trPr>
          <w:trHeight w:val="315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D4BD9" w:rsidRPr="006F3643" w:rsidRDefault="007D4BD9" w:rsidP="00EF6DF0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6F36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Печалба/(Загуба) преди данъци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D4BD9" w:rsidRPr="00B673F8" w:rsidRDefault="00B72BDB" w:rsidP="00EF6D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1952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D4BD9" w:rsidRPr="009027DC" w:rsidRDefault="00B72BDB" w:rsidP="00EF6D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D4BD9" w:rsidRPr="009027DC" w:rsidRDefault="0026524D" w:rsidP="00EF6DF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153.82</w:t>
            </w:r>
          </w:p>
        </w:tc>
      </w:tr>
      <w:tr w:rsidR="007D4BD9" w:rsidRPr="006F3643" w:rsidTr="006F3643">
        <w:trPr>
          <w:trHeight w:val="315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BD9" w:rsidRPr="006F3643" w:rsidRDefault="007D4BD9" w:rsidP="00EF6DF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6F3643">
              <w:rPr>
                <w:rFonts w:ascii="Arial" w:hAnsi="Arial" w:cs="Arial"/>
                <w:color w:val="000000"/>
                <w:sz w:val="20"/>
                <w:szCs w:val="20"/>
              </w:rPr>
              <w:t>Разходи за данъци</w:t>
            </w:r>
            <w:r w:rsidRPr="006F3643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 xml:space="preserve"> върху дохода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BD9" w:rsidRPr="009027DC" w:rsidRDefault="00B72BDB" w:rsidP="00EF6DF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(79)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BD9" w:rsidRPr="009027DC" w:rsidRDefault="00B72BDB" w:rsidP="00EF6DF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(39)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BD9" w:rsidRPr="00060485" w:rsidRDefault="00060485" w:rsidP="00EF6DF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0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202.56</w:t>
            </w:r>
          </w:p>
        </w:tc>
      </w:tr>
      <w:tr w:rsidR="007D4BD9" w:rsidRPr="006F3643" w:rsidTr="006F3643">
        <w:trPr>
          <w:trHeight w:val="315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D4BD9" w:rsidRPr="006F3643" w:rsidRDefault="007D4BD9" w:rsidP="00EF6D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6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Печалба/(Загуба) за периода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D4BD9" w:rsidRPr="009027DC" w:rsidRDefault="00B72BDB" w:rsidP="00EF6D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1873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D4BD9" w:rsidRPr="00B72BDB" w:rsidRDefault="00B72BDB" w:rsidP="00EF6D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D4BD9" w:rsidRPr="009027DC" w:rsidRDefault="0026524D" w:rsidP="00EF6D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152.28</w:t>
            </w:r>
          </w:p>
        </w:tc>
      </w:tr>
      <w:tr w:rsidR="007D4BD9" w:rsidRPr="006F3643" w:rsidTr="006F3643">
        <w:trPr>
          <w:trHeight w:val="315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BD9" w:rsidRPr="006F3643" w:rsidRDefault="007D4BD9" w:rsidP="00EF6DF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643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Друг всеобхватен доход за годината, нетно от данъци</w:t>
            </w:r>
            <w:r w:rsidRPr="006F3643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BD9" w:rsidRPr="009027DC" w:rsidRDefault="007D4BD9" w:rsidP="00EF6DF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BD9" w:rsidRPr="009027DC" w:rsidRDefault="007D4BD9" w:rsidP="00EF6DF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BD9" w:rsidRPr="006F3643" w:rsidRDefault="007D4BD9" w:rsidP="00EF6DF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7D4BD9" w:rsidRPr="006F3643" w:rsidTr="006F3643">
        <w:trPr>
          <w:trHeight w:val="45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D4BD9" w:rsidRPr="006F3643" w:rsidRDefault="007D4BD9" w:rsidP="00013A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6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Общо всеобхват</w:t>
            </w:r>
            <w:r w:rsidR="00013ACF" w:rsidRPr="006F36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е</w:t>
            </w:r>
            <w:r w:rsidRPr="006F36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 </w:t>
            </w:r>
            <w:r w:rsidR="00013ACF" w:rsidRPr="006F36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доход</w:t>
            </w:r>
            <w:r w:rsidRPr="006F36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за периода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D4BD9" w:rsidRPr="009027DC" w:rsidRDefault="00B72BDB" w:rsidP="00EF6D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1873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D4BD9" w:rsidRPr="00B72BDB" w:rsidRDefault="00B72BDB" w:rsidP="00EF6D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D4BD9" w:rsidRPr="009027DC" w:rsidRDefault="0026524D" w:rsidP="00EF6D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152.28</w:t>
            </w:r>
          </w:p>
        </w:tc>
      </w:tr>
    </w:tbl>
    <w:p w:rsidR="00D9764F" w:rsidRPr="00E36286" w:rsidRDefault="00D9764F" w:rsidP="00D9764F">
      <w:pPr>
        <w:rPr>
          <w:rFonts w:ascii="Arial" w:hAnsi="Arial" w:cs="Arial"/>
          <w:sz w:val="22"/>
          <w:szCs w:val="22"/>
        </w:rPr>
      </w:pPr>
    </w:p>
    <w:p w:rsidR="00FE18C6" w:rsidRDefault="00F150A2" w:rsidP="00E561DD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АДАРА АД </w:t>
      </w:r>
      <w:r w:rsidR="00797E04">
        <w:rPr>
          <w:rFonts w:ascii="Arial" w:hAnsi="Arial" w:cs="Arial"/>
        </w:rPr>
        <w:t>реализира</w:t>
      </w:r>
      <w:r>
        <w:rPr>
          <w:rFonts w:ascii="Arial" w:hAnsi="Arial" w:cs="Arial"/>
        </w:rPr>
        <w:t xml:space="preserve"> </w:t>
      </w:r>
      <w:r w:rsidR="00E046D8">
        <w:rPr>
          <w:rFonts w:ascii="Arial" w:hAnsi="Arial" w:cs="Arial"/>
          <w:lang w:val="en-US"/>
        </w:rPr>
        <w:t>положителен финансов резултат</w:t>
      </w:r>
      <w:r>
        <w:rPr>
          <w:rFonts w:ascii="Arial" w:hAnsi="Arial" w:cs="Arial"/>
        </w:rPr>
        <w:t xml:space="preserve"> от </w:t>
      </w:r>
      <w:r w:rsidR="001C6EF2">
        <w:rPr>
          <w:rFonts w:ascii="Arial" w:hAnsi="Arial" w:cs="Arial"/>
        </w:rPr>
        <w:t>1,</w:t>
      </w:r>
      <w:r w:rsidR="00E046D8">
        <w:rPr>
          <w:rFonts w:ascii="Arial" w:hAnsi="Arial" w:cs="Arial"/>
          <w:lang w:val="en-US"/>
        </w:rPr>
        <w:t>873</w:t>
      </w:r>
      <w:r>
        <w:rPr>
          <w:rFonts w:ascii="Arial" w:hAnsi="Arial" w:cs="Arial"/>
        </w:rPr>
        <w:t xml:space="preserve"> </w:t>
      </w:r>
      <w:r w:rsidR="001C6EF2">
        <w:rPr>
          <w:rFonts w:ascii="Arial" w:hAnsi="Arial" w:cs="Arial"/>
        </w:rPr>
        <w:t>млн.</w:t>
      </w:r>
      <w:r w:rsidR="00A96F6F">
        <w:rPr>
          <w:rFonts w:ascii="Arial" w:hAnsi="Arial" w:cs="Arial"/>
        </w:rPr>
        <w:t xml:space="preserve"> лева </w:t>
      </w:r>
      <w:r w:rsidR="00F60047">
        <w:rPr>
          <w:rFonts w:ascii="Arial" w:hAnsi="Arial" w:cs="Arial"/>
        </w:rPr>
        <w:t>към 3</w:t>
      </w:r>
      <w:r w:rsidR="00E046D8">
        <w:rPr>
          <w:rFonts w:ascii="Arial" w:hAnsi="Arial" w:cs="Arial"/>
          <w:lang w:val="en-US"/>
        </w:rPr>
        <w:t>1</w:t>
      </w:r>
      <w:r w:rsidR="00F60047">
        <w:rPr>
          <w:rFonts w:ascii="Arial" w:hAnsi="Arial" w:cs="Arial"/>
        </w:rPr>
        <w:t>.</w:t>
      </w:r>
      <w:r w:rsidR="00E046D8">
        <w:rPr>
          <w:rFonts w:ascii="Arial" w:hAnsi="Arial" w:cs="Arial"/>
          <w:lang w:val="en-US"/>
        </w:rPr>
        <w:t>12</w:t>
      </w:r>
      <w:r w:rsidR="00F60047">
        <w:rPr>
          <w:rFonts w:ascii="Arial" w:hAnsi="Arial" w:cs="Arial"/>
        </w:rPr>
        <w:t xml:space="preserve">.2019г. </w:t>
      </w:r>
      <w:r w:rsidR="00A96F6F">
        <w:rPr>
          <w:rFonts w:ascii="Arial" w:hAnsi="Arial" w:cs="Arial"/>
        </w:rPr>
        <w:t xml:space="preserve">спрямо </w:t>
      </w:r>
      <w:r w:rsidR="00E046D8">
        <w:rPr>
          <w:rFonts w:ascii="Arial" w:hAnsi="Arial" w:cs="Arial"/>
          <w:lang w:val="en-US"/>
        </w:rPr>
        <w:t>печалба</w:t>
      </w:r>
      <w:r w:rsidR="00147A7E">
        <w:rPr>
          <w:rFonts w:ascii="Arial" w:hAnsi="Arial" w:cs="Arial"/>
        </w:rPr>
        <w:t xml:space="preserve"> от </w:t>
      </w:r>
      <w:r w:rsidR="00E046D8">
        <w:rPr>
          <w:rFonts w:ascii="Arial" w:hAnsi="Arial" w:cs="Arial"/>
          <w:lang w:val="en-US"/>
        </w:rPr>
        <w:t>1,230</w:t>
      </w:r>
      <w:r w:rsidR="00147A7E">
        <w:rPr>
          <w:rFonts w:ascii="Arial" w:hAnsi="Arial" w:cs="Arial"/>
        </w:rPr>
        <w:t xml:space="preserve"> </w:t>
      </w:r>
      <w:r w:rsidR="00E046D8">
        <w:rPr>
          <w:rFonts w:ascii="Arial" w:hAnsi="Arial" w:cs="Arial"/>
          <w:lang w:val="en-US"/>
        </w:rPr>
        <w:t>млн.</w:t>
      </w:r>
      <w:r w:rsidR="00147A7E">
        <w:rPr>
          <w:rFonts w:ascii="Arial" w:hAnsi="Arial" w:cs="Arial"/>
        </w:rPr>
        <w:t xml:space="preserve"> лева през </w:t>
      </w:r>
      <w:r w:rsidR="00A96F6F">
        <w:rPr>
          <w:rFonts w:ascii="Arial" w:hAnsi="Arial" w:cs="Arial"/>
        </w:rPr>
        <w:t>2018г.</w:t>
      </w:r>
      <w:r>
        <w:rPr>
          <w:rFonts w:ascii="Arial" w:hAnsi="Arial" w:cs="Arial"/>
        </w:rPr>
        <w:t xml:space="preserve"> </w:t>
      </w:r>
    </w:p>
    <w:p w:rsidR="00FE18C6" w:rsidRDefault="00FE18C6" w:rsidP="00E561DD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:rsidR="00842E32" w:rsidRDefault="00593BBA" w:rsidP="00295F01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Основна причина за </w:t>
      </w:r>
      <w:r w:rsidR="00A83191">
        <w:rPr>
          <w:rFonts w:ascii="Arial" w:hAnsi="Arial" w:cs="Arial"/>
        </w:rPr>
        <w:t>регистрираното съществено подобрение на</w:t>
      </w:r>
      <w:r>
        <w:rPr>
          <w:rFonts w:ascii="Arial" w:hAnsi="Arial" w:cs="Arial"/>
        </w:rPr>
        <w:t xml:space="preserve"> финансов</w:t>
      </w:r>
      <w:r w:rsidR="00A83191">
        <w:rPr>
          <w:rFonts w:ascii="Arial" w:hAnsi="Arial" w:cs="Arial"/>
        </w:rPr>
        <w:t>ия</w:t>
      </w:r>
      <w:r>
        <w:rPr>
          <w:rFonts w:ascii="Arial" w:hAnsi="Arial" w:cs="Arial"/>
        </w:rPr>
        <w:t xml:space="preserve"> </w:t>
      </w:r>
      <w:r w:rsidRPr="0064036A">
        <w:rPr>
          <w:rFonts w:ascii="Arial" w:hAnsi="Arial" w:cs="Arial"/>
        </w:rPr>
        <w:t>резултат</w:t>
      </w:r>
      <w:r w:rsidR="00FF51A3">
        <w:rPr>
          <w:rFonts w:ascii="Arial" w:hAnsi="Arial" w:cs="Arial"/>
        </w:rPr>
        <w:t xml:space="preserve"> </w:t>
      </w:r>
      <w:r w:rsidR="00E046D8">
        <w:rPr>
          <w:rFonts w:ascii="Arial" w:hAnsi="Arial" w:cs="Arial"/>
          <w:lang w:val="en-US"/>
        </w:rPr>
        <w:t xml:space="preserve">/+52.28%/ </w:t>
      </w:r>
      <w:r w:rsidR="00425846" w:rsidRPr="0064036A">
        <w:rPr>
          <w:rFonts w:ascii="Arial" w:hAnsi="Arial" w:cs="Arial"/>
        </w:rPr>
        <w:t>се явява</w:t>
      </w:r>
      <w:r w:rsidR="00425846">
        <w:rPr>
          <w:rFonts w:ascii="Arial" w:hAnsi="Arial" w:cs="Arial"/>
        </w:rPr>
        <w:t xml:space="preserve"> </w:t>
      </w:r>
      <w:r w:rsidR="0064036A" w:rsidRPr="0064036A">
        <w:rPr>
          <w:rFonts w:ascii="Arial" w:hAnsi="Arial" w:cs="Arial"/>
        </w:rPr>
        <w:t xml:space="preserve">отчетената </w:t>
      </w:r>
      <w:r w:rsidR="00253CEF">
        <w:rPr>
          <w:rFonts w:ascii="Arial" w:hAnsi="Arial" w:cs="Arial"/>
        </w:rPr>
        <w:t>“</w:t>
      </w:r>
      <w:r w:rsidR="0064036A" w:rsidRPr="0064036A">
        <w:rPr>
          <w:rFonts w:ascii="Arial" w:hAnsi="Arial" w:cs="Arial"/>
          <w:color w:val="000000"/>
        </w:rPr>
        <w:t>Нетна печалба от последващи оценки на финансови активи</w:t>
      </w:r>
      <w:r w:rsidR="00253CEF">
        <w:rPr>
          <w:rFonts w:ascii="Arial" w:hAnsi="Arial" w:cs="Arial"/>
          <w:color w:val="000000"/>
        </w:rPr>
        <w:t>“</w:t>
      </w:r>
      <w:r w:rsidR="0064036A">
        <w:rPr>
          <w:rFonts w:ascii="Arial" w:hAnsi="Arial" w:cs="Arial"/>
          <w:color w:val="000000"/>
        </w:rPr>
        <w:t xml:space="preserve"> за </w:t>
      </w:r>
      <w:r w:rsidR="00E046D8">
        <w:rPr>
          <w:rFonts w:ascii="Arial" w:hAnsi="Arial" w:cs="Arial"/>
          <w:color w:val="000000"/>
          <w:lang w:val="en-US"/>
        </w:rPr>
        <w:t>1,161</w:t>
      </w:r>
      <w:r w:rsidR="0064036A">
        <w:rPr>
          <w:rFonts w:ascii="Arial" w:hAnsi="Arial" w:cs="Arial"/>
          <w:color w:val="000000"/>
        </w:rPr>
        <w:t xml:space="preserve"> </w:t>
      </w:r>
      <w:r w:rsidR="00E046D8">
        <w:rPr>
          <w:rFonts w:ascii="Arial" w:hAnsi="Arial" w:cs="Arial"/>
          <w:color w:val="000000"/>
          <w:lang w:val="en-US"/>
        </w:rPr>
        <w:t>млн.</w:t>
      </w:r>
      <w:r w:rsidR="0064036A">
        <w:rPr>
          <w:rFonts w:ascii="Arial" w:hAnsi="Arial" w:cs="Arial"/>
          <w:color w:val="000000"/>
        </w:rPr>
        <w:t xml:space="preserve"> лева</w:t>
      </w:r>
      <w:r w:rsidR="00FF51A3">
        <w:rPr>
          <w:rFonts w:ascii="Arial" w:hAnsi="Arial" w:cs="Arial"/>
          <w:color w:val="000000"/>
          <w:lang w:val="en-US"/>
        </w:rPr>
        <w:t xml:space="preserve"> </w:t>
      </w:r>
      <w:r w:rsidR="00FF51A3">
        <w:rPr>
          <w:rFonts w:ascii="Arial" w:hAnsi="Arial" w:cs="Arial"/>
          <w:color w:val="000000"/>
        </w:rPr>
        <w:t xml:space="preserve">спрямо </w:t>
      </w:r>
      <w:r w:rsidR="00842E32">
        <w:rPr>
          <w:rFonts w:ascii="Arial" w:hAnsi="Arial" w:cs="Arial"/>
          <w:color w:val="000000"/>
        </w:rPr>
        <w:t xml:space="preserve">само </w:t>
      </w:r>
      <w:r w:rsidR="00E046D8">
        <w:rPr>
          <w:rFonts w:ascii="Arial" w:hAnsi="Arial" w:cs="Arial"/>
          <w:color w:val="000000"/>
          <w:lang w:val="en-US"/>
        </w:rPr>
        <w:t>557</w:t>
      </w:r>
      <w:r w:rsidR="00FF51A3">
        <w:rPr>
          <w:rFonts w:ascii="Arial" w:hAnsi="Arial" w:cs="Arial"/>
          <w:color w:val="000000"/>
        </w:rPr>
        <w:t xml:space="preserve"> хиляди лева през 2018г.</w:t>
      </w:r>
      <w:r w:rsidR="00842E32">
        <w:rPr>
          <w:rFonts w:ascii="Arial" w:hAnsi="Arial" w:cs="Arial"/>
          <w:color w:val="000000"/>
        </w:rPr>
        <w:t xml:space="preserve">, както и регистрираната през периода печалба от придобиване на дъщерно дружество за </w:t>
      </w:r>
      <w:r w:rsidR="00E046D8">
        <w:rPr>
          <w:rFonts w:ascii="Arial" w:hAnsi="Arial" w:cs="Arial"/>
          <w:color w:val="000000"/>
          <w:lang w:val="en-US"/>
        </w:rPr>
        <w:t>809</w:t>
      </w:r>
      <w:r w:rsidR="00842E32">
        <w:rPr>
          <w:rFonts w:ascii="Arial" w:hAnsi="Arial" w:cs="Arial"/>
          <w:color w:val="000000"/>
        </w:rPr>
        <w:t xml:space="preserve"> хиляди лева.</w:t>
      </w:r>
      <w:r w:rsidR="00FF51A3">
        <w:rPr>
          <w:rFonts w:ascii="Arial" w:hAnsi="Arial" w:cs="Arial"/>
          <w:color w:val="000000"/>
        </w:rPr>
        <w:t xml:space="preserve"> </w:t>
      </w:r>
    </w:p>
    <w:p w:rsidR="00842E32" w:rsidRDefault="00842E32" w:rsidP="00295F01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1E264E" w:rsidRDefault="00E046D8" w:rsidP="00295F01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US"/>
        </w:rPr>
        <w:t>През 2019г. се п</w:t>
      </w:r>
      <w:r w:rsidR="00FF51A3">
        <w:rPr>
          <w:rFonts w:ascii="Arial" w:hAnsi="Arial" w:cs="Arial"/>
          <w:color w:val="000000"/>
        </w:rPr>
        <w:t xml:space="preserve">оявява и значителна нова позиция “Други приходи“ за </w:t>
      </w:r>
      <w:r w:rsidR="003C12FB">
        <w:rPr>
          <w:rFonts w:ascii="Arial" w:hAnsi="Arial" w:cs="Arial"/>
          <w:color w:val="000000"/>
          <w:lang w:val="en-US"/>
        </w:rPr>
        <w:t>2</w:t>
      </w:r>
      <w:r w:rsidR="00FF51A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lang w:val="en-US"/>
        </w:rPr>
        <w:t>947</w:t>
      </w:r>
      <w:r w:rsidR="00FF51A3">
        <w:rPr>
          <w:rFonts w:ascii="Arial" w:hAnsi="Arial" w:cs="Arial"/>
          <w:color w:val="000000"/>
        </w:rPr>
        <w:t xml:space="preserve"> млн. лева</w:t>
      </w:r>
      <w:r w:rsidR="00425846">
        <w:rPr>
          <w:rFonts w:ascii="Arial" w:hAnsi="Arial" w:cs="Arial"/>
          <w:color w:val="000000"/>
        </w:rPr>
        <w:t xml:space="preserve">, </w:t>
      </w:r>
      <w:r w:rsidR="00B109F2">
        <w:rPr>
          <w:rFonts w:ascii="Arial" w:hAnsi="Arial" w:cs="Arial"/>
          <w:color w:val="000000"/>
        </w:rPr>
        <w:t xml:space="preserve">като по този начин, дружеството успява да </w:t>
      </w:r>
      <w:r w:rsidR="00425846">
        <w:rPr>
          <w:rFonts w:ascii="Arial" w:hAnsi="Arial" w:cs="Arial"/>
          <w:color w:val="000000"/>
        </w:rPr>
        <w:t>покри</w:t>
      </w:r>
      <w:r w:rsidR="00B109F2">
        <w:rPr>
          <w:rFonts w:ascii="Arial" w:hAnsi="Arial" w:cs="Arial"/>
          <w:color w:val="000000"/>
        </w:rPr>
        <w:t>е</w:t>
      </w:r>
      <w:r w:rsidR="00425846">
        <w:rPr>
          <w:rFonts w:ascii="Arial" w:hAnsi="Arial" w:cs="Arial"/>
          <w:color w:val="000000"/>
        </w:rPr>
        <w:t xml:space="preserve"> нарасналите отрицателни нетни финансови приходи /-</w:t>
      </w:r>
      <w:r>
        <w:rPr>
          <w:rFonts w:ascii="Arial" w:hAnsi="Arial" w:cs="Arial"/>
          <w:color w:val="000000"/>
          <w:lang w:val="en-US"/>
        </w:rPr>
        <w:t>2</w:t>
      </w:r>
      <w:r w:rsidR="003C12FB"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lang w:val="en-US"/>
        </w:rPr>
        <w:t>753</w:t>
      </w:r>
      <w:r w:rsidR="00425846">
        <w:rPr>
          <w:rFonts w:ascii="Arial" w:hAnsi="Arial" w:cs="Arial"/>
          <w:color w:val="000000"/>
        </w:rPr>
        <w:t xml:space="preserve"> </w:t>
      </w:r>
      <w:r w:rsidR="003C12FB">
        <w:rPr>
          <w:rFonts w:ascii="Arial" w:hAnsi="Arial" w:cs="Arial"/>
          <w:color w:val="000000"/>
        </w:rPr>
        <w:t>млн</w:t>
      </w:r>
      <w:r w:rsidR="00425846">
        <w:rPr>
          <w:rFonts w:ascii="Arial" w:hAnsi="Arial" w:cs="Arial"/>
          <w:color w:val="000000"/>
        </w:rPr>
        <w:t>. лв. спрямо -</w:t>
      </w:r>
      <w:r w:rsidR="003C12FB">
        <w:rPr>
          <w:rFonts w:ascii="Arial" w:hAnsi="Arial" w:cs="Arial"/>
          <w:color w:val="000000"/>
        </w:rPr>
        <w:t>1,</w:t>
      </w:r>
      <w:r>
        <w:rPr>
          <w:rFonts w:ascii="Arial" w:hAnsi="Arial" w:cs="Arial"/>
          <w:color w:val="000000"/>
          <w:lang w:val="en-US"/>
        </w:rPr>
        <w:t>016</w:t>
      </w:r>
      <w:r w:rsidR="00425846">
        <w:rPr>
          <w:rFonts w:ascii="Arial" w:hAnsi="Arial" w:cs="Arial"/>
          <w:color w:val="000000"/>
        </w:rPr>
        <w:t xml:space="preserve"> </w:t>
      </w:r>
      <w:r w:rsidR="003C12FB">
        <w:rPr>
          <w:rFonts w:ascii="Arial" w:hAnsi="Arial" w:cs="Arial"/>
          <w:color w:val="000000"/>
        </w:rPr>
        <w:t>млн.</w:t>
      </w:r>
      <w:r w:rsidR="00425846">
        <w:rPr>
          <w:rFonts w:ascii="Arial" w:hAnsi="Arial" w:cs="Arial"/>
          <w:color w:val="000000"/>
        </w:rPr>
        <w:t xml:space="preserve"> лв.</w:t>
      </w:r>
      <w:r w:rsidR="00BE4058">
        <w:rPr>
          <w:rFonts w:ascii="Arial" w:hAnsi="Arial" w:cs="Arial"/>
          <w:color w:val="000000"/>
          <w:lang w:val="en-US"/>
        </w:rPr>
        <w:t xml:space="preserve"> през 2018г.</w:t>
      </w:r>
      <w:r w:rsidR="00425846">
        <w:rPr>
          <w:rFonts w:ascii="Arial" w:hAnsi="Arial" w:cs="Arial"/>
          <w:color w:val="000000"/>
        </w:rPr>
        <w:t xml:space="preserve">, </w:t>
      </w:r>
      <w:r w:rsidR="00B109F2">
        <w:rPr>
          <w:rFonts w:ascii="Arial" w:hAnsi="Arial" w:cs="Arial"/>
          <w:color w:val="000000"/>
        </w:rPr>
        <w:t>+</w:t>
      </w:r>
      <w:r>
        <w:rPr>
          <w:rFonts w:ascii="Arial" w:hAnsi="Arial" w:cs="Arial"/>
          <w:color w:val="000000"/>
          <w:lang w:val="en-US"/>
        </w:rPr>
        <w:t>170</w:t>
      </w:r>
      <w:r w:rsidR="009C62A0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>9</w:t>
      </w:r>
      <w:r w:rsidR="003C12FB">
        <w:rPr>
          <w:rFonts w:ascii="Arial" w:hAnsi="Arial" w:cs="Arial"/>
          <w:color w:val="000000"/>
        </w:rPr>
        <w:t>6</w:t>
      </w:r>
      <w:r w:rsidR="00425846">
        <w:rPr>
          <w:rFonts w:ascii="Arial" w:hAnsi="Arial" w:cs="Arial"/>
          <w:color w:val="000000"/>
        </w:rPr>
        <w:t>%/, както и отрицателния резултат от операции с финансови активи /-</w:t>
      </w:r>
      <w:r w:rsidR="00842E32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lang w:val="en-US"/>
        </w:rPr>
        <w:t>85</w:t>
      </w:r>
      <w:r w:rsidR="00425846">
        <w:rPr>
          <w:rFonts w:ascii="Arial" w:hAnsi="Arial" w:cs="Arial"/>
          <w:color w:val="000000"/>
        </w:rPr>
        <w:t xml:space="preserve"> хил. лв. спрямо </w:t>
      </w:r>
      <w:r w:rsidR="00212319">
        <w:rPr>
          <w:rFonts w:ascii="Arial" w:hAnsi="Arial" w:cs="Arial"/>
          <w:color w:val="000000"/>
          <w:lang w:val="en-US"/>
        </w:rPr>
        <w:t>+</w:t>
      </w:r>
      <w:r>
        <w:rPr>
          <w:rFonts w:ascii="Arial" w:hAnsi="Arial" w:cs="Arial"/>
          <w:color w:val="000000"/>
          <w:lang w:val="en-US"/>
        </w:rPr>
        <w:t>1,95</w:t>
      </w:r>
      <w:r w:rsidR="00842E32">
        <w:rPr>
          <w:rFonts w:ascii="Arial" w:hAnsi="Arial" w:cs="Arial"/>
          <w:color w:val="000000"/>
        </w:rPr>
        <w:t>2</w:t>
      </w:r>
      <w:r w:rsidR="004258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млн</w:t>
      </w:r>
      <w:r w:rsidR="00425846">
        <w:rPr>
          <w:rFonts w:ascii="Arial" w:hAnsi="Arial" w:cs="Arial"/>
          <w:color w:val="000000"/>
        </w:rPr>
        <w:t>. л</w:t>
      </w:r>
      <w:r>
        <w:rPr>
          <w:rFonts w:ascii="Arial" w:hAnsi="Arial" w:cs="Arial"/>
          <w:color w:val="000000"/>
          <w:lang w:val="en-US"/>
        </w:rPr>
        <w:t>е</w:t>
      </w:r>
      <w:r w:rsidR="00425846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  <w:lang w:val="en-US"/>
        </w:rPr>
        <w:t>а</w:t>
      </w:r>
      <w:r w:rsidR="00B109F2">
        <w:rPr>
          <w:rFonts w:ascii="Arial" w:hAnsi="Arial" w:cs="Arial"/>
          <w:color w:val="000000"/>
        </w:rPr>
        <w:t xml:space="preserve"> през 2018г.</w:t>
      </w:r>
      <w:r w:rsidR="001E264E">
        <w:rPr>
          <w:rFonts w:ascii="Arial" w:hAnsi="Arial" w:cs="Arial"/>
          <w:color w:val="000000"/>
        </w:rPr>
        <w:t>/.</w:t>
      </w:r>
    </w:p>
    <w:p w:rsidR="001E264E" w:rsidRDefault="001E264E" w:rsidP="00295F01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1E264E" w:rsidRDefault="001E264E" w:rsidP="00295F01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Разходите за дейността се увеличават повече от </w:t>
      </w:r>
      <w:r w:rsidR="00B109F2">
        <w:rPr>
          <w:rFonts w:ascii="Arial" w:hAnsi="Arial" w:cs="Arial"/>
          <w:color w:val="000000"/>
        </w:rPr>
        <w:t>два</w:t>
      </w:r>
      <w:r>
        <w:rPr>
          <w:rFonts w:ascii="Arial" w:hAnsi="Arial" w:cs="Arial"/>
          <w:color w:val="000000"/>
        </w:rPr>
        <w:t xml:space="preserve"> пъти спрямо 2018г., до </w:t>
      </w:r>
      <w:r w:rsidR="00F872E9">
        <w:rPr>
          <w:rFonts w:ascii="Arial" w:hAnsi="Arial" w:cs="Arial"/>
          <w:color w:val="000000"/>
          <w:lang w:val="en-US"/>
        </w:rPr>
        <w:t>794</w:t>
      </w:r>
      <w:r>
        <w:rPr>
          <w:rFonts w:ascii="Arial" w:hAnsi="Arial" w:cs="Arial"/>
          <w:color w:val="000000"/>
        </w:rPr>
        <w:t xml:space="preserve"> хил</w:t>
      </w:r>
      <w:r w:rsidR="00F872E9">
        <w:rPr>
          <w:rFonts w:ascii="Arial" w:hAnsi="Arial" w:cs="Arial"/>
          <w:color w:val="000000"/>
          <w:lang w:val="en-US"/>
        </w:rPr>
        <w:t>яди</w:t>
      </w:r>
      <w:r>
        <w:rPr>
          <w:rFonts w:ascii="Arial" w:hAnsi="Arial" w:cs="Arial"/>
          <w:color w:val="000000"/>
        </w:rPr>
        <w:t xml:space="preserve"> л</w:t>
      </w:r>
      <w:r w:rsidR="00F872E9">
        <w:rPr>
          <w:rFonts w:ascii="Arial" w:hAnsi="Arial" w:cs="Arial"/>
          <w:color w:val="000000"/>
          <w:lang w:val="en-US"/>
        </w:rPr>
        <w:t>е</w:t>
      </w:r>
      <w:r>
        <w:rPr>
          <w:rFonts w:ascii="Arial" w:hAnsi="Arial" w:cs="Arial"/>
          <w:color w:val="000000"/>
        </w:rPr>
        <w:t>в</w:t>
      </w:r>
      <w:r w:rsidR="00F872E9">
        <w:rPr>
          <w:rFonts w:ascii="Arial" w:hAnsi="Arial" w:cs="Arial"/>
          <w:color w:val="000000"/>
          <w:lang w:val="en-US"/>
        </w:rPr>
        <w:t>а /+187.68%/</w:t>
      </w:r>
      <w:r>
        <w:rPr>
          <w:rFonts w:ascii="Arial" w:hAnsi="Arial" w:cs="Arial"/>
          <w:color w:val="000000"/>
        </w:rPr>
        <w:t>, което допълнително свива ефекта от извършената преоценка на активи.</w:t>
      </w:r>
    </w:p>
    <w:p w:rsidR="001E264E" w:rsidRDefault="001E264E" w:rsidP="00295F01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D9764F" w:rsidRPr="004D1A79" w:rsidRDefault="001E264E" w:rsidP="004D1A79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Изключително важн</w:t>
      </w:r>
      <w:r w:rsidR="003B673C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за дружеството</w:t>
      </w:r>
      <w:r w:rsidR="003B673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през следващите тримесечия</w:t>
      </w:r>
      <w:r w:rsidR="003B673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ще е способността му да </w:t>
      </w:r>
      <w:r w:rsidR="00BB52D6">
        <w:rPr>
          <w:rFonts w:ascii="Arial" w:hAnsi="Arial" w:cs="Arial"/>
          <w:color w:val="000000"/>
        </w:rPr>
        <w:t>компенсира</w:t>
      </w:r>
      <w:r>
        <w:rPr>
          <w:rFonts w:ascii="Arial" w:hAnsi="Arial" w:cs="Arial"/>
          <w:color w:val="000000"/>
        </w:rPr>
        <w:t xml:space="preserve"> нетните отрицателни финансови приходи с </w:t>
      </w:r>
      <w:r w:rsidR="00BB52D6">
        <w:rPr>
          <w:rFonts w:ascii="Arial" w:hAnsi="Arial" w:cs="Arial"/>
          <w:color w:val="000000"/>
        </w:rPr>
        <w:t xml:space="preserve">приходи от </w:t>
      </w:r>
      <w:r>
        <w:rPr>
          <w:rFonts w:ascii="Arial" w:hAnsi="Arial" w:cs="Arial"/>
          <w:color w:val="000000"/>
        </w:rPr>
        <w:t>активи</w:t>
      </w:r>
      <w:r w:rsidR="001C6EF2">
        <w:rPr>
          <w:rFonts w:ascii="Arial" w:hAnsi="Arial" w:cs="Arial"/>
          <w:color w:val="000000"/>
        </w:rPr>
        <w:t>те</w:t>
      </w:r>
      <w:r>
        <w:rPr>
          <w:rFonts w:ascii="Arial" w:hAnsi="Arial" w:cs="Arial"/>
          <w:color w:val="000000"/>
        </w:rPr>
        <w:t>, в които е инвестирало</w:t>
      </w:r>
      <w:r w:rsidR="00BB52D6" w:rsidRPr="00BB52D6">
        <w:rPr>
          <w:rFonts w:ascii="Arial" w:hAnsi="Arial" w:cs="Arial"/>
          <w:color w:val="000000"/>
        </w:rPr>
        <w:t xml:space="preserve"> </w:t>
      </w:r>
      <w:r w:rsidR="00BB52D6">
        <w:rPr>
          <w:rFonts w:ascii="Arial" w:hAnsi="Arial" w:cs="Arial"/>
          <w:color w:val="000000"/>
        </w:rPr>
        <w:t>или с нарастване на тяхната стойност</w:t>
      </w:r>
      <w:r>
        <w:rPr>
          <w:rFonts w:ascii="Arial" w:hAnsi="Arial" w:cs="Arial"/>
          <w:color w:val="000000"/>
        </w:rPr>
        <w:t xml:space="preserve">. </w:t>
      </w:r>
      <w:r w:rsidR="00425846">
        <w:rPr>
          <w:rFonts w:ascii="Arial" w:hAnsi="Arial" w:cs="Arial"/>
          <w:color w:val="000000"/>
        </w:rPr>
        <w:t xml:space="preserve"> </w:t>
      </w:r>
    </w:p>
    <w:p w:rsidR="00BF1F0F" w:rsidRDefault="00BF1F0F" w:rsidP="00D9764F">
      <w:pPr>
        <w:rPr>
          <w:rFonts w:ascii="Arial" w:hAnsi="Arial" w:cs="Arial"/>
          <w:sz w:val="22"/>
          <w:szCs w:val="22"/>
        </w:rPr>
      </w:pPr>
    </w:p>
    <w:p w:rsidR="00F872E9" w:rsidRPr="00F872E9" w:rsidRDefault="00F872E9" w:rsidP="00D9764F">
      <w:pPr>
        <w:rPr>
          <w:rFonts w:ascii="Arial" w:hAnsi="Arial" w:cs="Arial"/>
          <w:sz w:val="22"/>
          <w:szCs w:val="22"/>
        </w:rPr>
      </w:pPr>
    </w:p>
    <w:p w:rsidR="00D9764F" w:rsidRPr="00E36286" w:rsidRDefault="00D9764F" w:rsidP="00D9764F">
      <w:pPr>
        <w:pStyle w:val="2"/>
        <w:keepLines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t>Анализ на Ликвидността</w:t>
      </w:r>
    </w:p>
    <w:p w:rsidR="00E561DD" w:rsidRPr="00E36286" w:rsidRDefault="00E561DD" w:rsidP="00E561DD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:rsidR="00D9764F" w:rsidRPr="00F872E9" w:rsidRDefault="00D9764F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E36286">
        <w:rPr>
          <w:rFonts w:ascii="Arial" w:hAnsi="Arial" w:cs="Arial"/>
        </w:rPr>
        <w:t>Показателите за ликвидност са количествени характеристики на способността на предприятието да изплаща текущите си задължения с краткотрайни активи (без разходи за бъдещи периоди).</w:t>
      </w:r>
    </w:p>
    <w:p w:rsidR="005719AB" w:rsidRPr="00E36286" w:rsidRDefault="005719AB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5062" w:type="pct"/>
        <w:jc w:val="center"/>
        <w:tblInd w:w="330" w:type="dxa"/>
        <w:tblLook w:val="04A0"/>
      </w:tblPr>
      <w:tblGrid>
        <w:gridCol w:w="3155"/>
        <w:gridCol w:w="1173"/>
        <w:gridCol w:w="1172"/>
        <w:gridCol w:w="1172"/>
        <w:gridCol w:w="1172"/>
        <w:gridCol w:w="1172"/>
      </w:tblGrid>
      <w:tr w:rsidR="00712B5F" w:rsidRPr="00E36286" w:rsidTr="00712B5F">
        <w:trPr>
          <w:trHeight w:val="330"/>
          <w:jc w:val="center"/>
        </w:trPr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12B5F" w:rsidRPr="00E36286" w:rsidRDefault="00712B5F" w:rsidP="0066487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Показатели за ликвидност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712B5F" w:rsidRPr="00E36286" w:rsidRDefault="00712B5F" w:rsidP="00712B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Pr="00E362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'201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712B5F" w:rsidRPr="00E36286" w:rsidRDefault="00712B5F" w:rsidP="002D10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Pr="00E362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'201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712B5F" w:rsidRPr="00E36286" w:rsidRDefault="00712B5F" w:rsidP="0089716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E362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'201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bottom"/>
          </w:tcPr>
          <w:p w:rsidR="00712B5F" w:rsidRPr="00E36286" w:rsidRDefault="00712B5F" w:rsidP="009E29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E362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'201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712B5F" w:rsidRPr="00E36286" w:rsidRDefault="00712B5F" w:rsidP="002A0A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Pr="00E362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'201</w:t>
            </w:r>
            <w:r w:rsidRPr="00E362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g-BG"/>
              </w:rPr>
              <w:t>8</w:t>
            </w:r>
          </w:p>
        </w:tc>
      </w:tr>
      <w:tr w:rsidR="00712B5F" w:rsidRPr="00E36286" w:rsidTr="00712B5F">
        <w:trPr>
          <w:trHeight w:val="330"/>
          <w:jc w:val="center"/>
        </w:trPr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12B5F" w:rsidRPr="00E36286" w:rsidRDefault="00712B5F" w:rsidP="006648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Обща</w:t>
            </w:r>
            <w:r w:rsidRPr="00E36286">
              <w:rPr>
                <w:rFonts w:ascii="Arial" w:hAnsi="Arial" w:cs="Arial"/>
                <w:color w:val="000000"/>
                <w:sz w:val="22"/>
                <w:szCs w:val="22"/>
              </w:rPr>
              <w:t xml:space="preserve"> ликвидност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B5F" w:rsidRPr="00D7012F" w:rsidRDefault="00D7012F" w:rsidP="008160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1,4532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5F" w:rsidRPr="001A5307" w:rsidRDefault="00712B5F" w:rsidP="00DE5F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1,4168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5F" w:rsidRPr="003A2363" w:rsidRDefault="00712B5F" w:rsidP="003A236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1,551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12B5F" w:rsidRPr="003C4E0A" w:rsidRDefault="00712B5F" w:rsidP="003C4E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059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5F" w:rsidRDefault="00712B5F" w:rsidP="003C4E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1,6765</w:t>
            </w:r>
          </w:p>
        </w:tc>
      </w:tr>
      <w:tr w:rsidR="00712B5F" w:rsidRPr="00E36286" w:rsidTr="00712B5F">
        <w:trPr>
          <w:trHeight w:val="330"/>
          <w:jc w:val="center"/>
        </w:trPr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12B5F" w:rsidRPr="00E36286" w:rsidRDefault="00712B5F" w:rsidP="006648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6286">
              <w:rPr>
                <w:rFonts w:ascii="Arial" w:hAnsi="Arial" w:cs="Arial"/>
                <w:color w:val="000000"/>
                <w:sz w:val="22"/>
                <w:szCs w:val="22"/>
              </w:rPr>
              <w:t>Бърза ликвидност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B5F" w:rsidRPr="00D7012F" w:rsidRDefault="00D7012F" w:rsidP="008160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1,4532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5F" w:rsidRPr="001B2B34" w:rsidRDefault="00712B5F" w:rsidP="0006588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1,4168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5F" w:rsidRPr="003A2363" w:rsidRDefault="00712B5F" w:rsidP="003A236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1,551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12B5F" w:rsidRDefault="00712B5F" w:rsidP="00520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1,6905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5F" w:rsidRDefault="00712B5F" w:rsidP="00FC200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1,6610</w:t>
            </w:r>
          </w:p>
        </w:tc>
      </w:tr>
      <w:tr w:rsidR="00712B5F" w:rsidRPr="00E36286" w:rsidTr="00712B5F">
        <w:trPr>
          <w:trHeight w:val="330"/>
          <w:jc w:val="center"/>
        </w:trPr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12B5F" w:rsidRPr="00E36286" w:rsidRDefault="00712B5F" w:rsidP="006648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6286">
              <w:rPr>
                <w:rFonts w:ascii="Arial" w:hAnsi="Arial" w:cs="Arial"/>
                <w:color w:val="000000"/>
                <w:sz w:val="22"/>
                <w:szCs w:val="22"/>
              </w:rPr>
              <w:t>Незабавна ликвидност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B5F" w:rsidRPr="00D7012F" w:rsidRDefault="00D7012F" w:rsidP="008160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0,5369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5F" w:rsidRDefault="00712B5F" w:rsidP="0006588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0,4199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5F" w:rsidRDefault="00712B5F" w:rsidP="00C97F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0,6245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12B5F" w:rsidRDefault="00712B5F" w:rsidP="00520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0,8922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5F" w:rsidRPr="00CC3777" w:rsidRDefault="00712B5F" w:rsidP="00CC3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0,953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D9764F" w:rsidRPr="00E36286" w:rsidRDefault="00D9764F" w:rsidP="00D9764F">
      <w:pPr>
        <w:pStyle w:val="a6"/>
        <w:spacing w:after="0" w:line="240" w:lineRule="auto"/>
        <w:ind w:left="0" w:firstLine="567"/>
        <w:jc w:val="both"/>
        <w:rPr>
          <w:rFonts w:ascii="Arial" w:hAnsi="Arial" w:cs="Arial"/>
        </w:rPr>
      </w:pPr>
    </w:p>
    <w:p w:rsidR="00AA2B95" w:rsidRPr="00E36286" w:rsidRDefault="00D9764F" w:rsidP="00E561DD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>Към края на</w:t>
      </w:r>
      <w:r w:rsidR="00CE1DD1">
        <w:rPr>
          <w:rFonts w:ascii="Arial" w:hAnsi="Arial" w:cs="Arial"/>
        </w:rPr>
        <w:t xml:space="preserve"> </w:t>
      </w:r>
      <w:r w:rsidRPr="00E36286">
        <w:rPr>
          <w:rFonts w:ascii="Arial" w:hAnsi="Arial" w:cs="Arial"/>
        </w:rPr>
        <w:t>201</w:t>
      </w:r>
      <w:r w:rsidR="00CE1DD1">
        <w:rPr>
          <w:rFonts w:ascii="Arial" w:hAnsi="Arial" w:cs="Arial"/>
        </w:rPr>
        <w:t>9</w:t>
      </w:r>
      <w:r w:rsidRPr="00E36286">
        <w:rPr>
          <w:rFonts w:ascii="Arial" w:hAnsi="Arial" w:cs="Arial"/>
        </w:rPr>
        <w:t>г.</w:t>
      </w:r>
      <w:r w:rsidR="00020E2A">
        <w:rPr>
          <w:rFonts w:ascii="Arial" w:hAnsi="Arial" w:cs="Arial"/>
        </w:rPr>
        <w:t xml:space="preserve">, </w:t>
      </w:r>
      <w:r w:rsidR="00737273">
        <w:rPr>
          <w:rFonts w:ascii="Arial" w:hAnsi="Arial" w:cs="Arial"/>
        </w:rPr>
        <w:t xml:space="preserve">и трите </w:t>
      </w:r>
      <w:r w:rsidRPr="00E36286">
        <w:rPr>
          <w:rFonts w:ascii="Arial" w:hAnsi="Arial" w:cs="Arial"/>
        </w:rPr>
        <w:t>показател</w:t>
      </w:r>
      <w:r w:rsidR="00737273">
        <w:rPr>
          <w:rFonts w:ascii="Arial" w:hAnsi="Arial" w:cs="Arial"/>
        </w:rPr>
        <w:t>я</w:t>
      </w:r>
      <w:r w:rsidRPr="00E36286">
        <w:rPr>
          <w:rFonts w:ascii="Arial" w:hAnsi="Arial" w:cs="Arial"/>
        </w:rPr>
        <w:t xml:space="preserve"> за</w:t>
      </w:r>
      <w:r w:rsidR="00DD2E62">
        <w:rPr>
          <w:rFonts w:ascii="Arial" w:hAnsi="Arial" w:cs="Arial"/>
        </w:rPr>
        <w:t xml:space="preserve"> </w:t>
      </w:r>
      <w:r w:rsidRPr="00E36286">
        <w:rPr>
          <w:rFonts w:ascii="Arial" w:hAnsi="Arial" w:cs="Arial"/>
        </w:rPr>
        <w:t xml:space="preserve">ликвидност на емитента </w:t>
      </w:r>
      <w:r w:rsidR="004A5F14">
        <w:rPr>
          <w:rFonts w:ascii="Arial" w:hAnsi="Arial" w:cs="Arial"/>
        </w:rPr>
        <w:t>се по</w:t>
      </w:r>
      <w:r w:rsidR="00D7012F">
        <w:rPr>
          <w:rFonts w:ascii="Arial" w:hAnsi="Arial" w:cs="Arial"/>
          <w:lang w:val="en-US"/>
        </w:rPr>
        <w:t>добряват леко</w:t>
      </w:r>
      <w:r w:rsidR="004A5F14">
        <w:rPr>
          <w:rFonts w:ascii="Arial" w:hAnsi="Arial" w:cs="Arial"/>
        </w:rPr>
        <w:t xml:space="preserve"> спрямо края на </w:t>
      </w:r>
      <w:r w:rsidR="00D7012F">
        <w:rPr>
          <w:rFonts w:ascii="Arial" w:hAnsi="Arial" w:cs="Arial"/>
          <w:lang w:val="en-US"/>
        </w:rPr>
        <w:t>трет</w:t>
      </w:r>
      <w:r w:rsidR="00F60047">
        <w:rPr>
          <w:rFonts w:ascii="Arial" w:hAnsi="Arial" w:cs="Arial"/>
        </w:rPr>
        <w:t>ото</w:t>
      </w:r>
      <w:r w:rsidR="004A5F14">
        <w:rPr>
          <w:rFonts w:ascii="Arial" w:hAnsi="Arial" w:cs="Arial"/>
        </w:rPr>
        <w:t xml:space="preserve"> тримесечие на 2019г.</w:t>
      </w:r>
      <w:r w:rsidR="00D7012F">
        <w:rPr>
          <w:rFonts w:ascii="Arial" w:hAnsi="Arial" w:cs="Arial"/>
          <w:lang w:val="en-US"/>
        </w:rPr>
        <w:t xml:space="preserve"> и</w:t>
      </w:r>
      <w:r w:rsidR="004A5F14">
        <w:rPr>
          <w:rFonts w:ascii="Arial" w:hAnsi="Arial" w:cs="Arial"/>
        </w:rPr>
        <w:t xml:space="preserve"> </w:t>
      </w:r>
      <w:r w:rsidR="00D7012F">
        <w:rPr>
          <w:rFonts w:ascii="Arial" w:hAnsi="Arial" w:cs="Arial"/>
          <w:lang w:val="en-US"/>
        </w:rPr>
        <w:t>поддържат</w:t>
      </w:r>
      <w:r w:rsidR="00DE04C0">
        <w:rPr>
          <w:rFonts w:ascii="Arial" w:hAnsi="Arial" w:cs="Arial"/>
        </w:rPr>
        <w:t xml:space="preserve"> задоволително високо ниво.</w:t>
      </w:r>
    </w:p>
    <w:p w:rsidR="00D9764F" w:rsidRDefault="00D9764F" w:rsidP="00D9764F">
      <w:pPr>
        <w:pStyle w:val="a6"/>
        <w:spacing w:after="0" w:line="240" w:lineRule="auto"/>
        <w:jc w:val="both"/>
        <w:rPr>
          <w:rFonts w:ascii="Arial" w:hAnsi="Arial" w:cs="Arial"/>
          <w:lang w:val="en-US"/>
        </w:rPr>
      </w:pPr>
    </w:p>
    <w:p w:rsidR="00F872E9" w:rsidRPr="00F872E9" w:rsidRDefault="00F872E9" w:rsidP="00D9764F">
      <w:pPr>
        <w:pStyle w:val="a6"/>
        <w:spacing w:after="0" w:line="240" w:lineRule="auto"/>
        <w:jc w:val="both"/>
        <w:rPr>
          <w:rFonts w:ascii="Arial" w:hAnsi="Arial" w:cs="Arial"/>
          <w:lang w:val="en-US"/>
        </w:rPr>
      </w:pPr>
    </w:p>
    <w:p w:rsidR="00D9764F" w:rsidRPr="00E36286" w:rsidRDefault="00D9764F" w:rsidP="00D9764F">
      <w:pPr>
        <w:pStyle w:val="2"/>
        <w:keepLines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t>Анализ на Платежоспособността</w:t>
      </w:r>
    </w:p>
    <w:p w:rsidR="00E561DD" w:rsidRPr="00E36286" w:rsidRDefault="00E561DD" w:rsidP="00E561DD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:rsidR="00D9764F" w:rsidRPr="00F872E9" w:rsidRDefault="00D9764F" w:rsidP="00F872E9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E36286">
        <w:rPr>
          <w:rFonts w:ascii="Arial" w:hAnsi="Arial" w:cs="Arial"/>
        </w:rPr>
        <w:t xml:space="preserve">Показателите за платежоспособност измерват степента на задлъжнялост на Дружеството и възможностите </w:t>
      </w:r>
      <w:r w:rsidR="000846F9" w:rsidRPr="00E36286">
        <w:rPr>
          <w:rFonts w:ascii="Arial" w:hAnsi="Arial" w:cs="Arial"/>
        </w:rPr>
        <w:t>му</w:t>
      </w:r>
      <w:r w:rsidRPr="00E36286">
        <w:rPr>
          <w:rFonts w:ascii="Arial" w:hAnsi="Arial" w:cs="Arial"/>
        </w:rPr>
        <w:t xml:space="preserve"> да посрещне своите задължения.</w:t>
      </w:r>
    </w:p>
    <w:p w:rsidR="005719AB" w:rsidRPr="00E36286" w:rsidRDefault="005719AB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tbl>
      <w:tblPr>
        <w:tblW w:w="5394" w:type="pct"/>
        <w:jc w:val="center"/>
        <w:tblLook w:val="04A0"/>
      </w:tblPr>
      <w:tblGrid>
        <w:gridCol w:w="3549"/>
        <w:gridCol w:w="1211"/>
        <w:gridCol w:w="1211"/>
        <w:gridCol w:w="1211"/>
        <w:gridCol w:w="1213"/>
        <w:gridCol w:w="1213"/>
      </w:tblGrid>
      <w:tr w:rsidR="00712B5F" w:rsidRPr="00E36286" w:rsidTr="00712B5F">
        <w:trPr>
          <w:trHeight w:val="330"/>
          <w:jc w:val="center"/>
        </w:trPr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12B5F" w:rsidRPr="00E36286" w:rsidRDefault="00712B5F" w:rsidP="0066487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Платежоспособност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712B5F" w:rsidRPr="00E36286" w:rsidRDefault="00712B5F" w:rsidP="00712B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Pr="00E362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'201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712B5F" w:rsidRPr="00E36286" w:rsidRDefault="00712B5F" w:rsidP="007A4BD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g-BG"/>
              </w:rPr>
              <w:t>3</w:t>
            </w:r>
            <w:r w:rsidRPr="00E362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'201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712B5F" w:rsidRPr="00E36286" w:rsidRDefault="00712B5F" w:rsidP="0089716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E362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'201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bottom"/>
          </w:tcPr>
          <w:p w:rsidR="00712B5F" w:rsidRPr="00E36286" w:rsidRDefault="00712B5F" w:rsidP="009E29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E362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'201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712B5F" w:rsidRPr="00E36286" w:rsidRDefault="00712B5F" w:rsidP="00E81B6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g-BG"/>
              </w:rPr>
              <w:t>4</w:t>
            </w:r>
            <w:r w:rsidRPr="00E362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'201</w:t>
            </w:r>
            <w:r w:rsidRPr="00E362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g-BG"/>
              </w:rPr>
              <w:t>8</w:t>
            </w:r>
          </w:p>
        </w:tc>
      </w:tr>
      <w:tr w:rsidR="00712B5F" w:rsidRPr="00E36286" w:rsidTr="00712B5F">
        <w:trPr>
          <w:trHeight w:val="330"/>
          <w:jc w:val="center"/>
        </w:trPr>
        <w:tc>
          <w:tcPr>
            <w:tcW w:w="18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12B5F" w:rsidRPr="00E36286" w:rsidRDefault="00712B5F" w:rsidP="00664872">
            <w:pPr>
              <w:rPr>
                <w:rFonts w:ascii="Arial" w:hAnsi="Arial" w:cs="Arial"/>
                <w:sz w:val="22"/>
                <w:szCs w:val="22"/>
              </w:rPr>
            </w:pPr>
            <w:r w:rsidRPr="00E36286">
              <w:rPr>
                <w:rFonts w:ascii="Arial" w:hAnsi="Arial" w:cs="Arial"/>
                <w:sz w:val="22"/>
                <w:szCs w:val="22"/>
              </w:rPr>
              <w:t>Дългосрочен дълг/Активи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B5F" w:rsidRPr="00DC5FD1" w:rsidRDefault="00DC5FD1" w:rsidP="008160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0,6034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5F" w:rsidRPr="00A0754C" w:rsidRDefault="00712B5F" w:rsidP="0006588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0,5652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5F" w:rsidRDefault="00712B5F" w:rsidP="00C97F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0,3190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12B5F" w:rsidRDefault="00712B5F" w:rsidP="00520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0,3629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5F" w:rsidRPr="003F2590" w:rsidRDefault="00712B5F" w:rsidP="003F259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0,369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712B5F" w:rsidRPr="00E36286" w:rsidTr="00712B5F">
        <w:trPr>
          <w:trHeight w:val="330"/>
          <w:jc w:val="center"/>
        </w:trPr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12B5F" w:rsidRPr="00E36286" w:rsidRDefault="00712B5F" w:rsidP="00664872">
            <w:pPr>
              <w:rPr>
                <w:rFonts w:ascii="Arial" w:hAnsi="Arial" w:cs="Arial"/>
                <w:sz w:val="22"/>
                <w:szCs w:val="22"/>
              </w:rPr>
            </w:pPr>
            <w:r w:rsidRPr="00E36286">
              <w:rPr>
                <w:rFonts w:ascii="Arial" w:hAnsi="Arial" w:cs="Arial"/>
                <w:sz w:val="22"/>
                <w:szCs w:val="22"/>
              </w:rPr>
              <w:t>Общ дълг/Активи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B5F" w:rsidRPr="00DC5FD1" w:rsidRDefault="00DC5FD1" w:rsidP="008160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0,9476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5F" w:rsidRPr="00976A8C" w:rsidRDefault="00712B5F" w:rsidP="0006588F">
            <w:pPr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0,9521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5F" w:rsidRPr="00976A8C" w:rsidRDefault="00712B5F" w:rsidP="00C97F15">
            <w:pPr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0,9371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12B5F" w:rsidRPr="00976A8C" w:rsidRDefault="00712B5F" w:rsidP="00520842">
            <w:pPr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0,9218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5F" w:rsidRPr="00976A8C" w:rsidRDefault="00712B5F" w:rsidP="00AB6365">
            <w:pPr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0,9377</w:t>
            </w:r>
          </w:p>
        </w:tc>
      </w:tr>
      <w:tr w:rsidR="00712B5F" w:rsidRPr="00E36286" w:rsidTr="00712B5F">
        <w:trPr>
          <w:trHeight w:val="330"/>
          <w:jc w:val="center"/>
        </w:trPr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12B5F" w:rsidRPr="00E36286" w:rsidRDefault="00712B5F" w:rsidP="00664872">
            <w:pPr>
              <w:rPr>
                <w:rFonts w:ascii="Arial" w:hAnsi="Arial" w:cs="Arial"/>
                <w:sz w:val="22"/>
                <w:szCs w:val="22"/>
              </w:rPr>
            </w:pPr>
            <w:r w:rsidRPr="00E36286">
              <w:rPr>
                <w:rFonts w:ascii="Arial" w:hAnsi="Arial" w:cs="Arial"/>
                <w:sz w:val="22"/>
                <w:szCs w:val="22"/>
              </w:rPr>
              <w:t>Общ дълг/Собствен капитал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B5F" w:rsidRPr="00DC5FD1" w:rsidRDefault="00DC5FD1" w:rsidP="008160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18,0924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5F" w:rsidRPr="00655F84" w:rsidRDefault="00712B5F" w:rsidP="0006588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,8831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5F" w:rsidRDefault="00712B5F" w:rsidP="00C97F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14,9079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12B5F" w:rsidRDefault="00712B5F" w:rsidP="00520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11,7884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5F" w:rsidRDefault="00712B5F" w:rsidP="003F259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15,05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8</w:t>
            </w:r>
          </w:p>
        </w:tc>
      </w:tr>
      <w:tr w:rsidR="00712B5F" w:rsidRPr="00E36286" w:rsidTr="00712B5F">
        <w:trPr>
          <w:trHeight w:val="329"/>
          <w:jc w:val="center"/>
        </w:trPr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12B5F" w:rsidRPr="00E36286" w:rsidRDefault="00712B5F" w:rsidP="002A0AE9">
            <w:pPr>
              <w:rPr>
                <w:rFonts w:ascii="Arial" w:hAnsi="Arial" w:cs="Arial"/>
                <w:sz w:val="22"/>
                <w:szCs w:val="22"/>
              </w:rPr>
            </w:pPr>
            <w:r w:rsidRPr="00E36286">
              <w:rPr>
                <w:rFonts w:ascii="Arial" w:hAnsi="Arial" w:cs="Arial"/>
                <w:sz w:val="22"/>
                <w:szCs w:val="22"/>
              </w:rPr>
              <w:t>Общо активи/Собствен капитал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B5F" w:rsidRPr="00DC5FD1" w:rsidRDefault="00DC5FD1" w:rsidP="008160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19,0924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5F" w:rsidRDefault="00712B5F" w:rsidP="0006588F">
            <w:pPr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20,8831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5F" w:rsidRDefault="00712B5F" w:rsidP="00C97F15">
            <w:pPr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15,9079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12B5F" w:rsidRDefault="00712B5F" w:rsidP="00520842">
            <w:pPr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12,7884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B5F" w:rsidRDefault="00712B5F" w:rsidP="003F2590">
            <w:pPr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16,05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8</w:t>
            </w:r>
          </w:p>
        </w:tc>
      </w:tr>
    </w:tbl>
    <w:p w:rsidR="00D9764F" w:rsidRPr="00E36286" w:rsidRDefault="00D9764F" w:rsidP="00D9764F">
      <w:pPr>
        <w:jc w:val="both"/>
        <w:rPr>
          <w:rFonts w:ascii="Arial" w:hAnsi="Arial" w:cs="Arial"/>
          <w:sz w:val="22"/>
          <w:szCs w:val="22"/>
        </w:rPr>
      </w:pPr>
    </w:p>
    <w:p w:rsidR="00D9764F" w:rsidRPr="00E36286" w:rsidRDefault="00D9764F" w:rsidP="00E561DD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lastRenderedPageBreak/>
        <w:t xml:space="preserve">Към </w:t>
      </w:r>
      <w:r w:rsidR="00AD67DE" w:rsidRPr="00E36286">
        <w:rPr>
          <w:rFonts w:ascii="Arial" w:hAnsi="Arial" w:cs="Arial"/>
        </w:rPr>
        <w:t>3</w:t>
      </w:r>
      <w:r w:rsidR="006F3D5A">
        <w:rPr>
          <w:rFonts w:ascii="Arial" w:hAnsi="Arial" w:cs="Arial"/>
          <w:lang w:val="en-US"/>
        </w:rPr>
        <w:t>1</w:t>
      </w:r>
      <w:r w:rsidR="00AD67DE" w:rsidRPr="00E36286">
        <w:rPr>
          <w:rFonts w:ascii="Arial" w:hAnsi="Arial" w:cs="Arial"/>
        </w:rPr>
        <w:t>.</w:t>
      </w:r>
      <w:r w:rsidR="006F3D5A">
        <w:rPr>
          <w:rFonts w:ascii="Arial" w:hAnsi="Arial" w:cs="Arial"/>
          <w:lang w:val="en-US"/>
        </w:rPr>
        <w:t>12</w:t>
      </w:r>
      <w:r w:rsidR="00AD67DE" w:rsidRPr="00E36286">
        <w:rPr>
          <w:rFonts w:ascii="Arial" w:hAnsi="Arial" w:cs="Arial"/>
        </w:rPr>
        <w:t>.201</w:t>
      </w:r>
      <w:r w:rsidR="00C504B5">
        <w:rPr>
          <w:rFonts w:ascii="Arial" w:hAnsi="Arial" w:cs="Arial"/>
        </w:rPr>
        <w:t>9</w:t>
      </w:r>
      <w:r w:rsidR="00AD67DE" w:rsidRPr="00E36286">
        <w:rPr>
          <w:rFonts w:ascii="Arial" w:hAnsi="Arial" w:cs="Arial"/>
        </w:rPr>
        <w:t>г.</w:t>
      </w:r>
      <w:r w:rsidRPr="00E36286">
        <w:rPr>
          <w:rFonts w:ascii="Arial" w:hAnsi="Arial" w:cs="Arial"/>
        </w:rPr>
        <w:t xml:space="preserve"> </w:t>
      </w:r>
      <w:r w:rsidR="006F3D5A">
        <w:rPr>
          <w:rFonts w:ascii="Arial" w:hAnsi="Arial" w:cs="Arial"/>
          <w:lang w:val="en-US"/>
        </w:rPr>
        <w:t xml:space="preserve">не </w:t>
      </w:r>
      <w:r w:rsidR="005719AB">
        <w:rPr>
          <w:rFonts w:ascii="Arial" w:hAnsi="Arial" w:cs="Arial"/>
        </w:rPr>
        <w:t xml:space="preserve">се наблюдава </w:t>
      </w:r>
      <w:r w:rsidR="006F3D5A">
        <w:rPr>
          <w:rFonts w:ascii="Arial" w:hAnsi="Arial" w:cs="Arial"/>
          <w:lang w:val="en-US"/>
        </w:rPr>
        <w:t>съществена</w:t>
      </w:r>
      <w:r w:rsidR="00AB6365">
        <w:rPr>
          <w:rFonts w:ascii="Arial" w:hAnsi="Arial" w:cs="Arial"/>
        </w:rPr>
        <w:t xml:space="preserve"> </w:t>
      </w:r>
      <w:r w:rsidR="00AA2B95">
        <w:rPr>
          <w:rFonts w:ascii="Arial" w:hAnsi="Arial" w:cs="Arial"/>
        </w:rPr>
        <w:t xml:space="preserve">промяна </w:t>
      </w:r>
      <w:r w:rsidR="00AB6365">
        <w:rPr>
          <w:rFonts w:ascii="Arial" w:hAnsi="Arial" w:cs="Arial"/>
        </w:rPr>
        <w:t xml:space="preserve">при </w:t>
      </w:r>
      <w:r w:rsidRPr="00E36286">
        <w:rPr>
          <w:rFonts w:ascii="Arial" w:hAnsi="Arial" w:cs="Arial"/>
        </w:rPr>
        <w:t>показател</w:t>
      </w:r>
      <w:r w:rsidR="00D6121E">
        <w:rPr>
          <w:rFonts w:ascii="Arial" w:hAnsi="Arial" w:cs="Arial"/>
        </w:rPr>
        <w:t>ите за платежоспособност</w:t>
      </w:r>
      <w:r w:rsidR="006F3D5A">
        <w:rPr>
          <w:rFonts w:ascii="Arial" w:hAnsi="Arial" w:cs="Arial"/>
          <w:lang w:val="en-US"/>
        </w:rPr>
        <w:t xml:space="preserve"> </w:t>
      </w:r>
      <w:r w:rsidR="006F3D5A" w:rsidRPr="006F3D5A">
        <w:rPr>
          <w:rFonts w:ascii="Arial" w:hAnsi="Arial" w:cs="Arial"/>
          <w:lang w:val="en-US"/>
        </w:rPr>
        <w:t>спрямо 30.0</w:t>
      </w:r>
      <w:r w:rsidR="006F3D5A">
        <w:rPr>
          <w:rFonts w:ascii="Arial" w:hAnsi="Arial" w:cs="Arial"/>
          <w:lang w:val="en-US"/>
        </w:rPr>
        <w:t>9</w:t>
      </w:r>
      <w:r w:rsidR="006F3D5A" w:rsidRPr="006F3D5A">
        <w:rPr>
          <w:rFonts w:ascii="Arial" w:hAnsi="Arial" w:cs="Arial"/>
          <w:lang w:val="en-US"/>
        </w:rPr>
        <w:t xml:space="preserve">.2019г. </w:t>
      </w:r>
      <w:r w:rsidR="006F3D5A">
        <w:rPr>
          <w:rFonts w:ascii="Arial" w:hAnsi="Arial" w:cs="Arial"/>
          <w:lang w:val="en-US"/>
        </w:rPr>
        <w:t>Показателите</w:t>
      </w:r>
      <w:r w:rsidR="00D6121E">
        <w:rPr>
          <w:rFonts w:ascii="Arial" w:hAnsi="Arial" w:cs="Arial"/>
        </w:rPr>
        <w:t xml:space="preserve"> </w:t>
      </w:r>
      <w:r w:rsidR="00F8635F">
        <w:rPr>
          <w:rFonts w:ascii="Arial" w:hAnsi="Arial" w:cs="Arial"/>
        </w:rPr>
        <w:t>базирани на собствения капитал на дружеството</w:t>
      </w:r>
      <w:r w:rsidR="00496341">
        <w:rPr>
          <w:rFonts w:ascii="Arial" w:hAnsi="Arial" w:cs="Arial"/>
        </w:rPr>
        <w:t xml:space="preserve"> /ливъридж/</w:t>
      </w:r>
      <w:r w:rsidR="00F8635F">
        <w:rPr>
          <w:rFonts w:ascii="Arial" w:hAnsi="Arial" w:cs="Arial"/>
        </w:rPr>
        <w:t xml:space="preserve">, </w:t>
      </w:r>
      <w:r w:rsidR="006F3D5A">
        <w:rPr>
          <w:rFonts w:ascii="Arial" w:hAnsi="Arial" w:cs="Arial"/>
          <w:lang w:val="en-US"/>
        </w:rPr>
        <w:t xml:space="preserve">макар и леко да се понижават, остават на сравнително високи нива </w:t>
      </w:r>
      <w:r w:rsidR="00F8635F">
        <w:rPr>
          <w:rFonts w:ascii="Arial" w:hAnsi="Arial" w:cs="Arial"/>
        </w:rPr>
        <w:t xml:space="preserve">поради </w:t>
      </w:r>
      <w:r w:rsidR="00AA2B95">
        <w:rPr>
          <w:rFonts w:ascii="Arial" w:hAnsi="Arial" w:cs="Arial"/>
        </w:rPr>
        <w:t>общото увеличение</w:t>
      </w:r>
      <w:r w:rsidR="00FC044E">
        <w:rPr>
          <w:rFonts w:ascii="Arial" w:hAnsi="Arial" w:cs="Arial"/>
        </w:rPr>
        <w:t xml:space="preserve"> на</w:t>
      </w:r>
      <w:r w:rsidR="00AA2B95">
        <w:rPr>
          <w:rFonts w:ascii="Arial" w:hAnsi="Arial" w:cs="Arial"/>
        </w:rPr>
        <w:t xml:space="preserve"> баланса на дружеството</w:t>
      </w:r>
      <w:r w:rsidR="006F3D5A">
        <w:rPr>
          <w:rFonts w:ascii="Arial" w:hAnsi="Arial" w:cs="Arial"/>
          <w:lang w:val="en-US"/>
        </w:rPr>
        <w:t xml:space="preserve"> през годината</w:t>
      </w:r>
      <w:r w:rsidR="00F8635F">
        <w:rPr>
          <w:rFonts w:ascii="Arial" w:hAnsi="Arial" w:cs="Arial"/>
        </w:rPr>
        <w:t>.</w:t>
      </w:r>
      <w:r w:rsidR="00DE04C0">
        <w:rPr>
          <w:rFonts w:ascii="Arial" w:hAnsi="Arial" w:cs="Arial"/>
        </w:rPr>
        <w:t xml:space="preserve"> </w:t>
      </w:r>
    </w:p>
    <w:p w:rsidR="00D84582" w:rsidRDefault="00D84582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:rsidR="00096EA4" w:rsidRDefault="00096EA4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:rsidR="00D9764F" w:rsidRPr="00E36286" w:rsidRDefault="00D9764F" w:rsidP="00D9764F">
      <w:pPr>
        <w:pStyle w:val="1"/>
        <w:numPr>
          <w:ilvl w:val="0"/>
          <w:numId w:val="1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36286">
        <w:rPr>
          <w:rFonts w:ascii="Arial" w:hAnsi="Arial" w:cs="Arial"/>
          <w:color w:val="auto"/>
          <w:sz w:val="22"/>
          <w:szCs w:val="22"/>
        </w:rPr>
        <w:t>Състояние на обезпечението на облигационната емисия.</w:t>
      </w:r>
    </w:p>
    <w:p w:rsidR="00D9764F" w:rsidRPr="00E36286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:rsidR="00F85566" w:rsidRPr="00E36286" w:rsidRDefault="00D9764F" w:rsidP="00FC38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 xml:space="preserve">За обезпечаване на вземането по главницата и всички дължими лихви по облигационния заем </w:t>
      </w:r>
      <w:r w:rsidR="008D0EDE">
        <w:rPr>
          <w:rFonts w:ascii="Arial" w:hAnsi="Arial" w:cs="Arial"/>
        </w:rPr>
        <w:t>АДАРА АД</w:t>
      </w:r>
      <w:r w:rsidRPr="00E36286">
        <w:rPr>
          <w:rFonts w:ascii="Arial" w:hAnsi="Arial" w:cs="Arial"/>
        </w:rPr>
        <w:t xml:space="preserve"> е сключило застраховка при ЗАД „Армеец“ </w:t>
      </w:r>
      <w:r w:rsidR="00A85B0B" w:rsidRPr="00E36286">
        <w:rPr>
          <w:rFonts w:ascii="Arial" w:hAnsi="Arial" w:cs="Arial"/>
        </w:rPr>
        <w:t>на всички плащания по облигационната емисия срещу риск от неплащане</w:t>
      </w:r>
      <w:r w:rsidRPr="00E36286">
        <w:rPr>
          <w:rFonts w:ascii="Arial" w:hAnsi="Arial" w:cs="Arial"/>
        </w:rPr>
        <w:t>, с действие на полицата до датата на пълно погасяване на облигационния заем</w:t>
      </w:r>
      <w:r w:rsidR="00A85B0B" w:rsidRPr="00E36286">
        <w:rPr>
          <w:rFonts w:ascii="Arial" w:hAnsi="Arial" w:cs="Arial"/>
        </w:rPr>
        <w:t>, включително в случаите на удължаване на срока/падежа на емисията</w:t>
      </w:r>
      <w:r w:rsidRPr="00E36286">
        <w:rPr>
          <w:rFonts w:ascii="Arial" w:hAnsi="Arial" w:cs="Arial"/>
        </w:rPr>
        <w:t xml:space="preserve">. </w:t>
      </w:r>
    </w:p>
    <w:p w:rsidR="00AE700E" w:rsidRPr="00E36286" w:rsidRDefault="00AE700E" w:rsidP="00FC38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:rsidR="0068487A" w:rsidRPr="003D0729" w:rsidRDefault="0068487A" w:rsidP="0068487A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Към </w:t>
      </w:r>
      <w:r>
        <w:rPr>
          <w:rFonts w:ascii="Arial" w:hAnsi="Arial" w:cs="Arial"/>
          <w:lang w:val="en-US"/>
        </w:rPr>
        <w:t>3</w:t>
      </w:r>
      <w:r w:rsidR="003D072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.</w:t>
      </w:r>
      <w:r w:rsidR="003D0729">
        <w:rPr>
          <w:rFonts w:ascii="Arial" w:hAnsi="Arial" w:cs="Arial"/>
          <w:lang w:val="en-US"/>
        </w:rPr>
        <w:t>12</w:t>
      </w:r>
      <w:r>
        <w:rPr>
          <w:rFonts w:ascii="Arial" w:hAnsi="Arial" w:cs="Arial"/>
        </w:rPr>
        <w:t>.2019г., застраховката е валидна.</w:t>
      </w:r>
      <w:r w:rsidR="003D0729">
        <w:rPr>
          <w:rFonts w:ascii="Arial" w:hAnsi="Arial" w:cs="Arial"/>
          <w:lang w:val="en-US"/>
        </w:rPr>
        <w:t xml:space="preserve"> </w:t>
      </w:r>
      <w:r w:rsidR="003D0729" w:rsidRPr="003D0729">
        <w:rPr>
          <w:rFonts w:ascii="Arial" w:hAnsi="Arial" w:cs="Arial"/>
          <w:lang w:val="en-US"/>
        </w:rPr>
        <w:t>/Виж стр.</w:t>
      </w:r>
      <w:r w:rsidR="00EA7769">
        <w:rPr>
          <w:rFonts w:ascii="Arial" w:hAnsi="Arial" w:cs="Arial"/>
          <w:lang w:val="en-US"/>
        </w:rPr>
        <w:t xml:space="preserve"> </w:t>
      </w:r>
      <w:r w:rsidR="000A5A53">
        <w:rPr>
          <w:rFonts w:ascii="Arial" w:hAnsi="Arial" w:cs="Arial"/>
          <w:lang w:val="en-US"/>
        </w:rPr>
        <w:t xml:space="preserve">6 и </w:t>
      </w:r>
      <w:r w:rsidR="003D0729" w:rsidRPr="003D0729">
        <w:rPr>
          <w:rFonts w:ascii="Arial" w:hAnsi="Arial" w:cs="Arial"/>
          <w:lang w:val="en-US"/>
        </w:rPr>
        <w:t>7 по-долу</w:t>
      </w:r>
      <w:r w:rsidR="000A5A53">
        <w:rPr>
          <w:rFonts w:ascii="Arial" w:hAnsi="Arial" w:cs="Arial"/>
          <w:lang w:val="en-US"/>
        </w:rPr>
        <w:t>:</w:t>
      </w:r>
      <w:r w:rsidR="003D0729" w:rsidRPr="003D0729">
        <w:rPr>
          <w:rFonts w:ascii="Arial" w:hAnsi="Arial" w:cs="Arial"/>
          <w:lang w:val="en-US"/>
        </w:rPr>
        <w:t xml:space="preserve"> </w:t>
      </w:r>
      <w:r w:rsidR="003D0729" w:rsidRPr="000A5A53">
        <w:rPr>
          <w:rFonts w:ascii="Arial" w:hAnsi="Arial" w:cs="Arial"/>
          <w:b/>
          <w:i/>
          <w:u w:val="single"/>
          <w:lang w:val="en-US"/>
        </w:rPr>
        <w:t>Обстоятелства, настъпили след крайната дата на разглеждания в доклада период</w:t>
      </w:r>
      <w:r w:rsidR="003D0729" w:rsidRPr="003D0729">
        <w:rPr>
          <w:rFonts w:ascii="Arial" w:hAnsi="Arial" w:cs="Arial"/>
          <w:lang w:val="en-US"/>
        </w:rPr>
        <w:t>/.</w:t>
      </w:r>
    </w:p>
    <w:p w:rsidR="000B2476" w:rsidRPr="003D0729" w:rsidRDefault="000B2476" w:rsidP="00901DCC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D9764F" w:rsidRPr="00E36286" w:rsidRDefault="00D9764F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:rsidR="00D9764F" w:rsidRPr="00E36286" w:rsidRDefault="00D9764F" w:rsidP="00D9764F">
      <w:pPr>
        <w:pStyle w:val="1"/>
        <w:numPr>
          <w:ilvl w:val="0"/>
          <w:numId w:val="1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36286">
        <w:rPr>
          <w:rFonts w:ascii="Arial" w:hAnsi="Arial" w:cs="Arial"/>
          <w:color w:val="auto"/>
          <w:sz w:val="22"/>
          <w:szCs w:val="22"/>
        </w:rPr>
        <w:t>Изразходване на средствата от облигационния заем.</w:t>
      </w:r>
    </w:p>
    <w:p w:rsidR="00D9764F" w:rsidRPr="00E36286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:rsidR="00FC3866" w:rsidRPr="00A14246" w:rsidRDefault="00A14246" w:rsidP="00A1424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bg-BG"/>
        </w:rPr>
      </w:pPr>
      <w:r w:rsidRPr="00A14246">
        <w:rPr>
          <w:rFonts w:ascii="Arial" w:hAnsi="Arial" w:cs="Arial"/>
          <w:sz w:val="22"/>
          <w:szCs w:val="22"/>
        </w:rPr>
        <w:t>Дружеството е използвало набраните средства от облигационния заем за придобиване на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A14246">
        <w:rPr>
          <w:rFonts w:ascii="Arial" w:hAnsi="Arial" w:cs="Arial"/>
          <w:sz w:val="22"/>
          <w:szCs w:val="22"/>
        </w:rPr>
        <w:t>вземания, закупуване на български и чуждестранни ценни книжа, търгувани на регулиран пазар,</w:t>
      </w:r>
      <w:r w:rsidRPr="00A14246">
        <w:rPr>
          <w:rFonts w:ascii="Arial" w:hAnsi="Arial" w:cs="Arial"/>
          <w:sz w:val="22"/>
          <w:szCs w:val="22"/>
          <w:lang w:val="bg-BG"/>
        </w:rPr>
        <w:t xml:space="preserve"> </w:t>
      </w:r>
      <w:r w:rsidRPr="00A14246">
        <w:rPr>
          <w:rFonts w:ascii="Arial" w:hAnsi="Arial" w:cs="Arial"/>
          <w:sz w:val="22"/>
          <w:szCs w:val="22"/>
        </w:rPr>
        <w:t>погасяване на задължения във връзка с придобиване на ценни книжа.</w:t>
      </w:r>
    </w:p>
    <w:p w:rsidR="00A14246" w:rsidRDefault="00A14246" w:rsidP="00FC38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bg-BG"/>
        </w:rPr>
      </w:pPr>
    </w:p>
    <w:p w:rsidR="00F412F4" w:rsidRPr="009F4F53" w:rsidRDefault="00F412F4" w:rsidP="00F412F4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Към момента на изготвяне на настоящия доклад, емитентът не е предоставил поисканата от</w:t>
      </w:r>
      <w:r w:rsidRPr="00BD2C3E">
        <w:rPr>
          <w:rFonts w:ascii="Arial" w:hAnsi="Arial" w:cs="Arial"/>
          <w:sz w:val="22"/>
          <w:szCs w:val="22"/>
          <w:lang w:val="bg-BG"/>
        </w:rPr>
        <w:t xml:space="preserve"> Де Ново ЕАД </w:t>
      </w:r>
      <w:r>
        <w:rPr>
          <w:rFonts w:ascii="Arial" w:hAnsi="Arial" w:cs="Arial"/>
          <w:sz w:val="22"/>
          <w:szCs w:val="22"/>
          <w:lang w:val="bg-BG"/>
        </w:rPr>
        <w:t xml:space="preserve">конкретна, детайлна информация относно изразходване на набраните средства от емисията, </w:t>
      </w:r>
      <w:r w:rsidRPr="00BD2C3E">
        <w:rPr>
          <w:rFonts w:ascii="Arial" w:hAnsi="Arial" w:cs="Arial"/>
          <w:sz w:val="22"/>
          <w:szCs w:val="22"/>
          <w:lang w:val="bg-BG"/>
        </w:rPr>
        <w:t xml:space="preserve">включваща </w:t>
      </w:r>
      <w:r w:rsidRPr="00BD2C3E">
        <w:rPr>
          <w:rFonts w:ascii="Arial" w:hAnsi="Arial" w:cs="Arial"/>
          <w:sz w:val="22"/>
          <w:szCs w:val="22"/>
        </w:rPr>
        <w:t xml:space="preserve">ISIN </w:t>
      </w:r>
      <w:r w:rsidRPr="00BD2C3E">
        <w:rPr>
          <w:rFonts w:ascii="Arial" w:hAnsi="Arial" w:cs="Arial"/>
          <w:sz w:val="22"/>
          <w:szCs w:val="22"/>
          <w:lang w:val="bg-BG"/>
        </w:rPr>
        <w:t>код, брой/номинал и балансова стойност на придобитите</w:t>
      </w:r>
      <w:r>
        <w:rPr>
          <w:rFonts w:ascii="Arial" w:hAnsi="Arial" w:cs="Arial"/>
          <w:sz w:val="22"/>
          <w:szCs w:val="22"/>
          <w:lang w:val="bg-BG"/>
        </w:rPr>
        <w:t xml:space="preserve"> финансови инструменти. </w:t>
      </w:r>
    </w:p>
    <w:p w:rsidR="00F412F4" w:rsidRDefault="00F412F4" w:rsidP="00FC38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9764F" w:rsidRPr="00E36286" w:rsidRDefault="00D9764F" w:rsidP="00FC38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t xml:space="preserve">Лихвата по настоящата облигационна емисия е фиксирана на </w:t>
      </w:r>
      <w:r w:rsidR="004A5D45" w:rsidRPr="00E36286">
        <w:rPr>
          <w:rFonts w:ascii="Arial" w:hAnsi="Arial" w:cs="Arial"/>
          <w:sz w:val="22"/>
          <w:szCs w:val="22"/>
          <w:lang w:val="bg-BG"/>
        </w:rPr>
        <w:t>6</w:t>
      </w:r>
      <w:r w:rsidRPr="00E36286">
        <w:rPr>
          <w:rFonts w:ascii="Arial" w:hAnsi="Arial" w:cs="Arial"/>
          <w:sz w:val="22"/>
          <w:szCs w:val="22"/>
        </w:rPr>
        <w:t>.</w:t>
      </w:r>
      <w:r w:rsidR="00CE1904">
        <w:rPr>
          <w:rFonts w:ascii="Arial" w:hAnsi="Arial" w:cs="Arial"/>
          <w:sz w:val="22"/>
          <w:szCs w:val="22"/>
          <w:lang w:val="bg-BG"/>
        </w:rPr>
        <w:t>7</w:t>
      </w:r>
      <w:r w:rsidR="00FC3866" w:rsidRPr="00E36286">
        <w:rPr>
          <w:rFonts w:ascii="Arial" w:hAnsi="Arial" w:cs="Arial"/>
          <w:sz w:val="22"/>
          <w:szCs w:val="22"/>
          <w:lang w:val="bg-BG"/>
        </w:rPr>
        <w:t>5</w:t>
      </w:r>
      <w:r w:rsidRPr="00E36286">
        <w:rPr>
          <w:rFonts w:ascii="Arial" w:hAnsi="Arial" w:cs="Arial"/>
          <w:sz w:val="22"/>
          <w:szCs w:val="22"/>
        </w:rPr>
        <w:t xml:space="preserve">% проста годишна лихва. </w:t>
      </w:r>
    </w:p>
    <w:p w:rsidR="00FC3866" w:rsidRPr="00E36286" w:rsidRDefault="00FC3866" w:rsidP="00FC38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:rsidR="00D9764F" w:rsidRPr="00E36286" w:rsidRDefault="00D9764F" w:rsidP="00FC38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>Облигационния</w:t>
      </w:r>
      <w:r w:rsidR="00FC3866" w:rsidRPr="00E36286">
        <w:rPr>
          <w:rFonts w:ascii="Arial" w:hAnsi="Arial" w:cs="Arial"/>
        </w:rPr>
        <w:t>т</w:t>
      </w:r>
      <w:r w:rsidRPr="00E36286">
        <w:rPr>
          <w:rFonts w:ascii="Arial" w:hAnsi="Arial" w:cs="Arial"/>
        </w:rPr>
        <w:t xml:space="preserve"> заем е за период от </w:t>
      </w:r>
      <w:r w:rsidR="00CE1904">
        <w:rPr>
          <w:rFonts w:ascii="Arial" w:hAnsi="Arial" w:cs="Arial"/>
        </w:rPr>
        <w:t>9</w:t>
      </w:r>
      <w:r w:rsidRPr="00E36286">
        <w:rPr>
          <w:rFonts w:ascii="Arial" w:hAnsi="Arial" w:cs="Arial"/>
        </w:rPr>
        <w:t xml:space="preserve"> години с шестмесечни купонни плащания, изчислени на база фиксирана годишна лихва, начислявана при лихвена конвенция Реален брой дни към Реален брой дни (ISMA –</w:t>
      </w:r>
      <w:r w:rsidR="004A5D45" w:rsidRPr="00E36286">
        <w:rPr>
          <w:rFonts w:ascii="Arial" w:hAnsi="Arial" w:cs="Arial"/>
        </w:rPr>
        <w:t xml:space="preserve"> </w:t>
      </w:r>
      <w:r w:rsidRPr="00E36286">
        <w:rPr>
          <w:rFonts w:ascii="Arial" w:hAnsi="Arial" w:cs="Arial"/>
        </w:rPr>
        <w:t>Actual/</w:t>
      </w:r>
      <w:r w:rsidR="00B5151F" w:rsidRPr="00E36286">
        <w:rPr>
          <w:rFonts w:ascii="Arial" w:hAnsi="Arial" w:cs="Arial"/>
        </w:rPr>
        <w:t>365</w:t>
      </w:r>
      <w:r w:rsidR="00B5151F" w:rsidRPr="00E36286">
        <w:rPr>
          <w:rFonts w:ascii="Arial" w:hAnsi="Arial" w:cs="Arial"/>
          <w:lang w:val="en-US"/>
        </w:rPr>
        <w:t>L</w:t>
      </w:r>
      <w:r w:rsidRPr="00E36286">
        <w:rPr>
          <w:rFonts w:ascii="Arial" w:hAnsi="Arial" w:cs="Arial"/>
        </w:rPr>
        <w:t>).</w:t>
      </w:r>
    </w:p>
    <w:p w:rsidR="00FC3866" w:rsidRPr="00E36286" w:rsidRDefault="00FC3866" w:rsidP="00FC38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:rsidR="0036745D" w:rsidRDefault="0036745D" w:rsidP="0036745D">
      <w:pPr>
        <w:contextualSpacing/>
        <w:jc w:val="both"/>
        <w:rPr>
          <w:rFonts w:ascii="Arial" w:hAnsi="Arial" w:cs="Arial"/>
          <w:sz w:val="22"/>
          <w:szCs w:val="22"/>
        </w:rPr>
      </w:pPr>
      <w:r w:rsidRPr="001A79B4">
        <w:rPr>
          <w:rFonts w:ascii="Arial" w:hAnsi="Arial" w:cs="Arial"/>
          <w:sz w:val="22"/>
          <w:szCs w:val="22"/>
        </w:rPr>
        <w:t>С писмо от 05.12.2019г., АДАРА АД е уведомило Де Ново ЕАД, че дължимото на 20.06.2019г. лихвено плащане в размер на BGN 504 863,01 /петстотин и четири хиляди осемстотин шестдесет и три лева и една стотинка/ е изплатено на 04.12.2019г.</w:t>
      </w:r>
    </w:p>
    <w:p w:rsidR="0036745D" w:rsidRDefault="0036745D" w:rsidP="00901DCC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1A79B4" w:rsidRPr="0036745D" w:rsidRDefault="00F60280" w:rsidP="0036745D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5D38AF">
        <w:rPr>
          <w:rFonts w:ascii="Arial" w:hAnsi="Arial" w:cs="Arial"/>
        </w:rPr>
        <w:t>На 20.</w:t>
      </w:r>
      <w:r w:rsidR="003D0729">
        <w:rPr>
          <w:rFonts w:ascii="Arial" w:hAnsi="Arial" w:cs="Arial"/>
          <w:lang w:val="en-US"/>
        </w:rPr>
        <w:t>12</w:t>
      </w:r>
      <w:r w:rsidRPr="005D38AF">
        <w:rPr>
          <w:rFonts w:ascii="Arial" w:hAnsi="Arial" w:cs="Arial"/>
        </w:rPr>
        <w:t>.201</w:t>
      </w:r>
      <w:r w:rsidR="00E30DB1">
        <w:rPr>
          <w:rFonts w:ascii="Arial" w:hAnsi="Arial" w:cs="Arial"/>
          <w:lang w:val="en-US"/>
        </w:rPr>
        <w:t>9</w:t>
      </w:r>
      <w:r w:rsidRPr="005D38AF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 xml:space="preserve">бе </w:t>
      </w:r>
      <w:r w:rsidRPr="005D38AF">
        <w:rPr>
          <w:rFonts w:ascii="Arial" w:hAnsi="Arial" w:cs="Arial"/>
        </w:rPr>
        <w:t>дължимо лихвено плащане</w:t>
      </w:r>
      <w:r>
        <w:rPr>
          <w:rFonts w:ascii="Arial" w:hAnsi="Arial" w:cs="Arial"/>
        </w:rPr>
        <w:t xml:space="preserve"> в размер на BGN </w:t>
      </w:r>
      <w:r w:rsidR="003D0729" w:rsidRPr="003D0729">
        <w:rPr>
          <w:rFonts w:ascii="Arial" w:hAnsi="Arial" w:cs="Arial"/>
        </w:rPr>
        <w:t>507 636,99 /петстотин и седем хиляди шестстотин тридесет и шест лева и деветдесет и девет стотинки/</w:t>
      </w:r>
      <w:r>
        <w:rPr>
          <w:rFonts w:ascii="Arial" w:hAnsi="Arial" w:cs="Arial"/>
        </w:rPr>
        <w:t>,</w:t>
      </w:r>
      <w:r w:rsidRPr="005D38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което не е изплатено на датата на падежа.</w:t>
      </w:r>
      <w:r w:rsidR="005035F4">
        <w:rPr>
          <w:rFonts w:ascii="Arial" w:hAnsi="Arial" w:cs="Arial"/>
        </w:rPr>
        <w:t xml:space="preserve"> /Виж стр.</w:t>
      </w:r>
      <w:r w:rsidR="00BE4058">
        <w:rPr>
          <w:rFonts w:ascii="Arial" w:hAnsi="Arial" w:cs="Arial"/>
          <w:lang w:val="en-US"/>
        </w:rPr>
        <w:t xml:space="preserve"> </w:t>
      </w:r>
      <w:r w:rsidR="000A5A53">
        <w:rPr>
          <w:rFonts w:ascii="Arial" w:hAnsi="Arial" w:cs="Arial"/>
          <w:lang w:val="en-US"/>
        </w:rPr>
        <w:t xml:space="preserve">6 и </w:t>
      </w:r>
      <w:r w:rsidR="005035F4">
        <w:rPr>
          <w:rFonts w:ascii="Arial" w:hAnsi="Arial" w:cs="Arial"/>
        </w:rPr>
        <w:t>7 по-долу</w:t>
      </w:r>
      <w:r w:rsidR="000A5A53">
        <w:rPr>
          <w:rFonts w:ascii="Arial" w:hAnsi="Arial" w:cs="Arial"/>
          <w:lang w:val="en-US"/>
        </w:rPr>
        <w:t>:</w:t>
      </w:r>
      <w:r w:rsidR="005035F4">
        <w:rPr>
          <w:rFonts w:ascii="Arial" w:hAnsi="Arial" w:cs="Arial"/>
        </w:rPr>
        <w:t xml:space="preserve"> </w:t>
      </w:r>
      <w:r w:rsidR="005035F4" w:rsidRPr="00086D70">
        <w:rPr>
          <w:rFonts w:ascii="Arial" w:hAnsi="Arial" w:cs="Arial"/>
          <w:b/>
          <w:i/>
          <w:u w:val="single"/>
        </w:rPr>
        <w:t>Обстоятелства, настъпили след крайната дата на разглеждания в доклада период</w:t>
      </w:r>
      <w:r w:rsidR="005035F4">
        <w:rPr>
          <w:rFonts w:ascii="Arial" w:hAnsi="Arial" w:cs="Arial"/>
          <w:b/>
          <w:i/>
          <w:u w:val="single"/>
        </w:rPr>
        <w:t>/.</w:t>
      </w:r>
    </w:p>
    <w:p w:rsidR="00901DCC" w:rsidRDefault="00901DCC" w:rsidP="00F630A4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:rsidR="00D9764F" w:rsidRPr="00E36286" w:rsidRDefault="00D9764F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:rsidR="00D9764F" w:rsidRPr="00E36286" w:rsidRDefault="00D9764F" w:rsidP="00D9764F">
      <w:pPr>
        <w:pStyle w:val="1"/>
        <w:numPr>
          <w:ilvl w:val="0"/>
          <w:numId w:val="1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36286">
        <w:rPr>
          <w:rFonts w:ascii="Arial" w:hAnsi="Arial" w:cs="Arial"/>
          <w:color w:val="auto"/>
          <w:sz w:val="22"/>
          <w:szCs w:val="22"/>
        </w:rPr>
        <w:t>Финансови показатели.</w:t>
      </w:r>
    </w:p>
    <w:p w:rsidR="00D9764F" w:rsidRPr="00E36286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:rsidR="00D9764F" w:rsidRPr="00E36286" w:rsidRDefault="00D9764F" w:rsidP="00FC38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>Емитентът е поел да спазва следните финансови показатели до пълното погасяване на облигационния заем:</w:t>
      </w:r>
    </w:p>
    <w:p w:rsidR="008F11DD" w:rsidRDefault="008F11DD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:rsidR="00C72125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 xml:space="preserve">-- Коефициент на максимална стойност на отношението „Пасиви/Активи” от максимум 97%. </w:t>
      </w:r>
    </w:p>
    <w:p w:rsidR="007F0485" w:rsidRDefault="007F0485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:rsidR="00D9764F" w:rsidRPr="00E36286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 xml:space="preserve">Към </w:t>
      </w:r>
      <w:r w:rsidR="00AD67DE" w:rsidRPr="00E36286">
        <w:rPr>
          <w:rFonts w:ascii="Arial" w:hAnsi="Arial" w:cs="Arial"/>
        </w:rPr>
        <w:t>3</w:t>
      </w:r>
      <w:r w:rsidR="0060624F">
        <w:rPr>
          <w:rFonts w:ascii="Arial" w:hAnsi="Arial" w:cs="Arial"/>
          <w:lang w:val="en-US"/>
        </w:rPr>
        <w:t>1</w:t>
      </w:r>
      <w:r w:rsidR="00AD67DE" w:rsidRPr="00E36286">
        <w:rPr>
          <w:rFonts w:ascii="Arial" w:hAnsi="Arial" w:cs="Arial"/>
        </w:rPr>
        <w:t>.</w:t>
      </w:r>
      <w:r w:rsidR="0060624F">
        <w:rPr>
          <w:rFonts w:ascii="Arial" w:hAnsi="Arial" w:cs="Arial"/>
          <w:lang w:val="en-US"/>
        </w:rPr>
        <w:t>12</w:t>
      </w:r>
      <w:r w:rsidR="00AD67DE" w:rsidRPr="00E36286">
        <w:rPr>
          <w:rFonts w:ascii="Arial" w:hAnsi="Arial" w:cs="Arial"/>
        </w:rPr>
        <w:t>.201</w:t>
      </w:r>
      <w:r w:rsidR="00CE1DD1">
        <w:rPr>
          <w:rFonts w:ascii="Arial" w:hAnsi="Arial" w:cs="Arial"/>
          <w:lang w:val="en-US"/>
        </w:rPr>
        <w:t>9</w:t>
      </w:r>
      <w:r w:rsidR="00AD67DE" w:rsidRPr="00E36286">
        <w:rPr>
          <w:rFonts w:ascii="Arial" w:hAnsi="Arial" w:cs="Arial"/>
        </w:rPr>
        <w:t>г.</w:t>
      </w:r>
      <w:r w:rsidRPr="00E36286">
        <w:rPr>
          <w:rFonts w:ascii="Arial" w:hAnsi="Arial" w:cs="Arial"/>
        </w:rPr>
        <w:t xml:space="preserve"> стойността на показателя </w:t>
      </w:r>
      <w:r w:rsidRPr="00976A8C">
        <w:rPr>
          <w:rFonts w:ascii="Arial" w:hAnsi="Arial" w:cs="Arial"/>
        </w:rPr>
        <w:t xml:space="preserve">е </w:t>
      </w:r>
      <w:r w:rsidR="003674D6">
        <w:rPr>
          <w:rFonts w:ascii="Arial" w:hAnsi="Arial" w:cs="Arial"/>
        </w:rPr>
        <w:t>9</w:t>
      </w:r>
      <w:r w:rsidR="0060624F">
        <w:rPr>
          <w:rFonts w:ascii="Arial" w:hAnsi="Arial" w:cs="Arial"/>
          <w:lang w:val="en-US"/>
        </w:rPr>
        <w:t>4</w:t>
      </w:r>
      <w:r w:rsidR="00E20764" w:rsidRPr="00976A8C">
        <w:rPr>
          <w:rFonts w:ascii="Arial" w:hAnsi="Arial" w:cs="Arial"/>
          <w:lang w:val="en-US"/>
        </w:rPr>
        <w:t>.</w:t>
      </w:r>
      <w:r w:rsidR="0060624F">
        <w:rPr>
          <w:rFonts w:ascii="Arial" w:hAnsi="Arial" w:cs="Arial"/>
          <w:lang w:val="en-US"/>
        </w:rPr>
        <w:t>76</w:t>
      </w:r>
      <w:r w:rsidRPr="00976A8C">
        <w:rPr>
          <w:rFonts w:ascii="Arial" w:hAnsi="Arial" w:cs="Arial"/>
        </w:rPr>
        <w:t>%.</w:t>
      </w:r>
    </w:p>
    <w:p w:rsidR="008F11DD" w:rsidRDefault="008F11DD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:rsidR="00C72125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 xml:space="preserve">-- Коефициент на покритие на разходите за лихви, изчислен като печалбата от обичайната дейност, увеличена с разходи за лихви, се раздели на разходи за лихви - минимална стойност на показателя за </w:t>
      </w:r>
      <w:r w:rsidR="007861E3">
        <w:rPr>
          <w:rFonts w:ascii="Arial" w:hAnsi="Arial" w:cs="Arial"/>
        </w:rPr>
        <w:t>срока на облигационния заем е 1</w:t>
      </w:r>
      <w:r w:rsidR="00E20764">
        <w:rPr>
          <w:rFonts w:ascii="Arial" w:hAnsi="Arial" w:cs="Arial"/>
          <w:lang w:val="en-US"/>
        </w:rPr>
        <w:t>.</w:t>
      </w:r>
      <w:r w:rsidRPr="00E36286">
        <w:rPr>
          <w:rFonts w:ascii="Arial" w:hAnsi="Arial" w:cs="Arial"/>
        </w:rPr>
        <w:t xml:space="preserve">05. </w:t>
      </w:r>
    </w:p>
    <w:p w:rsidR="007F0485" w:rsidRDefault="007F0485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:rsidR="00D9764F" w:rsidRPr="00976A8C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 xml:space="preserve">Към </w:t>
      </w:r>
      <w:r w:rsidR="00AD67DE" w:rsidRPr="00E36286">
        <w:rPr>
          <w:rFonts w:ascii="Arial" w:hAnsi="Arial" w:cs="Arial"/>
        </w:rPr>
        <w:t>3</w:t>
      </w:r>
      <w:r w:rsidR="0060624F">
        <w:rPr>
          <w:rFonts w:ascii="Arial" w:hAnsi="Arial" w:cs="Arial"/>
          <w:lang w:val="en-US"/>
        </w:rPr>
        <w:t>1</w:t>
      </w:r>
      <w:r w:rsidR="00AD67DE" w:rsidRPr="00E36286">
        <w:rPr>
          <w:rFonts w:ascii="Arial" w:hAnsi="Arial" w:cs="Arial"/>
        </w:rPr>
        <w:t>.</w:t>
      </w:r>
      <w:r w:rsidR="0060624F">
        <w:rPr>
          <w:rFonts w:ascii="Arial" w:hAnsi="Arial" w:cs="Arial"/>
          <w:lang w:val="en-US"/>
        </w:rPr>
        <w:t>12</w:t>
      </w:r>
      <w:r w:rsidR="00CE1DD1">
        <w:rPr>
          <w:rFonts w:ascii="Arial" w:hAnsi="Arial" w:cs="Arial"/>
        </w:rPr>
        <w:t>.201</w:t>
      </w:r>
      <w:r w:rsidR="00CE1DD1">
        <w:rPr>
          <w:rFonts w:ascii="Arial" w:hAnsi="Arial" w:cs="Arial"/>
          <w:lang w:val="en-US"/>
        </w:rPr>
        <w:t>9</w:t>
      </w:r>
      <w:r w:rsidR="00AD67DE" w:rsidRPr="00E36286">
        <w:rPr>
          <w:rFonts w:ascii="Arial" w:hAnsi="Arial" w:cs="Arial"/>
        </w:rPr>
        <w:t>г.</w:t>
      </w:r>
      <w:r w:rsidRPr="00E36286">
        <w:rPr>
          <w:rFonts w:ascii="Arial" w:hAnsi="Arial" w:cs="Arial"/>
        </w:rPr>
        <w:t xml:space="preserve"> стойността на </w:t>
      </w:r>
      <w:r w:rsidRPr="00976A8C">
        <w:rPr>
          <w:rFonts w:ascii="Arial" w:hAnsi="Arial" w:cs="Arial"/>
        </w:rPr>
        <w:t xml:space="preserve">показателя е </w:t>
      </w:r>
      <w:r w:rsidR="0060624F">
        <w:rPr>
          <w:rFonts w:ascii="Arial" w:hAnsi="Arial" w:cs="Arial"/>
          <w:lang w:val="en-US"/>
        </w:rPr>
        <w:t>1</w:t>
      </w:r>
      <w:r w:rsidR="00E20764" w:rsidRPr="00976A8C">
        <w:rPr>
          <w:rFonts w:ascii="Arial" w:hAnsi="Arial" w:cs="Arial"/>
          <w:lang w:val="en-US"/>
        </w:rPr>
        <w:t>.</w:t>
      </w:r>
      <w:r w:rsidR="0060624F">
        <w:rPr>
          <w:rFonts w:ascii="Arial" w:hAnsi="Arial" w:cs="Arial"/>
          <w:lang w:val="en-US"/>
        </w:rPr>
        <w:t>68</w:t>
      </w:r>
      <w:r w:rsidRPr="00976A8C">
        <w:rPr>
          <w:rFonts w:ascii="Arial" w:hAnsi="Arial" w:cs="Arial"/>
        </w:rPr>
        <w:t xml:space="preserve">. </w:t>
      </w:r>
    </w:p>
    <w:p w:rsidR="008F11DD" w:rsidRDefault="008F11DD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:rsidR="00C72125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>-- Коефициент на текуща ликвидност, изчислен като общата сума на краткотрайните активи в баланса се раздели на общата сума на краткотрайните пасиви  - минимална стойност на показателя за срока на облигационния заем е 0</w:t>
      </w:r>
      <w:r w:rsidR="00E20764">
        <w:rPr>
          <w:rFonts w:ascii="Arial" w:hAnsi="Arial" w:cs="Arial"/>
          <w:lang w:val="en-US"/>
        </w:rPr>
        <w:t>.</w:t>
      </w:r>
      <w:r w:rsidRPr="00E36286">
        <w:rPr>
          <w:rFonts w:ascii="Arial" w:hAnsi="Arial" w:cs="Arial"/>
        </w:rPr>
        <w:t xml:space="preserve">5. </w:t>
      </w:r>
    </w:p>
    <w:p w:rsidR="00996267" w:rsidRDefault="00996267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:rsidR="00D9764F" w:rsidRPr="00E36286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 xml:space="preserve">Към </w:t>
      </w:r>
      <w:r w:rsidR="00AD67DE" w:rsidRPr="00E36286">
        <w:rPr>
          <w:rFonts w:ascii="Arial" w:hAnsi="Arial" w:cs="Arial"/>
        </w:rPr>
        <w:t>3</w:t>
      </w:r>
      <w:r w:rsidR="0060624F">
        <w:rPr>
          <w:rFonts w:ascii="Arial" w:hAnsi="Arial" w:cs="Arial"/>
          <w:lang w:val="en-US"/>
        </w:rPr>
        <w:t>1</w:t>
      </w:r>
      <w:r w:rsidR="00AD67DE" w:rsidRPr="00E36286">
        <w:rPr>
          <w:rFonts w:ascii="Arial" w:hAnsi="Arial" w:cs="Arial"/>
        </w:rPr>
        <w:t>.</w:t>
      </w:r>
      <w:r w:rsidR="0060624F">
        <w:rPr>
          <w:rFonts w:ascii="Arial" w:hAnsi="Arial" w:cs="Arial"/>
          <w:lang w:val="en-US"/>
        </w:rPr>
        <w:t>12</w:t>
      </w:r>
      <w:r w:rsidR="00AD67DE" w:rsidRPr="00E36286">
        <w:rPr>
          <w:rFonts w:ascii="Arial" w:hAnsi="Arial" w:cs="Arial"/>
        </w:rPr>
        <w:t>.201</w:t>
      </w:r>
      <w:r w:rsidR="00CE1DD1">
        <w:rPr>
          <w:rFonts w:ascii="Arial" w:hAnsi="Arial" w:cs="Arial"/>
          <w:lang w:val="en-US"/>
        </w:rPr>
        <w:t>9</w:t>
      </w:r>
      <w:r w:rsidR="00AD67DE" w:rsidRPr="00E36286">
        <w:rPr>
          <w:rFonts w:ascii="Arial" w:hAnsi="Arial" w:cs="Arial"/>
        </w:rPr>
        <w:t>г.</w:t>
      </w:r>
      <w:r w:rsidRPr="00E36286">
        <w:rPr>
          <w:rFonts w:ascii="Arial" w:hAnsi="Arial" w:cs="Arial"/>
        </w:rPr>
        <w:t xml:space="preserve"> стойността на показателя е 1</w:t>
      </w:r>
      <w:r w:rsidR="00E20764">
        <w:rPr>
          <w:rFonts w:ascii="Arial" w:hAnsi="Arial" w:cs="Arial"/>
          <w:lang w:val="en-US"/>
        </w:rPr>
        <w:t>.</w:t>
      </w:r>
      <w:r w:rsidR="00996267">
        <w:rPr>
          <w:rFonts w:ascii="Arial" w:hAnsi="Arial" w:cs="Arial"/>
        </w:rPr>
        <w:t>4</w:t>
      </w:r>
      <w:r w:rsidR="0060624F">
        <w:rPr>
          <w:rFonts w:ascii="Arial" w:hAnsi="Arial" w:cs="Arial"/>
          <w:lang w:val="en-US"/>
        </w:rPr>
        <w:t>5</w:t>
      </w:r>
      <w:r w:rsidRPr="00E36286">
        <w:rPr>
          <w:rFonts w:ascii="Arial" w:hAnsi="Arial" w:cs="Arial"/>
        </w:rPr>
        <w:t>.</w:t>
      </w:r>
    </w:p>
    <w:p w:rsidR="00BE512E" w:rsidRPr="00E36286" w:rsidRDefault="00BE512E" w:rsidP="00BE512E">
      <w:pPr>
        <w:contextualSpacing/>
        <w:jc w:val="both"/>
        <w:rPr>
          <w:rFonts w:ascii="Arial" w:hAnsi="Arial" w:cs="Arial"/>
          <w:sz w:val="22"/>
          <w:szCs w:val="22"/>
          <w:lang w:val="bg-BG"/>
        </w:rPr>
      </w:pPr>
    </w:p>
    <w:p w:rsidR="00062F98" w:rsidRPr="002B31D5" w:rsidRDefault="00062F98" w:rsidP="00062F98">
      <w:pPr>
        <w:contextualSpacing/>
        <w:jc w:val="both"/>
        <w:rPr>
          <w:rFonts w:ascii="Arial" w:hAnsi="Arial" w:cs="Arial"/>
          <w:sz w:val="22"/>
          <w:szCs w:val="22"/>
          <w:lang w:val="bg-BG"/>
        </w:rPr>
      </w:pPr>
      <w:r w:rsidRPr="00E36286">
        <w:rPr>
          <w:rFonts w:ascii="Arial" w:hAnsi="Arial" w:cs="Arial"/>
          <w:sz w:val="22"/>
          <w:szCs w:val="22"/>
          <w:lang w:val="bg-BG"/>
        </w:rPr>
        <w:t>Към 3</w:t>
      </w:r>
      <w:r w:rsidR="0060624F">
        <w:rPr>
          <w:rFonts w:ascii="Arial" w:hAnsi="Arial" w:cs="Arial"/>
          <w:sz w:val="22"/>
          <w:szCs w:val="22"/>
        </w:rPr>
        <w:t>1</w:t>
      </w:r>
      <w:r w:rsidRPr="00E36286">
        <w:rPr>
          <w:rFonts w:ascii="Arial" w:hAnsi="Arial" w:cs="Arial"/>
          <w:sz w:val="22"/>
          <w:szCs w:val="22"/>
          <w:lang w:val="bg-BG"/>
        </w:rPr>
        <w:t>.</w:t>
      </w:r>
      <w:r w:rsidR="0060624F">
        <w:rPr>
          <w:rFonts w:ascii="Arial" w:hAnsi="Arial" w:cs="Arial"/>
          <w:sz w:val="22"/>
          <w:szCs w:val="22"/>
        </w:rPr>
        <w:t>12</w:t>
      </w:r>
      <w:r w:rsidRPr="00E36286">
        <w:rPr>
          <w:rFonts w:ascii="Arial" w:hAnsi="Arial" w:cs="Arial"/>
          <w:sz w:val="22"/>
          <w:szCs w:val="22"/>
          <w:lang w:val="bg-BG"/>
        </w:rPr>
        <w:t>.201</w:t>
      </w:r>
      <w:r w:rsidR="003C4E0A">
        <w:rPr>
          <w:rFonts w:ascii="Arial" w:hAnsi="Arial" w:cs="Arial"/>
          <w:sz w:val="22"/>
          <w:szCs w:val="22"/>
          <w:lang w:val="bg-BG"/>
        </w:rPr>
        <w:t>9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г., </w:t>
      </w:r>
      <w:r>
        <w:rPr>
          <w:rFonts w:ascii="Arial" w:hAnsi="Arial" w:cs="Arial"/>
          <w:sz w:val="22"/>
          <w:szCs w:val="22"/>
          <w:lang w:val="bg-BG"/>
        </w:rPr>
        <w:t xml:space="preserve">стойностите и на трите показателя са по-добри от съответната </w:t>
      </w:r>
      <w:r w:rsidRPr="00E36286">
        <w:rPr>
          <w:rFonts w:ascii="Arial" w:hAnsi="Arial" w:cs="Arial"/>
          <w:sz w:val="22"/>
          <w:szCs w:val="22"/>
          <w:lang w:val="bg-BG"/>
        </w:rPr>
        <w:t>минимална</w:t>
      </w:r>
      <w:r>
        <w:rPr>
          <w:rFonts w:ascii="Arial" w:hAnsi="Arial" w:cs="Arial"/>
          <w:sz w:val="22"/>
          <w:szCs w:val="22"/>
          <w:lang w:val="bg-BG"/>
        </w:rPr>
        <w:t>/максимална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стойност, която Емитентът се е задължил да поддържа в рамките на срока на облигационния заем.</w:t>
      </w:r>
      <w:r w:rsidRPr="00CA249D">
        <w:rPr>
          <w:rFonts w:ascii="Arial" w:hAnsi="Arial" w:cs="Arial"/>
          <w:sz w:val="22"/>
          <w:szCs w:val="22"/>
        </w:rPr>
        <w:t xml:space="preserve"> </w:t>
      </w:r>
    </w:p>
    <w:p w:rsidR="00F97CDF" w:rsidRDefault="00F97CDF" w:rsidP="00F97CD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bg-BG"/>
        </w:rPr>
      </w:pPr>
    </w:p>
    <w:p w:rsidR="00FB00A7" w:rsidRDefault="00F97CDF" w:rsidP="004D1A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bg-BG"/>
        </w:rPr>
      </w:pPr>
      <w:r w:rsidRPr="00E36286">
        <w:rPr>
          <w:rFonts w:ascii="Arial" w:hAnsi="Arial" w:cs="Arial"/>
          <w:sz w:val="22"/>
          <w:szCs w:val="22"/>
          <w:lang w:val="bg-BG"/>
        </w:rPr>
        <w:t xml:space="preserve">Съгласно потвърдения от Комисията за финансов надзор Проспект за допускане на облигациите до търговия на регулиран пазар, </w:t>
      </w:r>
      <w:r w:rsidRPr="009F4F53">
        <w:rPr>
          <w:rFonts w:ascii="Arial" w:hAnsi="Arial" w:cs="Arial"/>
          <w:sz w:val="22"/>
          <w:szCs w:val="22"/>
          <w:lang w:val="bg-BG"/>
        </w:rPr>
        <w:t>в случай на нарушение на установените в предложението за записване на облигациите финансови съотношения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>емитентът е длъжен</w:t>
      </w:r>
      <w:r w:rsidRPr="009F4F53">
        <w:rPr>
          <w:rFonts w:ascii="Arial" w:hAnsi="Arial" w:cs="Arial"/>
          <w:sz w:val="22"/>
          <w:szCs w:val="22"/>
          <w:lang w:val="bg-BG"/>
        </w:rPr>
        <w:t xml:space="preserve"> да предприеме незабавни действия по привеждане на финансовите показатели в съответствие с поетите ангажименти.</w:t>
      </w:r>
    </w:p>
    <w:p w:rsidR="002D0B5D" w:rsidRDefault="002D0B5D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:rsidR="00996267" w:rsidRPr="00E36286" w:rsidRDefault="00996267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:rsidR="00D9764F" w:rsidRPr="00E36286" w:rsidRDefault="00D9764F" w:rsidP="00D9764F">
      <w:pPr>
        <w:pStyle w:val="1"/>
        <w:numPr>
          <w:ilvl w:val="0"/>
          <w:numId w:val="1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36286">
        <w:rPr>
          <w:rFonts w:ascii="Arial" w:hAnsi="Arial" w:cs="Arial"/>
          <w:color w:val="auto"/>
          <w:sz w:val="22"/>
          <w:szCs w:val="22"/>
        </w:rPr>
        <w:t>Обстоятелства по чл. 100г, ал. 3 от ЗППЦК.</w:t>
      </w:r>
    </w:p>
    <w:p w:rsidR="00BE512E" w:rsidRPr="00E36286" w:rsidRDefault="00BE512E" w:rsidP="00BE512E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:rsidR="00D9764F" w:rsidRPr="001563BB" w:rsidRDefault="009458BF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отно</w:t>
      </w:r>
      <w:r w:rsidR="00E95A07">
        <w:rPr>
          <w:rFonts w:ascii="Arial" w:hAnsi="Arial" w:cs="Arial"/>
        </w:rPr>
        <w:t>ш</w:t>
      </w:r>
      <w:r>
        <w:rPr>
          <w:rFonts w:ascii="Arial" w:hAnsi="Arial" w:cs="Arial"/>
        </w:rPr>
        <w:t>ение на Де Ново ЕАД н</w:t>
      </w:r>
      <w:r w:rsidRPr="00E36286">
        <w:rPr>
          <w:rFonts w:ascii="Arial" w:hAnsi="Arial" w:cs="Arial"/>
        </w:rPr>
        <w:t>е са налице обстоятелства по чл.100г, ал.3 от ЗППЦК.</w:t>
      </w:r>
    </w:p>
    <w:p w:rsidR="00E36948" w:rsidRDefault="00E36948" w:rsidP="00D9764F">
      <w:pPr>
        <w:jc w:val="both"/>
        <w:rPr>
          <w:rFonts w:ascii="Arial" w:hAnsi="Arial" w:cs="Arial"/>
          <w:b/>
          <w:i/>
          <w:sz w:val="22"/>
          <w:szCs w:val="22"/>
          <w:lang w:val="bg-BG"/>
        </w:rPr>
      </w:pPr>
    </w:p>
    <w:p w:rsidR="00367C97" w:rsidRPr="00D3396E" w:rsidRDefault="00D9764F" w:rsidP="00367C97">
      <w:pPr>
        <w:jc w:val="both"/>
        <w:rPr>
          <w:rFonts w:ascii="Arial" w:hAnsi="Arial" w:cs="Arial"/>
          <w:b/>
          <w:i/>
          <w:sz w:val="22"/>
          <w:szCs w:val="22"/>
          <w:lang w:val="bg-BG"/>
        </w:rPr>
      </w:pPr>
      <w:r w:rsidRPr="009A081A">
        <w:rPr>
          <w:rFonts w:ascii="Arial" w:hAnsi="Arial" w:cs="Arial"/>
          <w:b/>
          <w:i/>
          <w:sz w:val="22"/>
          <w:szCs w:val="22"/>
        </w:rPr>
        <w:t>Предвид фактите и обстоятелства, изложени в доклада, може да бъде направен обоснован извод, че</w:t>
      </w:r>
      <w:r w:rsidR="001655D2">
        <w:rPr>
          <w:rFonts w:ascii="Arial" w:hAnsi="Arial" w:cs="Arial"/>
          <w:b/>
          <w:i/>
          <w:sz w:val="22"/>
          <w:szCs w:val="22"/>
          <w:lang w:val="bg-BG"/>
        </w:rPr>
        <w:t xml:space="preserve"> </w:t>
      </w:r>
      <w:r w:rsidR="00AF02C8">
        <w:rPr>
          <w:rFonts w:ascii="Arial" w:hAnsi="Arial" w:cs="Arial"/>
          <w:b/>
          <w:i/>
          <w:sz w:val="22"/>
          <w:szCs w:val="22"/>
          <w:lang w:val="bg-BG"/>
        </w:rPr>
        <w:t xml:space="preserve">Емитентът </w:t>
      </w:r>
      <w:r w:rsidR="00D84582" w:rsidRPr="00E36286">
        <w:rPr>
          <w:rFonts w:ascii="Arial" w:hAnsi="Arial" w:cs="Arial"/>
          <w:b/>
          <w:i/>
          <w:sz w:val="22"/>
          <w:szCs w:val="22"/>
        </w:rPr>
        <w:t xml:space="preserve">изпълнява добросъвестно </w:t>
      </w:r>
      <w:r w:rsidR="00367C97" w:rsidRPr="00E36286">
        <w:rPr>
          <w:rFonts w:ascii="Arial" w:hAnsi="Arial" w:cs="Arial"/>
          <w:b/>
          <w:i/>
          <w:sz w:val="22"/>
          <w:szCs w:val="22"/>
        </w:rPr>
        <w:t>задълженията си към облигационерите, съгласно условията на сключения облигационен заем.</w:t>
      </w:r>
      <w:r w:rsidR="00367C97">
        <w:rPr>
          <w:rFonts w:ascii="Arial" w:hAnsi="Arial" w:cs="Arial"/>
          <w:b/>
          <w:i/>
          <w:sz w:val="22"/>
          <w:szCs w:val="22"/>
          <w:lang w:val="bg-BG"/>
        </w:rPr>
        <w:t xml:space="preserve"> </w:t>
      </w:r>
    </w:p>
    <w:p w:rsidR="00B941D1" w:rsidRPr="00FE754F" w:rsidRDefault="00B941D1" w:rsidP="00FE754F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941D1" w:rsidRDefault="00B941D1" w:rsidP="00367C97">
      <w:pPr>
        <w:ind w:left="720"/>
        <w:contextualSpacing/>
        <w:jc w:val="both"/>
        <w:rPr>
          <w:rFonts w:ascii="Arial" w:hAnsi="Arial" w:cs="Arial"/>
          <w:sz w:val="22"/>
          <w:szCs w:val="22"/>
          <w:lang w:val="bg-BG"/>
        </w:rPr>
      </w:pPr>
    </w:p>
    <w:p w:rsidR="00E02DF3" w:rsidRPr="00086D70" w:rsidRDefault="00E02DF3" w:rsidP="00E02DF3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i/>
          <w:u w:val="single"/>
        </w:rPr>
      </w:pPr>
      <w:r w:rsidRPr="00086D70">
        <w:rPr>
          <w:rFonts w:ascii="Arial" w:hAnsi="Arial" w:cs="Arial"/>
          <w:b/>
          <w:i/>
          <w:u w:val="single"/>
        </w:rPr>
        <w:t>Обстоятелства, настъпили след крайната дата на разглеждания в доклада период</w:t>
      </w:r>
    </w:p>
    <w:p w:rsidR="00E02DF3" w:rsidRDefault="00E02DF3" w:rsidP="00E02DF3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:rsidR="00FE754F" w:rsidRPr="00FE754F" w:rsidRDefault="003D0729" w:rsidP="00FE754F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  <w:lang w:val="bg-BG"/>
        </w:rPr>
      </w:pPr>
      <w:r w:rsidRPr="003D0729">
        <w:rPr>
          <w:rFonts w:ascii="Arial" w:hAnsi="Arial" w:cs="Arial"/>
          <w:sz w:val="22"/>
          <w:szCs w:val="22"/>
        </w:rPr>
        <w:t>С писмо от 2</w:t>
      </w:r>
      <w:r w:rsidR="0026335D">
        <w:rPr>
          <w:rFonts w:ascii="Arial" w:hAnsi="Arial" w:cs="Arial"/>
          <w:sz w:val="22"/>
          <w:szCs w:val="22"/>
        </w:rPr>
        <w:t>3</w:t>
      </w:r>
      <w:r w:rsidRPr="003D0729">
        <w:rPr>
          <w:rFonts w:ascii="Arial" w:hAnsi="Arial" w:cs="Arial"/>
          <w:sz w:val="22"/>
          <w:szCs w:val="22"/>
        </w:rPr>
        <w:t>.0</w:t>
      </w:r>
      <w:r w:rsidR="0026335D">
        <w:rPr>
          <w:rFonts w:ascii="Arial" w:hAnsi="Arial" w:cs="Arial"/>
          <w:sz w:val="22"/>
          <w:szCs w:val="22"/>
        </w:rPr>
        <w:t>1</w:t>
      </w:r>
      <w:r w:rsidRPr="003D0729">
        <w:rPr>
          <w:rFonts w:ascii="Arial" w:hAnsi="Arial" w:cs="Arial"/>
          <w:sz w:val="22"/>
          <w:szCs w:val="22"/>
        </w:rPr>
        <w:t>.20</w:t>
      </w:r>
      <w:r w:rsidR="0026335D">
        <w:rPr>
          <w:rFonts w:ascii="Arial" w:hAnsi="Arial" w:cs="Arial"/>
          <w:sz w:val="22"/>
          <w:szCs w:val="22"/>
        </w:rPr>
        <w:t>20</w:t>
      </w:r>
      <w:r w:rsidRPr="003D0729">
        <w:rPr>
          <w:rFonts w:ascii="Arial" w:hAnsi="Arial" w:cs="Arial"/>
          <w:sz w:val="22"/>
          <w:szCs w:val="22"/>
        </w:rPr>
        <w:t>г., в съответствие с условията на застрахователна полица No. 1710014040000630349, Де Ново ЕАД е предявило претенция за изплащане на застрахователно обезщетение, вследствие на настъпило застрахователно събитие – неплащане на дължимото на 20.</w:t>
      </w:r>
      <w:r w:rsidR="0026335D">
        <w:rPr>
          <w:rFonts w:ascii="Arial" w:hAnsi="Arial" w:cs="Arial"/>
          <w:sz w:val="22"/>
          <w:szCs w:val="22"/>
        </w:rPr>
        <w:t>12</w:t>
      </w:r>
      <w:r w:rsidRPr="003D0729">
        <w:rPr>
          <w:rFonts w:ascii="Arial" w:hAnsi="Arial" w:cs="Arial"/>
          <w:sz w:val="22"/>
          <w:szCs w:val="22"/>
        </w:rPr>
        <w:t xml:space="preserve">.2019г. лихвено плащане в срок до 30 дни от датата на лихвеното плащане. </w:t>
      </w:r>
    </w:p>
    <w:p w:rsidR="00FE754F" w:rsidRPr="00FE754F" w:rsidRDefault="00FE754F" w:rsidP="00FE754F">
      <w:pPr>
        <w:ind w:left="360"/>
        <w:contextualSpacing/>
        <w:jc w:val="both"/>
        <w:rPr>
          <w:rFonts w:ascii="Arial" w:hAnsi="Arial" w:cs="Arial"/>
          <w:sz w:val="22"/>
          <w:szCs w:val="22"/>
          <w:lang w:val="bg-BG"/>
        </w:rPr>
      </w:pPr>
    </w:p>
    <w:p w:rsidR="00FE754F" w:rsidRPr="00FE754F" w:rsidRDefault="00FE754F" w:rsidP="00FE754F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  <w:lang w:val="bg-BG"/>
        </w:rPr>
      </w:pPr>
      <w:r w:rsidRPr="00FE754F">
        <w:rPr>
          <w:rFonts w:ascii="Arial" w:hAnsi="Arial" w:cs="Arial"/>
          <w:sz w:val="22"/>
          <w:szCs w:val="22"/>
        </w:rPr>
        <w:t>С писмо от 2</w:t>
      </w:r>
      <w:r w:rsidR="003B3FD9">
        <w:rPr>
          <w:rFonts w:ascii="Arial" w:hAnsi="Arial" w:cs="Arial"/>
          <w:sz w:val="22"/>
          <w:szCs w:val="22"/>
        </w:rPr>
        <w:t>4</w:t>
      </w:r>
      <w:r w:rsidRPr="00FE754F">
        <w:rPr>
          <w:rFonts w:ascii="Arial" w:hAnsi="Arial" w:cs="Arial"/>
          <w:sz w:val="22"/>
          <w:szCs w:val="22"/>
        </w:rPr>
        <w:t>.0</w:t>
      </w:r>
      <w:r w:rsidR="003B3FD9">
        <w:rPr>
          <w:rFonts w:ascii="Arial" w:hAnsi="Arial" w:cs="Arial"/>
          <w:sz w:val="22"/>
          <w:szCs w:val="22"/>
        </w:rPr>
        <w:t>1</w:t>
      </w:r>
      <w:r w:rsidRPr="00FE754F">
        <w:rPr>
          <w:rFonts w:ascii="Arial" w:hAnsi="Arial" w:cs="Arial"/>
          <w:sz w:val="22"/>
          <w:szCs w:val="22"/>
        </w:rPr>
        <w:t>.20</w:t>
      </w:r>
      <w:r w:rsidR="003B3FD9">
        <w:rPr>
          <w:rFonts w:ascii="Arial" w:hAnsi="Arial" w:cs="Arial"/>
          <w:sz w:val="22"/>
          <w:szCs w:val="22"/>
        </w:rPr>
        <w:t>20</w:t>
      </w:r>
      <w:r w:rsidRPr="00FE754F">
        <w:rPr>
          <w:rFonts w:ascii="Arial" w:hAnsi="Arial" w:cs="Arial"/>
          <w:sz w:val="22"/>
          <w:szCs w:val="22"/>
        </w:rPr>
        <w:t xml:space="preserve">г., Де Ново ЕАД е уведомило емитента, че Довереникът е предявил претенция пред застрахователно акционерно дружество АРМЕЕЦ АД за изплащане на застрахователно обезщетение, в размер на BGN 507 636,99 /петстотин и седем хиляди шестстотин тридесет и шест лева и деветдесет и девет стотинки/ във връзка с неизвършеното лихвено плащане с падеж 20.12.2019г. Също така, Де Ново ЕАД е поискало </w:t>
      </w:r>
      <w:r w:rsidRPr="00FE754F">
        <w:rPr>
          <w:rFonts w:ascii="Arial" w:hAnsi="Arial" w:cs="Arial"/>
          <w:sz w:val="22"/>
          <w:szCs w:val="22"/>
        </w:rPr>
        <w:lastRenderedPageBreak/>
        <w:t>от еми</w:t>
      </w:r>
      <w:r w:rsidR="00133789">
        <w:rPr>
          <w:rFonts w:ascii="Arial" w:hAnsi="Arial" w:cs="Arial"/>
          <w:sz w:val="22"/>
          <w:szCs w:val="22"/>
          <w:lang w:val="bg-BG"/>
        </w:rPr>
        <w:t>т</w:t>
      </w:r>
      <w:r w:rsidRPr="00FE754F">
        <w:rPr>
          <w:rFonts w:ascii="Arial" w:hAnsi="Arial" w:cs="Arial"/>
          <w:sz w:val="22"/>
          <w:szCs w:val="22"/>
        </w:rPr>
        <w:t>ента предприемането на конкретни действия във връзка с осъществяването на хипотезата на т.4.10 от Част ІІ от Проспекта за допускане до търговия на регулиран пазар на ценни книжа.</w:t>
      </w:r>
    </w:p>
    <w:p w:rsidR="00FE754F" w:rsidRPr="003D0729" w:rsidRDefault="00FE754F" w:rsidP="00FE754F">
      <w:pPr>
        <w:ind w:left="360"/>
        <w:contextualSpacing/>
        <w:jc w:val="both"/>
        <w:rPr>
          <w:rFonts w:ascii="Arial" w:hAnsi="Arial" w:cs="Arial"/>
          <w:sz w:val="22"/>
          <w:szCs w:val="22"/>
          <w:lang w:val="bg-BG"/>
        </w:rPr>
      </w:pPr>
    </w:p>
    <w:p w:rsidR="00FE754F" w:rsidRPr="00FE754F" w:rsidRDefault="00E02DF3" w:rsidP="00FE754F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  <w:lang w:val="bg-BG"/>
        </w:rPr>
      </w:pPr>
      <w:r w:rsidRPr="00FE754F">
        <w:rPr>
          <w:rFonts w:ascii="Arial" w:hAnsi="Arial" w:cs="Arial"/>
          <w:sz w:val="22"/>
          <w:szCs w:val="22"/>
        </w:rPr>
        <w:t xml:space="preserve">С писмо от </w:t>
      </w:r>
      <w:r w:rsidR="0026335D" w:rsidRPr="00FE754F">
        <w:rPr>
          <w:rFonts w:ascii="Arial" w:hAnsi="Arial" w:cs="Arial"/>
          <w:sz w:val="22"/>
          <w:szCs w:val="22"/>
        </w:rPr>
        <w:t>27</w:t>
      </w:r>
      <w:r w:rsidRPr="00FE754F">
        <w:rPr>
          <w:rFonts w:ascii="Arial" w:hAnsi="Arial" w:cs="Arial"/>
          <w:sz w:val="22"/>
          <w:szCs w:val="22"/>
        </w:rPr>
        <w:t>.</w:t>
      </w:r>
      <w:r w:rsidR="0026335D" w:rsidRPr="00FE754F">
        <w:rPr>
          <w:rFonts w:ascii="Arial" w:hAnsi="Arial" w:cs="Arial"/>
          <w:sz w:val="22"/>
          <w:szCs w:val="22"/>
        </w:rPr>
        <w:t>01</w:t>
      </w:r>
      <w:r w:rsidRPr="00FE754F">
        <w:rPr>
          <w:rFonts w:ascii="Arial" w:hAnsi="Arial" w:cs="Arial"/>
          <w:sz w:val="22"/>
          <w:szCs w:val="22"/>
        </w:rPr>
        <w:t>.20</w:t>
      </w:r>
      <w:r w:rsidR="0026335D" w:rsidRPr="00FE754F">
        <w:rPr>
          <w:rFonts w:ascii="Arial" w:hAnsi="Arial" w:cs="Arial"/>
          <w:sz w:val="22"/>
          <w:szCs w:val="22"/>
        </w:rPr>
        <w:t>20</w:t>
      </w:r>
      <w:r w:rsidRPr="00FE754F">
        <w:rPr>
          <w:rFonts w:ascii="Arial" w:hAnsi="Arial" w:cs="Arial"/>
          <w:sz w:val="22"/>
          <w:szCs w:val="22"/>
        </w:rPr>
        <w:t xml:space="preserve">г., </w:t>
      </w:r>
      <w:r w:rsidRPr="00FE754F">
        <w:rPr>
          <w:rFonts w:ascii="Arial" w:hAnsi="Arial" w:cs="Arial"/>
          <w:sz w:val="22"/>
          <w:szCs w:val="22"/>
          <w:lang w:val="bg-BG"/>
        </w:rPr>
        <w:t>АДАРА АД е уведомило</w:t>
      </w:r>
      <w:r w:rsidRPr="00FE754F">
        <w:rPr>
          <w:rFonts w:ascii="Arial" w:hAnsi="Arial" w:cs="Arial"/>
          <w:sz w:val="22"/>
          <w:szCs w:val="22"/>
        </w:rPr>
        <w:t xml:space="preserve"> Де Ново ЕАД</w:t>
      </w:r>
      <w:r w:rsidRPr="00FE754F">
        <w:rPr>
          <w:rFonts w:ascii="Arial" w:hAnsi="Arial" w:cs="Arial"/>
          <w:sz w:val="22"/>
          <w:szCs w:val="22"/>
          <w:lang w:val="bg-BG"/>
        </w:rPr>
        <w:t>, че</w:t>
      </w:r>
      <w:r w:rsidRPr="00FE754F">
        <w:rPr>
          <w:rFonts w:ascii="Arial" w:hAnsi="Arial" w:cs="Arial"/>
          <w:sz w:val="22"/>
          <w:szCs w:val="22"/>
        </w:rPr>
        <w:t xml:space="preserve"> дължимото на 2</w:t>
      </w:r>
      <w:r w:rsidRPr="00FE754F">
        <w:rPr>
          <w:rFonts w:ascii="Arial" w:hAnsi="Arial" w:cs="Arial"/>
          <w:sz w:val="22"/>
          <w:szCs w:val="22"/>
          <w:lang w:val="bg-BG"/>
        </w:rPr>
        <w:t>0</w:t>
      </w:r>
      <w:r w:rsidRPr="00FE754F">
        <w:rPr>
          <w:rFonts w:ascii="Arial" w:hAnsi="Arial" w:cs="Arial"/>
          <w:sz w:val="22"/>
          <w:szCs w:val="22"/>
        </w:rPr>
        <w:t>.</w:t>
      </w:r>
      <w:r w:rsidR="0026335D" w:rsidRPr="00FE754F">
        <w:rPr>
          <w:rFonts w:ascii="Arial" w:hAnsi="Arial" w:cs="Arial"/>
          <w:sz w:val="22"/>
          <w:szCs w:val="22"/>
        </w:rPr>
        <w:t>12</w:t>
      </w:r>
      <w:r w:rsidRPr="00FE754F">
        <w:rPr>
          <w:rFonts w:ascii="Arial" w:hAnsi="Arial" w:cs="Arial"/>
          <w:sz w:val="22"/>
          <w:szCs w:val="22"/>
        </w:rPr>
        <w:t>.2019г. лихвено плащане</w:t>
      </w:r>
      <w:r w:rsidRPr="00FE754F">
        <w:rPr>
          <w:rFonts w:ascii="Arial" w:hAnsi="Arial" w:cs="Arial"/>
          <w:sz w:val="22"/>
          <w:szCs w:val="22"/>
          <w:lang w:val="bg-BG"/>
        </w:rPr>
        <w:t xml:space="preserve"> в размер на </w:t>
      </w:r>
      <w:r w:rsidRPr="00FE754F">
        <w:rPr>
          <w:rFonts w:ascii="Arial" w:hAnsi="Arial" w:cs="Arial"/>
          <w:sz w:val="22"/>
          <w:szCs w:val="22"/>
        </w:rPr>
        <w:t xml:space="preserve">BGN </w:t>
      </w:r>
      <w:r w:rsidR="0026335D" w:rsidRPr="00FE754F">
        <w:rPr>
          <w:rFonts w:ascii="Arial" w:hAnsi="Arial" w:cs="Arial"/>
          <w:sz w:val="22"/>
          <w:szCs w:val="22"/>
        </w:rPr>
        <w:t>507 636,99 /петстотин и седем хиляди шестстотин тридесет и шест лева и деветдесет и девет стотинки/</w:t>
      </w:r>
      <w:r w:rsidRPr="00FE754F">
        <w:rPr>
          <w:rFonts w:ascii="Arial" w:hAnsi="Arial" w:cs="Arial"/>
          <w:sz w:val="22"/>
          <w:szCs w:val="22"/>
          <w:lang w:val="bg-BG"/>
        </w:rPr>
        <w:t xml:space="preserve"> е изплатено</w:t>
      </w:r>
      <w:r>
        <w:rPr>
          <w:rFonts w:ascii="Arial" w:hAnsi="Arial" w:cs="Arial"/>
          <w:sz w:val="22"/>
          <w:szCs w:val="22"/>
          <w:lang w:val="bg-BG"/>
        </w:rPr>
        <w:t xml:space="preserve"> на </w:t>
      </w:r>
      <w:r w:rsidR="0026335D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  <w:lang w:val="bg-BG"/>
        </w:rPr>
        <w:t>.</w:t>
      </w:r>
      <w:r w:rsidR="0026335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  <w:lang w:val="bg-BG"/>
        </w:rPr>
        <w:t>.20</w:t>
      </w:r>
      <w:r w:rsidR="0026335D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bg-BG"/>
        </w:rPr>
        <w:t>г.</w:t>
      </w:r>
      <w:r w:rsidRPr="005D38AF">
        <w:rPr>
          <w:rFonts w:ascii="Arial" w:hAnsi="Arial" w:cs="Arial"/>
          <w:sz w:val="22"/>
          <w:szCs w:val="22"/>
        </w:rPr>
        <w:t xml:space="preserve"> </w:t>
      </w:r>
    </w:p>
    <w:p w:rsidR="00FE754F" w:rsidRPr="00FE754F" w:rsidRDefault="00FE754F" w:rsidP="00FE754F">
      <w:pPr>
        <w:contextualSpacing/>
        <w:jc w:val="both"/>
        <w:rPr>
          <w:rFonts w:ascii="Arial" w:hAnsi="Arial" w:cs="Arial"/>
          <w:sz w:val="22"/>
          <w:szCs w:val="22"/>
          <w:lang w:val="bg-BG"/>
        </w:rPr>
      </w:pPr>
    </w:p>
    <w:p w:rsidR="009F128F" w:rsidRPr="00FE754F" w:rsidRDefault="009F128F" w:rsidP="00FE754F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  <w:lang w:val="bg-BG"/>
        </w:rPr>
      </w:pPr>
      <w:r w:rsidRPr="00FE754F">
        <w:rPr>
          <w:rFonts w:ascii="Arial" w:hAnsi="Arial" w:cs="Arial"/>
          <w:sz w:val="22"/>
          <w:szCs w:val="22"/>
        </w:rPr>
        <w:t xml:space="preserve">Доколкото Де Ново ЕАД не е уведомено от емитента за предприемане на действия съгласно отправеното искане по т.2 по-горе, с писма от </w:t>
      </w:r>
      <w:r w:rsidR="000A5A53">
        <w:rPr>
          <w:rFonts w:ascii="Arial" w:hAnsi="Arial" w:cs="Arial"/>
          <w:sz w:val="22"/>
          <w:szCs w:val="22"/>
        </w:rPr>
        <w:t>05</w:t>
      </w:r>
      <w:r w:rsidRPr="00FE754F">
        <w:rPr>
          <w:rFonts w:ascii="Arial" w:hAnsi="Arial" w:cs="Arial"/>
          <w:sz w:val="22"/>
          <w:szCs w:val="22"/>
        </w:rPr>
        <w:t>.0</w:t>
      </w:r>
      <w:r w:rsidR="000A5A53">
        <w:rPr>
          <w:rFonts w:ascii="Arial" w:hAnsi="Arial" w:cs="Arial"/>
          <w:sz w:val="22"/>
          <w:szCs w:val="22"/>
        </w:rPr>
        <w:t>2</w:t>
      </w:r>
      <w:r w:rsidRPr="00FE754F">
        <w:rPr>
          <w:rFonts w:ascii="Arial" w:hAnsi="Arial" w:cs="Arial"/>
          <w:sz w:val="22"/>
          <w:szCs w:val="22"/>
        </w:rPr>
        <w:t>.20</w:t>
      </w:r>
      <w:r w:rsidR="000A5A53">
        <w:rPr>
          <w:rFonts w:ascii="Arial" w:hAnsi="Arial" w:cs="Arial"/>
          <w:sz w:val="22"/>
          <w:szCs w:val="22"/>
        </w:rPr>
        <w:t>20</w:t>
      </w:r>
      <w:r w:rsidRPr="00FE754F">
        <w:rPr>
          <w:rFonts w:ascii="Arial" w:hAnsi="Arial" w:cs="Arial"/>
          <w:sz w:val="22"/>
          <w:szCs w:val="22"/>
        </w:rPr>
        <w:t>г., Де Ново ЕАД е информирало облигационерите по емисия облигации ISIN BG2100026173 към дата 19.</w:t>
      </w:r>
      <w:r w:rsidR="00FE754F">
        <w:rPr>
          <w:rFonts w:ascii="Arial" w:hAnsi="Arial" w:cs="Arial"/>
          <w:sz w:val="22"/>
          <w:szCs w:val="22"/>
        </w:rPr>
        <w:t>12</w:t>
      </w:r>
      <w:r w:rsidRPr="00FE754F">
        <w:rPr>
          <w:rFonts w:ascii="Arial" w:hAnsi="Arial" w:cs="Arial"/>
          <w:sz w:val="22"/>
          <w:szCs w:val="22"/>
        </w:rPr>
        <w:t>.2019г., датата към която облигационерите по емисията имат право на лихвено плащане дължимо на 20.</w:t>
      </w:r>
      <w:r w:rsidR="00FE754F">
        <w:rPr>
          <w:rFonts w:ascii="Arial" w:hAnsi="Arial" w:cs="Arial"/>
          <w:sz w:val="22"/>
          <w:szCs w:val="22"/>
        </w:rPr>
        <w:t>12</w:t>
      </w:r>
      <w:r w:rsidRPr="00FE754F">
        <w:rPr>
          <w:rFonts w:ascii="Arial" w:hAnsi="Arial" w:cs="Arial"/>
          <w:sz w:val="22"/>
          <w:szCs w:val="22"/>
        </w:rPr>
        <w:t>.2019г., като е поскало от тях да вземат отношение по повод възникналия казус.</w:t>
      </w:r>
    </w:p>
    <w:p w:rsidR="009F128F" w:rsidRDefault="009F128F" w:rsidP="00367C97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FE754F" w:rsidRDefault="00FE754F" w:rsidP="00367C97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9F128F" w:rsidRPr="009F128F" w:rsidRDefault="009F128F" w:rsidP="00367C97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A83816" w:rsidRDefault="0060624F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2</w:t>
      </w:r>
      <w:r w:rsidR="0026335D">
        <w:rPr>
          <w:rFonts w:ascii="Arial" w:hAnsi="Arial" w:cs="Arial"/>
          <w:lang w:val="en-US"/>
        </w:rPr>
        <w:t>6</w:t>
      </w:r>
      <w:r w:rsidR="00566947" w:rsidRPr="00E36286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03</w:t>
      </w:r>
      <w:r w:rsidR="00566947" w:rsidRPr="00E36286">
        <w:rPr>
          <w:rFonts w:ascii="Arial" w:hAnsi="Arial" w:cs="Arial"/>
        </w:rPr>
        <w:t>.20</w:t>
      </w:r>
      <w:r w:rsidR="00006368">
        <w:rPr>
          <w:rFonts w:ascii="Arial" w:hAnsi="Arial" w:cs="Arial"/>
        </w:rPr>
        <w:t>20</w:t>
      </w:r>
      <w:r w:rsidR="00566947" w:rsidRPr="00E36286">
        <w:rPr>
          <w:rFonts w:ascii="Arial" w:hAnsi="Arial" w:cs="Arial"/>
        </w:rPr>
        <w:t>г., София</w:t>
      </w:r>
    </w:p>
    <w:p w:rsidR="003674D6" w:rsidRDefault="003674D6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:rsidR="00996267" w:rsidRDefault="00996267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:rsidR="000B2A05" w:rsidRDefault="000B2A05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AD7DC0" w:rsidRDefault="00AD7DC0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:rsidR="006C5330" w:rsidRPr="00E36286" w:rsidRDefault="006C5330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>За Де Ново ЕАД:</w:t>
      </w:r>
    </w:p>
    <w:p w:rsidR="006C5330" w:rsidRDefault="006C5330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:rsidR="003674D6" w:rsidRPr="00E36286" w:rsidRDefault="003674D6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:rsidR="006C5330" w:rsidRDefault="006C5330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:rsidR="006C5330" w:rsidRPr="00E36286" w:rsidRDefault="006C5330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:rsidR="006C5330" w:rsidRPr="00E36286" w:rsidRDefault="006C5330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>Симеон Петков</w:t>
      </w:r>
      <w:r w:rsidR="00566947" w:rsidRPr="00E36286">
        <w:rPr>
          <w:rFonts w:ascii="Arial" w:hAnsi="Arial" w:cs="Arial"/>
        </w:rPr>
        <w:t>:...............................</w:t>
      </w:r>
      <w:r w:rsidRPr="00E36286">
        <w:rPr>
          <w:rFonts w:ascii="Arial" w:hAnsi="Arial" w:cs="Arial"/>
        </w:rPr>
        <w:tab/>
      </w:r>
      <w:r w:rsidRPr="00E36286">
        <w:rPr>
          <w:rFonts w:ascii="Arial" w:hAnsi="Arial" w:cs="Arial"/>
        </w:rPr>
        <w:tab/>
      </w:r>
      <w:r w:rsidRPr="00E36286">
        <w:rPr>
          <w:rFonts w:ascii="Arial" w:hAnsi="Arial" w:cs="Arial"/>
        </w:rPr>
        <w:tab/>
        <w:t>Йордан Попов</w:t>
      </w:r>
      <w:r w:rsidR="00566947" w:rsidRPr="00E36286">
        <w:rPr>
          <w:rFonts w:ascii="Arial" w:hAnsi="Arial" w:cs="Arial"/>
        </w:rPr>
        <w:t>:...............................</w:t>
      </w:r>
    </w:p>
    <w:p w:rsidR="00571FD6" w:rsidRPr="00E36286" w:rsidRDefault="00566947" w:rsidP="004D1A79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ab/>
      </w:r>
      <w:r w:rsidRPr="00E36286">
        <w:rPr>
          <w:rFonts w:ascii="Arial" w:hAnsi="Arial" w:cs="Arial"/>
        </w:rPr>
        <w:tab/>
      </w:r>
      <w:r w:rsidR="00E20764">
        <w:rPr>
          <w:rFonts w:ascii="Arial" w:hAnsi="Arial" w:cs="Arial"/>
          <w:lang w:val="en-US"/>
        </w:rPr>
        <w:t xml:space="preserve">  </w:t>
      </w:r>
      <w:r w:rsidR="00B170F2">
        <w:rPr>
          <w:rFonts w:ascii="Arial" w:hAnsi="Arial" w:cs="Arial"/>
        </w:rPr>
        <w:t xml:space="preserve"> </w:t>
      </w:r>
      <w:r w:rsidRPr="00E36286">
        <w:rPr>
          <w:rFonts w:ascii="Arial" w:hAnsi="Arial" w:cs="Arial"/>
        </w:rPr>
        <w:t>/Председател на СД/</w:t>
      </w:r>
      <w:r w:rsidRPr="00E36286">
        <w:rPr>
          <w:rFonts w:ascii="Arial" w:hAnsi="Arial" w:cs="Arial"/>
        </w:rPr>
        <w:tab/>
      </w:r>
      <w:r w:rsidRPr="00E36286">
        <w:rPr>
          <w:rFonts w:ascii="Arial" w:hAnsi="Arial" w:cs="Arial"/>
        </w:rPr>
        <w:tab/>
      </w:r>
      <w:r w:rsidRPr="00E36286">
        <w:rPr>
          <w:rFonts w:ascii="Arial" w:hAnsi="Arial" w:cs="Arial"/>
        </w:rPr>
        <w:tab/>
      </w:r>
      <w:r w:rsidRPr="00E36286">
        <w:rPr>
          <w:rFonts w:ascii="Arial" w:hAnsi="Arial" w:cs="Arial"/>
        </w:rPr>
        <w:tab/>
      </w:r>
      <w:r w:rsidR="00E20764">
        <w:rPr>
          <w:rFonts w:ascii="Arial" w:hAnsi="Arial" w:cs="Arial"/>
          <w:lang w:val="en-US"/>
        </w:rPr>
        <w:t xml:space="preserve">  </w:t>
      </w:r>
      <w:r w:rsidRPr="00E36286">
        <w:rPr>
          <w:rFonts w:ascii="Arial" w:hAnsi="Arial" w:cs="Arial"/>
        </w:rPr>
        <w:t>/Изп. Директор/</w:t>
      </w:r>
    </w:p>
    <w:sectPr w:rsidR="00571FD6" w:rsidRPr="00E36286" w:rsidSect="00E561DD">
      <w:headerReference w:type="default" r:id="rId8"/>
      <w:footerReference w:type="default" r:id="rId9"/>
      <w:pgSz w:w="11909" w:h="16834" w:code="9"/>
      <w:pgMar w:top="1152" w:right="1419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20D" w:rsidRDefault="0040220D">
      <w:r>
        <w:separator/>
      </w:r>
    </w:p>
  </w:endnote>
  <w:endnote w:type="continuationSeparator" w:id="0">
    <w:p w:rsidR="0040220D" w:rsidRDefault="00402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1E" w:rsidRDefault="00E03A1E">
    <w:pPr>
      <w:pStyle w:val="a4"/>
      <w:jc w:val="right"/>
    </w:pPr>
    <w:fldSimple w:instr=" PAGE   \* MERGEFORMAT ">
      <w:r w:rsidR="00813B16">
        <w:rPr>
          <w:noProof/>
        </w:rPr>
        <w:t>1</w:t>
      </w:r>
    </w:fldSimple>
  </w:p>
  <w:p w:rsidR="00E03A1E" w:rsidRDefault="00E03A1E">
    <w:pPr>
      <w:pStyle w:val="a4"/>
      <w:rPr>
        <w:rFonts w:ascii="Arial" w:hAnsi="Arial"/>
        <w:sz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20D" w:rsidRDefault="0040220D">
      <w:r>
        <w:separator/>
      </w:r>
    </w:p>
  </w:footnote>
  <w:footnote w:type="continuationSeparator" w:id="0">
    <w:p w:rsidR="0040220D" w:rsidRDefault="00402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1E" w:rsidRDefault="00813B16">
    <w:pPr>
      <w:pStyle w:val="a3"/>
    </w:pPr>
    <w:r>
      <w:rPr>
        <w:noProof/>
        <w:lang w:val="bg-BG" w:eastAsia="bg-BG"/>
      </w:rPr>
      <w:drawing>
        <wp:inline distT="0" distB="0" distL="0" distR="0">
          <wp:extent cx="1451610" cy="579120"/>
          <wp:effectExtent l="19050" t="0" r="0" b="0"/>
          <wp:docPr id="1" name="Картина 1" descr="logo_de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en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8A1"/>
    <w:multiLevelType w:val="hybridMultilevel"/>
    <w:tmpl w:val="ED9C4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655E8"/>
    <w:multiLevelType w:val="hybridMultilevel"/>
    <w:tmpl w:val="F0F4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112D9"/>
    <w:multiLevelType w:val="multilevel"/>
    <w:tmpl w:val="0402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69E3012F"/>
    <w:multiLevelType w:val="hybridMultilevel"/>
    <w:tmpl w:val="49001BD8"/>
    <w:lvl w:ilvl="0" w:tplc="0D5006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37F53"/>
    <w:rsid w:val="00001DAE"/>
    <w:rsid w:val="000025B8"/>
    <w:rsid w:val="00002B66"/>
    <w:rsid w:val="000060C2"/>
    <w:rsid w:val="00006368"/>
    <w:rsid w:val="00013ACF"/>
    <w:rsid w:val="00015D70"/>
    <w:rsid w:val="000200FE"/>
    <w:rsid w:val="00020416"/>
    <w:rsid w:val="00020E2A"/>
    <w:rsid w:val="0002294E"/>
    <w:rsid w:val="00034DE2"/>
    <w:rsid w:val="00035173"/>
    <w:rsid w:val="000425C4"/>
    <w:rsid w:val="00045904"/>
    <w:rsid w:val="000479D5"/>
    <w:rsid w:val="000502D6"/>
    <w:rsid w:val="00051095"/>
    <w:rsid w:val="00052876"/>
    <w:rsid w:val="00053678"/>
    <w:rsid w:val="00053926"/>
    <w:rsid w:val="0005661C"/>
    <w:rsid w:val="000568B3"/>
    <w:rsid w:val="0005754B"/>
    <w:rsid w:val="00060485"/>
    <w:rsid w:val="000625FF"/>
    <w:rsid w:val="00062F98"/>
    <w:rsid w:val="000640B9"/>
    <w:rsid w:val="0006588F"/>
    <w:rsid w:val="00067EC2"/>
    <w:rsid w:val="000805B7"/>
    <w:rsid w:val="000846F9"/>
    <w:rsid w:val="00084F2A"/>
    <w:rsid w:val="0009236B"/>
    <w:rsid w:val="000942B9"/>
    <w:rsid w:val="00096EA4"/>
    <w:rsid w:val="000A0694"/>
    <w:rsid w:val="000A2071"/>
    <w:rsid w:val="000A5A53"/>
    <w:rsid w:val="000A7BC1"/>
    <w:rsid w:val="000B2476"/>
    <w:rsid w:val="000B2A05"/>
    <w:rsid w:val="000B79AF"/>
    <w:rsid w:val="000C515D"/>
    <w:rsid w:val="000C608A"/>
    <w:rsid w:val="000D2A82"/>
    <w:rsid w:val="000D4397"/>
    <w:rsid w:val="000D4C70"/>
    <w:rsid w:val="000D5C84"/>
    <w:rsid w:val="000D6EA4"/>
    <w:rsid w:val="000D7CAC"/>
    <w:rsid w:val="000E30DD"/>
    <w:rsid w:val="000F23B7"/>
    <w:rsid w:val="000F4A62"/>
    <w:rsid w:val="00103B7A"/>
    <w:rsid w:val="0010611F"/>
    <w:rsid w:val="00106527"/>
    <w:rsid w:val="00111F47"/>
    <w:rsid w:val="00114773"/>
    <w:rsid w:val="00121949"/>
    <w:rsid w:val="0012242D"/>
    <w:rsid w:val="00123C68"/>
    <w:rsid w:val="00124354"/>
    <w:rsid w:val="00125805"/>
    <w:rsid w:val="00131FCD"/>
    <w:rsid w:val="00133789"/>
    <w:rsid w:val="00133A9A"/>
    <w:rsid w:val="0013562C"/>
    <w:rsid w:val="00136287"/>
    <w:rsid w:val="00141791"/>
    <w:rsid w:val="00144A03"/>
    <w:rsid w:val="00147A7E"/>
    <w:rsid w:val="00152513"/>
    <w:rsid w:val="00152907"/>
    <w:rsid w:val="00152A54"/>
    <w:rsid w:val="001549AE"/>
    <w:rsid w:val="00155381"/>
    <w:rsid w:val="00155C37"/>
    <w:rsid w:val="001563BB"/>
    <w:rsid w:val="00156C74"/>
    <w:rsid w:val="001655D2"/>
    <w:rsid w:val="00173BE9"/>
    <w:rsid w:val="00174059"/>
    <w:rsid w:val="0017480E"/>
    <w:rsid w:val="00186019"/>
    <w:rsid w:val="001874C6"/>
    <w:rsid w:val="00187ACA"/>
    <w:rsid w:val="00190A23"/>
    <w:rsid w:val="00197C8D"/>
    <w:rsid w:val="001A5307"/>
    <w:rsid w:val="001A79B4"/>
    <w:rsid w:val="001B2B34"/>
    <w:rsid w:val="001B3382"/>
    <w:rsid w:val="001C06FC"/>
    <w:rsid w:val="001C0D70"/>
    <w:rsid w:val="001C252C"/>
    <w:rsid w:val="001C44C9"/>
    <w:rsid w:val="001C6EF2"/>
    <w:rsid w:val="001D6451"/>
    <w:rsid w:val="001E264E"/>
    <w:rsid w:val="001E2F57"/>
    <w:rsid w:val="001F09A6"/>
    <w:rsid w:val="001F3271"/>
    <w:rsid w:val="001F3600"/>
    <w:rsid w:val="001F5FF8"/>
    <w:rsid w:val="001F606B"/>
    <w:rsid w:val="001F6D51"/>
    <w:rsid w:val="002002F8"/>
    <w:rsid w:val="00210299"/>
    <w:rsid w:val="00211DA9"/>
    <w:rsid w:val="00212319"/>
    <w:rsid w:val="00212E8C"/>
    <w:rsid w:val="00231006"/>
    <w:rsid w:val="002311AC"/>
    <w:rsid w:val="00233098"/>
    <w:rsid w:val="00246CCE"/>
    <w:rsid w:val="00251CBA"/>
    <w:rsid w:val="00253CEF"/>
    <w:rsid w:val="00255519"/>
    <w:rsid w:val="002577FA"/>
    <w:rsid w:val="00257D3B"/>
    <w:rsid w:val="00261E04"/>
    <w:rsid w:val="0026335D"/>
    <w:rsid w:val="0026524D"/>
    <w:rsid w:val="00267CC6"/>
    <w:rsid w:val="00272B07"/>
    <w:rsid w:val="00273B14"/>
    <w:rsid w:val="00277E21"/>
    <w:rsid w:val="0028160B"/>
    <w:rsid w:val="00281B8A"/>
    <w:rsid w:val="00282C65"/>
    <w:rsid w:val="00285000"/>
    <w:rsid w:val="00287343"/>
    <w:rsid w:val="00287EB6"/>
    <w:rsid w:val="002950A6"/>
    <w:rsid w:val="00295F01"/>
    <w:rsid w:val="002A0AE9"/>
    <w:rsid w:val="002A75F7"/>
    <w:rsid w:val="002B2B5A"/>
    <w:rsid w:val="002B3E8F"/>
    <w:rsid w:val="002B761C"/>
    <w:rsid w:val="002C3801"/>
    <w:rsid w:val="002D0B5D"/>
    <w:rsid w:val="002D101B"/>
    <w:rsid w:val="002D49D0"/>
    <w:rsid w:val="002D6C66"/>
    <w:rsid w:val="002D7BA9"/>
    <w:rsid w:val="002E1EC8"/>
    <w:rsid w:val="002F56B5"/>
    <w:rsid w:val="002F7B99"/>
    <w:rsid w:val="0030113D"/>
    <w:rsid w:val="00316AA6"/>
    <w:rsid w:val="003170E9"/>
    <w:rsid w:val="003172F2"/>
    <w:rsid w:val="00321059"/>
    <w:rsid w:val="00321E36"/>
    <w:rsid w:val="00323BB2"/>
    <w:rsid w:val="00330683"/>
    <w:rsid w:val="0033367C"/>
    <w:rsid w:val="00342B53"/>
    <w:rsid w:val="003445E7"/>
    <w:rsid w:val="00344AF9"/>
    <w:rsid w:val="00344D35"/>
    <w:rsid w:val="003464A0"/>
    <w:rsid w:val="003476B2"/>
    <w:rsid w:val="00351AE9"/>
    <w:rsid w:val="00353562"/>
    <w:rsid w:val="003535AB"/>
    <w:rsid w:val="003544B8"/>
    <w:rsid w:val="003550E7"/>
    <w:rsid w:val="003560B6"/>
    <w:rsid w:val="0036033A"/>
    <w:rsid w:val="00365B69"/>
    <w:rsid w:val="00366F4E"/>
    <w:rsid w:val="0036745D"/>
    <w:rsid w:val="003674D6"/>
    <w:rsid w:val="00367C97"/>
    <w:rsid w:val="00370C5B"/>
    <w:rsid w:val="00373E4B"/>
    <w:rsid w:val="00381EE9"/>
    <w:rsid w:val="00382E6C"/>
    <w:rsid w:val="003960BA"/>
    <w:rsid w:val="00397980"/>
    <w:rsid w:val="003A2363"/>
    <w:rsid w:val="003A2E2A"/>
    <w:rsid w:val="003B3C7E"/>
    <w:rsid w:val="003B3FD9"/>
    <w:rsid w:val="003B5766"/>
    <w:rsid w:val="003B673C"/>
    <w:rsid w:val="003C12FB"/>
    <w:rsid w:val="003C39B4"/>
    <w:rsid w:val="003C4E0A"/>
    <w:rsid w:val="003C7B1B"/>
    <w:rsid w:val="003D0729"/>
    <w:rsid w:val="003D244D"/>
    <w:rsid w:val="003D28BE"/>
    <w:rsid w:val="003D3433"/>
    <w:rsid w:val="003E1FB5"/>
    <w:rsid w:val="003F2590"/>
    <w:rsid w:val="003F7B1A"/>
    <w:rsid w:val="00401651"/>
    <w:rsid w:val="0040220D"/>
    <w:rsid w:val="0040262C"/>
    <w:rsid w:val="00402F78"/>
    <w:rsid w:val="0040371B"/>
    <w:rsid w:val="00405436"/>
    <w:rsid w:val="0040656C"/>
    <w:rsid w:val="00412F3F"/>
    <w:rsid w:val="004137DD"/>
    <w:rsid w:val="00422FB1"/>
    <w:rsid w:val="004233BD"/>
    <w:rsid w:val="00425846"/>
    <w:rsid w:val="0043286D"/>
    <w:rsid w:val="00432D79"/>
    <w:rsid w:val="004432DE"/>
    <w:rsid w:val="0044410F"/>
    <w:rsid w:val="004445B3"/>
    <w:rsid w:val="004452F5"/>
    <w:rsid w:val="004463F2"/>
    <w:rsid w:val="00451CD2"/>
    <w:rsid w:val="00451FC6"/>
    <w:rsid w:val="004540FD"/>
    <w:rsid w:val="00454B14"/>
    <w:rsid w:val="004557F9"/>
    <w:rsid w:val="00455F2D"/>
    <w:rsid w:val="00460928"/>
    <w:rsid w:val="00463111"/>
    <w:rsid w:val="0046523A"/>
    <w:rsid w:val="0046620F"/>
    <w:rsid w:val="00471F68"/>
    <w:rsid w:val="004736F2"/>
    <w:rsid w:val="004739B0"/>
    <w:rsid w:val="00473C9A"/>
    <w:rsid w:val="00476C49"/>
    <w:rsid w:val="00484ABC"/>
    <w:rsid w:val="00493E1E"/>
    <w:rsid w:val="00496341"/>
    <w:rsid w:val="004A39F2"/>
    <w:rsid w:val="004A5D45"/>
    <w:rsid w:val="004A5F14"/>
    <w:rsid w:val="004A7B41"/>
    <w:rsid w:val="004B19BE"/>
    <w:rsid w:val="004C31C2"/>
    <w:rsid w:val="004C3951"/>
    <w:rsid w:val="004C45F6"/>
    <w:rsid w:val="004C52F1"/>
    <w:rsid w:val="004D1A79"/>
    <w:rsid w:val="004D3B22"/>
    <w:rsid w:val="004D7AB8"/>
    <w:rsid w:val="004E0A0B"/>
    <w:rsid w:val="004E3926"/>
    <w:rsid w:val="004E5EE3"/>
    <w:rsid w:val="004F66F5"/>
    <w:rsid w:val="0050060B"/>
    <w:rsid w:val="00502E37"/>
    <w:rsid w:val="005035F4"/>
    <w:rsid w:val="0050494D"/>
    <w:rsid w:val="00510A4F"/>
    <w:rsid w:val="005141C6"/>
    <w:rsid w:val="00516354"/>
    <w:rsid w:val="00520842"/>
    <w:rsid w:val="0052180E"/>
    <w:rsid w:val="005267D5"/>
    <w:rsid w:val="00533399"/>
    <w:rsid w:val="005416A4"/>
    <w:rsid w:val="0054426A"/>
    <w:rsid w:val="0054533A"/>
    <w:rsid w:val="00555133"/>
    <w:rsid w:val="005555D8"/>
    <w:rsid w:val="00556E84"/>
    <w:rsid w:val="00563705"/>
    <w:rsid w:val="00566947"/>
    <w:rsid w:val="005719AB"/>
    <w:rsid w:val="00571FD6"/>
    <w:rsid w:val="00572B80"/>
    <w:rsid w:val="005779D9"/>
    <w:rsid w:val="005809AF"/>
    <w:rsid w:val="00580B47"/>
    <w:rsid w:val="00583262"/>
    <w:rsid w:val="005866FE"/>
    <w:rsid w:val="00591950"/>
    <w:rsid w:val="00592363"/>
    <w:rsid w:val="00593BBA"/>
    <w:rsid w:val="005A06B8"/>
    <w:rsid w:val="005A7B81"/>
    <w:rsid w:val="005B0101"/>
    <w:rsid w:val="005B3E71"/>
    <w:rsid w:val="005B42E7"/>
    <w:rsid w:val="005B659D"/>
    <w:rsid w:val="005B65BF"/>
    <w:rsid w:val="005C79C6"/>
    <w:rsid w:val="005D2378"/>
    <w:rsid w:val="005D38AF"/>
    <w:rsid w:val="005D411C"/>
    <w:rsid w:val="005D552F"/>
    <w:rsid w:val="005D6E18"/>
    <w:rsid w:val="005D7709"/>
    <w:rsid w:val="005E301C"/>
    <w:rsid w:val="005E612E"/>
    <w:rsid w:val="005E76FB"/>
    <w:rsid w:val="005F09A4"/>
    <w:rsid w:val="005F22AC"/>
    <w:rsid w:val="00602E90"/>
    <w:rsid w:val="006048B7"/>
    <w:rsid w:val="0060624F"/>
    <w:rsid w:val="006127A6"/>
    <w:rsid w:val="00614C28"/>
    <w:rsid w:val="00620DD5"/>
    <w:rsid w:val="00627670"/>
    <w:rsid w:val="00627CBD"/>
    <w:rsid w:val="00627DD9"/>
    <w:rsid w:val="00634CE8"/>
    <w:rsid w:val="00636920"/>
    <w:rsid w:val="0064036A"/>
    <w:rsid w:val="00641139"/>
    <w:rsid w:val="006439D4"/>
    <w:rsid w:val="0065279A"/>
    <w:rsid w:val="00655F84"/>
    <w:rsid w:val="00664872"/>
    <w:rsid w:val="00677878"/>
    <w:rsid w:val="00677EAB"/>
    <w:rsid w:val="006820C4"/>
    <w:rsid w:val="006820D2"/>
    <w:rsid w:val="006830B3"/>
    <w:rsid w:val="00683AFE"/>
    <w:rsid w:val="0068487A"/>
    <w:rsid w:val="00687B91"/>
    <w:rsid w:val="00691151"/>
    <w:rsid w:val="0069166C"/>
    <w:rsid w:val="00693694"/>
    <w:rsid w:val="0069628F"/>
    <w:rsid w:val="006A2313"/>
    <w:rsid w:val="006A5603"/>
    <w:rsid w:val="006A6756"/>
    <w:rsid w:val="006B3DCC"/>
    <w:rsid w:val="006B58C0"/>
    <w:rsid w:val="006B6BF6"/>
    <w:rsid w:val="006C5330"/>
    <w:rsid w:val="006D0237"/>
    <w:rsid w:val="006D04D4"/>
    <w:rsid w:val="006D37FD"/>
    <w:rsid w:val="006D616F"/>
    <w:rsid w:val="006D7159"/>
    <w:rsid w:val="006D72AC"/>
    <w:rsid w:val="006E2EF6"/>
    <w:rsid w:val="006E7659"/>
    <w:rsid w:val="006E7FD5"/>
    <w:rsid w:val="006F3643"/>
    <w:rsid w:val="006F3D5A"/>
    <w:rsid w:val="006F5EC8"/>
    <w:rsid w:val="00700276"/>
    <w:rsid w:val="00701066"/>
    <w:rsid w:val="00712B5F"/>
    <w:rsid w:val="00713705"/>
    <w:rsid w:val="007137DA"/>
    <w:rsid w:val="00716FB5"/>
    <w:rsid w:val="007170E1"/>
    <w:rsid w:val="00722293"/>
    <w:rsid w:val="007243EE"/>
    <w:rsid w:val="00724C42"/>
    <w:rsid w:val="00726F1B"/>
    <w:rsid w:val="00736DD4"/>
    <w:rsid w:val="00737273"/>
    <w:rsid w:val="007403D3"/>
    <w:rsid w:val="0074731D"/>
    <w:rsid w:val="00752AE9"/>
    <w:rsid w:val="007572EB"/>
    <w:rsid w:val="00760D08"/>
    <w:rsid w:val="00765B6E"/>
    <w:rsid w:val="00775195"/>
    <w:rsid w:val="00776FDD"/>
    <w:rsid w:val="00780738"/>
    <w:rsid w:val="00785613"/>
    <w:rsid w:val="007861E3"/>
    <w:rsid w:val="00794A0F"/>
    <w:rsid w:val="00797945"/>
    <w:rsid w:val="00797E04"/>
    <w:rsid w:val="007A4BD3"/>
    <w:rsid w:val="007B0CD0"/>
    <w:rsid w:val="007C2371"/>
    <w:rsid w:val="007D07D3"/>
    <w:rsid w:val="007D0FF3"/>
    <w:rsid w:val="007D21E6"/>
    <w:rsid w:val="007D2584"/>
    <w:rsid w:val="007D4BD9"/>
    <w:rsid w:val="007D7056"/>
    <w:rsid w:val="007E0C44"/>
    <w:rsid w:val="007E459F"/>
    <w:rsid w:val="007E753F"/>
    <w:rsid w:val="007F0485"/>
    <w:rsid w:val="007F04C3"/>
    <w:rsid w:val="007F22CA"/>
    <w:rsid w:val="007F7291"/>
    <w:rsid w:val="00800B73"/>
    <w:rsid w:val="008015C0"/>
    <w:rsid w:val="008031FB"/>
    <w:rsid w:val="00803C84"/>
    <w:rsid w:val="00807E15"/>
    <w:rsid w:val="00813B16"/>
    <w:rsid w:val="008151D8"/>
    <w:rsid w:val="00816032"/>
    <w:rsid w:val="008173AB"/>
    <w:rsid w:val="00820AA1"/>
    <w:rsid w:val="00822203"/>
    <w:rsid w:val="008233A8"/>
    <w:rsid w:val="00831829"/>
    <w:rsid w:val="00835076"/>
    <w:rsid w:val="00842331"/>
    <w:rsid w:val="00842A2C"/>
    <w:rsid w:val="00842E32"/>
    <w:rsid w:val="008513FE"/>
    <w:rsid w:val="00851D97"/>
    <w:rsid w:val="00852C0E"/>
    <w:rsid w:val="0085363A"/>
    <w:rsid w:val="00855CB0"/>
    <w:rsid w:val="00857ACA"/>
    <w:rsid w:val="008613A9"/>
    <w:rsid w:val="00862511"/>
    <w:rsid w:val="00880885"/>
    <w:rsid w:val="00881420"/>
    <w:rsid w:val="00884A91"/>
    <w:rsid w:val="008853EF"/>
    <w:rsid w:val="008864A0"/>
    <w:rsid w:val="0089244A"/>
    <w:rsid w:val="00895BC9"/>
    <w:rsid w:val="008963F6"/>
    <w:rsid w:val="00897160"/>
    <w:rsid w:val="008A4268"/>
    <w:rsid w:val="008A7F7F"/>
    <w:rsid w:val="008B4E84"/>
    <w:rsid w:val="008B7069"/>
    <w:rsid w:val="008C1436"/>
    <w:rsid w:val="008C6F5B"/>
    <w:rsid w:val="008D0EDE"/>
    <w:rsid w:val="008D166A"/>
    <w:rsid w:val="008D2479"/>
    <w:rsid w:val="008E586F"/>
    <w:rsid w:val="008F11DD"/>
    <w:rsid w:val="008F2279"/>
    <w:rsid w:val="008F2F3A"/>
    <w:rsid w:val="008F3235"/>
    <w:rsid w:val="008F70F5"/>
    <w:rsid w:val="00901DCC"/>
    <w:rsid w:val="009027DC"/>
    <w:rsid w:val="00903F4C"/>
    <w:rsid w:val="009072C7"/>
    <w:rsid w:val="0090783B"/>
    <w:rsid w:val="00920977"/>
    <w:rsid w:val="009256E2"/>
    <w:rsid w:val="00926DEF"/>
    <w:rsid w:val="00932D81"/>
    <w:rsid w:val="009377B6"/>
    <w:rsid w:val="0094038B"/>
    <w:rsid w:val="00940D06"/>
    <w:rsid w:val="00941157"/>
    <w:rsid w:val="009416CD"/>
    <w:rsid w:val="00942C11"/>
    <w:rsid w:val="009458BF"/>
    <w:rsid w:val="00950976"/>
    <w:rsid w:val="00951421"/>
    <w:rsid w:val="009529B5"/>
    <w:rsid w:val="00954A65"/>
    <w:rsid w:val="00955142"/>
    <w:rsid w:val="009561B9"/>
    <w:rsid w:val="00972E14"/>
    <w:rsid w:val="009734D2"/>
    <w:rsid w:val="009745DC"/>
    <w:rsid w:val="00976A8C"/>
    <w:rsid w:val="00976E9E"/>
    <w:rsid w:val="00977BE6"/>
    <w:rsid w:val="009831E2"/>
    <w:rsid w:val="00986158"/>
    <w:rsid w:val="009929E1"/>
    <w:rsid w:val="00996267"/>
    <w:rsid w:val="00997329"/>
    <w:rsid w:val="00997798"/>
    <w:rsid w:val="009A081A"/>
    <w:rsid w:val="009A26F8"/>
    <w:rsid w:val="009B19CC"/>
    <w:rsid w:val="009B27E9"/>
    <w:rsid w:val="009B4F20"/>
    <w:rsid w:val="009C62A0"/>
    <w:rsid w:val="009D063A"/>
    <w:rsid w:val="009D1F59"/>
    <w:rsid w:val="009D44AD"/>
    <w:rsid w:val="009D6E9E"/>
    <w:rsid w:val="009D7A61"/>
    <w:rsid w:val="009E1DCB"/>
    <w:rsid w:val="009E293A"/>
    <w:rsid w:val="009E5050"/>
    <w:rsid w:val="009E5C59"/>
    <w:rsid w:val="009E681C"/>
    <w:rsid w:val="009E6F07"/>
    <w:rsid w:val="009E7DDC"/>
    <w:rsid w:val="009F128F"/>
    <w:rsid w:val="009F3EB1"/>
    <w:rsid w:val="00A0754C"/>
    <w:rsid w:val="00A11013"/>
    <w:rsid w:val="00A1278F"/>
    <w:rsid w:val="00A14246"/>
    <w:rsid w:val="00A144C9"/>
    <w:rsid w:val="00A17D1B"/>
    <w:rsid w:val="00A17FE2"/>
    <w:rsid w:val="00A20003"/>
    <w:rsid w:val="00A24859"/>
    <w:rsid w:val="00A27CAA"/>
    <w:rsid w:val="00A414E2"/>
    <w:rsid w:val="00A51A10"/>
    <w:rsid w:val="00A51D57"/>
    <w:rsid w:val="00A548DF"/>
    <w:rsid w:val="00A61C53"/>
    <w:rsid w:val="00A65AD0"/>
    <w:rsid w:val="00A674A0"/>
    <w:rsid w:val="00A67625"/>
    <w:rsid w:val="00A67C2F"/>
    <w:rsid w:val="00A72722"/>
    <w:rsid w:val="00A745E9"/>
    <w:rsid w:val="00A759B2"/>
    <w:rsid w:val="00A83191"/>
    <w:rsid w:val="00A83816"/>
    <w:rsid w:val="00A83DB8"/>
    <w:rsid w:val="00A85B0B"/>
    <w:rsid w:val="00A874A6"/>
    <w:rsid w:val="00A87F2C"/>
    <w:rsid w:val="00A96B5C"/>
    <w:rsid w:val="00A96F6F"/>
    <w:rsid w:val="00AA2052"/>
    <w:rsid w:val="00AA2B95"/>
    <w:rsid w:val="00AB254F"/>
    <w:rsid w:val="00AB345D"/>
    <w:rsid w:val="00AB6365"/>
    <w:rsid w:val="00AC27A2"/>
    <w:rsid w:val="00AC40AD"/>
    <w:rsid w:val="00AC7DD6"/>
    <w:rsid w:val="00AD2E24"/>
    <w:rsid w:val="00AD5680"/>
    <w:rsid w:val="00AD67DE"/>
    <w:rsid w:val="00AD7DC0"/>
    <w:rsid w:val="00AE26A8"/>
    <w:rsid w:val="00AE3C79"/>
    <w:rsid w:val="00AE5580"/>
    <w:rsid w:val="00AE700E"/>
    <w:rsid w:val="00AF02C8"/>
    <w:rsid w:val="00AF0A10"/>
    <w:rsid w:val="00AF6352"/>
    <w:rsid w:val="00B063BB"/>
    <w:rsid w:val="00B1013B"/>
    <w:rsid w:val="00B1080C"/>
    <w:rsid w:val="00B109F2"/>
    <w:rsid w:val="00B10DD2"/>
    <w:rsid w:val="00B11094"/>
    <w:rsid w:val="00B12716"/>
    <w:rsid w:val="00B13F68"/>
    <w:rsid w:val="00B155EE"/>
    <w:rsid w:val="00B157E2"/>
    <w:rsid w:val="00B160FB"/>
    <w:rsid w:val="00B170F2"/>
    <w:rsid w:val="00B20BFA"/>
    <w:rsid w:val="00B26864"/>
    <w:rsid w:val="00B323DD"/>
    <w:rsid w:val="00B32CE3"/>
    <w:rsid w:val="00B337CD"/>
    <w:rsid w:val="00B3418B"/>
    <w:rsid w:val="00B347A5"/>
    <w:rsid w:val="00B34F1C"/>
    <w:rsid w:val="00B3778D"/>
    <w:rsid w:val="00B37F53"/>
    <w:rsid w:val="00B513F5"/>
    <w:rsid w:val="00B5151F"/>
    <w:rsid w:val="00B530FF"/>
    <w:rsid w:val="00B53D48"/>
    <w:rsid w:val="00B567B9"/>
    <w:rsid w:val="00B572E2"/>
    <w:rsid w:val="00B62C96"/>
    <w:rsid w:val="00B665DE"/>
    <w:rsid w:val="00B673F8"/>
    <w:rsid w:val="00B67F15"/>
    <w:rsid w:val="00B713FA"/>
    <w:rsid w:val="00B72BDB"/>
    <w:rsid w:val="00B75B0E"/>
    <w:rsid w:val="00B8155E"/>
    <w:rsid w:val="00B82207"/>
    <w:rsid w:val="00B8410A"/>
    <w:rsid w:val="00B941D1"/>
    <w:rsid w:val="00B94E35"/>
    <w:rsid w:val="00B95543"/>
    <w:rsid w:val="00B958E1"/>
    <w:rsid w:val="00B97829"/>
    <w:rsid w:val="00BA0981"/>
    <w:rsid w:val="00BA7AD0"/>
    <w:rsid w:val="00BB02E9"/>
    <w:rsid w:val="00BB0865"/>
    <w:rsid w:val="00BB52D6"/>
    <w:rsid w:val="00BB6D14"/>
    <w:rsid w:val="00BC0B33"/>
    <w:rsid w:val="00BC1DC4"/>
    <w:rsid w:val="00BC23CB"/>
    <w:rsid w:val="00BC3CE3"/>
    <w:rsid w:val="00BC7850"/>
    <w:rsid w:val="00BD0737"/>
    <w:rsid w:val="00BD18CA"/>
    <w:rsid w:val="00BD2666"/>
    <w:rsid w:val="00BE0709"/>
    <w:rsid w:val="00BE08FA"/>
    <w:rsid w:val="00BE090F"/>
    <w:rsid w:val="00BE2B79"/>
    <w:rsid w:val="00BE4058"/>
    <w:rsid w:val="00BE4C7F"/>
    <w:rsid w:val="00BE512E"/>
    <w:rsid w:val="00BE61D6"/>
    <w:rsid w:val="00BF1F0F"/>
    <w:rsid w:val="00BF3E34"/>
    <w:rsid w:val="00C028E8"/>
    <w:rsid w:val="00C047FD"/>
    <w:rsid w:val="00C15B73"/>
    <w:rsid w:val="00C17DE7"/>
    <w:rsid w:val="00C25BA8"/>
    <w:rsid w:val="00C34009"/>
    <w:rsid w:val="00C350DE"/>
    <w:rsid w:val="00C42A9F"/>
    <w:rsid w:val="00C449B2"/>
    <w:rsid w:val="00C46A61"/>
    <w:rsid w:val="00C504B5"/>
    <w:rsid w:val="00C51793"/>
    <w:rsid w:val="00C544FC"/>
    <w:rsid w:val="00C54562"/>
    <w:rsid w:val="00C56640"/>
    <w:rsid w:val="00C635C6"/>
    <w:rsid w:val="00C638F0"/>
    <w:rsid w:val="00C6522D"/>
    <w:rsid w:val="00C72125"/>
    <w:rsid w:val="00C77AD9"/>
    <w:rsid w:val="00C85587"/>
    <w:rsid w:val="00C9039C"/>
    <w:rsid w:val="00C9592A"/>
    <w:rsid w:val="00C97E61"/>
    <w:rsid w:val="00C97F15"/>
    <w:rsid w:val="00CA19C0"/>
    <w:rsid w:val="00CA3A2E"/>
    <w:rsid w:val="00CA5E8D"/>
    <w:rsid w:val="00CA6DA2"/>
    <w:rsid w:val="00CA7246"/>
    <w:rsid w:val="00CB0CF2"/>
    <w:rsid w:val="00CB3024"/>
    <w:rsid w:val="00CB735A"/>
    <w:rsid w:val="00CC3777"/>
    <w:rsid w:val="00CC63C2"/>
    <w:rsid w:val="00CD082E"/>
    <w:rsid w:val="00CD097E"/>
    <w:rsid w:val="00CD23E5"/>
    <w:rsid w:val="00CD4811"/>
    <w:rsid w:val="00CD6B9D"/>
    <w:rsid w:val="00CD7520"/>
    <w:rsid w:val="00CD7D4E"/>
    <w:rsid w:val="00CE18BD"/>
    <w:rsid w:val="00CE1904"/>
    <w:rsid w:val="00CE1DD1"/>
    <w:rsid w:val="00CE2FE6"/>
    <w:rsid w:val="00CF02DD"/>
    <w:rsid w:val="00CF3A9A"/>
    <w:rsid w:val="00CF5376"/>
    <w:rsid w:val="00CF59E6"/>
    <w:rsid w:val="00D04A83"/>
    <w:rsid w:val="00D12AB4"/>
    <w:rsid w:val="00D1352A"/>
    <w:rsid w:val="00D13E50"/>
    <w:rsid w:val="00D169CF"/>
    <w:rsid w:val="00D210A0"/>
    <w:rsid w:val="00D34963"/>
    <w:rsid w:val="00D40892"/>
    <w:rsid w:val="00D42B80"/>
    <w:rsid w:val="00D43DA1"/>
    <w:rsid w:val="00D43FA2"/>
    <w:rsid w:val="00D56295"/>
    <w:rsid w:val="00D61109"/>
    <w:rsid w:val="00D6121E"/>
    <w:rsid w:val="00D6699A"/>
    <w:rsid w:val="00D7012F"/>
    <w:rsid w:val="00D806C6"/>
    <w:rsid w:val="00D81C4E"/>
    <w:rsid w:val="00D83FE8"/>
    <w:rsid w:val="00D84582"/>
    <w:rsid w:val="00D900F3"/>
    <w:rsid w:val="00D90D0A"/>
    <w:rsid w:val="00D9175A"/>
    <w:rsid w:val="00D92CB2"/>
    <w:rsid w:val="00D939FD"/>
    <w:rsid w:val="00D96F64"/>
    <w:rsid w:val="00D9764F"/>
    <w:rsid w:val="00DA3E8A"/>
    <w:rsid w:val="00DA4097"/>
    <w:rsid w:val="00DA4AAC"/>
    <w:rsid w:val="00DA51CD"/>
    <w:rsid w:val="00DA525C"/>
    <w:rsid w:val="00DA5C30"/>
    <w:rsid w:val="00DA7961"/>
    <w:rsid w:val="00DA796F"/>
    <w:rsid w:val="00DB0AD8"/>
    <w:rsid w:val="00DC05A5"/>
    <w:rsid w:val="00DC214B"/>
    <w:rsid w:val="00DC5FD1"/>
    <w:rsid w:val="00DC6FBA"/>
    <w:rsid w:val="00DC70E5"/>
    <w:rsid w:val="00DD0CDD"/>
    <w:rsid w:val="00DD120C"/>
    <w:rsid w:val="00DD2E62"/>
    <w:rsid w:val="00DE04C0"/>
    <w:rsid w:val="00DE0D13"/>
    <w:rsid w:val="00DE4E81"/>
    <w:rsid w:val="00DE5F3B"/>
    <w:rsid w:val="00DF304E"/>
    <w:rsid w:val="00E00A33"/>
    <w:rsid w:val="00E016E2"/>
    <w:rsid w:val="00E02DF3"/>
    <w:rsid w:val="00E035F5"/>
    <w:rsid w:val="00E03A1E"/>
    <w:rsid w:val="00E046D8"/>
    <w:rsid w:val="00E06611"/>
    <w:rsid w:val="00E133C8"/>
    <w:rsid w:val="00E171B8"/>
    <w:rsid w:val="00E178BF"/>
    <w:rsid w:val="00E20764"/>
    <w:rsid w:val="00E30A30"/>
    <w:rsid w:val="00E30DB1"/>
    <w:rsid w:val="00E3296D"/>
    <w:rsid w:val="00E32D18"/>
    <w:rsid w:val="00E34011"/>
    <w:rsid w:val="00E36286"/>
    <w:rsid w:val="00E36948"/>
    <w:rsid w:val="00E37775"/>
    <w:rsid w:val="00E42C61"/>
    <w:rsid w:val="00E43165"/>
    <w:rsid w:val="00E434FF"/>
    <w:rsid w:val="00E55FF3"/>
    <w:rsid w:val="00E561DD"/>
    <w:rsid w:val="00E569F9"/>
    <w:rsid w:val="00E626A6"/>
    <w:rsid w:val="00E657E9"/>
    <w:rsid w:val="00E71903"/>
    <w:rsid w:val="00E71CCD"/>
    <w:rsid w:val="00E73AD6"/>
    <w:rsid w:val="00E74F21"/>
    <w:rsid w:val="00E77579"/>
    <w:rsid w:val="00E8087D"/>
    <w:rsid w:val="00E81B63"/>
    <w:rsid w:val="00E9151C"/>
    <w:rsid w:val="00E94028"/>
    <w:rsid w:val="00E95A07"/>
    <w:rsid w:val="00EA31E9"/>
    <w:rsid w:val="00EA6527"/>
    <w:rsid w:val="00EA7769"/>
    <w:rsid w:val="00EB2D19"/>
    <w:rsid w:val="00EB31D4"/>
    <w:rsid w:val="00EC02CC"/>
    <w:rsid w:val="00EC1400"/>
    <w:rsid w:val="00EC3AF1"/>
    <w:rsid w:val="00EC564D"/>
    <w:rsid w:val="00EC736E"/>
    <w:rsid w:val="00ED53EA"/>
    <w:rsid w:val="00ED7B9B"/>
    <w:rsid w:val="00EE045A"/>
    <w:rsid w:val="00EE2DB7"/>
    <w:rsid w:val="00EE419A"/>
    <w:rsid w:val="00EF6DF0"/>
    <w:rsid w:val="00F04DA8"/>
    <w:rsid w:val="00F1011B"/>
    <w:rsid w:val="00F150A2"/>
    <w:rsid w:val="00F17F40"/>
    <w:rsid w:val="00F22BB4"/>
    <w:rsid w:val="00F30714"/>
    <w:rsid w:val="00F37EDD"/>
    <w:rsid w:val="00F412F4"/>
    <w:rsid w:val="00F505D1"/>
    <w:rsid w:val="00F57B60"/>
    <w:rsid w:val="00F60047"/>
    <w:rsid w:val="00F60280"/>
    <w:rsid w:val="00F61D9F"/>
    <w:rsid w:val="00F630A4"/>
    <w:rsid w:val="00F64CC2"/>
    <w:rsid w:val="00F65A57"/>
    <w:rsid w:val="00F67D0E"/>
    <w:rsid w:val="00F706EB"/>
    <w:rsid w:val="00F73CE2"/>
    <w:rsid w:val="00F81341"/>
    <w:rsid w:val="00F85566"/>
    <w:rsid w:val="00F8635F"/>
    <w:rsid w:val="00F86A7C"/>
    <w:rsid w:val="00F872E9"/>
    <w:rsid w:val="00F91013"/>
    <w:rsid w:val="00F96E87"/>
    <w:rsid w:val="00F97CDF"/>
    <w:rsid w:val="00FB00A7"/>
    <w:rsid w:val="00FB359C"/>
    <w:rsid w:val="00FB5C1D"/>
    <w:rsid w:val="00FB6656"/>
    <w:rsid w:val="00FB7CCD"/>
    <w:rsid w:val="00FC044E"/>
    <w:rsid w:val="00FC0EF2"/>
    <w:rsid w:val="00FC2009"/>
    <w:rsid w:val="00FC3866"/>
    <w:rsid w:val="00FC3DEF"/>
    <w:rsid w:val="00FC3E09"/>
    <w:rsid w:val="00FC778D"/>
    <w:rsid w:val="00FD28B5"/>
    <w:rsid w:val="00FD4571"/>
    <w:rsid w:val="00FE18C6"/>
    <w:rsid w:val="00FE754F"/>
    <w:rsid w:val="00FF1A2C"/>
    <w:rsid w:val="00FF28ED"/>
    <w:rsid w:val="00FF51A3"/>
    <w:rsid w:val="00FF5A9E"/>
    <w:rsid w:val="00F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6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9764F"/>
    <w:pPr>
      <w:keepNext/>
      <w:keepLines/>
      <w:spacing w:before="480" w:line="276" w:lineRule="auto"/>
      <w:ind w:left="432" w:hanging="432"/>
      <w:outlineLvl w:val="0"/>
    </w:pPr>
    <w:rPr>
      <w:rFonts w:ascii="Cambria" w:eastAsia="PMingLiU" w:hAnsi="Cambria"/>
      <w:b/>
      <w:bCs/>
      <w:color w:val="365F91"/>
      <w:sz w:val="28"/>
      <w:szCs w:val="28"/>
      <w:lang w:val="bg-BG" w:eastAsia="zh-TW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lang w:val="bg-BG"/>
    </w:rPr>
  </w:style>
  <w:style w:type="paragraph" w:styleId="3">
    <w:name w:val="heading 3"/>
    <w:basedOn w:val="a"/>
    <w:next w:val="a"/>
    <w:uiPriority w:val="99"/>
    <w:qFormat/>
    <w:pPr>
      <w:keepNext/>
      <w:outlineLvl w:val="2"/>
    </w:pPr>
    <w:rPr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D9764F"/>
    <w:pPr>
      <w:keepNext/>
      <w:keepLines/>
      <w:spacing w:before="200" w:line="276" w:lineRule="auto"/>
      <w:ind w:left="864" w:hanging="864"/>
      <w:outlineLvl w:val="3"/>
    </w:pPr>
    <w:rPr>
      <w:rFonts w:ascii="Cambria" w:eastAsia="PMingLiU" w:hAnsi="Cambria"/>
      <w:b/>
      <w:bCs/>
      <w:i/>
      <w:iCs/>
      <w:color w:val="4F81BD"/>
      <w:sz w:val="22"/>
      <w:szCs w:val="22"/>
      <w:lang w:val="bg-BG" w:eastAsia="zh-TW"/>
    </w:rPr>
  </w:style>
  <w:style w:type="paragraph" w:styleId="5">
    <w:name w:val="heading 5"/>
    <w:basedOn w:val="a"/>
    <w:next w:val="a"/>
    <w:link w:val="50"/>
    <w:uiPriority w:val="99"/>
    <w:qFormat/>
    <w:rsid w:val="00D9764F"/>
    <w:pPr>
      <w:keepNext/>
      <w:keepLines/>
      <w:spacing w:before="200" w:line="276" w:lineRule="auto"/>
      <w:ind w:left="1008" w:hanging="1008"/>
      <w:outlineLvl w:val="4"/>
    </w:pPr>
    <w:rPr>
      <w:rFonts w:ascii="Cambria" w:eastAsia="PMingLiU" w:hAnsi="Cambria"/>
      <w:color w:val="243F60"/>
      <w:sz w:val="22"/>
      <w:szCs w:val="22"/>
      <w:lang w:val="bg-BG" w:eastAsia="zh-TW"/>
    </w:rPr>
  </w:style>
  <w:style w:type="paragraph" w:styleId="6">
    <w:name w:val="heading 6"/>
    <w:basedOn w:val="a"/>
    <w:next w:val="a"/>
    <w:link w:val="60"/>
    <w:uiPriority w:val="99"/>
    <w:qFormat/>
    <w:rsid w:val="00D9764F"/>
    <w:pPr>
      <w:keepNext/>
      <w:keepLines/>
      <w:spacing w:before="200" w:line="276" w:lineRule="auto"/>
      <w:ind w:left="1152" w:hanging="1152"/>
      <w:outlineLvl w:val="5"/>
    </w:pPr>
    <w:rPr>
      <w:rFonts w:ascii="Cambria" w:eastAsia="PMingLiU" w:hAnsi="Cambria"/>
      <w:i/>
      <w:iCs/>
      <w:color w:val="243F60"/>
      <w:sz w:val="22"/>
      <w:szCs w:val="22"/>
      <w:lang w:val="bg-BG" w:eastAsia="zh-TW"/>
    </w:rPr>
  </w:style>
  <w:style w:type="paragraph" w:styleId="7">
    <w:name w:val="heading 7"/>
    <w:basedOn w:val="a"/>
    <w:next w:val="a"/>
    <w:link w:val="70"/>
    <w:uiPriority w:val="99"/>
    <w:qFormat/>
    <w:rsid w:val="00D9764F"/>
    <w:pPr>
      <w:keepNext/>
      <w:keepLines/>
      <w:spacing w:before="200" w:line="276" w:lineRule="auto"/>
      <w:ind w:left="1296" w:hanging="1296"/>
      <w:outlineLvl w:val="6"/>
    </w:pPr>
    <w:rPr>
      <w:rFonts w:ascii="Cambria" w:eastAsia="PMingLiU" w:hAnsi="Cambria"/>
      <w:i/>
      <w:iCs/>
      <w:color w:val="404040"/>
      <w:sz w:val="22"/>
      <w:szCs w:val="22"/>
      <w:lang w:val="bg-BG" w:eastAsia="zh-TW"/>
    </w:rPr>
  </w:style>
  <w:style w:type="paragraph" w:styleId="8">
    <w:name w:val="heading 8"/>
    <w:basedOn w:val="a"/>
    <w:next w:val="a"/>
    <w:link w:val="80"/>
    <w:uiPriority w:val="99"/>
    <w:qFormat/>
    <w:rsid w:val="00D9764F"/>
    <w:pPr>
      <w:keepNext/>
      <w:keepLines/>
      <w:spacing w:before="200" w:line="276" w:lineRule="auto"/>
      <w:ind w:left="1440" w:hanging="1440"/>
      <w:outlineLvl w:val="7"/>
    </w:pPr>
    <w:rPr>
      <w:rFonts w:ascii="Cambria" w:eastAsia="PMingLiU" w:hAnsi="Cambria"/>
      <w:color w:val="404040"/>
      <w:sz w:val="20"/>
      <w:szCs w:val="20"/>
      <w:lang w:val="bg-BG" w:eastAsia="zh-TW"/>
    </w:rPr>
  </w:style>
  <w:style w:type="paragraph" w:styleId="9">
    <w:name w:val="heading 9"/>
    <w:basedOn w:val="a"/>
    <w:next w:val="a"/>
    <w:link w:val="90"/>
    <w:uiPriority w:val="99"/>
    <w:qFormat/>
    <w:rsid w:val="00D9764F"/>
    <w:pPr>
      <w:keepNext/>
      <w:keepLines/>
      <w:spacing w:before="200" w:line="276" w:lineRule="auto"/>
      <w:ind w:left="1584" w:hanging="1584"/>
      <w:outlineLvl w:val="8"/>
    </w:pPr>
    <w:rPr>
      <w:rFonts w:ascii="Cambria" w:eastAsia="PMingLiU" w:hAnsi="Cambria"/>
      <w:i/>
      <w:iCs/>
      <w:color w:val="404040"/>
      <w:sz w:val="20"/>
      <w:szCs w:val="20"/>
      <w:lang w:val="bg-BG"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703"/>
        <w:tab w:val="right" w:pos="9406"/>
      </w:tabs>
    </w:pPr>
  </w:style>
  <w:style w:type="paragraph" w:styleId="a4">
    <w:name w:val="footer"/>
    <w:basedOn w:val="a"/>
    <w:link w:val="a5"/>
    <w:uiPriority w:val="99"/>
    <w:pPr>
      <w:tabs>
        <w:tab w:val="center" w:pos="4703"/>
        <w:tab w:val="right" w:pos="9406"/>
      </w:tabs>
    </w:pPr>
    <w:rPr>
      <w:lang/>
    </w:rPr>
  </w:style>
  <w:style w:type="character" w:customStyle="1" w:styleId="10">
    <w:name w:val="Заглавие 1 Знак"/>
    <w:link w:val="1"/>
    <w:uiPriority w:val="99"/>
    <w:rsid w:val="00D9764F"/>
    <w:rPr>
      <w:rFonts w:ascii="Cambria" w:eastAsia="PMingLiU" w:hAnsi="Cambria"/>
      <w:b/>
      <w:bCs/>
      <w:color w:val="365F91"/>
      <w:sz w:val="28"/>
      <w:szCs w:val="28"/>
      <w:lang w:val="bg-BG" w:eastAsia="zh-TW"/>
    </w:rPr>
  </w:style>
  <w:style w:type="character" w:customStyle="1" w:styleId="40">
    <w:name w:val="Заглавие 4 Знак"/>
    <w:link w:val="4"/>
    <w:uiPriority w:val="99"/>
    <w:rsid w:val="00D9764F"/>
    <w:rPr>
      <w:rFonts w:ascii="Cambria" w:eastAsia="PMingLiU" w:hAnsi="Cambria"/>
      <w:b/>
      <w:bCs/>
      <w:i/>
      <w:iCs/>
      <w:color w:val="4F81BD"/>
      <w:sz w:val="22"/>
      <w:szCs w:val="22"/>
      <w:lang w:val="bg-BG" w:eastAsia="zh-TW"/>
    </w:rPr>
  </w:style>
  <w:style w:type="character" w:customStyle="1" w:styleId="50">
    <w:name w:val="Заглавие 5 Знак"/>
    <w:link w:val="5"/>
    <w:uiPriority w:val="99"/>
    <w:rsid w:val="00D9764F"/>
    <w:rPr>
      <w:rFonts w:ascii="Cambria" w:eastAsia="PMingLiU" w:hAnsi="Cambria"/>
      <w:color w:val="243F60"/>
      <w:sz w:val="22"/>
      <w:szCs w:val="22"/>
      <w:lang w:val="bg-BG" w:eastAsia="zh-TW"/>
    </w:rPr>
  </w:style>
  <w:style w:type="character" w:customStyle="1" w:styleId="60">
    <w:name w:val="Заглавие 6 Знак"/>
    <w:link w:val="6"/>
    <w:uiPriority w:val="99"/>
    <w:rsid w:val="00D9764F"/>
    <w:rPr>
      <w:rFonts w:ascii="Cambria" w:eastAsia="PMingLiU" w:hAnsi="Cambria"/>
      <w:i/>
      <w:iCs/>
      <w:color w:val="243F60"/>
      <w:sz w:val="22"/>
      <w:szCs w:val="22"/>
      <w:lang w:val="bg-BG" w:eastAsia="zh-TW"/>
    </w:rPr>
  </w:style>
  <w:style w:type="character" w:customStyle="1" w:styleId="70">
    <w:name w:val="Заглавие 7 Знак"/>
    <w:link w:val="7"/>
    <w:uiPriority w:val="99"/>
    <w:rsid w:val="00D9764F"/>
    <w:rPr>
      <w:rFonts w:ascii="Cambria" w:eastAsia="PMingLiU" w:hAnsi="Cambria"/>
      <w:i/>
      <w:iCs/>
      <w:color w:val="404040"/>
      <w:sz w:val="22"/>
      <w:szCs w:val="22"/>
      <w:lang w:val="bg-BG" w:eastAsia="zh-TW"/>
    </w:rPr>
  </w:style>
  <w:style w:type="character" w:customStyle="1" w:styleId="80">
    <w:name w:val="Заглавие 8 Знак"/>
    <w:link w:val="8"/>
    <w:uiPriority w:val="99"/>
    <w:rsid w:val="00D9764F"/>
    <w:rPr>
      <w:rFonts w:ascii="Cambria" w:eastAsia="PMingLiU" w:hAnsi="Cambria"/>
      <w:color w:val="404040"/>
      <w:lang w:val="bg-BG" w:eastAsia="zh-TW"/>
    </w:rPr>
  </w:style>
  <w:style w:type="character" w:customStyle="1" w:styleId="90">
    <w:name w:val="Заглавие 9 Знак"/>
    <w:link w:val="9"/>
    <w:uiPriority w:val="99"/>
    <w:rsid w:val="00D9764F"/>
    <w:rPr>
      <w:rFonts w:ascii="Cambria" w:eastAsia="PMingLiU" w:hAnsi="Cambria"/>
      <w:i/>
      <w:iCs/>
      <w:color w:val="404040"/>
      <w:lang w:val="bg-BG" w:eastAsia="zh-TW"/>
    </w:rPr>
  </w:style>
  <w:style w:type="character" w:customStyle="1" w:styleId="20">
    <w:name w:val="Заглавие 2 Знак"/>
    <w:link w:val="2"/>
    <w:uiPriority w:val="99"/>
    <w:locked/>
    <w:rsid w:val="00D9764F"/>
    <w:rPr>
      <w:b/>
      <w:bCs/>
      <w:sz w:val="24"/>
      <w:szCs w:val="24"/>
      <w:lang w:val="bg-BG"/>
    </w:rPr>
  </w:style>
  <w:style w:type="paragraph" w:styleId="a6">
    <w:name w:val="List Paragraph"/>
    <w:basedOn w:val="a"/>
    <w:uiPriority w:val="99"/>
    <w:qFormat/>
    <w:rsid w:val="00D9764F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bg-BG" w:eastAsia="zh-TW"/>
    </w:rPr>
  </w:style>
  <w:style w:type="character" w:customStyle="1" w:styleId="a5">
    <w:name w:val="Долен колонтитул Знак"/>
    <w:link w:val="a4"/>
    <w:uiPriority w:val="99"/>
    <w:rsid w:val="007B0CD0"/>
    <w:rPr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A83816"/>
    <w:rPr>
      <w:rFonts w:ascii="Calibri" w:eastAsia="Calibri" w:hAnsi="Calibri"/>
      <w:sz w:val="22"/>
      <w:szCs w:val="21"/>
      <w:lang/>
    </w:rPr>
  </w:style>
  <w:style w:type="character" w:customStyle="1" w:styleId="a8">
    <w:name w:val="Обикновен текст Знак"/>
    <w:link w:val="a7"/>
    <w:uiPriority w:val="99"/>
    <w:semiHidden/>
    <w:rsid w:val="00A83816"/>
    <w:rPr>
      <w:rFonts w:ascii="Calibri" w:eastAsia="Calibri" w:hAnsi="Calibri"/>
      <w:sz w:val="22"/>
      <w:szCs w:val="21"/>
    </w:rPr>
  </w:style>
  <w:style w:type="character" w:styleId="a9">
    <w:name w:val="Strong"/>
    <w:uiPriority w:val="22"/>
    <w:qFormat/>
    <w:rsid w:val="000D4C70"/>
    <w:rPr>
      <w:b/>
      <w:bCs/>
    </w:rPr>
  </w:style>
  <w:style w:type="table" w:styleId="aa">
    <w:name w:val="Table Grid"/>
    <w:basedOn w:val="a1"/>
    <w:uiPriority w:val="59"/>
    <w:rsid w:val="00801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067EC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67EC2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067E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067EC2"/>
    <w:rPr>
      <w:b/>
      <w:bCs/>
      <w:lang/>
    </w:rPr>
  </w:style>
  <w:style w:type="character" w:customStyle="1" w:styleId="af">
    <w:name w:val="Предмет на коментар Знак"/>
    <w:link w:val="ae"/>
    <w:uiPriority w:val="99"/>
    <w:semiHidden/>
    <w:rsid w:val="00067EC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67EC2"/>
    <w:rPr>
      <w:rFonts w:ascii="Tahoma" w:hAnsi="Tahoma"/>
      <w:sz w:val="16"/>
      <w:szCs w:val="16"/>
      <w:lang/>
    </w:rPr>
  </w:style>
  <w:style w:type="character" w:customStyle="1" w:styleId="af1">
    <w:name w:val="Изнесен текст Знак"/>
    <w:link w:val="af0"/>
    <w:uiPriority w:val="99"/>
    <w:semiHidden/>
    <w:rsid w:val="00067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anks\&#1057;&#1086;&#1089;&#1080;&#1077;&#1090;&#1077;%20&#1046;&#1077;&#1085;&#1077;&#1088;&#1072;&#1083;\BLANKA-potvyrxdenie-2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18DBF-E01F-4256-8E22-CD73A8FC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BLANKA-potvyrxdenie-2.dot</Template>
  <TotalTime>1</TotalTime>
  <Pages>7</Pages>
  <Words>2018</Words>
  <Characters>11504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</dc:creator>
  <cp:lastModifiedBy>Albena</cp:lastModifiedBy>
  <cp:revision>2</cp:revision>
  <cp:lastPrinted>2020-03-26T06:25:00Z</cp:lastPrinted>
  <dcterms:created xsi:type="dcterms:W3CDTF">2020-03-26T14:47:00Z</dcterms:created>
  <dcterms:modified xsi:type="dcterms:W3CDTF">2020-03-26T14:47:00Z</dcterms:modified>
</cp:coreProperties>
</file>