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0731" w:rsidRPr="000B697A" w:rsidRDefault="00EC3A1E" w:rsidP="00281505">
      <w:pPr>
        <w:pStyle w:val="a1"/>
        <w:rPr>
          <w:rFonts w:cs="Calibri"/>
        </w:rPr>
      </w:pPr>
      <w:r>
        <w:rPr>
          <w:rFonts w:cs="Calibri"/>
          <w:noProof/>
          <w:lang w:val="en-US" w:eastAsia="en-US"/>
        </w:rPr>
        <mc:AlternateContent>
          <mc:Choice Requires="wps">
            <w:drawing>
              <wp:anchor distT="0" distB="0" distL="114300" distR="114300" simplePos="0" relativeHeight="251659776" behindDoc="0" locked="0" layoutInCell="1" allowOverlap="1">
                <wp:simplePos x="0" y="0"/>
                <wp:positionH relativeFrom="column">
                  <wp:posOffset>-95885</wp:posOffset>
                </wp:positionH>
                <wp:positionV relativeFrom="paragraph">
                  <wp:posOffset>5048250</wp:posOffset>
                </wp:positionV>
                <wp:extent cx="5248275" cy="1936750"/>
                <wp:effectExtent l="0" t="0" r="0" b="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486" w:rsidRPr="002F4DFE" w:rsidRDefault="008F3486" w:rsidP="006775F1">
                            <w:pPr>
                              <w:pStyle w:val="FrontPage"/>
                              <w:jc w:val="center"/>
                            </w:pPr>
                            <w:r w:rsidRPr="002F4DFE">
                              <w:t>Годишен консолидиран доклад</w:t>
                            </w:r>
                          </w:p>
                          <w:p w:rsidR="008F3486" w:rsidRDefault="008F3486" w:rsidP="006775F1">
                            <w:pPr>
                              <w:pStyle w:val="FrontPage"/>
                              <w:jc w:val="center"/>
                            </w:pPr>
                            <w:r w:rsidRPr="002F4DFE">
                              <w:t>за дейността на</w:t>
                            </w:r>
                          </w:p>
                          <w:p w:rsidR="008F3486" w:rsidRDefault="008F3486" w:rsidP="006775F1">
                            <w:pPr>
                              <w:pStyle w:val="FrontPage"/>
                              <w:jc w:val="center"/>
                            </w:pPr>
                            <w:r w:rsidRPr="002F4DFE">
                              <w:t>Група</w:t>
                            </w:r>
                            <w:r>
                              <w:rPr>
                                <w:lang w:val="en-US"/>
                              </w:rPr>
                              <w:t xml:space="preserve"> </w:t>
                            </w:r>
                            <w:r w:rsidRPr="002F4DFE">
                              <w:t>Българска Фондова Борса</w:t>
                            </w:r>
                          </w:p>
                          <w:p w:rsidR="008F3486" w:rsidRPr="002F4DFE" w:rsidRDefault="008F3486" w:rsidP="006775F1">
                            <w:pPr>
                              <w:pStyle w:val="FrontPage"/>
                              <w:jc w:val="center"/>
                            </w:pPr>
                            <w:r w:rsidRPr="002F4DFE">
                              <w:t>за 201</w:t>
                            </w:r>
                            <w:r>
                              <w:rPr>
                                <w:lang w:val="en-US"/>
                              </w:rPr>
                              <w:t>8</w:t>
                            </w:r>
                            <w:r w:rsidRPr="002F4DFE">
                              <w:t xml:space="preserve"> г.</w:t>
                            </w:r>
                          </w:p>
                          <w:p w:rsidR="008F3486" w:rsidRPr="002F4DFE" w:rsidRDefault="008F3486" w:rsidP="002815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55pt;margin-top:397.5pt;width:413.25pt;height:1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jsuQIAALs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" filled="f" stroked="f">
                <v:textbox>
                  <w:txbxContent>
                    <w:p w:rsidR="008F3486" w:rsidRPr="002F4DFE" w:rsidRDefault="008F3486" w:rsidP="006775F1">
                      <w:pPr>
                        <w:pStyle w:val="FrontPage"/>
                        <w:jc w:val="center"/>
                      </w:pPr>
                      <w:r w:rsidRPr="002F4DFE">
                        <w:t>Годишен консолидиран доклад</w:t>
                      </w:r>
                    </w:p>
                    <w:p w:rsidR="008F3486" w:rsidRDefault="008F3486" w:rsidP="006775F1">
                      <w:pPr>
                        <w:pStyle w:val="FrontPage"/>
                        <w:jc w:val="center"/>
                      </w:pPr>
                      <w:r w:rsidRPr="002F4DFE">
                        <w:t>за дейността на</w:t>
                      </w:r>
                    </w:p>
                    <w:p w:rsidR="008F3486" w:rsidRDefault="008F3486" w:rsidP="006775F1">
                      <w:pPr>
                        <w:pStyle w:val="FrontPage"/>
                        <w:jc w:val="center"/>
                      </w:pPr>
                      <w:r w:rsidRPr="002F4DFE">
                        <w:t>Група</w:t>
                      </w:r>
                      <w:r>
                        <w:rPr>
                          <w:lang w:val="en-US"/>
                        </w:rPr>
                        <w:t xml:space="preserve"> </w:t>
                      </w:r>
                      <w:r w:rsidRPr="002F4DFE">
                        <w:t>Българска Фондова Борса</w:t>
                      </w:r>
                    </w:p>
                    <w:p w:rsidR="008F3486" w:rsidRPr="002F4DFE" w:rsidRDefault="008F3486" w:rsidP="006775F1">
                      <w:pPr>
                        <w:pStyle w:val="FrontPage"/>
                        <w:jc w:val="center"/>
                      </w:pPr>
                      <w:r w:rsidRPr="002F4DFE">
                        <w:t>за 201</w:t>
                      </w:r>
                      <w:r>
                        <w:rPr>
                          <w:lang w:val="en-US"/>
                        </w:rPr>
                        <w:t>8</w:t>
                      </w:r>
                      <w:r w:rsidRPr="002F4DFE">
                        <w:t xml:space="preserve"> г.</w:t>
                      </w:r>
                    </w:p>
                    <w:p w:rsidR="008F3486" w:rsidRPr="002F4DFE" w:rsidRDefault="008F3486" w:rsidP="00281505"/>
                  </w:txbxContent>
                </v:textbox>
              </v:shape>
            </w:pict>
          </mc:Fallback>
        </mc:AlternateContent>
      </w:r>
      <w:r w:rsidR="003939A6" w:rsidRPr="000B697A">
        <w:rPr>
          <w:rFonts w:cs="Calibri"/>
          <w:noProof/>
          <w:lang w:val="en-US" w:eastAsia="en-US"/>
        </w:rPr>
        <w:drawing>
          <wp:anchor distT="0" distB="0" distL="114300" distR="114300" simplePos="0" relativeHeight="251655680" behindDoc="1" locked="0" layoutInCell="1" allowOverlap="0">
            <wp:simplePos x="0" y="0"/>
            <wp:positionH relativeFrom="column">
              <wp:posOffset>-839470</wp:posOffset>
            </wp:positionH>
            <wp:positionV relativeFrom="paragraph">
              <wp:posOffset>1663700</wp:posOffset>
            </wp:positionV>
            <wp:extent cx="7702550" cy="6000750"/>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702550" cy="6000750"/>
                    </a:xfrm>
                    <a:prstGeom prst="rect">
                      <a:avLst/>
                    </a:prstGeom>
                    <a:noFill/>
                  </pic:spPr>
                </pic:pic>
              </a:graphicData>
            </a:graphic>
          </wp:anchor>
        </w:drawing>
      </w:r>
      <w:r w:rsidR="007D0731" w:rsidRPr="000B697A">
        <w:rPr>
          <w:rFonts w:cs="Calibri"/>
        </w:rPr>
        <w:br w:type="page"/>
      </w:r>
    </w:p>
    <w:tbl>
      <w:tblPr>
        <w:tblW w:w="10337" w:type="dxa"/>
        <w:jc w:val="center"/>
        <w:tblCellMar>
          <w:left w:w="70" w:type="dxa"/>
          <w:right w:w="70" w:type="dxa"/>
        </w:tblCellMar>
        <w:tblLook w:val="04A0" w:firstRow="1" w:lastRow="0" w:firstColumn="1" w:lastColumn="0" w:noHBand="0" w:noVBand="1"/>
      </w:tblPr>
      <w:tblGrid>
        <w:gridCol w:w="6385"/>
        <w:gridCol w:w="1976"/>
        <w:gridCol w:w="1976"/>
      </w:tblGrid>
      <w:tr w:rsidR="001923AD" w:rsidRPr="008923B7" w:rsidTr="001923AD">
        <w:trPr>
          <w:trHeight w:val="170"/>
          <w:jc w:val="center"/>
        </w:trPr>
        <w:tc>
          <w:tcPr>
            <w:tcW w:w="6385"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lastRenderedPageBreak/>
              <w:t xml:space="preserve">ГРУПА БЪЛГАРСКА ФОНДОВА БОРСА </w:t>
            </w:r>
          </w:p>
        </w:tc>
        <w:tc>
          <w:tcPr>
            <w:tcW w:w="19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sz w:val="20"/>
                <w:szCs w:val="20"/>
              </w:rPr>
            </w:pPr>
          </w:p>
        </w:tc>
        <w:tc>
          <w:tcPr>
            <w:tcW w:w="19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rFonts w:ascii="Times New Roman" w:hAnsi="Times New Roman"/>
                <w:sz w:val="20"/>
                <w:szCs w:val="20"/>
              </w:rPr>
            </w:pPr>
          </w:p>
        </w:tc>
      </w:tr>
      <w:tr w:rsidR="001923AD" w:rsidRPr="008923B7" w:rsidTr="001923AD">
        <w:trPr>
          <w:trHeight w:val="170"/>
          <w:jc w:val="center"/>
        </w:trPr>
        <w:tc>
          <w:tcPr>
            <w:tcW w:w="6385" w:type="dxa"/>
            <w:tcBorders>
              <w:top w:val="single" w:sz="4" w:space="0" w:color="auto"/>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КОНСОЛИДИРАН ОТЧЕТ ЗА ФИНАНСОВОТО СЪСТОЯНИЕ</w:t>
            </w:r>
          </w:p>
        </w:tc>
        <w:tc>
          <w:tcPr>
            <w:tcW w:w="1976" w:type="dxa"/>
            <w:tcBorders>
              <w:top w:val="single" w:sz="4" w:space="0" w:color="auto"/>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rFonts w:ascii="Times New Roman" w:hAnsi="Times New Roman"/>
                <w:sz w:val="20"/>
                <w:szCs w:val="20"/>
              </w:rPr>
            </w:pPr>
          </w:p>
        </w:tc>
        <w:tc>
          <w:tcPr>
            <w:tcW w:w="1976" w:type="dxa"/>
            <w:tcBorders>
              <w:top w:val="single" w:sz="4" w:space="0" w:color="auto"/>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rFonts w:ascii="Times New Roman" w:hAnsi="Times New Roman"/>
                <w:sz w:val="20"/>
                <w:szCs w:val="20"/>
              </w:rPr>
            </w:pP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bottom"/>
            <w:hideMark/>
          </w:tcPr>
          <w:p w:rsidR="001923AD" w:rsidRPr="008923B7" w:rsidRDefault="001923AD" w:rsidP="001923AD">
            <w:pPr>
              <w:spacing w:line="240" w:lineRule="auto"/>
              <w:jc w:val="left"/>
              <w:rPr>
                <w:b/>
                <w:bCs/>
                <w:sz w:val="20"/>
                <w:szCs w:val="20"/>
              </w:rPr>
            </w:pPr>
            <w:r w:rsidRPr="008923B7">
              <w:rPr>
                <w:b/>
                <w:bCs/>
                <w:sz w:val="20"/>
                <w:szCs w:val="20"/>
              </w:rPr>
              <w:t>към 31 декември 2018 година</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rFonts w:ascii="Times New Roman" w:hAnsi="Times New Roman"/>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rFonts w:ascii="Times New Roman" w:hAnsi="Times New Roman"/>
                <w:sz w:val="20"/>
                <w:szCs w:val="20"/>
              </w:rPr>
            </w:pP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hideMark/>
          </w:tcPr>
          <w:p w:rsidR="001923AD" w:rsidRPr="008923B7" w:rsidRDefault="001923AD" w:rsidP="001923AD">
            <w:pPr>
              <w:spacing w:line="240" w:lineRule="auto"/>
              <w:jc w:val="left"/>
              <w:rPr>
                <w:b/>
                <w:bCs/>
                <w:i/>
                <w:iCs/>
                <w:color w:val="000000"/>
                <w:sz w:val="20"/>
                <w:szCs w:val="20"/>
              </w:rPr>
            </w:pPr>
          </w:p>
        </w:tc>
        <w:tc>
          <w:tcPr>
            <w:tcW w:w="1976" w:type="dxa"/>
            <w:tcBorders>
              <w:top w:val="nil"/>
              <w:left w:val="nil"/>
              <w:bottom w:val="nil"/>
              <w:right w:val="nil"/>
            </w:tcBorders>
            <w:shd w:val="clear" w:color="auto" w:fill="auto"/>
            <w:noWrap/>
            <w:tcMar>
              <w:left w:w="28" w:type="dxa"/>
              <w:right w:w="28" w:type="dxa"/>
            </w:tcMar>
            <w:vAlign w:val="bottom"/>
            <w:hideMark/>
          </w:tcPr>
          <w:p w:rsidR="001923AD" w:rsidRPr="008923B7" w:rsidRDefault="001923AD" w:rsidP="001923AD">
            <w:pPr>
              <w:spacing w:line="240" w:lineRule="auto"/>
              <w:jc w:val="center"/>
              <w:rPr>
                <w:b/>
                <w:bCs/>
                <w:sz w:val="20"/>
                <w:szCs w:val="20"/>
              </w:rPr>
            </w:pPr>
            <w:r w:rsidRPr="008923B7">
              <w:rPr>
                <w:b/>
                <w:bCs/>
                <w:sz w:val="20"/>
                <w:szCs w:val="20"/>
              </w:rPr>
              <w:t>31 декември 2018 г.</w:t>
            </w:r>
          </w:p>
        </w:tc>
        <w:tc>
          <w:tcPr>
            <w:tcW w:w="1976" w:type="dxa"/>
            <w:tcBorders>
              <w:top w:val="nil"/>
              <w:left w:val="nil"/>
              <w:bottom w:val="nil"/>
              <w:right w:val="nil"/>
            </w:tcBorders>
            <w:shd w:val="clear" w:color="auto" w:fill="auto"/>
            <w:noWrap/>
            <w:tcMar>
              <w:left w:w="28" w:type="dxa"/>
              <w:right w:w="28" w:type="dxa"/>
            </w:tcMar>
            <w:vAlign w:val="bottom"/>
            <w:hideMark/>
          </w:tcPr>
          <w:p w:rsidR="001923AD" w:rsidRPr="008923B7" w:rsidRDefault="001923AD" w:rsidP="001923AD">
            <w:pPr>
              <w:spacing w:line="240" w:lineRule="auto"/>
              <w:jc w:val="center"/>
              <w:rPr>
                <w:b/>
                <w:bCs/>
                <w:sz w:val="20"/>
                <w:szCs w:val="20"/>
              </w:rPr>
            </w:pPr>
            <w:r w:rsidRPr="008923B7">
              <w:rPr>
                <w:b/>
                <w:bCs/>
                <w:sz w:val="20"/>
                <w:szCs w:val="20"/>
              </w:rPr>
              <w:t>31 декември 2017 г.</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b/>
                <w:bCs/>
                <w:color w:val="000000"/>
                <w:sz w:val="20"/>
                <w:szCs w:val="20"/>
              </w:rPr>
            </w:pPr>
            <w:r w:rsidRPr="008923B7">
              <w:rPr>
                <w:b/>
                <w:bCs/>
                <w:color w:val="000000"/>
                <w:sz w:val="20"/>
                <w:szCs w:val="20"/>
              </w:rPr>
              <w:t>BGN'000</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b/>
                <w:bCs/>
                <w:color w:val="000000"/>
                <w:sz w:val="20"/>
                <w:szCs w:val="20"/>
              </w:rPr>
            </w:pPr>
            <w:r w:rsidRPr="008923B7">
              <w:rPr>
                <w:b/>
                <w:bCs/>
                <w:color w:val="000000"/>
                <w:sz w:val="20"/>
                <w:szCs w:val="20"/>
              </w:rPr>
              <w:t>BGN'000</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АКТИВ</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rFonts w:ascii="Times New Roman" w:hAnsi="Times New Roman"/>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Нетекущи активи</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Имоти, машини и оборудване</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1 318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1 302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Нематериални активи</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526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19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Репутация</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1 248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 xml:space="preserve">Инвестиции в съвместни дружества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11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94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color w:val="000000"/>
                <w:sz w:val="20"/>
                <w:szCs w:val="20"/>
              </w:rPr>
            </w:pPr>
            <w:r w:rsidRPr="008923B7">
              <w:rPr>
                <w:color w:val="000000"/>
                <w:sz w:val="20"/>
                <w:szCs w:val="20"/>
              </w:rPr>
              <w:t>Дългови инвестиции оценявани по амортизирана стойност</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4 018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color w:val="000000"/>
                <w:sz w:val="20"/>
                <w:szCs w:val="20"/>
              </w:rPr>
            </w:pPr>
            <w:r w:rsidRPr="008923B7">
              <w:rPr>
                <w:color w:val="000000"/>
                <w:sz w:val="20"/>
                <w:szCs w:val="20"/>
              </w:rPr>
              <w:t>Финансови активи оценявани по справедлива стойност</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2 296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2 363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Активи по отсрочени данъци</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146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p>
        </w:tc>
        <w:tc>
          <w:tcPr>
            <w:tcW w:w="1976"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5 545 </w:t>
            </w:r>
          </w:p>
        </w:tc>
        <w:tc>
          <w:tcPr>
            <w:tcW w:w="1976"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7 796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Текущи активи</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Материални запаси</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7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Търговски вземания</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24 492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122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Други вземания и предплатени разходи</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658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1 261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Данъци за възстановяване</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4 856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Парични средства и парични еквиваленти</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70 989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1 583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p>
        </w:tc>
        <w:tc>
          <w:tcPr>
            <w:tcW w:w="1976"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101 002 </w:t>
            </w:r>
          </w:p>
        </w:tc>
        <w:tc>
          <w:tcPr>
            <w:tcW w:w="1976"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2 966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sidRPr="008923B7">
              <w:rPr>
                <w:b/>
                <w:bCs/>
                <w:sz w:val="20"/>
                <w:szCs w:val="20"/>
              </w:rPr>
              <w:t>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sidRPr="008923B7">
              <w:rPr>
                <w:b/>
                <w:bCs/>
                <w:sz w:val="20"/>
                <w:szCs w:val="20"/>
              </w:rPr>
              <w:t>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ОБЩО  АКТИВИ</w:t>
            </w:r>
          </w:p>
        </w:tc>
        <w:tc>
          <w:tcPr>
            <w:tcW w:w="1976" w:type="dxa"/>
            <w:tcBorders>
              <w:top w:val="single" w:sz="4" w:space="0" w:color="auto"/>
              <w:left w:val="nil"/>
              <w:bottom w:val="double" w:sz="6"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106 547 </w:t>
            </w:r>
          </w:p>
        </w:tc>
        <w:tc>
          <w:tcPr>
            <w:tcW w:w="1976" w:type="dxa"/>
            <w:tcBorders>
              <w:top w:val="single" w:sz="4" w:space="0" w:color="auto"/>
              <w:left w:val="nil"/>
              <w:bottom w:val="double" w:sz="6"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10 762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СОБСТВЕН КАПИТАЛ И ПАСИВИ</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СОБСТВЕН КАПИТАЛ</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638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Капитал, отнасящ се до притежателите на собствения капитал на дружеството-майка</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Основен акционерен капитал</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6 583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6 583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Резерви</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3 572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3 510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Натрупани печалби /(загуби)</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3 183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147 </w:t>
            </w:r>
          </w:p>
        </w:tc>
      </w:tr>
      <w:tr w:rsidR="001923AD" w:rsidRPr="008923B7" w:rsidTr="001923AD">
        <w:trPr>
          <w:trHeight w:val="170"/>
          <w:jc w:val="center"/>
        </w:trPr>
        <w:tc>
          <w:tcPr>
            <w:tcW w:w="638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right"/>
              <w:rPr>
                <w:sz w:val="20"/>
                <w:szCs w:val="20"/>
              </w:rPr>
            </w:pPr>
          </w:p>
        </w:tc>
        <w:tc>
          <w:tcPr>
            <w:tcW w:w="1976"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13 338 </w:t>
            </w:r>
          </w:p>
        </w:tc>
        <w:tc>
          <w:tcPr>
            <w:tcW w:w="1976"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10 240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ПАСИВИ</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sidRPr="008923B7">
              <w:rPr>
                <w:b/>
                <w:bCs/>
                <w:sz w:val="20"/>
                <w:szCs w:val="20"/>
              </w:rPr>
              <w:t>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sidRPr="008923B7">
              <w:rPr>
                <w:b/>
                <w:bCs/>
                <w:sz w:val="20"/>
                <w:szCs w:val="20"/>
              </w:rPr>
              <w:t>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Нетекущи задължения</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Дългосрочни задължения към персонала при пенсиониране</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108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98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Пасиви по отсрочени данъци</w:t>
            </w:r>
          </w:p>
        </w:tc>
        <w:tc>
          <w:tcPr>
            <w:tcW w:w="1976" w:type="dxa"/>
            <w:tcBorders>
              <w:top w:val="nil"/>
              <w:left w:val="nil"/>
              <w:bottom w:val="nil"/>
              <w:right w:val="nil"/>
            </w:tcBorders>
            <w:shd w:val="clear" w:color="auto" w:fill="auto"/>
            <w:noWrap/>
            <w:tcMar>
              <w:left w:w="28" w:type="dxa"/>
              <w:right w:w="28" w:type="dxa"/>
            </w:tcMa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w:t>
            </w:r>
          </w:p>
        </w:tc>
        <w:tc>
          <w:tcPr>
            <w:tcW w:w="1976" w:type="dxa"/>
            <w:tcBorders>
              <w:top w:val="nil"/>
              <w:left w:val="nil"/>
              <w:bottom w:val="nil"/>
              <w:right w:val="nil"/>
            </w:tcBorders>
            <w:shd w:val="clear" w:color="auto" w:fill="auto"/>
            <w:noWrap/>
            <w:tcMar>
              <w:left w:w="28" w:type="dxa"/>
              <w:right w:w="28" w:type="dxa"/>
            </w:tcMa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2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p>
        </w:tc>
        <w:tc>
          <w:tcPr>
            <w:tcW w:w="1976"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108 </w:t>
            </w:r>
          </w:p>
        </w:tc>
        <w:tc>
          <w:tcPr>
            <w:tcW w:w="1976"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100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Текущи задължения</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Задължения към доставчици и други кредитори</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92 692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266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Задължения за данъци</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195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52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Задължения към персонала и социалното осигуряване</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214 </w:t>
            </w: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104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p>
        </w:tc>
        <w:tc>
          <w:tcPr>
            <w:tcW w:w="1976"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1923AD" w:rsidRPr="008923B7" w:rsidRDefault="001923AD" w:rsidP="001923AD">
            <w:pPr>
              <w:spacing w:line="240" w:lineRule="auto"/>
              <w:jc w:val="right"/>
              <w:rPr>
                <w:b/>
                <w:bCs/>
                <w:color w:val="000000"/>
                <w:sz w:val="20"/>
                <w:szCs w:val="20"/>
              </w:rPr>
            </w:pPr>
            <w:r>
              <w:rPr>
                <w:b/>
                <w:bCs/>
                <w:color w:val="000000"/>
                <w:sz w:val="20"/>
                <w:szCs w:val="20"/>
              </w:rPr>
              <w:t xml:space="preserve"> </w:t>
            </w:r>
            <w:r w:rsidRPr="008923B7">
              <w:rPr>
                <w:b/>
                <w:bCs/>
                <w:color w:val="000000"/>
                <w:sz w:val="20"/>
                <w:szCs w:val="20"/>
              </w:rPr>
              <w:t xml:space="preserve"> 93 101 </w:t>
            </w:r>
          </w:p>
        </w:tc>
        <w:tc>
          <w:tcPr>
            <w:tcW w:w="1976"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1923AD" w:rsidRPr="008923B7" w:rsidRDefault="001923AD" w:rsidP="001923AD">
            <w:pPr>
              <w:spacing w:line="240" w:lineRule="auto"/>
              <w:jc w:val="right"/>
              <w:rPr>
                <w:b/>
                <w:bCs/>
                <w:color w:val="000000"/>
                <w:sz w:val="20"/>
                <w:szCs w:val="20"/>
              </w:rPr>
            </w:pPr>
            <w:r>
              <w:rPr>
                <w:b/>
                <w:bCs/>
                <w:color w:val="000000"/>
                <w:sz w:val="20"/>
                <w:szCs w:val="20"/>
              </w:rPr>
              <w:t xml:space="preserve"> </w:t>
            </w:r>
            <w:r w:rsidRPr="008923B7">
              <w:rPr>
                <w:b/>
                <w:bCs/>
                <w:color w:val="000000"/>
                <w:sz w:val="20"/>
                <w:szCs w:val="20"/>
              </w:rPr>
              <w:t xml:space="preserve">422 </w:t>
            </w: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color w:val="000000"/>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9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638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 xml:space="preserve">ОБЩО СОБСТВЕН КАПИТАЛ И ПАСИВИ </w:t>
            </w:r>
          </w:p>
        </w:tc>
        <w:tc>
          <w:tcPr>
            <w:tcW w:w="1976" w:type="dxa"/>
            <w:tcBorders>
              <w:top w:val="single" w:sz="4" w:space="0" w:color="auto"/>
              <w:left w:val="nil"/>
              <w:bottom w:val="double" w:sz="6"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106 547 </w:t>
            </w:r>
          </w:p>
        </w:tc>
        <w:tc>
          <w:tcPr>
            <w:tcW w:w="1976" w:type="dxa"/>
            <w:tcBorders>
              <w:top w:val="single" w:sz="4" w:space="0" w:color="auto"/>
              <w:left w:val="nil"/>
              <w:bottom w:val="double" w:sz="6"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10 762 </w:t>
            </w:r>
          </w:p>
        </w:tc>
      </w:tr>
    </w:tbl>
    <w:p w:rsidR="007D0731" w:rsidRPr="000B697A" w:rsidRDefault="007D0731" w:rsidP="00281505">
      <w:pPr>
        <w:pStyle w:val="a1"/>
        <w:rPr>
          <w:rFonts w:cs="Calibri"/>
        </w:rPr>
      </w:pPr>
    </w:p>
    <w:p w:rsidR="000322B0" w:rsidRPr="000B697A" w:rsidRDefault="00010F33" w:rsidP="00281505">
      <w:pPr>
        <w:rPr>
          <w:rFonts w:cs="Calibri"/>
        </w:rPr>
      </w:pPr>
      <w:r w:rsidRPr="000B697A">
        <w:rPr>
          <w:rFonts w:cs="Calibri"/>
        </w:rPr>
        <w:br w:type="page"/>
      </w:r>
    </w:p>
    <w:tbl>
      <w:tblPr>
        <w:tblW w:w="10507" w:type="dxa"/>
        <w:jc w:val="center"/>
        <w:tblCellMar>
          <w:left w:w="70" w:type="dxa"/>
          <w:right w:w="70" w:type="dxa"/>
        </w:tblCellMar>
        <w:tblLook w:val="04A0" w:firstRow="1" w:lastRow="0" w:firstColumn="1" w:lastColumn="0" w:noHBand="0" w:noVBand="1"/>
      </w:tblPr>
      <w:tblGrid>
        <w:gridCol w:w="7755"/>
        <w:gridCol w:w="1376"/>
        <w:gridCol w:w="1376"/>
      </w:tblGrid>
      <w:tr w:rsidR="001923AD" w:rsidRPr="008923B7" w:rsidTr="001923AD">
        <w:trPr>
          <w:trHeight w:val="170"/>
          <w:jc w:val="center"/>
        </w:trPr>
        <w:tc>
          <w:tcPr>
            <w:tcW w:w="7755"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lastRenderedPageBreak/>
              <w:t>ГРУПА БЪЛГАРСКА ФОНДОВА БОРСА</w:t>
            </w:r>
            <w:r>
              <w:rPr>
                <w:b/>
                <w:bCs/>
                <w:sz w:val="20"/>
                <w:szCs w:val="20"/>
              </w:rPr>
              <w:t xml:space="preserve"> </w:t>
            </w: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sz w:val="20"/>
                <w:szCs w:val="20"/>
              </w:rPr>
            </w:pP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 xml:space="preserve"> КОНСОЛИДИРАН ОТЧЕТ ЗА ВСЕОБХВАТНИЯ ДОХОД  </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color w:val="000000"/>
                <w:sz w:val="20"/>
                <w:szCs w:val="20"/>
              </w:rPr>
            </w:pPr>
            <w:r w:rsidRPr="008923B7">
              <w:rPr>
                <w:b/>
                <w:bCs/>
                <w:color w:val="000000"/>
                <w:sz w:val="20"/>
                <w:szCs w:val="20"/>
              </w:rPr>
              <w:t>за годината, завършваща на  31 декември 2018  година</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i/>
                <w:iCs/>
                <w:color w:val="000000"/>
                <w:sz w:val="20"/>
                <w:szCs w:val="20"/>
                <w:lang w:val="en-US"/>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b/>
                <w:bCs/>
                <w:sz w:val="20"/>
                <w:szCs w:val="20"/>
              </w:rPr>
            </w:pPr>
            <w:r w:rsidRPr="008923B7">
              <w:rPr>
                <w:b/>
                <w:bCs/>
                <w:sz w:val="20"/>
                <w:szCs w:val="20"/>
              </w:rPr>
              <w:t>2018</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b/>
                <w:bCs/>
                <w:sz w:val="20"/>
                <w:szCs w:val="20"/>
              </w:rPr>
            </w:pPr>
            <w:r w:rsidRPr="008923B7">
              <w:rPr>
                <w:b/>
                <w:bCs/>
                <w:sz w:val="20"/>
                <w:szCs w:val="20"/>
              </w:rPr>
              <w:t>2017</w:t>
            </w: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b/>
                <w:bCs/>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b/>
                <w:bCs/>
                <w:color w:val="000000"/>
                <w:sz w:val="20"/>
                <w:szCs w:val="20"/>
              </w:rPr>
            </w:pPr>
            <w:r w:rsidRPr="008923B7">
              <w:rPr>
                <w:b/>
                <w:bCs/>
                <w:color w:val="000000"/>
                <w:sz w:val="20"/>
                <w:szCs w:val="20"/>
              </w:rPr>
              <w:t>BGN'000</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center"/>
              <w:rPr>
                <w:b/>
                <w:bCs/>
                <w:color w:val="000000"/>
                <w:sz w:val="20"/>
                <w:szCs w:val="20"/>
              </w:rPr>
            </w:pPr>
            <w:r w:rsidRPr="008923B7">
              <w:rPr>
                <w:b/>
                <w:bCs/>
                <w:color w:val="000000"/>
                <w:sz w:val="20"/>
                <w:szCs w:val="20"/>
              </w:rPr>
              <w:t>BGN'000</w:t>
            </w: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color w:val="000000"/>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Приходи от договори с клиенти</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8 810 </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2 231 </w:t>
            </w: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Други доходи от дейността</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357 </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58 </w:t>
            </w: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Разходи за материали и консумативи</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(53)</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(19)</w:t>
            </w: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Разходи за външни услуги</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(2 126)</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(794)</w:t>
            </w: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Разходи за амортизации</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(260)</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(97)</w:t>
            </w: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Разходи за персонала</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(2 208)</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(1 238)</w:t>
            </w: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Други разходи за дейността</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(1 477)</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(113)</w:t>
            </w: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Печалба/(Загуба) от оперативна дейност</w:t>
            </w:r>
          </w:p>
        </w:tc>
        <w:tc>
          <w:tcPr>
            <w:tcW w:w="1376" w:type="dxa"/>
            <w:tcBorders>
              <w:top w:val="single" w:sz="4" w:space="0" w:color="auto"/>
              <w:left w:val="nil"/>
              <w:bottom w:val="double" w:sz="6"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3 043 </w:t>
            </w:r>
          </w:p>
        </w:tc>
        <w:tc>
          <w:tcPr>
            <w:tcW w:w="1376" w:type="dxa"/>
            <w:tcBorders>
              <w:top w:val="single" w:sz="4" w:space="0" w:color="auto"/>
              <w:left w:val="nil"/>
              <w:bottom w:val="double" w:sz="6"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28 </w:t>
            </w: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Финансови приходи</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670 </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187 </w:t>
            </w: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Финансови разходи</w:t>
            </w: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(53)</w:t>
            </w: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w:t>
            </w:r>
            <w:r>
              <w:rPr>
                <w:sz w:val="20"/>
                <w:szCs w:val="20"/>
              </w:rPr>
              <w:t xml:space="preserve"> </w:t>
            </w: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b/>
                <w:bCs/>
                <w:color w:val="000000"/>
                <w:sz w:val="20"/>
                <w:szCs w:val="20"/>
              </w:rPr>
            </w:pPr>
            <w:r w:rsidRPr="008923B7">
              <w:rPr>
                <w:b/>
                <w:bCs/>
                <w:color w:val="000000"/>
                <w:sz w:val="20"/>
                <w:szCs w:val="20"/>
              </w:rPr>
              <w:t>Финансови приходи/(разходи), нетно</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617 </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187 </w:t>
            </w: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right"/>
              <w:rPr>
                <w:b/>
                <w:bCs/>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Дял в загубата / печалбата на съвместни дружества при прилагане на метода на собствения капитал</w:t>
            </w: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(21)</w:t>
            </w: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(14)</w:t>
            </w: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right"/>
              <w:rPr>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b/>
                <w:bCs/>
                <w:color w:val="000000"/>
                <w:sz w:val="20"/>
                <w:szCs w:val="20"/>
              </w:rPr>
            </w:pPr>
            <w:r w:rsidRPr="008923B7">
              <w:rPr>
                <w:b/>
                <w:bCs/>
                <w:color w:val="000000"/>
                <w:sz w:val="20"/>
                <w:szCs w:val="20"/>
              </w:rPr>
              <w:t>Печалба преди данък върху печалбата</w:t>
            </w:r>
          </w:p>
        </w:tc>
        <w:tc>
          <w:tcPr>
            <w:tcW w:w="1376"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3 639 </w:t>
            </w:r>
          </w:p>
        </w:tc>
        <w:tc>
          <w:tcPr>
            <w:tcW w:w="1376"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201 </w:t>
            </w: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right"/>
              <w:rPr>
                <w:b/>
                <w:bCs/>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color w:val="000000"/>
                <w:sz w:val="20"/>
                <w:szCs w:val="20"/>
              </w:rPr>
            </w:pPr>
            <w:r w:rsidRPr="008923B7">
              <w:rPr>
                <w:color w:val="000000"/>
                <w:sz w:val="20"/>
                <w:szCs w:val="20"/>
              </w:rPr>
              <w:t>Икономия от данък печалба /(Разход) за данък печалба</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(347)</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 </w:t>
            </w: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Нетна печалба за годината</w:t>
            </w:r>
          </w:p>
        </w:tc>
        <w:tc>
          <w:tcPr>
            <w:tcW w:w="1376"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3 292 </w:t>
            </w:r>
          </w:p>
        </w:tc>
        <w:tc>
          <w:tcPr>
            <w:tcW w:w="1376"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202 </w:t>
            </w: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color w:val="000000"/>
                <w:sz w:val="20"/>
                <w:szCs w:val="20"/>
              </w:rPr>
            </w:pPr>
            <w:r w:rsidRPr="008923B7">
              <w:rPr>
                <w:b/>
                <w:bCs/>
                <w:color w:val="000000"/>
                <w:sz w:val="20"/>
                <w:szCs w:val="20"/>
              </w:rPr>
              <w:t>Други компоненти на всеобхватния доход:</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b/>
                <w:bCs/>
                <w:i/>
                <w:iCs/>
                <w:color w:val="000000"/>
                <w:sz w:val="20"/>
                <w:szCs w:val="20"/>
              </w:rPr>
            </w:pPr>
            <w:r w:rsidRPr="008923B7">
              <w:rPr>
                <w:b/>
                <w:bCs/>
                <w:i/>
                <w:iCs/>
                <w:color w:val="000000"/>
                <w:sz w:val="20"/>
                <w:szCs w:val="20"/>
              </w:rPr>
              <w:t xml:space="preserve">Компоненти, които няма да бъдат </w:t>
            </w:r>
            <w:proofErr w:type="spellStart"/>
            <w:r w:rsidRPr="008923B7">
              <w:rPr>
                <w:b/>
                <w:bCs/>
                <w:i/>
                <w:iCs/>
                <w:color w:val="000000"/>
                <w:sz w:val="20"/>
                <w:szCs w:val="20"/>
              </w:rPr>
              <w:t>рекласифицирани</w:t>
            </w:r>
            <w:proofErr w:type="spellEnd"/>
            <w:r w:rsidRPr="008923B7">
              <w:rPr>
                <w:b/>
                <w:bCs/>
                <w:i/>
                <w:iCs/>
                <w:color w:val="000000"/>
                <w:sz w:val="20"/>
                <w:szCs w:val="20"/>
              </w:rPr>
              <w:t xml:space="preserve"> в печалбата или загубата:</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color w:val="000000"/>
                <w:sz w:val="20"/>
                <w:szCs w:val="20"/>
              </w:rPr>
            </w:pPr>
            <w:r w:rsidRPr="008923B7">
              <w:rPr>
                <w:color w:val="000000"/>
                <w:sz w:val="20"/>
                <w:szCs w:val="20"/>
              </w:rPr>
              <w:t>Последващи оценки на пенсионни планове с дефинирани доходи</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1 </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(18)</w:t>
            </w: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 xml:space="preserve">Нетна промяна в справедливата стойност на финансови активи оценявани по справедлива стойност, които няма да бъдат </w:t>
            </w:r>
            <w:proofErr w:type="spellStart"/>
            <w:r w:rsidRPr="008923B7">
              <w:rPr>
                <w:sz w:val="20"/>
                <w:szCs w:val="20"/>
              </w:rPr>
              <w:t>рекласифицирани</w:t>
            </w:r>
            <w:proofErr w:type="spellEnd"/>
            <w:r w:rsidRPr="008923B7">
              <w:rPr>
                <w:sz w:val="20"/>
                <w:szCs w:val="20"/>
              </w:rPr>
              <w:t xml:space="preserve"> в печалбата или загубата</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(4)</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13 </w:t>
            </w: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right"/>
              <w:rPr>
                <w:b/>
                <w:bCs/>
                <w:sz w:val="20"/>
                <w:szCs w:val="20"/>
              </w:rPr>
            </w:pPr>
          </w:p>
        </w:tc>
        <w:tc>
          <w:tcPr>
            <w:tcW w:w="1376"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(3)</w:t>
            </w:r>
          </w:p>
        </w:tc>
        <w:tc>
          <w:tcPr>
            <w:tcW w:w="1376"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(5)</w:t>
            </w: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b/>
                <w:bCs/>
                <w:i/>
                <w:iCs/>
                <w:color w:val="000000"/>
                <w:sz w:val="20"/>
                <w:szCs w:val="20"/>
              </w:rPr>
            </w:pPr>
            <w:r w:rsidRPr="008923B7">
              <w:rPr>
                <w:b/>
                <w:bCs/>
                <w:i/>
                <w:iCs/>
                <w:color w:val="000000"/>
                <w:sz w:val="20"/>
                <w:szCs w:val="20"/>
              </w:rPr>
              <w:t xml:space="preserve">Компоненти, които могат да бъдат </w:t>
            </w:r>
            <w:proofErr w:type="spellStart"/>
            <w:r w:rsidRPr="008923B7">
              <w:rPr>
                <w:b/>
                <w:bCs/>
                <w:i/>
                <w:iCs/>
                <w:color w:val="000000"/>
                <w:sz w:val="20"/>
                <w:szCs w:val="20"/>
              </w:rPr>
              <w:t>рекласифицирани</w:t>
            </w:r>
            <w:proofErr w:type="spellEnd"/>
            <w:r w:rsidRPr="008923B7">
              <w:rPr>
                <w:b/>
                <w:bCs/>
                <w:i/>
                <w:iCs/>
                <w:color w:val="000000"/>
                <w:sz w:val="20"/>
                <w:szCs w:val="20"/>
              </w:rPr>
              <w:t xml:space="preserve"> в печалбата или загубата:</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Нетна промяна в справедливата стойност на финансови активи оценявани по справедлива стойност</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(42)</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84 </w:t>
            </w: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 xml:space="preserve">Данък върху доходите, свързан с компонентите на другия всеобхватен доход, които могат да бъдат </w:t>
            </w:r>
            <w:proofErr w:type="spellStart"/>
            <w:r w:rsidRPr="008923B7">
              <w:rPr>
                <w:sz w:val="20"/>
                <w:szCs w:val="20"/>
              </w:rPr>
              <w:t>рекласифицирани</w:t>
            </w:r>
            <w:proofErr w:type="spellEnd"/>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5 </w:t>
            </w: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(10)</w:t>
            </w: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sz w:val="20"/>
                <w:szCs w:val="20"/>
              </w:rPr>
            </w:pP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color w:val="000000"/>
                <w:sz w:val="20"/>
                <w:szCs w:val="20"/>
              </w:rPr>
            </w:pPr>
            <w:r>
              <w:rPr>
                <w:b/>
                <w:bCs/>
                <w:color w:val="000000"/>
                <w:sz w:val="20"/>
                <w:szCs w:val="20"/>
              </w:rPr>
              <w:t xml:space="preserve"> </w:t>
            </w:r>
            <w:r w:rsidRPr="008923B7">
              <w:rPr>
                <w:b/>
                <w:bCs/>
                <w:color w:val="000000"/>
                <w:sz w:val="20"/>
                <w:szCs w:val="20"/>
              </w:rPr>
              <w:t>(37)</w:t>
            </w: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color w:val="000000"/>
                <w:sz w:val="20"/>
                <w:szCs w:val="20"/>
              </w:rPr>
            </w:pPr>
            <w:r>
              <w:rPr>
                <w:b/>
                <w:bCs/>
                <w:color w:val="000000"/>
                <w:sz w:val="20"/>
                <w:szCs w:val="20"/>
              </w:rPr>
              <w:t xml:space="preserve"> </w:t>
            </w:r>
            <w:r w:rsidRPr="008923B7">
              <w:rPr>
                <w:b/>
                <w:bCs/>
                <w:color w:val="000000"/>
                <w:sz w:val="20"/>
                <w:szCs w:val="20"/>
              </w:rPr>
              <w:t xml:space="preserve"> 74 </w:t>
            </w: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b/>
                <w:bCs/>
                <w:color w:val="000000"/>
                <w:sz w:val="20"/>
                <w:szCs w:val="20"/>
              </w:rPr>
            </w:pP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color w:val="000000"/>
                <w:sz w:val="20"/>
                <w:szCs w:val="20"/>
              </w:rPr>
            </w:pPr>
            <w:r w:rsidRPr="008923B7">
              <w:rPr>
                <w:color w:val="000000"/>
                <w:sz w:val="20"/>
                <w:szCs w:val="20"/>
              </w:rPr>
              <w:t> </w:t>
            </w: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color w:val="000000"/>
                <w:sz w:val="20"/>
                <w:szCs w:val="20"/>
              </w:rPr>
            </w:pPr>
            <w:r w:rsidRPr="008923B7">
              <w:rPr>
                <w:color w:val="000000"/>
                <w:sz w:val="20"/>
                <w:szCs w:val="20"/>
              </w:rPr>
              <w:t> </w:t>
            </w: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b/>
                <w:bCs/>
                <w:color w:val="000000"/>
                <w:sz w:val="20"/>
                <w:szCs w:val="20"/>
              </w:rPr>
            </w:pPr>
            <w:r w:rsidRPr="008923B7">
              <w:rPr>
                <w:b/>
                <w:bCs/>
                <w:color w:val="000000"/>
                <w:sz w:val="20"/>
                <w:szCs w:val="20"/>
              </w:rPr>
              <w:t>Друг всеобхватен доход за годината, нетно от данъци</w:t>
            </w: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color w:val="000000"/>
                <w:sz w:val="20"/>
                <w:szCs w:val="20"/>
              </w:rPr>
            </w:pPr>
            <w:r>
              <w:rPr>
                <w:b/>
                <w:bCs/>
                <w:color w:val="000000"/>
                <w:sz w:val="20"/>
                <w:szCs w:val="20"/>
              </w:rPr>
              <w:t xml:space="preserve"> </w:t>
            </w:r>
            <w:r w:rsidRPr="008923B7">
              <w:rPr>
                <w:b/>
                <w:bCs/>
                <w:color w:val="000000"/>
                <w:sz w:val="20"/>
                <w:szCs w:val="20"/>
              </w:rPr>
              <w:t>(40)</w:t>
            </w: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color w:val="000000"/>
                <w:sz w:val="20"/>
                <w:szCs w:val="20"/>
              </w:rPr>
            </w:pPr>
            <w:r>
              <w:rPr>
                <w:b/>
                <w:bCs/>
                <w:color w:val="000000"/>
                <w:sz w:val="20"/>
                <w:szCs w:val="20"/>
              </w:rPr>
              <w:t xml:space="preserve"> </w:t>
            </w:r>
            <w:r w:rsidRPr="008923B7">
              <w:rPr>
                <w:b/>
                <w:bCs/>
                <w:color w:val="000000"/>
                <w:sz w:val="20"/>
                <w:szCs w:val="20"/>
              </w:rPr>
              <w:t xml:space="preserve"> 69 </w:t>
            </w: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b/>
                <w:bCs/>
                <w:color w:val="000000"/>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b/>
                <w:bCs/>
                <w:color w:val="000000"/>
                <w:sz w:val="20"/>
                <w:szCs w:val="20"/>
              </w:rPr>
            </w:pPr>
            <w:r w:rsidRPr="008923B7">
              <w:rPr>
                <w:b/>
                <w:bCs/>
                <w:color w:val="000000"/>
                <w:sz w:val="20"/>
                <w:szCs w:val="20"/>
              </w:rPr>
              <w:t>ОБЩО ВСЕОБХВАТЕН ДОХОД ЗА ГОДИНАТА</w:t>
            </w:r>
          </w:p>
        </w:tc>
        <w:tc>
          <w:tcPr>
            <w:tcW w:w="1376" w:type="dxa"/>
            <w:tcBorders>
              <w:top w:val="single" w:sz="4" w:space="0" w:color="auto"/>
              <w:left w:val="nil"/>
              <w:bottom w:val="double" w:sz="6"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color w:val="000000"/>
                <w:sz w:val="20"/>
                <w:szCs w:val="20"/>
              </w:rPr>
            </w:pPr>
            <w:r>
              <w:rPr>
                <w:b/>
                <w:bCs/>
                <w:color w:val="000000"/>
                <w:sz w:val="20"/>
                <w:szCs w:val="20"/>
              </w:rPr>
              <w:t xml:space="preserve"> </w:t>
            </w:r>
            <w:r w:rsidRPr="008923B7">
              <w:rPr>
                <w:b/>
                <w:bCs/>
                <w:color w:val="000000"/>
                <w:sz w:val="20"/>
                <w:szCs w:val="20"/>
              </w:rPr>
              <w:t xml:space="preserve">3 252 </w:t>
            </w:r>
          </w:p>
        </w:tc>
        <w:tc>
          <w:tcPr>
            <w:tcW w:w="1376" w:type="dxa"/>
            <w:tcBorders>
              <w:top w:val="single" w:sz="4" w:space="0" w:color="auto"/>
              <w:left w:val="nil"/>
              <w:bottom w:val="double" w:sz="6"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color w:val="000000"/>
                <w:sz w:val="20"/>
                <w:szCs w:val="20"/>
              </w:rPr>
            </w:pPr>
            <w:r>
              <w:rPr>
                <w:b/>
                <w:bCs/>
                <w:color w:val="000000"/>
                <w:sz w:val="20"/>
                <w:szCs w:val="20"/>
              </w:rPr>
              <w:t xml:space="preserve"> </w:t>
            </w:r>
            <w:r w:rsidRPr="008923B7">
              <w:rPr>
                <w:b/>
                <w:bCs/>
                <w:color w:val="000000"/>
                <w:sz w:val="20"/>
                <w:szCs w:val="20"/>
              </w:rPr>
              <w:t xml:space="preserve"> 271 </w:t>
            </w: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color w:val="000000"/>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color w:val="000000"/>
                <w:sz w:val="20"/>
                <w:szCs w:val="20"/>
              </w:rPr>
            </w:pPr>
            <w:r w:rsidRPr="008923B7">
              <w:rPr>
                <w:b/>
                <w:bCs/>
                <w:color w:val="000000"/>
                <w:sz w:val="20"/>
                <w:szCs w:val="20"/>
              </w:rPr>
              <w:t xml:space="preserve">Нетна печалба за годината, отнасяща се към: </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color w:val="000000"/>
                <w:sz w:val="20"/>
                <w:szCs w:val="20"/>
              </w:rPr>
            </w:pPr>
            <w:r w:rsidRPr="008923B7">
              <w:rPr>
                <w:color w:val="000000"/>
                <w:sz w:val="20"/>
                <w:szCs w:val="20"/>
              </w:rPr>
              <w:t>Притежателите на собствения капитал на дружеството-майка</w:t>
            </w: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3 292 </w:t>
            </w: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202 </w:t>
            </w: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left"/>
              <w:rPr>
                <w:b/>
                <w:bCs/>
                <w:color w:val="000000"/>
                <w:sz w:val="20"/>
                <w:szCs w:val="20"/>
              </w:rPr>
            </w:pPr>
            <w:r w:rsidRPr="008923B7">
              <w:rPr>
                <w:b/>
                <w:bCs/>
                <w:color w:val="000000"/>
                <w:sz w:val="20"/>
                <w:szCs w:val="20"/>
              </w:rPr>
              <w:t>Общ всеобхватен доход, отнасящ се към:</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color w:val="000000"/>
                <w:sz w:val="20"/>
                <w:szCs w:val="20"/>
              </w:rPr>
            </w:pPr>
            <w:r w:rsidRPr="008923B7">
              <w:rPr>
                <w:color w:val="000000"/>
                <w:sz w:val="20"/>
                <w:szCs w:val="20"/>
              </w:rPr>
              <w:t>Притежателите на собствения капитал на дружеството-майка</w:t>
            </w: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3 252 </w:t>
            </w:r>
          </w:p>
        </w:tc>
        <w:tc>
          <w:tcPr>
            <w:tcW w:w="1376" w:type="dxa"/>
            <w:tcBorders>
              <w:top w:val="nil"/>
              <w:left w:val="nil"/>
              <w:bottom w:val="single" w:sz="4" w:space="0" w:color="auto"/>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271 </w:t>
            </w:r>
          </w:p>
        </w:tc>
      </w:tr>
      <w:tr w:rsidR="001923AD" w:rsidRPr="008923B7" w:rsidTr="001923AD">
        <w:trPr>
          <w:trHeight w:val="170"/>
          <w:jc w:val="center"/>
        </w:trPr>
        <w:tc>
          <w:tcPr>
            <w:tcW w:w="7755"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b/>
                <w:bCs/>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755" w:type="dxa"/>
            <w:tcBorders>
              <w:top w:val="nil"/>
              <w:left w:val="nil"/>
              <w:bottom w:val="nil"/>
              <w:right w:val="nil"/>
            </w:tcBorders>
            <w:shd w:val="clear" w:color="auto" w:fill="auto"/>
            <w:tcMar>
              <w:left w:w="28" w:type="dxa"/>
              <w:right w:w="28" w:type="dxa"/>
            </w:tcMar>
            <w:vAlign w:val="center"/>
            <w:hideMark/>
          </w:tcPr>
          <w:p w:rsidR="001923AD" w:rsidRPr="008923B7" w:rsidRDefault="001923AD" w:rsidP="001923AD">
            <w:pPr>
              <w:spacing w:line="240" w:lineRule="auto"/>
              <w:jc w:val="left"/>
              <w:rPr>
                <w:sz w:val="20"/>
                <w:szCs w:val="20"/>
              </w:rPr>
            </w:pPr>
            <w:r w:rsidRPr="008923B7">
              <w:rPr>
                <w:sz w:val="20"/>
                <w:szCs w:val="20"/>
              </w:rPr>
              <w:t xml:space="preserve">Доход на акция  </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0.50 </w:t>
            </w:r>
          </w:p>
        </w:tc>
        <w:tc>
          <w:tcPr>
            <w:tcW w:w="1376" w:type="dxa"/>
            <w:tcBorders>
              <w:top w:val="nil"/>
              <w:left w:val="nil"/>
              <w:bottom w:val="nil"/>
              <w:right w:val="nil"/>
            </w:tcBorders>
            <w:shd w:val="clear" w:color="auto" w:fill="auto"/>
            <w:noWrap/>
            <w:tcMar>
              <w:left w:w="28" w:type="dxa"/>
              <w:right w:w="28"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0.03 </w:t>
            </w:r>
          </w:p>
        </w:tc>
      </w:tr>
    </w:tbl>
    <w:p w:rsidR="007D299D" w:rsidRPr="000B697A" w:rsidRDefault="007D299D" w:rsidP="00281505">
      <w:pPr>
        <w:pStyle w:val="a1"/>
        <w:rPr>
          <w:rFonts w:cs="Calibri"/>
        </w:rPr>
      </w:pPr>
    </w:p>
    <w:p w:rsidR="007D0731" w:rsidRPr="000B697A" w:rsidRDefault="00010F33" w:rsidP="00281505">
      <w:pPr>
        <w:pStyle w:val="a2"/>
        <w:rPr>
          <w:rStyle w:val="PageNumber"/>
          <w:rFonts w:cs="Calibri"/>
          <w:b/>
          <w:i w:val="0"/>
          <w:sz w:val="22"/>
        </w:rPr>
      </w:pPr>
      <w:r w:rsidRPr="000B697A">
        <w:rPr>
          <w:rStyle w:val="PageNumber"/>
          <w:rFonts w:cs="Calibri"/>
          <w:b/>
          <w:i w:val="0"/>
          <w:sz w:val="22"/>
        </w:rPr>
        <w:br w:type="page"/>
      </w:r>
    </w:p>
    <w:tbl>
      <w:tblPr>
        <w:tblW w:w="9859" w:type="dxa"/>
        <w:jc w:val="center"/>
        <w:tblCellMar>
          <w:left w:w="70" w:type="dxa"/>
          <w:right w:w="70" w:type="dxa"/>
        </w:tblCellMar>
        <w:tblLook w:val="04A0" w:firstRow="1" w:lastRow="0" w:firstColumn="1" w:lastColumn="0" w:noHBand="0" w:noVBand="1"/>
      </w:tblPr>
      <w:tblGrid>
        <w:gridCol w:w="7396"/>
        <w:gridCol w:w="1359"/>
        <w:gridCol w:w="1104"/>
      </w:tblGrid>
      <w:tr w:rsidR="001923AD" w:rsidRPr="008923B7" w:rsidTr="001923AD">
        <w:trPr>
          <w:trHeight w:val="170"/>
          <w:jc w:val="center"/>
        </w:trPr>
        <w:tc>
          <w:tcPr>
            <w:tcW w:w="7396" w:type="dxa"/>
            <w:tcBorders>
              <w:top w:val="nil"/>
              <w:left w:val="nil"/>
              <w:bottom w:val="single" w:sz="4" w:space="0" w:color="auto"/>
              <w:right w:val="nil"/>
            </w:tcBorders>
            <w:shd w:val="clear" w:color="auto" w:fill="auto"/>
            <w:noWrap/>
            <w:tcMar>
              <w:left w:w="28" w:type="dxa"/>
              <w:right w:w="57"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lastRenderedPageBreak/>
              <w:t xml:space="preserve">ГРУПА БЪЛГАРСКА ФОНДОВА БОРСА </w:t>
            </w:r>
          </w:p>
        </w:tc>
        <w:tc>
          <w:tcPr>
            <w:tcW w:w="1359" w:type="dxa"/>
            <w:tcBorders>
              <w:top w:val="nil"/>
              <w:left w:val="nil"/>
              <w:bottom w:val="single" w:sz="4" w:space="0" w:color="auto"/>
              <w:right w:val="nil"/>
            </w:tcBorders>
            <w:shd w:val="clear" w:color="auto" w:fill="auto"/>
            <w:noWrap/>
            <w:tcMar>
              <w:left w:w="28" w:type="dxa"/>
              <w:right w:w="57" w:type="dxa"/>
            </w:tcMar>
            <w:vAlign w:val="center"/>
            <w:hideMark/>
          </w:tcPr>
          <w:p w:rsidR="001923AD" w:rsidRPr="008923B7" w:rsidRDefault="001923AD" w:rsidP="001923AD">
            <w:pPr>
              <w:spacing w:line="240" w:lineRule="auto"/>
              <w:jc w:val="left"/>
              <w:rPr>
                <w:rFonts w:ascii="Times New Roman" w:hAnsi="Times New Roman"/>
                <w:sz w:val="20"/>
                <w:szCs w:val="20"/>
              </w:rPr>
            </w:pPr>
          </w:p>
        </w:tc>
        <w:tc>
          <w:tcPr>
            <w:tcW w:w="1104" w:type="dxa"/>
            <w:tcBorders>
              <w:top w:val="nil"/>
              <w:left w:val="nil"/>
              <w:bottom w:val="single" w:sz="4" w:space="0" w:color="auto"/>
              <w:right w:val="nil"/>
            </w:tcBorders>
            <w:shd w:val="clear" w:color="auto" w:fill="auto"/>
            <w:noWrap/>
            <w:tcMar>
              <w:left w:w="28" w:type="dxa"/>
              <w:right w:w="57" w:type="dxa"/>
            </w:tcMar>
            <w:vAlign w:val="center"/>
            <w:hideMark/>
          </w:tcPr>
          <w:p w:rsidR="001923AD" w:rsidRPr="008923B7" w:rsidRDefault="001923AD" w:rsidP="001923AD">
            <w:pPr>
              <w:spacing w:line="240" w:lineRule="auto"/>
              <w:jc w:val="left"/>
              <w:rPr>
                <w:rFonts w:ascii="Times New Roman" w:hAnsi="Times New Roman"/>
                <w:sz w:val="20"/>
                <w:szCs w:val="20"/>
              </w:rPr>
            </w:pPr>
          </w:p>
        </w:tc>
      </w:tr>
      <w:tr w:rsidR="001923AD" w:rsidRPr="008923B7" w:rsidTr="001923AD">
        <w:trPr>
          <w:trHeight w:val="170"/>
          <w:jc w:val="center"/>
        </w:trPr>
        <w:tc>
          <w:tcPr>
            <w:tcW w:w="7396" w:type="dxa"/>
            <w:tcBorders>
              <w:top w:val="single" w:sz="4" w:space="0" w:color="auto"/>
              <w:left w:val="nil"/>
              <w:bottom w:val="nil"/>
              <w:right w:val="nil"/>
            </w:tcBorders>
            <w:shd w:val="clear" w:color="auto" w:fill="auto"/>
            <w:noWrap/>
            <w:tcMar>
              <w:left w:w="28" w:type="dxa"/>
              <w:right w:w="57"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 xml:space="preserve">КОНСОЛИДИРАН ОТЧЕТ ЗА ПАРИЧНИТЕ ПОТОЦИ </w:t>
            </w:r>
          </w:p>
        </w:tc>
        <w:tc>
          <w:tcPr>
            <w:tcW w:w="1359" w:type="dxa"/>
            <w:tcBorders>
              <w:top w:val="single" w:sz="4" w:space="0" w:color="auto"/>
              <w:left w:val="nil"/>
              <w:bottom w:val="nil"/>
              <w:right w:val="nil"/>
            </w:tcBorders>
            <w:shd w:val="clear" w:color="auto" w:fill="auto"/>
            <w:noWrap/>
            <w:tcMar>
              <w:left w:w="28" w:type="dxa"/>
              <w:right w:w="57" w:type="dxa"/>
            </w:tcMar>
            <w:vAlign w:val="center"/>
            <w:hideMark/>
          </w:tcPr>
          <w:p w:rsidR="001923AD" w:rsidRPr="008923B7" w:rsidRDefault="001923AD" w:rsidP="001923AD">
            <w:pPr>
              <w:spacing w:line="240" w:lineRule="auto"/>
              <w:jc w:val="left"/>
              <w:rPr>
                <w:rFonts w:ascii="Times New Roman" w:hAnsi="Times New Roman"/>
                <w:sz w:val="20"/>
                <w:szCs w:val="20"/>
              </w:rPr>
            </w:pPr>
          </w:p>
        </w:tc>
        <w:tc>
          <w:tcPr>
            <w:tcW w:w="1104" w:type="dxa"/>
            <w:tcBorders>
              <w:top w:val="single" w:sz="4" w:space="0" w:color="auto"/>
              <w:left w:val="nil"/>
              <w:bottom w:val="nil"/>
              <w:right w:val="nil"/>
            </w:tcBorders>
            <w:shd w:val="clear" w:color="auto" w:fill="auto"/>
            <w:noWrap/>
            <w:tcMar>
              <w:left w:w="28" w:type="dxa"/>
              <w:right w:w="57" w:type="dxa"/>
            </w:tcMar>
            <w:vAlign w:val="center"/>
            <w:hideMark/>
          </w:tcPr>
          <w:p w:rsidR="001923AD" w:rsidRPr="008923B7" w:rsidRDefault="001923AD" w:rsidP="001923AD">
            <w:pPr>
              <w:spacing w:line="240" w:lineRule="auto"/>
              <w:jc w:val="left"/>
              <w:rPr>
                <w:rFonts w:ascii="Times New Roman" w:hAnsi="Times New Roman"/>
                <w:sz w:val="20"/>
                <w:szCs w:val="20"/>
              </w:rPr>
            </w:pPr>
          </w:p>
        </w:tc>
      </w:tr>
      <w:tr w:rsidR="001923AD" w:rsidRPr="008923B7" w:rsidTr="001923AD">
        <w:trPr>
          <w:trHeight w:val="170"/>
          <w:jc w:val="center"/>
        </w:trPr>
        <w:tc>
          <w:tcPr>
            <w:tcW w:w="7396" w:type="dxa"/>
            <w:tcBorders>
              <w:top w:val="nil"/>
              <w:left w:val="nil"/>
              <w:bottom w:val="nil"/>
              <w:right w:val="nil"/>
            </w:tcBorders>
            <w:shd w:val="clear" w:color="auto" w:fill="auto"/>
            <w:noWrap/>
            <w:tcMar>
              <w:left w:w="28" w:type="dxa"/>
              <w:right w:w="57" w:type="dxa"/>
            </w:tcMar>
            <w:vAlign w:val="center"/>
            <w:hideMark/>
          </w:tcPr>
          <w:p w:rsidR="001923AD" w:rsidRPr="008923B7" w:rsidRDefault="001923AD" w:rsidP="001923AD">
            <w:pPr>
              <w:spacing w:line="240" w:lineRule="auto"/>
              <w:jc w:val="left"/>
              <w:rPr>
                <w:b/>
                <w:bCs/>
                <w:color w:val="000000"/>
                <w:sz w:val="20"/>
                <w:szCs w:val="20"/>
              </w:rPr>
            </w:pPr>
            <w:r w:rsidRPr="008923B7">
              <w:rPr>
                <w:b/>
                <w:bCs/>
                <w:color w:val="000000"/>
                <w:sz w:val="20"/>
                <w:szCs w:val="20"/>
              </w:rPr>
              <w:t>за годината, завършваща на 31 декември 2018  година</w:t>
            </w:r>
          </w:p>
        </w:tc>
        <w:tc>
          <w:tcPr>
            <w:tcW w:w="1359" w:type="dxa"/>
            <w:tcBorders>
              <w:top w:val="nil"/>
              <w:left w:val="nil"/>
              <w:bottom w:val="nil"/>
              <w:right w:val="nil"/>
            </w:tcBorders>
            <w:shd w:val="clear" w:color="auto" w:fill="auto"/>
            <w:noWrap/>
            <w:tcMar>
              <w:left w:w="28" w:type="dxa"/>
              <w:right w:w="57" w:type="dxa"/>
            </w:tcMar>
            <w:vAlign w:val="center"/>
            <w:hideMark/>
          </w:tcPr>
          <w:p w:rsidR="001923AD" w:rsidRPr="008923B7" w:rsidRDefault="001923AD" w:rsidP="001923AD">
            <w:pPr>
              <w:spacing w:line="240" w:lineRule="auto"/>
              <w:jc w:val="left"/>
              <w:rPr>
                <w:rFonts w:ascii="Times New Roman" w:hAnsi="Times New Roman"/>
                <w:sz w:val="20"/>
                <w:szCs w:val="20"/>
              </w:rPr>
            </w:pPr>
          </w:p>
        </w:tc>
        <w:tc>
          <w:tcPr>
            <w:tcW w:w="1104" w:type="dxa"/>
            <w:tcBorders>
              <w:top w:val="nil"/>
              <w:left w:val="nil"/>
              <w:bottom w:val="nil"/>
              <w:right w:val="nil"/>
            </w:tcBorders>
            <w:shd w:val="clear" w:color="auto" w:fill="auto"/>
            <w:noWrap/>
            <w:tcMar>
              <w:left w:w="28" w:type="dxa"/>
              <w:right w:w="57" w:type="dxa"/>
            </w:tcMar>
            <w:vAlign w:val="center"/>
            <w:hideMark/>
          </w:tcPr>
          <w:p w:rsidR="001923AD" w:rsidRPr="008923B7" w:rsidRDefault="001923AD" w:rsidP="001923AD">
            <w:pPr>
              <w:spacing w:line="240" w:lineRule="auto"/>
              <w:jc w:val="left"/>
              <w:rPr>
                <w:rFonts w:ascii="Times New Roman" w:hAnsi="Times New Roman"/>
                <w:sz w:val="20"/>
                <w:szCs w:val="20"/>
              </w:rPr>
            </w:pP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rFonts w:ascii="Times New Roman" w:hAnsi="Times New Roman"/>
                <w:sz w:val="20"/>
                <w:szCs w:val="20"/>
              </w:rPr>
            </w:pPr>
          </w:p>
        </w:tc>
        <w:tc>
          <w:tcPr>
            <w:tcW w:w="1359" w:type="dxa"/>
            <w:tcBorders>
              <w:top w:val="nil"/>
              <w:left w:val="nil"/>
              <w:bottom w:val="nil"/>
              <w:right w:val="nil"/>
            </w:tcBorders>
            <w:shd w:val="clear" w:color="auto" w:fill="auto"/>
            <w:noWrap/>
            <w:tcMar>
              <w:left w:w="28" w:type="dxa"/>
              <w:right w:w="57" w:type="dxa"/>
            </w:tcMar>
            <w:vAlign w:val="center"/>
            <w:hideMark/>
          </w:tcPr>
          <w:p w:rsidR="001923AD" w:rsidRPr="008923B7" w:rsidRDefault="001923AD" w:rsidP="001923AD">
            <w:pPr>
              <w:spacing w:line="240" w:lineRule="auto"/>
              <w:jc w:val="left"/>
              <w:rPr>
                <w:rFonts w:ascii="Times New Roman" w:hAnsi="Times New Roman"/>
                <w:sz w:val="20"/>
                <w:szCs w:val="20"/>
              </w:rPr>
            </w:pPr>
          </w:p>
        </w:tc>
        <w:tc>
          <w:tcPr>
            <w:tcW w:w="1104" w:type="dxa"/>
            <w:tcBorders>
              <w:top w:val="nil"/>
              <w:left w:val="nil"/>
              <w:bottom w:val="nil"/>
              <w:right w:val="nil"/>
            </w:tcBorders>
            <w:shd w:val="clear" w:color="auto" w:fill="auto"/>
            <w:noWrap/>
            <w:tcMar>
              <w:left w:w="28" w:type="dxa"/>
              <w:right w:w="57" w:type="dxa"/>
            </w:tcMar>
            <w:vAlign w:val="center"/>
            <w:hideMark/>
          </w:tcPr>
          <w:p w:rsidR="001923AD" w:rsidRPr="008923B7" w:rsidRDefault="001923AD" w:rsidP="001923AD">
            <w:pPr>
              <w:spacing w:line="240" w:lineRule="auto"/>
              <w:jc w:val="left"/>
              <w:rPr>
                <w:rFonts w:ascii="Times New Roman" w:hAnsi="Times New Roman"/>
                <w:sz w:val="20"/>
                <w:szCs w:val="20"/>
              </w:rPr>
            </w:pPr>
          </w:p>
        </w:tc>
      </w:tr>
      <w:tr w:rsidR="001923AD" w:rsidRPr="008923B7" w:rsidTr="001923AD">
        <w:trPr>
          <w:trHeight w:val="170"/>
          <w:jc w:val="center"/>
        </w:trPr>
        <w:tc>
          <w:tcPr>
            <w:tcW w:w="7396" w:type="dxa"/>
            <w:tcBorders>
              <w:top w:val="nil"/>
              <w:left w:val="nil"/>
              <w:bottom w:val="nil"/>
              <w:right w:val="nil"/>
            </w:tcBorders>
            <w:shd w:val="clear" w:color="auto" w:fill="auto"/>
            <w:noWrap/>
            <w:tcMar>
              <w:left w:w="28" w:type="dxa"/>
              <w:right w:w="57" w:type="dxa"/>
            </w:tcMar>
            <w:vAlign w:val="center"/>
            <w:hideMark/>
          </w:tcPr>
          <w:p w:rsidR="001923AD" w:rsidRPr="008923B7" w:rsidRDefault="001923AD" w:rsidP="001923AD">
            <w:pPr>
              <w:spacing w:line="240" w:lineRule="auto"/>
              <w:jc w:val="left"/>
              <w:rPr>
                <w:b/>
                <w:bCs/>
                <w:i/>
                <w:iCs/>
                <w:color w:val="000000"/>
                <w:sz w:val="20"/>
                <w:szCs w:val="20"/>
              </w:rPr>
            </w:pPr>
            <w:r w:rsidRPr="008923B7">
              <w:rPr>
                <w:b/>
                <w:bCs/>
                <w:i/>
                <w:iCs/>
                <w:color w:val="000000"/>
                <w:sz w:val="20"/>
                <w:szCs w:val="20"/>
              </w:rPr>
              <w:t>Приложения</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center"/>
              <w:rPr>
                <w:b/>
                <w:bCs/>
                <w:sz w:val="20"/>
                <w:szCs w:val="20"/>
              </w:rPr>
            </w:pPr>
            <w:r w:rsidRPr="008923B7">
              <w:rPr>
                <w:b/>
                <w:bCs/>
                <w:sz w:val="20"/>
                <w:szCs w:val="20"/>
              </w:rPr>
              <w:t>2018</w:t>
            </w: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center"/>
              <w:rPr>
                <w:b/>
                <w:bCs/>
                <w:sz w:val="20"/>
                <w:szCs w:val="20"/>
              </w:rPr>
            </w:pPr>
            <w:r w:rsidRPr="008923B7">
              <w:rPr>
                <w:b/>
                <w:bCs/>
                <w:sz w:val="20"/>
                <w:szCs w:val="20"/>
              </w:rPr>
              <w:t>2017</w:t>
            </w:r>
          </w:p>
        </w:tc>
      </w:tr>
      <w:tr w:rsidR="001923AD" w:rsidRPr="008923B7" w:rsidTr="001923AD">
        <w:trPr>
          <w:trHeight w:val="170"/>
          <w:jc w:val="center"/>
        </w:trPr>
        <w:tc>
          <w:tcPr>
            <w:tcW w:w="7396" w:type="dxa"/>
            <w:tcBorders>
              <w:top w:val="nil"/>
              <w:left w:val="nil"/>
              <w:bottom w:val="nil"/>
              <w:right w:val="nil"/>
            </w:tcBorders>
            <w:shd w:val="clear" w:color="auto" w:fill="auto"/>
            <w:noWrap/>
            <w:tcMar>
              <w:left w:w="28" w:type="dxa"/>
              <w:right w:w="57" w:type="dxa"/>
            </w:tcMar>
            <w:vAlign w:val="center"/>
            <w:hideMark/>
          </w:tcPr>
          <w:p w:rsidR="001923AD" w:rsidRPr="008923B7" w:rsidRDefault="001923AD" w:rsidP="001923AD">
            <w:pPr>
              <w:spacing w:line="240" w:lineRule="auto"/>
              <w:jc w:val="right"/>
              <w:rPr>
                <w:b/>
                <w:bCs/>
                <w:sz w:val="20"/>
                <w:szCs w:val="20"/>
              </w:rPr>
            </w:pPr>
          </w:p>
        </w:tc>
        <w:tc>
          <w:tcPr>
            <w:tcW w:w="1359" w:type="dxa"/>
            <w:tcBorders>
              <w:top w:val="nil"/>
              <w:left w:val="nil"/>
              <w:bottom w:val="nil"/>
              <w:right w:val="nil"/>
            </w:tcBorders>
            <w:shd w:val="clear" w:color="auto" w:fill="auto"/>
            <w:noWrap/>
            <w:tcMar>
              <w:left w:w="28" w:type="dxa"/>
              <w:right w:w="57" w:type="dxa"/>
            </w:tcMar>
            <w:vAlign w:val="center"/>
            <w:hideMark/>
          </w:tcPr>
          <w:p w:rsidR="001923AD" w:rsidRPr="008923B7" w:rsidRDefault="001923AD" w:rsidP="001923AD">
            <w:pPr>
              <w:spacing w:line="240" w:lineRule="auto"/>
              <w:jc w:val="center"/>
              <w:rPr>
                <w:b/>
                <w:bCs/>
                <w:color w:val="000000"/>
                <w:sz w:val="20"/>
                <w:szCs w:val="20"/>
              </w:rPr>
            </w:pPr>
            <w:r w:rsidRPr="008923B7">
              <w:rPr>
                <w:b/>
                <w:bCs/>
                <w:color w:val="000000"/>
                <w:sz w:val="20"/>
                <w:szCs w:val="20"/>
              </w:rPr>
              <w:t>BGN'000</w:t>
            </w:r>
          </w:p>
        </w:tc>
        <w:tc>
          <w:tcPr>
            <w:tcW w:w="1104" w:type="dxa"/>
            <w:tcBorders>
              <w:top w:val="nil"/>
              <w:left w:val="nil"/>
              <w:bottom w:val="nil"/>
              <w:right w:val="nil"/>
            </w:tcBorders>
            <w:shd w:val="clear" w:color="auto" w:fill="auto"/>
            <w:noWrap/>
            <w:tcMar>
              <w:left w:w="28" w:type="dxa"/>
              <w:right w:w="57" w:type="dxa"/>
            </w:tcMar>
            <w:vAlign w:val="center"/>
            <w:hideMark/>
          </w:tcPr>
          <w:p w:rsidR="001923AD" w:rsidRPr="008923B7" w:rsidRDefault="001923AD" w:rsidP="001923AD">
            <w:pPr>
              <w:spacing w:line="240" w:lineRule="auto"/>
              <w:jc w:val="center"/>
              <w:rPr>
                <w:b/>
                <w:bCs/>
                <w:color w:val="000000"/>
                <w:sz w:val="20"/>
                <w:szCs w:val="20"/>
              </w:rPr>
            </w:pPr>
            <w:r w:rsidRPr="008923B7">
              <w:rPr>
                <w:b/>
                <w:bCs/>
                <w:color w:val="000000"/>
                <w:sz w:val="20"/>
                <w:szCs w:val="20"/>
              </w:rPr>
              <w:t>BGN'000</w:t>
            </w:r>
          </w:p>
        </w:tc>
      </w:tr>
      <w:tr w:rsidR="001923AD" w:rsidRPr="008923B7" w:rsidTr="001923AD">
        <w:trPr>
          <w:trHeight w:val="170"/>
          <w:jc w:val="center"/>
        </w:trPr>
        <w:tc>
          <w:tcPr>
            <w:tcW w:w="7396" w:type="dxa"/>
            <w:tcBorders>
              <w:top w:val="nil"/>
              <w:left w:val="nil"/>
              <w:bottom w:val="nil"/>
              <w:right w:val="nil"/>
            </w:tcBorders>
            <w:shd w:val="clear" w:color="auto" w:fill="auto"/>
            <w:noWrap/>
            <w:tcMar>
              <w:left w:w="28" w:type="dxa"/>
              <w:right w:w="57" w:type="dxa"/>
            </w:tcMar>
            <w:vAlign w:val="center"/>
            <w:hideMark/>
          </w:tcPr>
          <w:p w:rsidR="001923AD" w:rsidRPr="008923B7" w:rsidRDefault="001923AD" w:rsidP="001923AD">
            <w:pPr>
              <w:spacing w:line="240" w:lineRule="auto"/>
              <w:jc w:val="right"/>
              <w:rPr>
                <w:b/>
                <w:bCs/>
                <w:color w:val="000000"/>
                <w:sz w:val="20"/>
                <w:szCs w:val="20"/>
              </w:rPr>
            </w:pPr>
          </w:p>
        </w:tc>
        <w:tc>
          <w:tcPr>
            <w:tcW w:w="1359" w:type="dxa"/>
            <w:tcBorders>
              <w:top w:val="nil"/>
              <w:left w:val="nil"/>
              <w:bottom w:val="nil"/>
              <w:right w:val="nil"/>
            </w:tcBorders>
            <w:shd w:val="clear" w:color="auto" w:fill="auto"/>
            <w:noWrap/>
            <w:tcMar>
              <w:left w:w="28"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04" w:type="dxa"/>
            <w:tcBorders>
              <w:top w:val="nil"/>
              <w:left w:val="nil"/>
              <w:bottom w:val="nil"/>
              <w:right w:val="nil"/>
            </w:tcBorders>
            <w:shd w:val="clear" w:color="auto" w:fill="auto"/>
            <w:noWrap/>
            <w:tcMar>
              <w:left w:w="28"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396" w:type="dxa"/>
            <w:tcBorders>
              <w:top w:val="nil"/>
              <w:left w:val="nil"/>
              <w:bottom w:val="nil"/>
              <w:right w:val="nil"/>
            </w:tcBorders>
            <w:shd w:val="clear" w:color="auto" w:fill="auto"/>
            <w:noWrap/>
            <w:tcMar>
              <w:left w:w="28" w:type="dxa"/>
              <w:right w:w="57" w:type="dxa"/>
            </w:tcMar>
            <w:hideMark/>
          </w:tcPr>
          <w:p w:rsidR="001923AD" w:rsidRPr="008923B7" w:rsidRDefault="001923AD" w:rsidP="001923AD">
            <w:pPr>
              <w:spacing w:line="240" w:lineRule="auto"/>
              <w:jc w:val="left"/>
              <w:rPr>
                <w:b/>
                <w:bCs/>
                <w:color w:val="000000"/>
                <w:sz w:val="20"/>
                <w:szCs w:val="20"/>
              </w:rPr>
            </w:pPr>
            <w:r w:rsidRPr="008923B7">
              <w:rPr>
                <w:b/>
                <w:bCs/>
                <w:color w:val="000000"/>
                <w:sz w:val="20"/>
                <w:szCs w:val="20"/>
              </w:rPr>
              <w:t>Парични потоци от оперативна дейност</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color w:val="000000"/>
                <w:sz w:val="20"/>
                <w:szCs w:val="20"/>
              </w:rPr>
            </w:pPr>
            <w:r w:rsidRPr="008923B7">
              <w:rPr>
                <w:color w:val="000000"/>
                <w:sz w:val="20"/>
                <w:szCs w:val="20"/>
              </w:rPr>
              <w:t>Постъпления от клиенти</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1 022 743 </w:t>
            </w: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2 782 </w:t>
            </w: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color w:val="000000"/>
                <w:sz w:val="20"/>
                <w:szCs w:val="20"/>
              </w:rPr>
            </w:pPr>
            <w:r w:rsidRPr="008923B7">
              <w:rPr>
                <w:color w:val="000000"/>
                <w:sz w:val="20"/>
                <w:szCs w:val="20"/>
              </w:rPr>
              <w:t>Плащания на доставчици</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sidRPr="008923B7">
              <w:rPr>
                <w:sz w:val="20"/>
                <w:szCs w:val="20"/>
              </w:rPr>
              <w:t xml:space="preserve">  (1 037 821)</w:t>
            </w: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(1 095)</w:t>
            </w: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color w:val="000000"/>
                <w:sz w:val="20"/>
                <w:szCs w:val="20"/>
              </w:rPr>
            </w:pPr>
            <w:r w:rsidRPr="008923B7">
              <w:rPr>
                <w:color w:val="000000"/>
                <w:sz w:val="20"/>
                <w:szCs w:val="20"/>
              </w:rPr>
              <w:t>Плащания на персонала и за социалното осигуряване</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(2 168)</w:t>
            </w: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(1 236)</w:t>
            </w: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color w:val="000000"/>
                <w:sz w:val="20"/>
                <w:szCs w:val="20"/>
              </w:rPr>
            </w:pPr>
            <w:r w:rsidRPr="008923B7">
              <w:rPr>
                <w:color w:val="000000"/>
                <w:sz w:val="20"/>
                <w:szCs w:val="20"/>
              </w:rPr>
              <w:t>Възстановен/(платен) данък върху печалбата, нетно</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(429)</w:t>
            </w: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w:t>
            </w: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color w:val="000000"/>
                <w:sz w:val="20"/>
                <w:szCs w:val="20"/>
              </w:rPr>
            </w:pPr>
            <w:r w:rsidRPr="008923B7">
              <w:rPr>
                <w:color w:val="000000"/>
                <w:sz w:val="20"/>
                <w:szCs w:val="20"/>
              </w:rPr>
              <w:t>Възстановен/(платени) данъци (без данъци върху печалбата), нетно</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32 717 </w:t>
            </w: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(401)</w:t>
            </w: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color w:val="000000"/>
                <w:sz w:val="20"/>
                <w:szCs w:val="20"/>
              </w:rPr>
            </w:pPr>
            <w:r w:rsidRPr="008923B7">
              <w:rPr>
                <w:color w:val="000000"/>
                <w:sz w:val="20"/>
                <w:szCs w:val="20"/>
              </w:rPr>
              <w:t>Други постъпления /(плащания), нетно</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17 131 </w:t>
            </w: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(3)</w:t>
            </w: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b/>
                <w:bCs/>
                <w:color w:val="000000"/>
                <w:sz w:val="20"/>
                <w:szCs w:val="20"/>
              </w:rPr>
            </w:pPr>
            <w:r w:rsidRPr="008923B7">
              <w:rPr>
                <w:b/>
                <w:bCs/>
                <w:color w:val="000000"/>
                <w:sz w:val="20"/>
                <w:szCs w:val="20"/>
              </w:rPr>
              <w:t>Нетни парични потоци използвани в оперативна дейност</w:t>
            </w:r>
          </w:p>
        </w:tc>
        <w:tc>
          <w:tcPr>
            <w:tcW w:w="1359" w:type="dxa"/>
            <w:tcBorders>
              <w:top w:val="single" w:sz="4" w:space="0" w:color="auto"/>
              <w:left w:val="nil"/>
              <w:bottom w:val="single" w:sz="4" w:space="0" w:color="auto"/>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32 173 </w:t>
            </w:r>
          </w:p>
        </w:tc>
        <w:tc>
          <w:tcPr>
            <w:tcW w:w="1104" w:type="dxa"/>
            <w:tcBorders>
              <w:top w:val="single" w:sz="4" w:space="0" w:color="auto"/>
              <w:left w:val="nil"/>
              <w:bottom w:val="single" w:sz="4" w:space="0" w:color="auto"/>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47 </w:t>
            </w: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right"/>
              <w:rPr>
                <w:b/>
                <w:bCs/>
                <w:sz w:val="20"/>
                <w:szCs w:val="20"/>
              </w:rPr>
            </w:pP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b/>
                <w:bCs/>
                <w:color w:val="000000"/>
                <w:sz w:val="20"/>
                <w:szCs w:val="20"/>
              </w:rPr>
            </w:pPr>
            <w:r w:rsidRPr="008923B7">
              <w:rPr>
                <w:b/>
                <w:bCs/>
                <w:color w:val="000000"/>
                <w:sz w:val="20"/>
                <w:szCs w:val="20"/>
              </w:rPr>
              <w:t>Парични потоци от инвестиционна дейност</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color w:val="000000"/>
                <w:sz w:val="20"/>
                <w:szCs w:val="20"/>
              </w:rPr>
            </w:pPr>
            <w:r w:rsidRPr="008923B7">
              <w:rPr>
                <w:color w:val="000000"/>
                <w:sz w:val="20"/>
                <w:szCs w:val="20"/>
              </w:rPr>
              <w:t>Покупки на машини и оборудване</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(60)</w:t>
            </w: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(8)</w:t>
            </w: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color w:val="000000"/>
                <w:sz w:val="20"/>
                <w:szCs w:val="20"/>
              </w:rPr>
            </w:pPr>
            <w:r w:rsidRPr="008923B7">
              <w:rPr>
                <w:color w:val="000000"/>
                <w:sz w:val="20"/>
                <w:szCs w:val="20"/>
              </w:rPr>
              <w:t>Покупки на нематериални активи</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(165)</w:t>
            </w: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w:t>
            </w: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color w:val="000000"/>
                <w:sz w:val="20"/>
                <w:szCs w:val="20"/>
              </w:rPr>
            </w:pPr>
            <w:r w:rsidRPr="008923B7">
              <w:rPr>
                <w:color w:val="000000"/>
                <w:sz w:val="20"/>
                <w:szCs w:val="20"/>
              </w:rPr>
              <w:t>Покупки на инвестиции в дъщерни и съвместни предприятия</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32 927 </w:t>
            </w: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(62)</w:t>
            </w: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color w:val="000000"/>
                <w:sz w:val="20"/>
                <w:szCs w:val="20"/>
              </w:rPr>
            </w:pPr>
            <w:r w:rsidRPr="008923B7">
              <w:rPr>
                <w:color w:val="000000"/>
                <w:sz w:val="20"/>
                <w:szCs w:val="20"/>
              </w:rPr>
              <w:t>Постъпления от продажба и лихви от инвестиции във финансови активи оценявани по амортизирана стойност</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4 611 </w:t>
            </w: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115 </w:t>
            </w: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sz w:val="20"/>
                <w:szCs w:val="20"/>
              </w:rPr>
            </w:pPr>
            <w:r w:rsidRPr="008923B7">
              <w:rPr>
                <w:sz w:val="20"/>
                <w:szCs w:val="20"/>
              </w:rPr>
              <w:t>Постъпления от лихви и дивиденти, свързани с инвестиции във финансови активи оценявани по справедлива стойност</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84 </w:t>
            </w: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84 </w:t>
            </w: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sz w:val="20"/>
                <w:szCs w:val="20"/>
              </w:rPr>
            </w:pPr>
            <w:r w:rsidRPr="008923B7">
              <w:rPr>
                <w:sz w:val="20"/>
                <w:szCs w:val="20"/>
              </w:rPr>
              <w:t>Постъпления от дивиденти</w:t>
            </w:r>
          </w:p>
        </w:tc>
        <w:tc>
          <w:tcPr>
            <w:tcW w:w="1359" w:type="dxa"/>
            <w:tcBorders>
              <w:top w:val="nil"/>
              <w:left w:val="nil"/>
              <w:bottom w:val="nil"/>
              <w:right w:val="nil"/>
            </w:tcBorders>
            <w:shd w:val="clear" w:color="auto" w:fill="auto"/>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3 </w:t>
            </w: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b/>
                <w:bCs/>
                <w:color w:val="000000"/>
                <w:sz w:val="20"/>
                <w:szCs w:val="20"/>
              </w:rPr>
            </w:pPr>
            <w:r w:rsidRPr="008923B7">
              <w:rPr>
                <w:b/>
                <w:bCs/>
                <w:color w:val="000000"/>
                <w:sz w:val="20"/>
                <w:szCs w:val="20"/>
              </w:rPr>
              <w:t>Нетни парични потоци от инвестиционната дейност</w:t>
            </w:r>
          </w:p>
        </w:tc>
        <w:tc>
          <w:tcPr>
            <w:tcW w:w="1359" w:type="dxa"/>
            <w:tcBorders>
              <w:top w:val="single" w:sz="4" w:space="0" w:color="auto"/>
              <w:left w:val="nil"/>
              <w:bottom w:val="single" w:sz="4" w:space="0" w:color="auto"/>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37 397 </w:t>
            </w:r>
          </w:p>
        </w:tc>
        <w:tc>
          <w:tcPr>
            <w:tcW w:w="1104" w:type="dxa"/>
            <w:tcBorders>
              <w:top w:val="single" w:sz="4" w:space="0" w:color="auto"/>
              <w:left w:val="nil"/>
              <w:bottom w:val="single" w:sz="4" w:space="0" w:color="auto"/>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132 </w:t>
            </w: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right"/>
              <w:rPr>
                <w:b/>
                <w:bCs/>
                <w:sz w:val="20"/>
                <w:szCs w:val="20"/>
              </w:rPr>
            </w:pP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396" w:type="dxa"/>
            <w:tcBorders>
              <w:top w:val="nil"/>
              <w:left w:val="nil"/>
              <w:bottom w:val="nil"/>
              <w:right w:val="nil"/>
            </w:tcBorders>
            <w:shd w:val="clear" w:color="auto" w:fill="auto"/>
            <w:noWrap/>
            <w:tcMar>
              <w:left w:w="28" w:type="dxa"/>
              <w:right w:w="57" w:type="dxa"/>
            </w:tcMar>
            <w:hideMark/>
          </w:tcPr>
          <w:p w:rsidR="001923AD" w:rsidRPr="008923B7" w:rsidRDefault="001923AD" w:rsidP="001923AD">
            <w:pPr>
              <w:spacing w:line="240" w:lineRule="auto"/>
              <w:jc w:val="left"/>
              <w:rPr>
                <w:b/>
                <w:bCs/>
                <w:color w:val="000000"/>
                <w:sz w:val="20"/>
                <w:szCs w:val="20"/>
              </w:rPr>
            </w:pPr>
            <w:r w:rsidRPr="008923B7">
              <w:rPr>
                <w:b/>
                <w:bCs/>
                <w:color w:val="000000"/>
                <w:sz w:val="20"/>
                <w:szCs w:val="20"/>
              </w:rPr>
              <w:t>Парични потоци от финансова дейност</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396"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left"/>
              <w:rPr>
                <w:sz w:val="20"/>
                <w:szCs w:val="20"/>
              </w:rPr>
            </w:pPr>
            <w:r w:rsidRPr="008923B7">
              <w:rPr>
                <w:sz w:val="20"/>
                <w:szCs w:val="20"/>
              </w:rPr>
              <w:t>Плащания на дивиденти</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(98)</w:t>
            </w: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(35)</w:t>
            </w: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hideMark/>
          </w:tcPr>
          <w:p w:rsidR="001923AD" w:rsidRPr="008923B7" w:rsidRDefault="001923AD" w:rsidP="001923AD">
            <w:pPr>
              <w:spacing w:line="240" w:lineRule="auto"/>
              <w:jc w:val="left"/>
              <w:rPr>
                <w:b/>
                <w:bCs/>
                <w:color w:val="000000"/>
                <w:sz w:val="20"/>
                <w:szCs w:val="20"/>
              </w:rPr>
            </w:pPr>
            <w:r w:rsidRPr="008923B7">
              <w:rPr>
                <w:b/>
                <w:bCs/>
                <w:color w:val="000000"/>
                <w:sz w:val="20"/>
                <w:szCs w:val="20"/>
              </w:rPr>
              <w:t>Нетни парични потоци използвани във финансовата дейност</w:t>
            </w:r>
          </w:p>
        </w:tc>
        <w:tc>
          <w:tcPr>
            <w:tcW w:w="1359" w:type="dxa"/>
            <w:tcBorders>
              <w:top w:val="single" w:sz="4" w:space="0" w:color="auto"/>
              <w:left w:val="nil"/>
              <w:bottom w:val="single" w:sz="4" w:space="0" w:color="auto"/>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(98)</w:t>
            </w:r>
          </w:p>
        </w:tc>
        <w:tc>
          <w:tcPr>
            <w:tcW w:w="1104" w:type="dxa"/>
            <w:tcBorders>
              <w:top w:val="single" w:sz="4" w:space="0" w:color="auto"/>
              <w:left w:val="nil"/>
              <w:bottom w:val="single" w:sz="4" w:space="0" w:color="auto"/>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(35)</w:t>
            </w:r>
          </w:p>
        </w:tc>
      </w:tr>
      <w:tr w:rsidR="001923AD" w:rsidRPr="008923B7" w:rsidTr="001923AD">
        <w:trPr>
          <w:trHeight w:val="170"/>
          <w:jc w:val="center"/>
        </w:trPr>
        <w:tc>
          <w:tcPr>
            <w:tcW w:w="7396"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b/>
                <w:bCs/>
                <w:sz w:val="20"/>
                <w:szCs w:val="20"/>
              </w:rPr>
            </w:pP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396" w:type="dxa"/>
            <w:tcBorders>
              <w:top w:val="nil"/>
              <w:left w:val="nil"/>
              <w:bottom w:val="nil"/>
              <w:right w:val="nil"/>
            </w:tcBorders>
            <w:shd w:val="clear" w:color="auto" w:fill="auto"/>
            <w:tcMar>
              <w:left w:w="28" w:type="dxa"/>
              <w:right w:w="57" w:type="dxa"/>
            </w:tcMar>
            <w:vAlign w:val="bottom"/>
            <w:hideMark/>
          </w:tcPr>
          <w:p w:rsidR="001923AD" w:rsidRPr="008923B7" w:rsidRDefault="001923AD" w:rsidP="001923AD">
            <w:pPr>
              <w:spacing w:line="240" w:lineRule="auto"/>
              <w:jc w:val="left"/>
              <w:rPr>
                <w:b/>
                <w:bCs/>
                <w:sz w:val="20"/>
                <w:szCs w:val="20"/>
              </w:rPr>
            </w:pPr>
            <w:r w:rsidRPr="008923B7">
              <w:rPr>
                <w:b/>
                <w:bCs/>
                <w:sz w:val="20"/>
                <w:szCs w:val="20"/>
              </w:rPr>
              <w:t>Нетно увеличение на паричните средства и паричните еквиваленти</w:t>
            </w:r>
          </w:p>
        </w:tc>
        <w:tc>
          <w:tcPr>
            <w:tcW w:w="1359" w:type="dxa"/>
            <w:tcBorders>
              <w:top w:val="single" w:sz="4" w:space="0" w:color="auto"/>
              <w:left w:val="nil"/>
              <w:bottom w:val="single" w:sz="4" w:space="0" w:color="auto"/>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69 472 </w:t>
            </w:r>
          </w:p>
        </w:tc>
        <w:tc>
          <w:tcPr>
            <w:tcW w:w="1104" w:type="dxa"/>
            <w:tcBorders>
              <w:top w:val="single" w:sz="4" w:space="0" w:color="auto"/>
              <w:left w:val="nil"/>
              <w:bottom w:val="single" w:sz="4" w:space="0" w:color="auto"/>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144 </w:t>
            </w:r>
          </w:p>
        </w:tc>
      </w:tr>
      <w:tr w:rsidR="001923AD" w:rsidRPr="008923B7" w:rsidTr="001923AD">
        <w:trPr>
          <w:trHeight w:val="170"/>
          <w:jc w:val="center"/>
        </w:trPr>
        <w:tc>
          <w:tcPr>
            <w:tcW w:w="7396"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b/>
                <w:bCs/>
                <w:sz w:val="20"/>
                <w:szCs w:val="20"/>
              </w:rPr>
            </w:pP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396"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left"/>
              <w:rPr>
                <w:b/>
                <w:bCs/>
                <w:sz w:val="20"/>
                <w:szCs w:val="20"/>
              </w:rPr>
            </w:pPr>
            <w:r w:rsidRPr="008923B7">
              <w:rPr>
                <w:b/>
                <w:bCs/>
                <w:sz w:val="20"/>
                <w:szCs w:val="20"/>
              </w:rPr>
              <w:t>Парични средства и парични еквиваленти на 1 януари</w:t>
            </w:r>
          </w:p>
        </w:tc>
        <w:tc>
          <w:tcPr>
            <w:tcW w:w="1359" w:type="dxa"/>
            <w:tcBorders>
              <w:top w:val="single" w:sz="4" w:space="0" w:color="auto"/>
              <w:left w:val="nil"/>
              <w:bottom w:val="double" w:sz="6" w:space="0" w:color="auto"/>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1 583 </w:t>
            </w:r>
          </w:p>
        </w:tc>
        <w:tc>
          <w:tcPr>
            <w:tcW w:w="1104" w:type="dxa"/>
            <w:tcBorders>
              <w:top w:val="single" w:sz="4" w:space="0" w:color="auto"/>
              <w:left w:val="nil"/>
              <w:bottom w:val="double" w:sz="6" w:space="0" w:color="auto"/>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1 439 </w:t>
            </w:r>
          </w:p>
        </w:tc>
      </w:tr>
      <w:tr w:rsidR="001923AD" w:rsidRPr="008923B7" w:rsidTr="001923AD">
        <w:trPr>
          <w:trHeight w:val="170"/>
          <w:jc w:val="center"/>
        </w:trPr>
        <w:tc>
          <w:tcPr>
            <w:tcW w:w="7396"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b/>
                <w:bCs/>
                <w:sz w:val="20"/>
                <w:szCs w:val="20"/>
              </w:rPr>
            </w:pP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396"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left"/>
              <w:rPr>
                <w:sz w:val="20"/>
                <w:szCs w:val="20"/>
              </w:rPr>
            </w:pPr>
            <w:r w:rsidRPr="008923B7">
              <w:rPr>
                <w:sz w:val="20"/>
                <w:szCs w:val="20"/>
              </w:rPr>
              <w:t>Ефект от прилагане на МСФО 9</w:t>
            </w: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(66)</w:t>
            </w: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396"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c>
          <w:tcPr>
            <w:tcW w:w="1359"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c>
          <w:tcPr>
            <w:tcW w:w="1104"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7396" w:type="dxa"/>
            <w:tcBorders>
              <w:top w:val="nil"/>
              <w:left w:val="nil"/>
              <w:bottom w:val="nil"/>
              <w:right w:val="nil"/>
            </w:tcBorders>
            <w:shd w:val="clear" w:color="auto" w:fill="auto"/>
            <w:noWrap/>
            <w:tcMar>
              <w:left w:w="28" w:type="dxa"/>
              <w:right w:w="57" w:type="dxa"/>
            </w:tcMar>
            <w:vAlign w:val="bottom"/>
            <w:hideMark/>
          </w:tcPr>
          <w:p w:rsidR="001923AD" w:rsidRPr="008923B7" w:rsidRDefault="001923AD" w:rsidP="001923AD">
            <w:pPr>
              <w:spacing w:line="240" w:lineRule="auto"/>
              <w:jc w:val="left"/>
              <w:rPr>
                <w:b/>
                <w:bCs/>
                <w:sz w:val="20"/>
                <w:szCs w:val="20"/>
              </w:rPr>
            </w:pPr>
            <w:r w:rsidRPr="008923B7">
              <w:rPr>
                <w:b/>
                <w:bCs/>
                <w:sz w:val="20"/>
                <w:szCs w:val="20"/>
              </w:rPr>
              <w:t>Парични средства и парични еквиваленти на 30 декември</w:t>
            </w:r>
          </w:p>
        </w:tc>
        <w:tc>
          <w:tcPr>
            <w:tcW w:w="1359" w:type="dxa"/>
            <w:tcBorders>
              <w:top w:val="single" w:sz="4" w:space="0" w:color="auto"/>
              <w:left w:val="nil"/>
              <w:bottom w:val="double" w:sz="6" w:space="0" w:color="auto"/>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70 989 </w:t>
            </w:r>
          </w:p>
        </w:tc>
        <w:tc>
          <w:tcPr>
            <w:tcW w:w="1104" w:type="dxa"/>
            <w:tcBorders>
              <w:top w:val="single" w:sz="4" w:space="0" w:color="auto"/>
              <w:left w:val="nil"/>
              <w:bottom w:val="double" w:sz="6" w:space="0" w:color="auto"/>
              <w:right w:val="nil"/>
            </w:tcBorders>
            <w:shd w:val="clear" w:color="auto" w:fill="auto"/>
            <w:noWrap/>
            <w:tcMar>
              <w:left w:w="28" w:type="dxa"/>
              <w:right w:w="57" w:type="dxa"/>
            </w:tcMar>
            <w:vAlign w:val="bottom"/>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1 583 </w:t>
            </w:r>
          </w:p>
        </w:tc>
      </w:tr>
    </w:tbl>
    <w:p w:rsidR="003939A6" w:rsidRPr="000B697A" w:rsidRDefault="003939A6" w:rsidP="00281505">
      <w:pPr>
        <w:rPr>
          <w:rStyle w:val="PageNumber"/>
          <w:rFonts w:cs="Calibri"/>
          <w:b/>
          <w:i/>
        </w:rPr>
      </w:pPr>
    </w:p>
    <w:p w:rsidR="007D0731" w:rsidRPr="000B697A" w:rsidRDefault="00010F33" w:rsidP="00281505">
      <w:pPr>
        <w:rPr>
          <w:rStyle w:val="PageNumber"/>
          <w:rFonts w:cs="Calibri"/>
          <w:b/>
        </w:rPr>
      </w:pPr>
      <w:r w:rsidRPr="000B697A">
        <w:rPr>
          <w:rStyle w:val="PageNumber"/>
          <w:rFonts w:cs="Calibri"/>
          <w:b/>
          <w:i/>
        </w:rPr>
        <w:br w:type="page"/>
      </w:r>
    </w:p>
    <w:tbl>
      <w:tblPr>
        <w:tblW w:w="10783" w:type="dxa"/>
        <w:jc w:val="center"/>
        <w:tblCellMar>
          <w:left w:w="70" w:type="dxa"/>
          <w:right w:w="70" w:type="dxa"/>
        </w:tblCellMar>
        <w:tblLook w:val="04A0" w:firstRow="1" w:lastRow="0" w:firstColumn="1" w:lastColumn="0" w:noHBand="0" w:noVBand="1"/>
      </w:tblPr>
      <w:tblGrid>
        <w:gridCol w:w="4523"/>
        <w:gridCol w:w="1199"/>
        <w:gridCol w:w="897"/>
        <w:gridCol w:w="1788"/>
        <w:gridCol w:w="1181"/>
        <w:gridCol w:w="1195"/>
      </w:tblGrid>
      <w:tr w:rsidR="001923AD" w:rsidRPr="008923B7" w:rsidTr="001923AD">
        <w:trPr>
          <w:trHeight w:val="170"/>
          <w:jc w:val="center"/>
        </w:trPr>
        <w:tc>
          <w:tcPr>
            <w:tcW w:w="10783" w:type="dxa"/>
            <w:gridSpan w:val="6"/>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lastRenderedPageBreak/>
              <w:t>ГРУПА БЪЛГАРСКА ФОНДОВА БОРСА</w:t>
            </w:r>
          </w:p>
        </w:tc>
      </w:tr>
      <w:tr w:rsidR="001923AD" w:rsidRPr="008923B7" w:rsidTr="001923AD">
        <w:trPr>
          <w:trHeight w:val="170"/>
          <w:jc w:val="center"/>
        </w:trPr>
        <w:tc>
          <w:tcPr>
            <w:tcW w:w="10783" w:type="dxa"/>
            <w:gridSpan w:val="6"/>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rFonts w:ascii="Times New Roman" w:hAnsi="Times New Roman"/>
                <w:sz w:val="20"/>
                <w:szCs w:val="20"/>
              </w:rPr>
            </w:pPr>
            <w:r w:rsidRPr="008923B7">
              <w:rPr>
                <w:b/>
                <w:bCs/>
                <w:sz w:val="20"/>
                <w:szCs w:val="20"/>
              </w:rPr>
              <w:t xml:space="preserve">КОНСОЛИДИРАН ОТЧЕТ ЗА ПРОМЕНИТЕ В СОБСТВЕНИЯ КАПИТАЛ </w:t>
            </w:r>
          </w:p>
        </w:tc>
      </w:tr>
      <w:tr w:rsidR="001923AD" w:rsidRPr="008923B7" w:rsidTr="001923AD">
        <w:trPr>
          <w:trHeight w:val="170"/>
          <w:jc w:val="center"/>
        </w:trPr>
        <w:tc>
          <w:tcPr>
            <w:tcW w:w="10783" w:type="dxa"/>
            <w:gridSpan w:val="6"/>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rFonts w:ascii="Times New Roman" w:hAnsi="Times New Roman"/>
                <w:sz w:val="20"/>
                <w:szCs w:val="20"/>
              </w:rPr>
            </w:pPr>
            <w:r w:rsidRPr="008923B7">
              <w:rPr>
                <w:b/>
                <w:bCs/>
                <w:color w:val="000000"/>
                <w:sz w:val="20"/>
                <w:szCs w:val="20"/>
              </w:rPr>
              <w:t>за годината, завършваща на 31 декември 2018  година</w:t>
            </w:r>
          </w:p>
        </w:tc>
      </w:tr>
      <w:tr w:rsidR="001923AD" w:rsidRPr="008923B7" w:rsidTr="001923AD">
        <w:trPr>
          <w:trHeight w:val="170"/>
          <w:jc w:val="center"/>
        </w:trPr>
        <w:tc>
          <w:tcPr>
            <w:tcW w:w="4523" w:type="dxa"/>
            <w:tcBorders>
              <w:top w:val="nil"/>
              <w:left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rFonts w:ascii="Times New Roman" w:hAnsi="Times New Roman"/>
                <w:sz w:val="20"/>
                <w:szCs w:val="20"/>
              </w:rPr>
            </w:pPr>
          </w:p>
        </w:tc>
        <w:tc>
          <w:tcPr>
            <w:tcW w:w="1199" w:type="dxa"/>
            <w:tcBorders>
              <w:top w:val="nil"/>
              <w:left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center"/>
              <w:rPr>
                <w:rFonts w:ascii="Times New Roman" w:hAnsi="Times New Roman"/>
                <w:sz w:val="20"/>
                <w:szCs w:val="20"/>
              </w:rPr>
            </w:pPr>
          </w:p>
        </w:tc>
        <w:tc>
          <w:tcPr>
            <w:tcW w:w="897" w:type="dxa"/>
            <w:tcBorders>
              <w:top w:val="nil"/>
              <w:left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center"/>
              <w:rPr>
                <w:rFonts w:ascii="Times New Roman" w:hAnsi="Times New Roman"/>
                <w:sz w:val="20"/>
                <w:szCs w:val="20"/>
              </w:rPr>
            </w:pPr>
          </w:p>
        </w:tc>
        <w:tc>
          <w:tcPr>
            <w:tcW w:w="1788" w:type="dxa"/>
            <w:tcBorders>
              <w:top w:val="nil"/>
              <w:left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center"/>
              <w:rPr>
                <w:rFonts w:ascii="Times New Roman" w:hAnsi="Times New Roman"/>
                <w:sz w:val="20"/>
                <w:szCs w:val="20"/>
              </w:rPr>
            </w:pPr>
          </w:p>
        </w:tc>
        <w:tc>
          <w:tcPr>
            <w:tcW w:w="1181" w:type="dxa"/>
            <w:tcBorders>
              <w:top w:val="nil"/>
              <w:left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center"/>
              <w:rPr>
                <w:rFonts w:ascii="Times New Roman" w:hAnsi="Times New Roman"/>
                <w:sz w:val="20"/>
                <w:szCs w:val="20"/>
              </w:rPr>
            </w:pPr>
          </w:p>
        </w:tc>
        <w:tc>
          <w:tcPr>
            <w:tcW w:w="1195" w:type="dxa"/>
            <w:tcBorders>
              <w:top w:val="nil"/>
              <w:left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center"/>
              <w:rPr>
                <w:rFonts w:ascii="Times New Roman" w:hAnsi="Times New Roman"/>
                <w:sz w:val="20"/>
                <w:szCs w:val="20"/>
              </w:rPr>
            </w:pPr>
          </w:p>
        </w:tc>
      </w:tr>
      <w:tr w:rsidR="001923AD" w:rsidRPr="008923B7" w:rsidTr="001923AD">
        <w:trPr>
          <w:trHeight w:val="170"/>
          <w:jc w:val="center"/>
        </w:trPr>
        <w:tc>
          <w:tcPr>
            <w:tcW w:w="10783" w:type="dxa"/>
            <w:gridSpan w:val="6"/>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sidRPr="008923B7">
              <w:rPr>
                <w:sz w:val="20"/>
                <w:szCs w:val="20"/>
              </w:rPr>
              <w:t>Отнасящ се към притежателите на собствения капитал на дружеството-майка</w:t>
            </w: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b/>
                <w:bCs/>
                <w:i/>
                <w:iCs/>
                <w:color w:val="000000"/>
                <w:sz w:val="20"/>
                <w:szCs w:val="20"/>
              </w:rPr>
            </w:pPr>
          </w:p>
        </w:tc>
        <w:tc>
          <w:tcPr>
            <w:tcW w:w="1199" w:type="dxa"/>
            <w:tcBorders>
              <w:left w:val="nil"/>
              <w:bottom w:val="double" w:sz="6" w:space="0" w:color="auto"/>
              <w:right w:val="nil"/>
            </w:tcBorders>
            <w:shd w:val="clear" w:color="auto" w:fill="auto"/>
            <w:tcMar>
              <w:left w:w="57" w:type="dxa"/>
              <w:right w:w="57" w:type="dxa"/>
            </w:tcMar>
            <w:hideMark/>
          </w:tcPr>
          <w:p w:rsidR="001923AD" w:rsidRPr="008923B7" w:rsidRDefault="001923AD" w:rsidP="001923AD">
            <w:pPr>
              <w:spacing w:line="240" w:lineRule="auto"/>
              <w:jc w:val="center"/>
              <w:rPr>
                <w:b/>
                <w:bCs/>
                <w:sz w:val="20"/>
                <w:szCs w:val="20"/>
              </w:rPr>
            </w:pPr>
            <w:r w:rsidRPr="008923B7">
              <w:rPr>
                <w:b/>
                <w:bCs/>
                <w:sz w:val="20"/>
                <w:szCs w:val="20"/>
              </w:rPr>
              <w:t>Основен акционерен капитал</w:t>
            </w:r>
          </w:p>
        </w:tc>
        <w:tc>
          <w:tcPr>
            <w:tcW w:w="897" w:type="dxa"/>
            <w:tcBorders>
              <w:left w:val="nil"/>
              <w:bottom w:val="double" w:sz="6" w:space="0" w:color="auto"/>
              <w:right w:val="nil"/>
            </w:tcBorders>
            <w:shd w:val="clear" w:color="auto" w:fill="auto"/>
            <w:tcMar>
              <w:left w:w="57" w:type="dxa"/>
              <w:right w:w="57" w:type="dxa"/>
            </w:tcMar>
            <w:hideMark/>
          </w:tcPr>
          <w:p w:rsidR="001923AD" w:rsidRPr="008923B7" w:rsidRDefault="001923AD" w:rsidP="001923AD">
            <w:pPr>
              <w:spacing w:line="240" w:lineRule="auto"/>
              <w:jc w:val="center"/>
              <w:rPr>
                <w:b/>
                <w:bCs/>
                <w:sz w:val="20"/>
                <w:szCs w:val="20"/>
              </w:rPr>
            </w:pPr>
            <w:r w:rsidRPr="008923B7">
              <w:rPr>
                <w:b/>
                <w:bCs/>
                <w:sz w:val="20"/>
                <w:szCs w:val="20"/>
              </w:rPr>
              <w:t>Други резерви</w:t>
            </w:r>
          </w:p>
        </w:tc>
        <w:tc>
          <w:tcPr>
            <w:tcW w:w="1788" w:type="dxa"/>
            <w:tcBorders>
              <w:left w:val="nil"/>
              <w:bottom w:val="double" w:sz="6" w:space="0" w:color="auto"/>
              <w:right w:val="nil"/>
            </w:tcBorders>
            <w:shd w:val="clear" w:color="auto" w:fill="auto"/>
            <w:tcMar>
              <w:left w:w="57" w:type="dxa"/>
              <w:right w:w="57" w:type="dxa"/>
            </w:tcMar>
            <w:hideMark/>
          </w:tcPr>
          <w:p w:rsidR="001923AD" w:rsidRPr="008923B7" w:rsidRDefault="001923AD" w:rsidP="001923AD">
            <w:pPr>
              <w:spacing w:line="240" w:lineRule="auto"/>
              <w:jc w:val="center"/>
              <w:rPr>
                <w:b/>
                <w:bCs/>
                <w:sz w:val="20"/>
                <w:szCs w:val="20"/>
              </w:rPr>
            </w:pPr>
            <w:r w:rsidRPr="008923B7">
              <w:rPr>
                <w:b/>
                <w:bCs/>
                <w:sz w:val="20"/>
                <w:szCs w:val="20"/>
              </w:rPr>
              <w:t>Резерв по финансови активи на разположение за продажба</w:t>
            </w:r>
          </w:p>
        </w:tc>
        <w:tc>
          <w:tcPr>
            <w:tcW w:w="1181" w:type="dxa"/>
            <w:tcBorders>
              <w:left w:val="nil"/>
              <w:bottom w:val="double" w:sz="6" w:space="0" w:color="auto"/>
              <w:right w:val="nil"/>
            </w:tcBorders>
            <w:shd w:val="clear" w:color="auto" w:fill="auto"/>
            <w:tcMar>
              <w:left w:w="57" w:type="dxa"/>
              <w:right w:w="57" w:type="dxa"/>
            </w:tcMar>
            <w:hideMark/>
          </w:tcPr>
          <w:p w:rsidR="001923AD" w:rsidRPr="008923B7" w:rsidRDefault="001923AD" w:rsidP="001923AD">
            <w:pPr>
              <w:spacing w:line="240" w:lineRule="auto"/>
              <w:jc w:val="center"/>
              <w:rPr>
                <w:b/>
                <w:bCs/>
                <w:sz w:val="20"/>
                <w:szCs w:val="20"/>
              </w:rPr>
            </w:pPr>
            <w:r w:rsidRPr="008923B7">
              <w:rPr>
                <w:b/>
                <w:bCs/>
                <w:sz w:val="20"/>
                <w:szCs w:val="20"/>
              </w:rPr>
              <w:t>Натрупани печалби и загуби</w:t>
            </w:r>
          </w:p>
        </w:tc>
        <w:tc>
          <w:tcPr>
            <w:tcW w:w="1195" w:type="dxa"/>
            <w:tcBorders>
              <w:left w:val="nil"/>
              <w:bottom w:val="double" w:sz="6" w:space="0" w:color="auto"/>
              <w:right w:val="nil"/>
            </w:tcBorders>
            <w:shd w:val="clear" w:color="auto" w:fill="auto"/>
            <w:tcMar>
              <w:left w:w="57" w:type="dxa"/>
              <w:right w:w="57" w:type="dxa"/>
            </w:tcMar>
            <w:hideMark/>
          </w:tcPr>
          <w:p w:rsidR="001923AD" w:rsidRPr="008923B7" w:rsidRDefault="001923AD" w:rsidP="001923AD">
            <w:pPr>
              <w:spacing w:line="240" w:lineRule="auto"/>
              <w:jc w:val="center"/>
              <w:rPr>
                <w:b/>
                <w:bCs/>
                <w:sz w:val="20"/>
                <w:szCs w:val="20"/>
              </w:rPr>
            </w:pPr>
            <w:r w:rsidRPr="008923B7">
              <w:rPr>
                <w:b/>
                <w:bCs/>
                <w:sz w:val="20"/>
                <w:szCs w:val="20"/>
              </w:rPr>
              <w:t>Общо собствен капитал</w:t>
            </w: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bottom"/>
            <w:hideMark/>
          </w:tcPr>
          <w:p w:rsidR="001923AD" w:rsidRPr="008923B7" w:rsidRDefault="001923AD" w:rsidP="001923AD">
            <w:pPr>
              <w:spacing w:line="240" w:lineRule="auto"/>
              <w:rPr>
                <w:b/>
                <w:bCs/>
                <w:sz w:val="20"/>
                <w:szCs w:val="20"/>
              </w:rPr>
            </w:pPr>
          </w:p>
        </w:tc>
        <w:tc>
          <w:tcPr>
            <w:tcW w:w="1199" w:type="dxa"/>
            <w:tcBorders>
              <w:top w:val="nil"/>
              <w:left w:val="nil"/>
              <w:bottom w:val="nil"/>
              <w:right w:val="nil"/>
            </w:tcBorders>
            <w:shd w:val="clear" w:color="auto" w:fill="auto"/>
            <w:noWrap/>
            <w:tcMar>
              <w:left w:w="57" w:type="dxa"/>
              <w:right w:w="57" w:type="dxa"/>
            </w:tcMar>
            <w:hideMark/>
          </w:tcPr>
          <w:p w:rsidR="001923AD" w:rsidRPr="008923B7" w:rsidRDefault="001923AD" w:rsidP="001923AD">
            <w:pPr>
              <w:spacing w:line="240" w:lineRule="auto"/>
              <w:jc w:val="center"/>
              <w:rPr>
                <w:b/>
                <w:bCs/>
                <w:color w:val="000000"/>
                <w:sz w:val="20"/>
                <w:szCs w:val="20"/>
              </w:rPr>
            </w:pPr>
            <w:r w:rsidRPr="008923B7">
              <w:rPr>
                <w:b/>
                <w:bCs/>
                <w:color w:val="000000"/>
                <w:sz w:val="20"/>
                <w:szCs w:val="20"/>
              </w:rPr>
              <w:t>BGN'000</w:t>
            </w:r>
          </w:p>
        </w:tc>
        <w:tc>
          <w:tcPr>
            <w:tcW w:w="897" w:type="dxa"/>
            <w:tcBorders>
              <w:top w:val="nil"/>
              <w:left w:val="nil"/>
              <w:bottom w:val="nil"/>
              <w:right w:val="nil"/>
            </w:tcBorders>
            <w:shd w:val="clear" w:color="auto" w:fill="auto"/>
            <w:noWrap/>
            <w:tcMar>
              <w:left w:w="57" w:type="dxa"/>
              <w:right w:w="57" w:type="dxa"/>
            </w:tcMar>
            <w:hideMark/>
          </w:tcPr>
          <w:p w:rsidR="001923AD" w:rsidRPr="008923B7" w:rsidRDefault="001923AD" w:rsidP="001923AD">
            <w:pPr>
              <w:spacing w:line="240" w:lineRule="auto"/>
              <w:jc w:val="center"/>
              <w:rPr>
                <w:b/>
                <w:bCs/>
                <w:color w:val="000000"/>
                <w:sz w:val="20"/>
                <w:szCs w:val="20"/>
              </w:rPr>
            </w:pPr>
            <w:r w:rsidRPr="008923B7">
              <w:rPr>
                <w:b/>
                <w:bCs/>
                <w:color w:val="000000"/>
                <w:sz w:val="20"/>
                <w:szCs w:val="20"/>
              </w:rPr>
              <w:t>BGN'000</w:t>
            </w:r>
          </w:p>
        </w:tc>
        <w:tc>
          <w:tcPr>
            <w:tcW w:w="1788" w:type="dxa"/>
            <w:tcBorders>
              <w:top w:val="nil"/>
              <w:left w:val="nil"/>
              <w:bottom w:val="nil"/>
              <w:right w:val="nil"/>
            </w:tcBorders>
            <w:shd w:val="clear" w:color="auto" w:fill="auto"/>
            <w:noWrap/>
            <w:tcMar>
              <w:left w:w="57" w:type="dxa"/>
              <w:right w:w="57" w:type="dxa"/>
            </w:tcMar>
            <w:hideMark/>
          </w:tcPr>
          <w:p w:rsidR="001923AD" w:rsidRPr="008923B7" w:rsidRDefault="001923AD" w:rsidP="001923AD">
            <w:pPr>
              <w:spacing w:line="240" w:lineRule="auto"/>
              <w:jc w:val="center"/>
              <w:rPr>
                <w:b/>
                <w:bCs/>
                <w:color w:val="000000"/>
                <w:sz w:val="20"/>
                <w:szCs w:val="20"/>
              </w:rPr>
            </w:pPr>
            <w:r w:rsidRPr="008923B7">
              <w:rPr>
                <w:b/>
                <w:bCs/>
                <w:color w:val="000000"/>
                <w:sz w:val="20"/>
                <w:szCs w:val="20"/>
              </w:rPr>
              <w:t>BGN'000</w:t>
            </w:r>
          </w:p>
        </w:tc>
        <w:tc>
          <w:tcPr>
            <w:tcW w:w="1181" w:type="dxa"/>
            <w:tcBorders>
              <w:top w:val="nil"/>
              <w:left w:val="nil"/>
              <w:bottom w:val="nil"/>
              <w:right w:val="nil"/>
            </w:tcBorders>
            <w:shd w:val="clear" w:color="auto" w:fill="auto"/>
            <w:noWrap/>
            <w:tcMar>
              <w:left w:w="57" w:type="dxa"/>
              <w:right w:w="57" w:type="dxa"/>
            </w:tcMar>
            <w:hideMark/>
          </w:tcPr>
          <w:p w:rsidR="001923AD" w:rsidRPr="008923B7" w:rsidRDefault="001923AD" w:rsidP="001923AD">
            <w:pPr>
              <w:spacing w:line="240" w:lineRule="auto"/>
              <w:jc w:val="center"/>
              <w:rPr>
                <w:b/>
                <w:bCs/>
                <w:color w:val="000000"/>
                <w:sz w:val="20"/>
                <w:szCs w:val="20"/>
              </w:rPr>
            </w:pPr>
            <w:r w:rsidRPr="008923B7">
              <w:rPr>
                <w:b/>
                <w:bCs/>
                <w:color w:val="000000"/>
                <w:sz w:val="20"/>
                <w:szCs w:val="20"/>
              </w:rPr>
              <w:t>BGN'000</w:t>
            </w:r>
          </w:p>
        </w:tc>
        <w:tc>
          <w:tcPr>
            <w:tcW w:w="1195" w:type="dxa"/>
            <w:tcBorders>
              <w:top w:val="nil"/>
              <w:left w:val="nil"/>
              <w:bottom w:val="nil"/>
              <w:right w:val="nil"/>
            </w:tcBorders>
            <w:shd w:val="clear" w:color="auto" w:fill="auto"/>
            <w:noWrap/>
            <w:tcMar>
              <w:left w:w="57" w:type="dxa"/>
              <w:right w:w="57" w:type="dxa"/>
            </w:tcMar>
            <w:hideMark/>
          </w:tcPr>
          <w:p w:rsidR="001923AD" w:rsidRPr="008923B7" w:rsidRDefault="001923AD" w:rsidP="001923AD">
            <w:pPr>
              <w:spacing w:line="240" w:lineRule="auto"/>
              <w:jc w:val="center"/>
              <w:rPr>
                <w:b/>
                <w:bCs/>
                <w:color w:val="000000"/>
                <w:sz w:val="20"/>
                <w:szCs w:val="20"/>
              </w:rPr>
            </w:pPr>
            <w:r w:rsidRPr="008923B7">
              <w:rPr>
                <w:b/>
                <w:bCs/>
                <w:color w:val="000000"/>
                <w:sz w:val="20"/>
                <w:szCs w:val="20"/>
              </w:rPr>
              <w:t>BGN'000</w:t>
            </w: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hideMark/>
          </w:tcPr>
          <w:p w:rsidR="001923AD" w:rsidRPr="008923B7" w:rsidRDefault="001923AD" w:rsidP="001923AD">
            <w:pPr>
              <w:spacing w:line="240" w:lineRule="auto"/>
              <w:jc w:val="right"/>
              <w:rPr>
                <w:rFonts w:ascii="Times New Roman" w:hAnsi="Times New Roman"/>
                <w:sz w:val="20"/>
                <w:szCs w:val="20"/>
              </w:rPr>
            </w:pP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Салдо на 1 януари 2017 година</w:t>
            </w:r>
          </w:p>
        </w:tc>
        <w:tc>
          <w:tcPr>
            <w:tcW w:w="1199"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sidRPr="008923B7">
              <w:rPr>
                <w:b/>
                <w:bCs/>
                <w:sz w:val="20"/>
                <w:szCs w:val="20"/>
              </w:rPr>
              <w:t xml:space="preserve">6 583 </w:t>
            </w:r>
          </w:p>
        </w:tc>
        <w:tc>
          <w:tcPr>
            <w:tcW w:w="897"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sidRPr="008923B7">
              <w:rPr>
                <w:b/>
                <w:bCs/>
                <w:sz w:val="20"/>
                <w:szCs w:val="20"/>
              </w:rPr>
              <w:t xml:space="preserve">3 016 </w:t>
            </w:r>
          </w:p>
        </w:tc>
        <w:tc>
          <w:tcPr>
            <w:tcW w:w="1788"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sidRPr="008923B7">
              <w:rPr>
                <w:b/>
                <w:bCs/>
                <w:sz w:val="20"/>
                <w:szCs w:val="20"/>
              </w:rPr>
              <w:t xml:space="preserve">376 </w:t>
            </w:r>
          </w:p>
        </w:tc>
        <w:tc>
          <w:tcPr>
            <w:tcW w:w="1181"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sidRPr="008923B7">
              <w:rPr>
                <w:b/>
                <w:bCs/>
                <w:sz w:val="20"/>
                <w:szCs w:val="20"/>
              </w:rPr>
              <w:t xml:space="preserve">26 </w:t>
            </w:r>
          </w:p>
        </w:tc>
        <w:tc>
          <w:tcPr>
            <w:tcW w:w="1195"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sidRPr="008923B7">
              <w:rPr>
                <w:b/>
                <w:bCs/>
                <w:sz w:val="20"/>
                <w:szCs w:val="20"/>
              </w:rPr>
              <w:t xml:space="preserve">10 001 </w:t>
            </w: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b/>
                <w:bCs/>
                <w:i/>
                <w:iCs/>
                <w:sz w:val="20"/>
                <w:szCs w:val="20"/>
              </w:rPr>
            </w:pPr>
            <w:r w:rsidRPr="008923B7">
              <w:rPr>
                <w:b/>
                <w:bCs/>
                <w:i/>
                <w:iCs/>
                <w:sz w:val="20"/>
                <w:szCs w:val="20"/>
              </w:rPr>
              <w:t>Промени в собствения капитал за 2017 година</w:t>
            </w: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rFonts w:ascii="Times New Roman" w:hAnsi="Times New Roman"/>
                <w:sz w:val="20"/>
                <w:szCs w:val="20"/>
              </w:rPr>
            </w:pP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sz w:val="20"/>
                <w:szCs w:val="20"/>
              </w:rPr>
            </w:pPr>
            <w:r w:rsidRPr="008923B7">
              <w:rPr>
                <w:sz w:val="20"/>
                <w:szCs w:val="20"/>
              </w:rPr>
              <w:t>Разпределение на резерви за:</w:t>
            </w:r>
            <w:r>
              <w:rPr>
                <w:sz w:val="20"/>
                <w:szCs w:val="20"/>
              </w:rPr>
              <w:t xml:space="preserve"> </w:t>
            </w:r>
          </w:p>
        </w:tc>
        <w:tc>
          <w:tcPr>
            <w:tcW w:w="1199"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 </w:t>
            </w:r>
          </w:p>
        </w:tc>
        <w:tc>
          <w:tcPr>
            <w:tcW w:w="897"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31 </w:t>
            </w:r>
          </w:p>
        </w:tc>
        <w:tc>
          <w:tcPr>
            <w:tcW w:w="1788"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w:t>
            </w:r>
          </w:p>
        </w:tc>
        <w:tc>
          <w:tcPr>
            <w:tcW w:w="1181"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sidRPr="008923B7">
              <w:rPr>
                <w:sz w:val="20"/>
                <w:szCs w:val="20"/>
              </w:rPr>
              <w:t>(63)</w:t>
            </w:r>
          </w:p>
        </w:tc>
        <w:tc>
          <w:tcPr>
            <w:tcW w:w="1195"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sidRPr="008923B7">
              <w:rPr>
                <w:sz w:val="20"/>
                <w:szCs w:val="20"/>
              </w:rPr>
              <w:t>(32)</w:t>
            </w: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i/>
                <w:iCs/>
                <w:sz w:val="20"/>
                <w:szCs w:val="20"/>
              </w:rPr>
            </w:pPr>
            <w:r w:rsidRPr="008923B7">
              <w:rPr>
                <w:i/>
                <w:iCs/>
                <w:sz w:val="20"/>
                <w:szCs w:val="20"/>
              </w:rPr>
              <w:t xml:space="preserve"> * дивиденти</w:t>
            </w: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 xml:space="preserve"> - </w:t>
            </w: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 xml:space="preserve">- </w:t>
            </w: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 xml:space="preserve">- </w:t>
            </w: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sidRPr="008923B7">
              <w:rPr>
                <w:i/>
                <w:iCs/>
                <w:sz w:val="20"/>
                <w:szCs w:val="20"/>
              </w:rPr>
              <w:t>(32)</w:t>
            </w: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sidRPr="008923B7">
              <w:rPr>
                <w:sz w:val="20"/>
                <w:szCs w:val="20"/>
              </w:rPr>
              <w:t>(32)</w:t>
            </w: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i/>
                <w:iCs/>
                <w:sz w:val="20"/>
                <w:szCs w:val="20"/>
              </w:rPr>
            </w:pPr>
            <w:r w:rsidRPr="008923B7">
              <w:rPr>
                <w:i/>
                <w:iCs/>
                <w:sz w:val="20"/>
                <w:szCs w:val="20"/>
              </w:rPr>
              <w:t xml:space="preserve"> * разпределение за допълнителен резерв</w:t>
            </w: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 xml:space="preserve">31 </w:t>
            </w: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(31)</w:t>
            </w: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w:t>
            </w: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 xml:space="preserve">Общ всеобхватен доход за годината, в т.ч.: </w:t>
            </w:r>
          </w:p>
        </w:tc>
        <w:tc>
          <w:tcPr>
            <w:tcW w:w="1199"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 </w:t>
            </w:r>
          </w:p>
        </w:tc>
        <w:tc>
          <w:tcPr>
            <w:tcW w:w="897"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 </w:t>
            </w:r>
          </w:p>
        </w:tc>
        <w:tc>
          <w:tcPr>
            <w:tcW w:w="1788"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87 </w:t>
            </w:r>
          </w:p>
        </w:tc>
        <w:tc>
          <w:tcPr>
            <w:tcW w:w="1181"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184 </w:t>
            </w:r>
          </w:p>
        </w:tc>
        <w:tc>
          <w:tcPr>
            <w:tcW w:w="1195"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271 </w:t>
            </w: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i/>
                <w:iCs/>
                <w:sz w:val="20"/>
                <w:szCs w:val="20"/>
              </w:rPr>
            </w:pPr>
            <w:r w:rsidRPr="008923B7">
              <w:rPr>
                <w:i/>
                <w:iCs/>
                <w:sz w:val="20"/>
                <w:szCs w:val="20"/>
              </w:rPr>
              <w:t>* нетна печалба за годината</w:t>
            </w: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 </w:t>
            </w: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 </w:t>
            </w: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 xml:space="preserve">- </w:t>
            </w: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 xml:space="preserve">202 </w:t>
            </w: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 xml:space="preserve">202 </w:t>
            </w:r>
          </w:p>
        </w:tc>
      </w:tr>
      <w:tr w:rsidR="001923AD" w:rsidRPr="008923B7" w:rsidTr="001923AD">
        <w:trPr>
          <w:trHeight w:val="170"/>
          <w:jc w:val="center"/>
        </w:trPr>
        <w:tc>
          <w:tcPr>
            <w:tcW w:w="4523" w:type="dxa"/>
            <w:tcBorders>
              <w:top w:val="nil"/>
              <w:left w:val="nil"/>
              <w:bottom w:val="nil"/>
              <w:right w:val="nil"/>
            </w:tcBorders>
            <w:shd w:val="clear" w:color="auto" w:fill="auto"/>
            <w:tcMar>
              <w:left w:w="57" w:type="dxa"/>
              <w:right w:w="57" w:type="dxa"/>
            </w:tcMar>
            <w:vAlign w:val="center"/>
            <w:hideMark/>
          </w:tcPr>
          <w:p w:rsidR="001923AD" w:rsidRPr="008923B7" w:rsidRDefault="001923AD" w:rsidP="001923AD">
            <w:pPr>
              <w:spacing w:line="240" w:lineRule="auto"/>
              <w:jc w:val="left"/>
              <w:rPr>
                <w:i/>
                <w:iCs/>
                <w:sz w:val="20"/>
                <w:szCs w:val="20"/>
              </w:rPr>
            </w:pPr>
            <w:r w:rsidRPr="008923B7">
              <w:rPr>
                <w:i/>
                <w:iCs/>
                <w:sz w:val="20"/>
                <w:szCs w:val="20"/>
              </w:rPr>
              <w:t>* други компоненти на всеобхватния доход, нетно от данъци</w:t>
            </w: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 </w:t>
            </w: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 </w:t>
            </w: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 xml:space="preserve">87 </w:t>
            </w: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(18)</w:t>
            </w: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 xml:space="preserve">69 </w:t>
            </w: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Салдо на 31 декември 2017 година</w:t>
            </w:r>
          </w:p>
        </w:tc>
        <w:tc>
          <w:tcPr>
            <w:tcW w:w="1199"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6 583 </w:t>
            </w:r>
          </w:p>
        </w:tc>
        <w:tc>
          <w:tcPr>
            <w:tcW w:w="897"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3 047 </w:t>
            </w:r>
          </w:p>
        </w:tc>
        <w:tc>
          <w:tcPr>
            <w:tcW w:w="1788"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463 </w:t>
            </w:r>
          </w:p>
        </w:tc>
        <w:tc>
          <w:tcPr>
            <w:tcW w:w="1181"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147 </w:t>
            </w:r>
          </w:p>
        </w:tc>
        <w:tc>
          <w:tcPr>
            <w:tcW w:w="1195"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10 240 </w:t>
            </w: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b/>
                <w:bCs/>
                <w:i/>
                <w:iCs/>
                <w:sz w:val="20"/>
                <w:szCs w:val="20"/>
              </w:rPr>
            </w:pPr>
            <w:r w:rsidRPr="008923B7">
              <w:rPr>
                <w:b/>
                <w:bCs/>
                <w:i/>
                <w:iCs/>
                <w:sz w:val="20"/>
                <w:szCs w:val="20"/>
              </w:rPr>
              <w:t>Промени в собствения капитал за 2018 година</w:t>
            </w: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rFonts w:ascii="Times New Roman" w:hAnsi="Times New Roman"/>
                <w:sz w:val="20"/>
                <w:szCs w:val="20"/>
              </w:rPr>
            </w:pP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sz w:val="20"/>
                <w:szCs w:val="20"/>
              </w:rPr>
            </w:pPr>
            <w:r w:rsidRPr="008923B7">
              <w:rPr>
                <w:sz w:val="20"/>
                <w:szCs w:val="20"/>
              </w:rPr>
              <w:t>Разпределение на печалбата за:</w:t>
            </w:r>
            <w:r>
              <w:rPr>
                <w:sz w:val="20"/>
                <w:szCs w:val="20"/>
              </w:rPr>
              <w:t xml:space="preserve"> </w:t>
            </w:r>
          </w:p>
        </w:tc>
        <w:tc>
          <w:tcPr>
            <w:tcW w:w="1199"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 </w:t>
            </w:r>
          </w:p>
        </w:tc>
        <w:tc>
          <w:tcPr>
            <w:tcW w:w="897"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103 </w:t>
            </w:r>
          </w:p>
        </w:tc>
        <w:tc>
          <w:tcPr>
            <w:tcW w:w="1788"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w:t>
            </w:r>
          </w:p>
        </w:tc>
        <w:tc>
          <w:tcPr>
            <w:tcW w:w="1181"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(206)</w:t>
            </w:r>
          </w:p>
        </w:tc>
        <w:tc>
          <w:tcPr>
            <w:tcW w:w="1195"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(103)</w:t>
            </w: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i/>
                <w:iCs/>
                <w:sz w:val="20"/>
                <w:szCs w:val="20"/>
              </w:rPr>
            </w:pPr>
            <w:r w:rsidRPr="008923B7">
              <w:rPr>
                <w:i/>
                <w:iCs/>
                <w:sz w:val="20"/>
                <w:szCs w:val="20"/>
              </w:rPr>
              <w:t xml:space="preserve"> * дивиденти</w:t>
            </w: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 xml:space="preserve"> - </w:t>
            </w: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 xml:space="preserve">- </w:t>
            </w: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 xml:space="preserve">- </w:t>
            </w: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(103)</w:t>
            </w: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(103)</w:t>
            </w: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i/>
                <w:iCs/>
                <w:sz w:val="20"/>
                <w:szCs w:val="20"/>
              </w:rPr>
            </w:pPr>
            <w:r w:rsidRPr="008923B7">
              <w:rPr>
                <w:i/>
                <w:iCs/>
                <w:sz w:val="20"/>
                <w:szCs w:val="20"/>
              </w:rPr>
              <w:t xml:space="preserve"> * разпределение за допълнителен резерв</w:t>
            </w: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 xml:space="preserve"> - </w:t>
            </w: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 xml:space="preserve">103 </w:t>
            </w: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 xml:space="preserve">- </w:t>
            </w: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(103)</w:t>
            </w: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w:t>
            </w: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 xml:space="preserve">Общ всеобхватен доход за годината, в т.ч.: </w:t>
            </w:r>
          </w:p>
        </w:tc>
        <w:tc>
          <w:tcPr>
            <w:tcW w:w="1199"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 </w:t>
            </w:r>
          </w:p>
        </w:tc>
        <w:tc>
          <w:tcPr>
            <w:tcW w:w="897"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 - </w:t>
            </w:r>
          </w:p>
        </w:tc>
        <w:tc>
          <w:tcPr>
            <w:tcW w:w="1788"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sidRPr="008923B7">
              <w:rPr>
                <w:b/>
                <w:bCs/>
                <w:sz w:val="20"/>
                <w:szCs w:val="20"/>
              </w:rPr>
              <w:t>(41)</w:t>
            </w:r>
          </w:p>
        </w:tc>
        <w:tc>
          <w:tcPr>
            <w:tcW w:w="1181"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sidRPr="008923B7">
              <w:rPr>
                <w:b/>
                <w:bCs/>
                <w:sz w:val="20"/>
                <w:szCs w:val="20"/>
              </w:rPr>
              <w:t xml:space="preserve">3 242 </w:t>
            </w:r>
          </w:p>
        </w:tc>
        <w:tc>
          <w:tcPr>
            <w:tcW w:w="1195" w:type="dxa"/>
            <w:tcBorders>
              <w:top w:val="nil"/>
              <w:left w:val="nil"/>
              <w:bottom w:val="single" w:sz="4"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sidRPr="008923B7">
              <w:rPr>
                <w:b/>
                <w:bCs/>
                <w:sz w:val="20"/>
                <w:szCs w:val="20"/>
              </w:rPr>
              <w:t xml:space="preserve">3 201 </w:t>
            </w: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i/>
                <w:iCs/>
                <w:sz w:val="20"/>
                <w:szCs w:val="20"/>
              </w:rPr>
            </w:pPr>
            <w:r w:rsidRPr="008923B7">
              <w:rPr>
                <w:i/>
                <w:iCs/>
                <w:sz w:val="20"/>
                <w:szCs w:val="20"/>
              </w:rPr>
              <w:t>* нетна печалба за годината</w:t>
            </w: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 </w:t>
            </w: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 </w:t>
            </w: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w:t>
            </w: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sidRPr="008923B7">
              <w:rPr>
                <w:i/>
                <w:iCs/>
                <w:sz w:val="20"/>
                <w:szCs w:val="20"/>
              </w:rPr>
              <w:t xml:space="preserve">3 292 </w:t>
            </w: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sidRPr="008923B7">
              <w:rPr>
                <w:i/>
                <w:iCs/>
                <w:sz w:val="20"/>
                <w:szCs w:val="20"/>
              </w:rPr>
              <w:t xml:space="preserve">3 292 </w:t>
            </w:r>
          </w:p>
        </w:tc>
      </w:tr>
      <w:tr w:rsidR="001923AD" w:rsidRPr="008923B7" w:rsidTr="001923AD">
        <w:trPr>
          <w:trHeight w:val="170"/>
          <w:jc w:val="center"/>
        </w:trPr>
        <w:tc>
          <w:tcPr>
            <w:tcW w:w="4523" w:type="dxa"/>
            <w:tcBorders>
              <w:top w:val="nil"/>
              <w:left w:val="nil"/>
              <w:bottom w:val="nil"/>
              <w:right w:val="nil"/>
            </w:tcBorders>
            <w:shd w:val="clear" w:color="auto" w:fill="auto"/>
            <w:tcMar>
              <w:left w:w="57" w:type="dxa"/>
              <w:right w:w="57" w:type="dxa"/>
            </w:tcMar>
            <w:vAlign w:val="center"/>
            <w:hideMark/>
          </w:tcPr>
          <w:p w:rsidR="001923AD" w:rsidRPr="008923B7" w:rsidRDefault="001923AD" w:rsidP="001923AD">
            <w:pPr>
              <w:spacing w:line="240" w:lineRule="auto"/>
              <w:jc w:val="left"/>
              <w:rPr>
                <w:i/>
                <w:iCs/>
                <w:sz w:val="20"/>
                <w:szCs w:val="20"/>
              </w:rPr>
            </w:pPr>
            <w:r w:rsidRPr="008923B7">
              <w:rPr>
                <w:i/>
                <w:iCs/>
                <w:sz w:val="20"/>
                <w:szCs w:val="20"/>
              </w:rPr>
              <w:t>* други компоненти на всеобхватния доход, нетно от данъци</w:t>
            </w: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 </w:t>
            </w: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 </w:t>
            </w: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(41)</w:t>
            </w: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1 </w:t>
            </w: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r>
              <w:rPr>
                <w:i/>
                <w:iCs/>
                <w:sz w:val="20"/>
                <w:szCs w:val="20"/>
              </w:rPr>
              <w:t xml:space="preserve"> </w:t>
            </w:r>
            <w:r w:rsidRPr="008923B7">
              <w:rPr>
                <w:i/>
                <w:iCs/>
                <w:sz w:val="20"/>
                <w:szCs w:val="20"/>
              </w:rPr>
              <w:t>(40)</w:t>
            </w: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i/>
                <w:iCs/>
                <w:sz w:val="20"/>
                <w:szCs w:val="20"/>
              </w:rPr>
            </w:pP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sz w:val="20"/>
                <w:szCs w:val="20"/>
              </w:rPr>
            </w:pPr>
            <w:r w:rsidRPr="008923B7">
              <w:rPr>
                <w:sz w:val="20"/>
                <w:szCs w:val="20"/>
              </w:rPr>
              <w:t>Ефект от придобити дейности</w:t>
            </w:r>
          </w:p>
        </w:tc>
        <w:tc>
          <w:tcPr>
            <w:tcW w:w="1199"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897"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788"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rFonts w:ascii="Times New Roman" w:hAnsi="Times New Roman"/>
                <w:sz w:val="20"/>
                <w:szCs w:val="20"/>
              </w:rPr>
            </w:pPr>
          </w:p>
        </w:tc>
        <w:tc>
          <w:tcPr>
            <w:tcW w:w="1181"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(51)</w:t>
            </w:r>
          </w:p>
        </w:tc>
        <w:tc>
          <w:tcPr>
            <w:tcW w:w="1195"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sz w:val="20"/>
                <w:szCs w:val="20"/>
              </w:rPr>
            </w:pPr>
            <w:r>
              <w:rPr>
                <w:sz w:val="20"/>
                <w:szCs w:val="20"/>
              </w:rPr>
              <w:t xml:space="preserve"> </w:t>
            </w:r>
            <w:r w:rsidRPr="008923B7">
              <w:rPr>
                <w:sz w:val="20"/>
                <w:szCs w:val="20"/>
              </w:rPr>
              <w:t xml:space="preserve"> (51)</w:t>
            </w:r>
          </w:p>
        </w:tc>
      </w:tr>
      <w:tr w:rsidR="001923AD" w:rsidRPr="008923B7" w:rsidTr="001923AD">
        <w:trPr>
          <w:trHeight w:val="170"/>
          <w:jc w:val="center"/>
        </w:trPr>
        <w:tc>
          <w:tcPr>
            <w:tcW w:w="4523" w:type="dxa"/>
            <w:tcBorders>
              <w:top w:val="nil"/>
              <w:left w:val="nil"/>
              <w:bottom w:val="nil"/>
              <w:right w:val="nil"/>
            </w:tcBorders>
            <w:shd w:val="clear" w:color="auto" w:fill="auto"/>
            <w:noWrap/>
            <w:tcMar>
              <w:left w:w="57" w:type="dxa"/>
              <w:right w:w="57" w:type="dxa"/>
            </w:tcMar>
            <w:vAlign w:val="center"/>
            <w:hideMark/>
          </w:tcPr>
          <w:p w:rsidR="001923AD" w:rsidRPr="008923B7" w:rsidRDefault="001923AD" w:rsidP="001923AD">
            <w:pPr>
              <w:spacing w:line="240" w:lineRule="auto"/>
              <w:jc w:val="left"/>
              <w:rPr>
                <w:b/>
                <w:bCs/>
                <w:sz w:val="20"/>
                <w:szCs w:val="20"/>
              </w:rPr>
            </w:pPr>
            <w:r w:rsidRPr="008923B7">
              <w:rPr>
                <w:b/>
                <w:bCs/>
                <w:sz w:val="20"/>
                <w:szCs w:val="20"/>
              </w:rPr>
              <w:t>Салдо на 31 декември 2018 година</w:t>
            </w:r>
          </w:p>
        </w:tc>
        <w:tc>
          <w:tcPr>
            <w:tcW w:w="1199"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6 583 </w:t>
            </w:r>
          </w:p>
        </w:tc>
        <w:tc>
          <w:tcPr>
            <w:tcW w:w="897"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3 150 </w:t>
            </w:r>
          </w:p>
        </w:tc>
        <w:tc>
          <w:tcPr>
            <w:tcW w:w="1788"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422 </w:t>
            </w:r>
          </w:p>
        </w:tc>
        <w:tc>
          <w:tcPr>
            <w:tcW w:w="1181"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3 183 </w:t>
            </w:r>
          </w:p>
        </w:tc>
        <w:tc>
          <w:tcPr>
            <w:tcW w:w="1195"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1923AD" w:rsidRPr="008923B7" w:rsidRDefault="001923AD" w:rsidP="001923AD">
            <w:pPr>
              <w:spacing w:line="240" w:lineRule="auto"/>
              <w:jc w:val="right"/>
              <w:rPr>
                <w:b/>
                <w:bCs/>
                <w:sz w:val="20"/>
                <w:szCs w:val="20"/>
              </w:rPr>
            </w:pPr>
            <w:r>
              <w:rPr>
                <w:b/>
                <w:bCs/>
                <w:sz w:val="20"/>
                <w:szCs w:val="20"/>
              </w:rPr>
              <w:t xml:space="preserve">  </w:t>
            </w:r>
            <w:r w:rsidRPr="008923B7">
              <w:rPr>
                <w:b/>
                <w:bCs/>
                <w:sz w:val="20"/>
                <w:szCs w:val="20"/>
              </w:rPr>
              <w:t xml:space="preserve">13 338 </w:t>
            </w:r>
          </w:p>
        </w:tc>
      </w:tr>
    </w:tbl>
    <w:p w:rsidR="003939A6" w:rsidRPr="000B697A" w:rsidRDefault="003939A6" w:rsidP="00281505">
      <w:pPr>
        <w:rPr>
          <w:rStyle w:val="PageNumber"/>
          <w:rFonts w:cs="Calibri"/>
          <w:b/>
          <w:i/>
        </w:rPr>
      </w:pPr>
    </w:p>
    <w:p w:rsidR="007D0731" w:rsidRPr="000B697A" w:rsidRDefault="00010F33" w:rsidP="00281505">
      <w:pPr>
        <w:rPr>
          <w:rStyle w:val="PageNumber"/>
          <w:rFonts w:cs="Calibri"/>
          <w:b/>
        </w:rPr>
      </w:pPr>
      <w:r w:rsidRPr="000B697A">
        <w:rPr>
          <w:rStyle w:val="PageNumber"/>
          <w:rFonts w:cs="Calibri"/>
          <w:b/>
          <w:i/>
        </w:rPr>
        <w:br w:type="page"/>
      </w:r>
    </w:p>
    <w:sdt>
      <w:sdtPr>
        <w:rPr>
          <w:rFonts w:cs="Calibri"/>
          <w:b/>
          <w:bCs/>
          <w:color w:val="548DD4" w:themeColor="text2" w:themeTint="99"/>
          <w:szCs w:val="24"/>
        </w:rPr>
        <w:id w:val="179246468"/>
        <w:docPartObj>
          <w:docPartGallery w:val="Table of Contents"/>
          <w:docPartUnique/>
        </w:docPartObj>
      </w:sdtPr>
      <w:sdtEndPr>
        <w:rPr>
          <w:b w:val="0"/>
          <w:bCs w:val="0"/>
          <w:color w:val="auto"/>
          <w:szCs w:val="22"/>
        </w:rPr>
      </w:sdtEndPr>
      <w:sdtContent>
        <w:p w:rsidR="00635571" w:rsidRPr="000B697A" w:rsidRDefault="00DF4A5C" w:rsidP="0023507F">
          <w:pPr>
            <w:rPr>
              <w:rFonts w:cs="Calibri"/>
              <w:color w:val="548DD4" w:themeColor="text2" w:themeTint="99"/>
            </w:rPr>
          </w:pPr>
          <w:r w:rsidRPr="000B697A">
            <w:rPr>
              <w:rFonts w:cs="Calibri"/>
              <w:b/>
              <w:color w:val="548DD4" w:themeColor="text2" w:themeTint="99"/>
              <w:szCs w:val="24"/>
            </w:rPr>
            <w:t>Съдържание</w:t>
          </w:r>
        </w:p>
        <w:p w:rsidR="00147CB4" w:rsidRDefault="000B57D2">
          <w:pPr>
            <w:pStyle w:val="TOC1"/>
            <w:rPr>
              <w:rFonts w:asciiTheme="minorHAnsi" w:eastAsiaTheme="minorEastAsia" w:hAnsiTheme="minorHAnsi" w:cstheme="minorBidi"/>
              <w:noProof/>
              <w:sz w:val="22"/>
            </w:rPr>
          </w:pPr>
          <w:r w:rsidRPr="000B697A">
            <w:rPr>
              <w:rFonts w:cs="Calibri"/>
            </w:rPr>
            <w:fldChar w:fldCharType="begin"/>
          </w:r>
          <w:r w:rsidR="00635571" w:rsidRPr="000B697A">
            <w:rPr>
              <w:rFonts w:cs="Calibri"/>
            </w:rPr>
            <w:instrText xml:space="preserve"> TOC \o "1-3" \h \z \u </w:instrText>
          </w:r>
          <w:r w:rsidRPr="000B697A">
            <w:rPr>
              <w:rFonts w:cs="Calibri"/>
            </w:rPr>
            <w:fldChar w:fldCharType="separate"/>
          </w:r>
          <w:hyperlink w:anchor="_Toc6923235" w:history="1">
            <w:r w:rsidR="00147CB4" w:rsidRPr="00E978B5">
              <w:rPr>
                <w:rStyle w:val="Hyperlink"/>
                <w:rFonts w:cs="Calibri"/>
                <w:noProof/>
              </w:rPr>
              <w:t>1.</w:t>
            </w:r>
            <w:r w:rsidR="00147CB4">
              <w:rPr>
                <w:rFonts w:asciiTheme="minorHAnsi" w:eastAsiaTheme="minorEastAsia" w:hAnsiTheme="minorHAnsi" w:cstheme="minorBidi"/>
                <w:noProof/>
                <w:sz w:val="22"/>
              </w:rPr>
              <w:tab/>
            </w:r>
            <w:r w:rsidR="00147CB4" w:rsidRPr="00E978B5">
              <w:rPr>
                <w:rStyle w:val="Hyperlink"/>
                <w:rFonts w:cs="Calibri"/>
                <w:noProof/>
              </w:rPr>
              <w:t>ИНФОРМАЦИЯ ЗА ГРУПА БЪЛГАРСКА ФОНДОВА БОРСА</w:t>
            </w:r>
            <w:r w:rsidR="00147CB4">
              <w:rPr>
                <w:noProof/>
                <w:webHidden/>
              </w:rPr>
              <w:tab/>
            </w:r>
            <w:r w:rsidR="00147CB4">
              <w:rPr>
                <w:noProof/>
                <w:webHidden/>
              </w:rPr>
              <w:fldChar w:fldCharType="begin"/>
            </w:r>
            <w:r w:rsidR="00147CB4">
              <w:rPr>
                <w:noProof/>
                <w:webHidden/>
              </w:rPr>
              <w:instrText xml:space="preserve"> PAGEREF _Toc6923235 \h </w:instrText>
            </w:r>
            <w:r w:rsidR="00147CB4">
              <w:rPr>
                <w:noProof/>
                <w:webHidden/>
              </w:rPr>
            </w:r>
            <w:r w:rsidR="00147CB4">
              <w:rPr>
                <w:noProof/>
                <w:webHidden/>
              </w:rPr>
              <w:fldChar w:fldCharType="separate"/>
            </w:r>
            <w:r w:rsidR="00AA0D62">
              <w:rPr>
                <w:noProof/>
                <w:webHidden/>
              </w:rPr>
              <w:t>9</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36" w:history="1">
            <w:r w:rsidR="00147CB4" w:rsidRPr="00E978B5">
              <w:rPr>
                <w:rStyle w:val="Hyperlink"/>
                <w:rFonts w:cs="Calibri"/>
                <w:noProof/>
              </w:rPr>
              <w:t>1.1.</w:t>
            </w:r>
            <w:r w:rsidR="00147CB4">
              <w:rPr>
                <w:rFonts w:asciiTheme="minorHAnsi" w:eastAsiaTheme="minorEastAsia" w:hAnsiTheme="minorHAnsi" w:cstheme="minorBidi"/>
                <w:noProof/>
                <w:sz w:val="22"/>
              </w:rPr>
              <w:tab/>
            </w:r>
            <w:r w:rsidR="00147CB4" w:rsidRPr="00E978B5">
              <w:rPr>
                <w:rStyle w:val="Hyperlink"/>
                <w:rFonts w:cs="Calibri"/>
                <w:noProof/>
              </w:rPr>
              <w:t>Собственост и управление</w:t>
            </w:r>
            <w:r w:rsidR="00147CB4">
              <w:rPr>
                <w:noProof/>
                <w:webHidden/>
              </w:rPr>
              <w:tab/>
            </w:r>
            <w:r w:rsidR="00147CB4">
              <w:rPr>
                <w:noProof/>
                <w:webHidden/>
              </w:rPr>
              <w:fldChar w:fldCharType="begin"/>
            </w:r>
            <w:r w:rsidR="00147CB4">
              <w:rPr>
                <w:noProof/>
                <w:webHidden/>
              </w:rPr>
              <w:instrText xml:space="preserve"> PAGEREF _Toc6923236 \h </w:instrText>
            </w:r>
            <w:r w:rsidR="00147CB4">
              <w:rPr>
                <w:noProof/>
                <w:webHidden/>
              </w:rPr>
            </w:r>
            <w:r w:rsidR="00147CB4">
              <w:rPr>
                <w:noProof/>
                <w:webHidden/>
              </w:rPr>
              <w:fldChar w:fldCharType="separate"/>
            </w:r>
            <w:r w:rsidR="00AA0D62">
              <w:rPr>
                <w:noProof/>
                <w:webHidden/>
              </w:rPr>
              <w:t>10</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37" w:history="1">
            <w:r w:rsidR="00147CB4" w:rsidRPr="00E978B5">
              <w:rPr>
                <w:rStyle w:val="Hyperlink"/>
                <w:rFonts w:cs="Calibri"/>
                <w:noProof/>
              </w:rPr>
              <w:t>1.2.</w:t>
            </w:r>
            <w:r w:rsidR="00147CB4">
              <w:rPr>
                <w:rFonts w:asciiTheme="minorHAnsi" w:eastAsiaTheme="minorEastAsia" w:hAnsiTheme="minorHAnsi" w:cstheme="minorBidi"/>
                <w:noProof/>
                <w:sz w:val="22"/>
              </w:rPr>
              <w:tab/>
            </w:r>
            <w:r w:rsidR="00147CB4" w:rsidRPr="00E978B5">
              <w:rPr>
                <w:rStyle w:val="Hyperlink"/>
                <w:rFonts w:cs="Calibri"/>
                <w:noProof/>
              </w:rPr>
              <w:t>Предмет на дейност</w:t>
            </w:r>
            <w:r w:rsidR="00147CB4">
              <w:rPr>
                <w:noProof/>
                <w:webHidden/>
              </w:rPr>
              <w:tab/>
            </w:r>
            <w:r w:rsidR="00147CB4">
              <w:rPr>
                <w:noProof/>
                <w:webHidden/>
              </w:rPr>
              <w:fldChar w:fldCharType="begin"/>
            </w:r>
            <w:r w:rsidR="00147CB4">
              <w:rPr>
                <w:noProof/>
                <w:webHidden/>
              </w:rPr>
              <w:instrText xml:space="preserve"> PAGEREF _Toc6923237 \h </w:instrText>
            </w:r>
            <w:r w:rsidR="00147CB4">
              <w:rPr>
                <w:noProof/>
                <w:webHidden/>
              </w:rPr>
            </w:r>
            <w:r w:rsidR="00147CB4">
              <w:rPr>
                <w:noProof/>
                <w:webHidden/>
              </w:rPr>
              <w:fldChar w:fldCharType="separate"/>
            </w:r>
            <w:r w:rsidR="00AA0D62">
              <w:rPr>
                <w:noProof/>
                <w:webHidden/>
              </w:rPr>
              <w:t>11</w:t>
            </w:r>
            <w:r w:rsidR="00147CB4">
              <w:rPr>
                <w:noProof/>
                <w:webHidden/>
              </w:rPr>
              <w:fldChar w:fldCharType="end"/>
            </w:r>
          </w:hyperlink>
        </w:p>
        <w:p w:rsidR="00147CB4" w:rsidRDefault="008F3486">
          <w:pPr>
            <w:pStyle w:val="TOC1"/>
            <w:rPr>
              <w:rFonts w:asciiTheme="minorHAnsi" w:eastAsiaTheme="minorEastAsia" w:hAnsiTheme="minorHAnsi" w:cstheme="minorBidi"/>
              <w:noProof/>
              <w:sz w:val="22"/>
            </w:rPr>
          </w:pPr>
          <w:hyperlink w:anchor="_Toc6923238" w:history="1">
            <w:r w:rsidR="00147CB4" w:rsidRPr="00E978B5">
              <w:rPr>
                <w:rStyle w:val="Hyperlink"/>
                <w:rFonts w:cs="Calibri"/>
                <w:noProof/>
              </w:rPr>
              <w:t>2.</w:t>
            </w:r>
            <w:r w:rsidR="00147CB4">
              <w:rPr>
                <w:rFonts w:asciiTheme="minorHAnsi" w:eastAsiaTheme="minorEastAsia" w:hAnsiTheme="minorHAnsi" w:cstheme="minorBidi"/>
                <w:noProof/>
                <w:sz w:val="22"/>
              </w:rPr>
              <w:tab/>
            </w:r>
            <w:r w:rsidR="00147CB4" w:rsidRPr="00E978B5">
              <w:rPr>
                <w:rStyle w:val="Hyperlink"/>
                <w:rFonts w:cs="Calibri"/>
                <w:noProof/>
              </w:rPr>
              <w:t>ИНФОРМАЦИЯ ЗА ДЕЙНОСТТА НА ГРУПА БЪЛГАРСКА ФОНДОВА БОРСА</w:t>
            </w:r>
            <w:r w:rsidR="00147CB4">
              <w:rPr>
                <w:noProof/>
                <w:webHidden/>
              </w:rPr>
              <w:tab/>
            </w:r>
            <w:r w:rsidR="00147CB4">
              <w:rPr>
                <w:noProof/>
                <w:webHidden/>
              </w:rPr>
              <w:fldChar w:fldCharType="begin"/>
            </w:r>
            <w:r w:rsidR="00147CB4">
              <w:rPr>
                <w:noProof/>
                <w:webHidden/>
              </w:rPr>
              <w:instrText xml:space="preserve"> PAGEREF _Toc6923238 \h </w:instrText>
            </w:r>
            <w:r w:rsidR="00147CB4">
              <w:rPr>
                <w:noProof/>
                <w:webHidden/>
              </w:rPr>
            </w:r>
            <w:r w:rsidR="00147CB4">
              <w:rPr>
                <w:noProof/>
                <w:webHidden/>
              </w:rPr>
              <w:fldChar w:fldCharType="separate"/>
            </w:r>
            <w:r w:rsidR="00AA0D62">
              <w:rPr>
                <w:noProof/>
                <w:webHidden/>
              </w:rPr>
              <w:t>12</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39" w:history="1">
            <w:r w:rsidR="00147CB4" w:rsidRPr="00E978B5">
              <w:rPr>
                <w:rStyle w:val="Hyperlink"/>
                <w:rFonts w:cs="Calibri"/>
                <w:noProof/>
              </w:rPr>
              <w:t>2.1.</w:t>
            </w:r>
            <w:r w:rsidR="00147CB4">
              <w:rPr>
                <w:rFonts w:asciiTheme="minorHAnsi" w:eastAsiaTheme="minorEastAsia" w:hAnsiTheme="minorHAnsi" w:cstheme="minorBidi"/>
                <w:noProof/>
                <w:sz w:val="22"/>
              </w:rPr>
              <w:tab/>
            </w:r>
            <w:r w:rsidR="00147CB4" w:rsidRPr="00E978B5">
              <w:rPr>
                <w:rStyle w:val="Hyperlink"/>
                <w:rFonts w:cs="Calibri"/>
                <w:noProof/>
              </w:rPr>
              <w:t>Данни за търговията на „Българска фондова борса“ АД /дружество-майка/</w:t>
            </w:r>
            <w:r w:rsidR="00147CB4">
              <w:rPr>
                <w:noProof/>
                <w:webHidden/>
              </w:rPr>
              <w:tab/>
            </w:r>
            <w:r w:rsidR="00147CB4">
              <w:rPr>
                <w:noProof/>
                <w:webHidden/>
              </w:rPr>
              <w:fldChar w:fldCharType="begin"/>
            </w:r>
            <w:r w:rsidR="00147CB4">
              <w:rPr>
                <w:noProof/>
                <w:webHidden/>
              </w:rPr>
              <w:instrText xml:space="preserve"> PAGEREF _Toc6923239 \h </w:instrText>
            </w:r>
            <w:r w:rsidR="00147CB4">
              <w:rPr>
                <w:noProof/>
                <w:webHidden/>
              </w:rPr>
            </w:r>
            <w:r w:rsidR="00147CB4">
              <w:rPr>
                <w:noProof/>
                <w:webHidden/>
              </w:rPr>
              <w:fldChar w:fldCharType="separate"/>
            </w:r>
            <w:r w:rsidR="00AA0D62">
              <w:rPr>
                <w:noProof/>
                <w:webHidden/>
              </w:rPr>
              <w:t>12</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40" w:history="1">
            <w:r w:rsidR="00147CB4" w:rsidRPr="00E978B5">
              <w:rPr>
                <w:rStyle w:val="Hyperlink"/>
                <w:rFonts w:cs="Calibri"/>
                <w:noProof/>
              </w:rPr>
              <w:t>2.2.</w:t>
            </w:r>
            <w:r w:rsidR="00147CB4">
              <w:rPr>
                <w:rFonts w:asciiTheme="minorHAnsi" w:eastAsiaTheme="minorEastAsia" w:hAnsiTheme="minorHAnsi" w:cstheme="minorBidi"/>
                <w:noProof/>
                <w:sz w:val="22"/>
              </w:rPr>
              <w:tab/>
            </w:r>
            <w:r w:rsidR="00147CB4" w:rsidRPr="00E978B5">
              <w:rPr>
                <w:rStyle w:val="Hyperlink"/>
                <w:rFonts w:cs="Calibri"/>
                <w:noProof/>
              </w:rPr>
              <w:t>Отраслова структура на търговията</w:t>
            </w:r>
            <w:r w:rsidR="00147CB4">
              <w:rPr>
                <w:noProof/>
                <w:webHidden/>
              </w:rPr>
              <w:tab/>
            </w:r>
            <w:r w:rsidR="00147CB4">
              <w:rPr>
                <w:noProof/>
                <w:webHidden/>
              </w:rPr>
              <w:fldChar w:fldCharType="begin"/>
            </w:r>
            <w:r w:rsidR="00147CB4">
              <w:rPr>
                <w:noProof/>
                <w:webHidden/>
              </w:rPr>
              <w:instrText xml:space="preserve"> PAGEREF _Toc6923240 \h </w:instrText>
            </w:r>
            <w:r w:rsidR="00147CB4">
              <w:rPr>
                <w:noProof/>
                <w:webHidden/>
              </w:rPr>
            </w:r>
            <w:r w:rsidR="00147CB4">
              <w:rPr>
                <w:noProof/>
                <w:webHidden/>
              </w:rPr>
              <w:fldChar w:fldCharType="separate"/>
            </w:r>
            <w:r w:rsidR="00AA0D62">
              <w:rPr>
                <w:noProof/>
                <w:webHidden/>
              </w:rPr>
              <w:t>16</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41" w:history="1">
            <w:r w:rsidR="00147CB4" w:rsidRPr="00E978B5">
              <w:rPr>
                <w:rStyle w:val="Hyperlink"/>
                <w:rFonts w:cs="Calibri"/>
                <w:noProof/>
              </w:rPr>
              <w:t>2.3.</w:t>
            </w:r>
            <w:r w:rsidR="00147CB4">
              <w:rPr>
                <w:rFonts w:asciiTheme="minorHAnsi" w:eastAsiaTheme="minorEastAsia" w:hAnsiTheme="minorHAnsi" w:cstheme="minorBidi"/>
                <w:noProof/>
                <w:sz w:val="22"/>
              </w:rPr>
              <w:tab/>
            </w:r>
            <w:r w:rsidR="00147CB4" w:rsidRPr="00E978B5">
              <w:rPr>
                <w:rStyle w:val="Hyperlink"/>
                <w:rFonts w:cs="Calibri"/>
                <w:noProof/>
              </w:rPr>
              <w:t>Регистрирани емисии финансови инструменти на Българска фондова борса</w:t>
            </w:r>
            <w:r w:rsidR="00147CB4">
              <w:rPr>
                <w:noProof/>
                <w:webHidden/>
              </w:rPr>
              <w:tab/>
            </w:r>
            <w:r w:rsidR="00147CB4">
              <w:rPr>
                <w:noProof/>
                <w:webHidden/>
              </w:rPr>
              <w:fldChar w:fldCharType="begin"/>
            </w:r>
            <w:r w:rsidR="00147CB4">
              <w:rPr>
                <w:noProof/>
                <w:webHidden/>
              </w:rPr>
              <w:instrText xml:space="preserve"> PAGEREF _Toc6923241 \h </w:instrText>
            </w:r>
            <w:r w:rsidR="00147CB4">
              <w:rPr>
                <w:noProof/>
                <w:webHidden/>
              </w:rPr>
            </w:r>
            <w:r w:rsidR="00147CB4">
              <w:rPr>
                <w:noProof/>
                <w:webHidden/>
              </w:rPr>
              <w:fldChar w:fldCharType="separate"/>
            </w:r>
            <w:r w:rsidR="00AA0D62">
              <w:rPr>
                <w:noProof/>
                <w:webHidden/>
              </w:rPr>
              <w:t>17</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42" w:history="1">
            <w:r w:rsidR="00147CB4" w:rsidRPr="00E978B5">
              <w:rPr>
                <w:rStyle w:val="Hyperlink"/>
                <w:rFonts w:cs="Calibri"/>
                <w:noProof/>
              </w:rPr>
              <w:t>2.4.</w:t>
            </w:r>
            <w:r w:rsidR="00147CB4">
              <w:rPr>
                <w:rFonts w:asciiTheme="minorHAnsi" w:eastAsiaTheme="minorEastAsia" w:hAnsiTheme="minorHAnsi" w:cstheme="minorBidi"/>
                <w:noProof/>
                <w:sz w:val="22"/>
              </w:rPr>
              <w:tab/>
            </w:r>
            <w:r w:rsidR="00147CB4" w:rsidRPr="00E978B5">
              <w:rPr>
                <w:rStyle w:val="Hyperlink"/>
                <w:rFonts w:cs="Calibri"/>
                <w:noProof/>
              </w:rPr>
              <w:t>Нови емитенти, отписани емисии и увеличения на капитал</w:t>
            </w:r>
            <w:r w:rsidR="00147CB4">
              <w:rPr>
                <w:noProof/>
                <w:webHidden/>
              </w:rPr>
              <w:tab/>
            </w:r>
            <w:r w:rsidR="00147CB4">
              <w:rPr>
                <w:noProof/>
                <w:webHidden/>
              </w:rPr>
              <w:fldChar w:fldCharType="begin"/>
            </w:r>
            <w:r w:rsidR="00147CB4">
              <w:rPr>
                <w:noProof/>
                <w:webHidden/>
              </w:rPr>
              <w:instrText xml:space="preserve"> PAGEREF _Toc6923242 \h </w:instrText>
            </w:r>
            <w:r w:rsidR="00147CB4">
              <w:rPr>
                <w:noProof/>
                <w:webHidden/>
              </w:rPr>
            </w:r>
            <w:r w:rsidR="00147CB4">
              <w:rPr>
                <w:noProof/>
                <w:webHidden/>
              </w:rPr>
              <w:fldChar w:fldCharType="separate"/>
            </w:r>
            <w:r w:rsidR="00AA0D62">
              <w:rPr>
                <w:noProof/>
                <w:webHidden/>
              </w:rPr>
              <w:t>18</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43" w:history="1">
            <w:r w:rsidR="00147CB4" w:rsidRPr="00E978B5">
              <w:rPr>
                <w:rStyle w:val="Hyperlink"/>
                <w:rFonts w:cs="Calibri"/>
                <w:noProof/>
              </w:rPr>
              <w:t>2.5.</w:t>
            </w:r>
            <w:r w:rsidR="00147CB4">
              <w:rPr>
                <w:rFonts w:asciiTheme="minorHAnsi" w:eastAsiaTheme="minorEastAsia" w:hAnsiTheme="minorHAnsi" w:cstheme="minorBidi"/>
                <w:noProof/>
                <w:sz w:val="22"/>
              </w:rPr>
              <w:tab/>
            </w:r>
            <w:r w:rsidR="00147CB4" w:rsidRPr="00E978B5">
              <w:rPr>
                <w:rStyle w:val="Hyperlink"/>
                <w:rFonts w:cs="Calibri"/>
                <w:noProof/>
              </w:rPr>
              <w:t>Пазарна капитализация на Борсата</w:t>
            </w:r>
            <w:r w:rsidR="00147CB4">
              <w:rPr>
                <w:noProof/>
                <w:webHidden/>
              </w:rPr>
              <w:tab/>
            </w:r>
            <w:r w:rsidR="00147CB4">
              <w:rPr>
                <w:noProof/>
                <w:webHidden/>
              </w:rPr>
              <w:fldChar w:fldCharType="begin"/>
            </w:r>
            <w:r w:rsidR="00147CB4">
              <w:rPr>
                <w:noProof/>
                <w:webHidden/>
              </w:rPr>
              <w:instrText xml:space="preserve"> PAGEREF _Toc6923243 \h </w:instrText>
            </w:r>
            <w:r w:rsidR="00147CB4">
              <w:rPr>
                <w:noProof/>
                <w:webHidden/>
              </w:rPr>
            </w:r>
            <w:r w:rsidR="00147CB4">
              <w:rPr>
                <w:noProof/>
                <w:webHidden/>
              </w:rPr>
              <w:fldChar w:fldCharType="separate"/>
            </w:r>
            <w:r w:rsidR="00AA0D62">
              <w:rPr>
                <w:noProof/>
                <w:webHidden/>
              </w:rPr>
              <w:t>20</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44" w:history="1">
            <w:r w:rsidR="00147CB4" w:rsidRPr="00E978B5">
              <w:rPr>
                <w:rStyle w:val="Hyperlink"/>
                <w:rFonts w:cs="Calibri"/>
                <w:noProof/>
              </w:rPr>
              <w:t>2.6.</w:t>
            </w:r>
            <w:r w:rsidR="00147CB4">
              <w:rPr>
                <w:rFonts w:asciiTheme="minorHAnsi" w:eastAsiaTheme="minorEastAsia" w:hAnsiTheme="minorHAnsi" w:cstheme="minorBidi"/>
                <w:noProof/>
                <w:sz w:val="22"/>
              </w:rPr>
              <w:tab/>
            </w:r>
            <w:r w:rsidR="00147CB4" w:rsidRPr="00E978B5">
              <w:rPr>
                <w:rStyle w:val="Hyperlink"/>
                <w:rFonts w:cs="Calibri"/>
                <w:noProof/>
              </w:rPr>
              <w:t>Индекси на БФБ-София</w:t>
            </w:r>
            <w:r w:rsidR="00147CB4">
              <w:rPr>
                <w:noProof/>
                <w:webHidden/>
              </w:rPr>
              <w:tab/>
            </w:r>
            <w:r w:rsidR="00147CB4">
              <w:rPr>
                <w:noProof/>
                <w:webHidden/>
              </w:rPr>
              <w:fldChar w:fldCharType="begin"/>
            </w:r>
            <w:r w:rsidR="00147CB4">
              <w:rPr>
                <w:noProof/>
                <w:webHidden/>
              </w:rPr>
              <w:instrText xml:space="preserve"> PAGEREF _Toc6923244 \h </w:instrText>
            </w:r>
            <w:r w:rsidR="00147CB4">
              <w:rPr>
                <w:noProof/>
                <w:webHidden/>
              </w:rPr>
            </w:r>
            <w:r w:rsidR="00147CB4">
              <w:rPr>
                <w:noProof/>
                <w:webHidden/>
              </w:rPr>
              <w:fldChar w:fldCharType="separate"/>
            </w:r>
            <w:r w:rsidR="00AA0D62">
              <w:rPr>
                <w:noProof/>
                <w:webHidden/>
              </w:rPr>
              <w:t>21</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45" w:history="1">
            <w:r w:rsidR="00147CB4" w:rsidRPr="00E978B5">
              <w:rPr>
                <w:rStyle w:val="Hyperlink"/>
                <w:rFonts w:cs="Calibri"/>
                <w:noProof/>
              </w:rPr>
              <w:t>2.7.</w:t>
            </w:r>
            <w:r w:rsidR="00147CB4">
              <w:rPr>
                <w:rFonts w:asciiTheme="minorHAnsi" w:eastAsiaTheme="minorEastAsia" w:hAnsiTheme="minorHAnsi" w:cstheme="minorBidi"/>
                <w:noProof/>
                <w:sz w:val="22"/>
              </w:rPr>
              <w:tab/>
            </w:r>
            <w:r w:rsidR="00147CB4" w:rsidRPr="00E978B5">
              <w:rPr>
                <w:rStyle w:val="Hyperlink"/>
                <w:rFonts w:cs="Calibri"/>
                <w:noProof/>
              </w:rPr>
              <w:t>Приватизация през Борсата</w:t>
            </w:r>
            <w:r w:rsidR="00147CB4">
              <w:rPr>
                <w:noProof/>
                <w:webHidden/>
              </w:rPr>
              <w:tab/>
            </w:r>
            <w:r w:rsidR="00147CB4">
              <w:rPr>
                <w:noProof/>
                <w:webHidden/>
              </w:rPr>
              <w:fldChar w:fldCharType="begin"/>
            </w:r>
            <w:r w:rsidR="00147CB4">
              <w:rPr>
                <w:noProof/>
                <w:webHidden/>
              </w:rPr>
              <w:instrText xml:space="preserve"> PAGEREF _Toc6923245 \h </w:instrText>
            </w:r>
            <w:r w:rsidR="00147CB4">
              <w:rPr>
                <w:noProof/>
                <w:webHidden/>
              </w:rPr>
            </w:r>
            <w:r w:rsidR="00147CB4">
              <w:rPr>
                <w:noProof/>
                <w:webHidden/>
              </w:rPr>
              <w:fldChar w:fldCharType="separate"/>
            </w:r>
            <w:r w:rsidR="00AA0D62">
              <w:rPr>
                <w:noProof/>
                <w:webHidden/>
              </w:rPr>
              <w:t>22</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46" w:history="1">
            <w:r w:rsidR="00147CB4" w:rsidRPr="00E978B5">
              <w:rPr>
                <w:rStyle w:val="Hyperlink"/>
                <w:rFonts w:cs="Calibri"/>
                <w:noProof/>
              </w:rPr>
              <w:t>2.8.</w:t>
            </w:r>
            <w:r w:rsidR="00147CB4">
              <w:rPr>
                <w:rFonts w:asciiTheme="minorHAnsi" w:eastAsiaTheme="minorEastAsia" w:hAnsiTheme="minorHAnsi" w:cstheme="minorBidi"/>
                <w:noProof/>
                <w:sz w:val="22"/>
              </w:rPr>
              <w:tab/>
            </w:r>
            <w:r w:rsidR="00147CB4" w:rsidRPr="00E978B5">
              <w:rPr>
                <w:rStyle w:val="Hyperlink"/>
                <w:rFonts w:cs="Calibri"/>
                <w:noProof/>
              </w:rPr>
              <w:t>Основни дейности и събития през 201</w:t>
            </w:r>
            <w:r w:rsidR="00147CB4" w:rsidRPr="00E978B5">
              <w:rPr>
                <w:rStyle w:val="Hyperlink"/>
                <w:rFonts w:cs="Calibri"/>
                <w:noProof/>
                <w:lang w:val="en-US"/>
              </w:rPr>
              <w:t>8</w:t>
            </w:r>
            <w:r w:rsidR="00147CB4" w:rsidRPr="00E978B5">
              <w:rPr>
                <w:rStyle w:val="Hyperlink"/>
                <w:rFonts w:cs="Calibri"/>
                <w:noProof/>
              </w:rPr>
              <w:t xml:space="preserve"> г.</w:t>
            </w:r>
            <w:r w:rsidR="00147CB4">
              <w:rPr>
                <w:noProof/>
                <w:webHidden/>
              </w:rPr>
              <w:tab/>
            </w:r>
            <w:r w:rsidR="00147CB4">
              <w:rPr>
                <w:noProof/>
                <w:webHidden/>
              </w:rPr>
              <w:fldChar w:fldCharType="begin"/>
            </w:r>
            <w:r w:rsidR="00147CB4">
              <w:rPr>
                <w:noProof/>
                <w:webHidden/>
              </w:rPr>
              <w:instrText xml:space="preserve"> PAGEREF _Toc6923246 \h </w:instrText>
            </w:r>
            <w:r w:rsidR="00147CB4">
              <w:rPr>
                <w:noProof/>
                <w:webHidden/>
              </w:rPr>
            </w:r>
            <w:r w:rsidR="00147CB4">
              <w:rPr>
                <w:noProof/>
                <w:webHidden/>
              </w:rPr>
              <w:fldChar w:fldCharType="separate"/>
            </w:r>
            <w:r w:rsidR="00AA0D62">
              <w:rPr>
                <w:noProof/>
                <w:webHidden/>
              </w:rPr>
              <w:t>22</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47" w:history="1">
            <w:r w:rsidR="00147CB4" w:rsidRPr="00E978B5">
              <w:rPr>
                <w:rStyle w:val="Hyperlink"/>
                <w:rFonts w:cs="Calibri"/>
                <w:noProof/>
              </w:rPr>
              <w:t>2.9.</w:t>
            </w:r>
            <w:r w:rsidR="00147CB4">
              <w:rPr>
                <w:rFonts w:asciiTheme="minorHAnsi" w:eastAsiaTheme="minorEastAsia" w:hAnsiTheme="minorHAnsi" w:cstheme="minorBidi"/>
                <w:noProof/>
                <w:sz w:val="22"/>
              </w:rPr>
              <w:tab/>
            </w:r>
            <w:r w:rsidR="00147CB4" w:rsidRPr="00E978B5">
              <w:rPr>
                <w:rStyle w:val="Hyperlink"/>
                <w:rFonts w:cs="Calibri"/>
                <w:noProof/>
              </w:rPr>
              <w:t>Корпоративно управление</w:t>
            </w:r>
            <w:r w:rsidR="00147CB4">
              <w:rPr>
                <w:noProof/>
                <w:webHidden/>
              </w:rPr>
              <w:tab/>
            </w:r>
            <w:r w:rsidR="00147CB4">
              <w:rPr>
                <w:noProof/>
                <w:webHidden/>
              </w:rPr>
              <w:fldChar w:fldCharType="begin"/>
            </w:r>
            <w:r w:rsidR="00147CB4">
              <w:rPr>
                <w:noProof/>
                <w:webHidden/>
              </w:rPr>
              <w:instrText xml:space="preserve"> PAGEREF _Toc6923247 \h </w:instrText>
            </w:r>
            <w:r w:rsidR="00147CB4">
              <w:rPr>
                <w:noProof/>
                <w:webHidden/>
              </w:rPr>
            </w:r>
            <w:r w:rsidR="00147CB4">
              <w:rPr>
                <w:noProof/>
                <w:webHidden/>
              </w:rPr>
              <w:fldChar w:fldCharType="separate"/>
            </w:r>
            <w:r w:rsidR="00AA0D62">
              <w:rPr>
                <w:noProof/>
                <w:webHidden/>
              </w:rPr>
              <w:t>30</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48" w:history="1">
            <w:r w:rsidR="00147CB4" w:rsidRPr="00E978B5">
              <w:rPr>
                <w:rStyle w:val="Hyperlink"/>
                <w:rFonts w:cs="Calibri"/>
                <w:noProof/>
              </w:rPr>
              <w:t>2.10.</w:t>
            </w:r>
            <w:r w:rsidR="00147CB4">
              <w:rPr>
                <w:rFonts w:asciiTheme="minorHAnsi" w:eastAsiaTheme="minorEastAsia" w:hAnsiTheme="minorHAnsi" w:cstheme="minorBidi"/>
                <w:noProof/>
                <w:sz w:val="22"/>
              </w:rPr>
              <w:tab/>
            </w:r>
            <w:r w:rsidR="00147CB4" w:rsidRPr="00E978B5">
              <w:rPr>
                <w:rStyle w:val="Hyperlink"/>
                <w:rFonts w:cs="Calibri"/>
                <w:noProof/>
              </w:rPr>
              <w:t>Информационни технологии</w:t>
            </w:r>
            <w:r w:rsidR="00147CB4">
              <w:rPr>
                <w:noProof/>
                <w:webHidden/>
              </w:rPr>
              <w:tab/>
            </w:r>
            <w:r w:rsidR="00147CB4">
              <w:rPr>
                <w:noProof/>
                <w:webHidden/>
              </w:rPr>
              <w:fldChar w:fldCharType="begin"/>
            </w:r>
            <w:r w:rsidR="00147CB4">
              <w:rPr>
                <w:noProof/>
                <w:webHidden/>
              </w:rPr>
              <w:instrText xml:space="preserve"> PAGEREF _Toc6923248 \h </w:instrText>
            </w:r>
            <w:r w:rsidR="00147CB4">
              <w:rPr>
                <w:noProof/>
                <w:webHidden/>
              </w:rPr>
            </w:r>
            <w:r w:rsidR="00147CB4">
              <w:rPr>
                <w:noProof/>
                <w:webHidden/>
              </w:rPr>
              <w:fldChar w:fldCharType="separate"/>
            </w:r>
            <w:r w:rsidR="00AA0D62">
              <w:rPr>
                <w:noProof/>
                <w:webHidden/>
              </w:rPr>
              <w:t>32</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49" w:history="1">
            <w:r w:rsidR="00147CB4" w:rsidRPr="00E978B5">
              <w:rPr>
                <w:rStyle w:val="Hyperlink"/>
                <w:rFonts w:cs="Calibri"/>
                <w:noProof/>
              </w:rPr>
              <w:t>2.11.</w:t>
            </w:r>
            <w:r w:rsidR="00147CB4">
              <w:rPr>
                <w:rFonts w:asciiTheme="minorHAnsi" w:eastAsiaTheme="minorEastAsia" w:hAnsiTheme="minorHAnsi" w:cstheme="minorBidi"/>
                <w:noProof/>
                <w:sz w:val="22"/>
              </w:rPr>
              <w:tab/>
            </w:r>
            <w:r w:rsidR="00147CB4" w:rsidRPr="00E978B5">
              <w:rPr>
                <w:rStyle w:val="Hyperlink"/>
                <w:rFonts w:cs="Calibri"/>
                <w:noProof/>
              </w:rPr>
              <w:t>Привличане на нови емисии, корпоративно управление</w:t>
            </w:r>
            <w:r w:rsidR="00147CB4">
              <w:rPr>
                <w:noProof/>
                <w:webHidden/>
              </w:rPr>
              <w:tab/>
            </w:r>
            <w:r w:rsidR="00147CB4">
              <w:rPr>
                <w:noProof/>
                <w:webHidden/>
              </w:rPr>
              <w:fldChar w:fldCharType="begin"/>
            </w:r>
            <w:r w:rsidR="00147CB4">
              <w:rPr>
                <w:noProof/>
                <w:webHidden/>
              </w:rPr>
              <w:instrText xml:space="preserve"> PAGEREF _Toc6923249 \h </w:instrText>
            </w:r>
            <w:r w:rsidR="00147CB4">
              <w:rPr>
                <w:noProof/>
                <w:webHidden/>
              </w:rPr>
            </w:r>
            <w:r w:rsidR="00147CB4">
              <w:rPr>
                <w:noProof/>
                <w:webHidden/>
              </w:rPr>
              <w:fldChar w:fldCharType="separate"/>
            </w:r>
            <w:r w:rsidR="00AA0D62">
              <w:rPr>
                <w:noProof/>
                <w:webHidden/>
              </w:rPr>
              <w:t>33</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50" w:history="1">
            <w:r w:rsidR="00147CB4" w:rsidRPr="00E978B5">
              <w:rPr>
                <w:rStyle w:val="Hyperlink"/>
                <w:rFonts w:cs="Calibri"/>
                <w:noProof/>
              </w:rPr>
              <w:t>2.12.</w:t>
            </w:r>
            <w:r w:rsidR="00147CB4">
              <w:rPr>
                <w:rFonts w:asciiTheme="minorHAnsi" w:eastAsiaTheme="minorEastAsia" w:hAnsiTheme="minorHAnsi" w:cstheme="minorBidi"/>
                <w:noProof/>
                <w:sz w:val="22"/>
              </w:rPr>
              <w:tab/>
            </w:r>
            <w:r w:rsidR="00147CB4" w:rsidRPr="00E978B5">
              <w:rPr>
                <w:rStyle w:val="Hyperlink"/>
                <w:rFonts w:cs="Calibri"/>
                <w:noProof/>
              </w:rPr>
              <w:t>Международна дейност</w:t>
            </w:r>
            <w:r w:rsidR="00147CB4">
              <w:rPr>
                <w:noProof/>
                <w:webHidden/>
              </w:rPr>
              <w:tab/>
            </w:r>
            <w:r w:rsidR="00147CB4">
              <w:rPr>
                <w:noProof/>
                <w:webHidden/>
              </w:rPr>
              <w:fldChar w:fldCharType="begin"/>
            </w:r>
            <w:r w:rsidR="00147CB4">
              <w:rPr>
                <w:noProof/>
                <w:webHidden/>
              </w:rPr>
              <w:instrText xml:space="preserve"> PAGEREF _Toc6923250 \h </w:instrText>
            </w:r>
            <w:r w:rsidR="00147CB4">
              <w:rPr>
                <w:noProof/>
                <w:webHidden/>
              </w:rPr>
            </w:r>
            <w:r w:rsidR="00147CB4">
              <w:rPr>
                <w:noProof/>
                <w:webHidden/>
              </w:rPr>
              <w:fldChar w:fldCharType="separate"/>
            </w:r>
            <w:r w:rsidR="00AA0D62">
              <w:rPr>
                <w:noProof/>
                <w:webHidden/>
              </w:rPr>
              <w:t>34</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51" w:history="1">
            <w:r w:rsidR="00147CB4" w:rsidRPr="00E978B5">
              <w:rPr>
                <w:rStyle w:val="Hyperlink"/>
                <w:rFonts w:cs="Calibri"/>
                <w:noProof/>
              </w:rPr>
              <w:t>2.13.</w:t>
            </w:r>
            <w:r w:rsidR="00147CB4">
              <w:rPr>
                <w:rFonts w:asciiTheme="minorHAnsi" w:eastAsiaTheme="minorEastAsia" w:hAnsiTheme="minorHAnsi" w:cstheme="minorBidi"/>
                <w:noProof/>
                <w:sz w:val="22"/>
              </w:rPr>
              <w:tab/>
            </w:r>
            <w:r w:rsidR="00147CB4" w:rsidRPr="00E978B5">
              <w:rPr>
                <w:rStyle w:val="Hyperlink"/>
                <w:rFonts w:cs="Calibri"/>
                <w:noProof/>
              </w:rPr>
              <w:t>Членове на Българска фондова борса</w:t>
            </w:r>
            <w:r w:rsidR="00147CB4">
              <w:rPr>
                <w:noProof/>
                <w:webHidden/>
              </w:rPr>
              <w:tab/>
            </w:r>
            <w:r w:rsidR="00147CB4">
              <w:rPr>
                <w:noProof/>
                <w:webHidden/>
              </w:rPr>
              <w:fldChar w:fldCharType="begin"/>
            </w:r>
            <w:r w:rsidR="00147CB4">
              <w:rPr>
                <w:noProof/>
                <w:webHidden/>
              </w:rPr>
              <w:instrText xml:space="preserve"> PAGEREF _Toc6923251 \h </w:instrText>
            </w:r>
            <w:r w:rsidR="00147CB4">
              <w:rPr>
                <w:noProof/>
                <w:webHidden/>
              </w:rPr>
            </w:r>
            <w:r w:rsidR="00147CB4">
              <w:rPr>
                <w:noProof/>
                <w:webHidden/>
              </w:rPr>
              <w:fldChar w:fldCharType="separate"/>
            </w:r>
            <w:r w:rsidR="00AA0D62">
              <w:rPr>
                <w:noProof/>
                <w:webHidden/>
              </w:rPr>
              <w:t>36</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52" w:history="1">
            <w:r w:rsidR="00147CB4" w:rsidRPr="00E978B5">
              <w:rPr>
                <w:rStyle w:val="Hyperlink"/>
                <w:rFonts w:cs="Calibri"/>
                <w:noProof/>
              </w:rPr>
              <w:t>2.14.</w:t>
            </w:r>
            <w:r w:rsidR="00147CB4">
              <w:rPr>
                <w:rFonts w:asciiTheme="minorHAnsi" w:eastAsiaTheme="minorEastAsia" w:hAnsiTheme="minorHAnsi" w:cstheme="minorBidi"/>
                <w:noProof/>
                <w:sz w:val="22"/>
              </w:rPr>
              <w:tab/>
            </w:r>
            <w:r w:rsidR="00147CB4" w:rsidRPr="00E978B5">
              <w:rPr>
                <w:rStyle w:val="Hyperlink"/>
                <w:rFonts w:cs="Calibri"/>
                <w:noProof/>
              </w:rPr>
              <w:t>Основни характеристики на дейността на „Сервиз Финансови Пазари“ ЕООД през 201</w:t>
            </w:r>
            <w:r w:rsidR="00147CB4" w:rsidRPr="00E978B5">
              <w:rPr>
                <w:rStyle w:val="Hyperlink"/>
                <w:rFonts w:cs="Calibri"/>
                <w:noProof/>
                <w:lang w:val="en-US"/>
              </w:rPr>
              <w:t>8</w:t>
            </w:r>
            <w:r w:rsidR="00147CB4" w:rsidRPr="00E978B5">
              <w:rPr>
                <w:rStyle w:val="Hyperlink"/>
                <w:rFonts w:cs="Calibri"/>
                <w:noProof/>
              </w:rPr>
              <w:t xml:space="preserve"> г.</w:t>
            </w:r>
            <w:r w:rsidR="00147CB4">
              <w:rPr>
                <w:noProof/>
                <w:webHidden/>
              </w:rPr>
              <w:tab/>
            </w:r>
            <w:r w:rsidR="00147CB4">
              <w:rPr>
                <w:noProof/>
                <w:webHidden/>
              </w:rPr>
              <w:fldChar w:fldCharType="begin"/>
            </w:r>
            <w:r w:rsidR="00147CB4">
              <w:rPr>
                <w:noProof/>
                <w:webHidden/>
              </w:rPr>
              <w:instrText xml:space="preserve"> PAGEREF _Toc6923252 \h </w:instrText>
            </w:r>
            <w:r w:rsidR="00147CB4">
              <w:rPr>
                <w:noProof/>
                <w:webHidden/>
              </w:rPr>
            </w:r>
            <w:r w:rsidR="00147CB4">
              <w:rPr>
                <w:noProof/>
                <w:webHidden/>
              </w:rPr>
              <w:fldChar w:fldCharType="separate"/>
            </w:r>
            <w:r w:rsidR="00AA0D62">
              <w:rPr>
                <w:noProof/>
                <w:webHidden/>
              </w:rPr>
              <w:t>36</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53" w:history="1">
            <w:r w:rsidR="00147CB4" w:rsidRPr="00E978B5">
              <w:rPr>
                <w:rStyle w:val="Hyperlink"/>
                <w:rFonts w:cs="Calibri"/>
                <w:noProof/>
              </w:rPr>
              <w:t>2.15.</w:t>
            </w:r>
            <w:r w:rsidR="00147CB4">
              <w:rPr>
                <w:rFonts w:asciiTheme="minorHAnsi" w:eastAsiaTheme="minorEastAsia" w:hAnsiTheme="minorHAnsi" w:cstheme="minorBidi"/>
                <w:noProof/>
                <w:sz w:val="22"/>
              </w:rPr>
              <w:tab/>
            </w:r>
            <w:r w:rsidR="00147CB4" w:rsidRPr="00E978B5">
              <w:rPr>
                <w:rStyle w:val="Hyperlink"/>
                <w:rFonts w:cs="Calibri"/>
                <w:noProof/>
              </w:rPr>
              <w:t>Основни характеристики на дейността на дъщерното дружество „Българска независима енергийна борса“ ЕАД</w:t>
            </w:r>
            <w:r w:rsidR="00147CB4">
              <w:rPr>
                <w:noProof/>
                <w:webHidden/>
              </w:rPr>
              <w:tab/>
            </w:r>
            <w:r w:rsidR="00147CB4">
              <w:rPr>
                <w:noProof/>
                <w:webHidden/>
              </w:rPr>
              <w:fldChar w:fldCharType="begin"/>
            </w:r>
            <w:r w:rsidR="00147CB4">
              <w:rPr>
                <w:noProof/>
                <w:webHidden/>
              </w:rPr>
              <w:instrText xml:space="preserve"> PAGEREF _Toc6923253 \h </w:instrText>
            </w:r>
            <w:r w:rsidR="00147CB4">
              <w:rPr>
                <w:noProof/>
                <w:webHidden/>
              </w:rPr>
            </w:r>
            <w:r w:rsidR="00147CB4">
              <w:rPr>
                <w:noProof/>
                <w:webHidden/>
              </w:rPr>
              <w:fldChar w:fldCharType="separate"/>
            </w:r>
            <w:r w:rsidR="00AA0D62">
              <w:rPr>
                <w:noProof/>
                <w:webHidden/>
              </w:rPr>
              <w:t>37</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54" w:history="1">
            <w:r w:rsidR="00147CB4" w:rsidRPr="00E978B5">
              <w:rPr>
                <w:rStyle w:val="Hyperlink"/>
                <w:rFonts w:cs="Calibri"/>
                <w:noProof/>
              </w:rPr>
              <w:t>2.16.</w:t>
            </w:r>
            <w:r w:rsidR="00147CB4">
              <w:rPr>
                <w:rFonts w:asciiTheme="minorHAnsi" w:eastAsiaTheme="minorEastAsia" w:hAnsiTheme="minorHAnsi" w:cstheme="minorBidi"/>
                <w:noProof/>
                <w:sz w:val="22"/>
              </w:rPr>
              <w:tab/>
            </w:r>
            <w:r w:rsidR="00147CB4" w:rsidRPr="00E978B5">
              <w:rPr>
                <w:rStyle w:val="Hyperlink"/>
                <w:rFonts w:cs="Calibri"/>
                <w:noProof/>
              </w:rPr>
              <w:t>Основни рискове и несигурности, пред които е изправена Група Българска Фондова Борса</w:t>
            </w:r>
            <w:r w:rsidR="00147CB4">
              <w:rPr>
                <w:noProof/>
                <w:webHidden/>
              </w:rPr>
              <w:tab/>
            </w:r>
            <w:r w:rsidR="00147CB4">
              <w:rPr>
                <w:noProof/>
                <w:webHidden/>
              </w:rPr>
              <w:fldChar w:fldCharType="begin"/>
            </w:r>
            <w:r w:rsidR="00147CB4">
              <w:rPr>
                <w:noProof/>
                <w:webHidden/>
              </w:rPr>
              <w:instrText xml:space="preserve"> PAGEREF _Toc6923254 \h </w:instrText>
            </w:r>
            <w:r w:rsidR="00147CB4">
              <w:rPr>
                <w:noProof/>
                <w:webHidden/>
              </w:rPr>
            </w:r>
            <w:r w:rsidR="00147CB4">
              <w:rPr>
                <w:noProof/>
                <w:webHidden/>
              </w:rPr>
              <w:fldChar w:fldCharType="separate"/>
            </w:r>
            <w:r w:rsidR="00AA0D62">
              <w:rPr>
                <w:noProof/>
                <w:webHidden/>
              </w:rPr>
              <w:t>38</w:t>
            </w:r>
            <w:r w:rsidR="00147CB4">
              <w:rPr>
                <w:noProof/>
                <w:webHidden/>
              </w:rPr>
              <w:fldChar w:fldCharType="end"/>
            </w:r>
          </w:hyperlink>
        </w:p>
        <w:p w:rsidR="00147CB4" w:rsidRDefault="008F3486">
          <w:pPr>
            <w:pStyle w:val="TOC1"/>
            <w:rPr>
              <w:rFonts w:asciiTheme="minorHAnsi" w:eastAsiaTheme="minorEastAsia" w:hAnsiTheme="minorHAnsi" w:cstheme="minorBidi"/>
              <w:noProof/>
              <w:sz w:val="22"/>
            </w:rPr>
          </w:pPr>
          <w:hyperlink w:anchor="_Toc6923255" w:history="1">
            <w:r w:rsidR="00147CB4" w:rsidRPr="00E978B5">
              <w:rPr>
                <w:rStyle w:val="Hyperlink"/>
                <w:rFonts w:cs="Calibri"/>
                <w:noProof/>
              </w:rPr>
              <w:t>3.</w:t>
            </w:r>
            <w:r w:rsidR="00147CB4">
              <w:rPr>
                <w:rFonts w:asciiTheme="minorHAnsi" w:eastAsiaTheme="minorEastAsia" w:hAnsiTheme="minorHAnsi" w:cstheme="minorBidi"/>
                <w:noProof/>
                <w:sz w:val="22"/>
              </w:rPr>
              <w:tab/>
            </w:r>
            <w:r w:rsidR="00147CB4" w:rsidRPr="00E978B5">
              <w:rPr>
                <w:rStyle w:val="Hyperlink"/>
                <w:rFonts w:cs="Calibri"/>
                <w:noProof/>
              </w:rPr>
              <w:t>ФИНАНСОВО СЪСТОЯНИЕ НА ГРУПА БЪЛГАРСКА ФОНДОВА БОРСА</w:t>
            </w:r>
            <w:r w:rsidR="00147CB4">
              <w:rPr>
                <w:noProof/>
                <w:webHidden/>
              </w:rPr>
              <w:tab/>
            </w:r>
            <w:r w:rsidR="00147CB4">
              <w:rPr>
                <w:noProof/>
                <w:webHidden/>
              </w:rPr>
              <w:fldChar w:fldCharType="begin"/>
            </w:r>
            <w:r w:rsidR="00147CB4">
              <w:rPr>
                <w:noProof/>
                <w:webHidden/>
              </w:rPr>
              <w:instrText xml:space="preserve"> PAGEREF _Toc6923255 \h </w:instrText>
            </w:r>
            <w:r w:rsidR="00147CB4">
              <w:rPr>
                <w:noProof/>
                <w:webHidden/>
              </w:rPr>
            </w:r>
            <w:r w:rsidR="00147CB4">
              <w:rPr>
                <w:noProof/>
                <w:webHidden/>
              </w:rPr>
              <w:fldChar w:fldCharType="separate"/>
            </w:r>
            <w:r w:rsidR="00AA0D62">
              <w:rPr>
                <w:noProof/>
                <w:webHidden/>
              </w:rPr>
              <w:t>42</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56" w:history="1">
            <w:r w:rsidR="00147CB4" w:rsidRPr="00E978B5">
              <w:rPr>
                <w:rStyle w:val="Hyperlink"/>
                <w:rFonts w:cs="Calibri"/>
                <w:noProof/>
              </w:rPr>
              <w:t>3.1.</w:t>
            </w:r>
            <w:r w:rsidR="00147CB4">
              <w:rPr>
                <w:rFonts w:asciiTheme="minorHAnsi" w:eastAsiaTheme="minorEastAsia" w:hAnsiTheme="minorHAnsi" w:cstheme="minorBidi"/>
                <w:noProof/>
                <w:sz w:val="22"/>
              </w:rPr>
              <w:tab/>
            </w:r>
            <w:r w:rsidR="00147CB4" w:rsidRPr="00E978B5">
              <w:rPr>
                <w:rStyle w:val="Hyperlink"/>
                <w:rFonts w:cs="Calibri"/>
                <w:noProof/>
              </w:rPr>
              <w:t>Основни финансови показатели на групата</w:t>
            </w:r>
            <w:r w:rsidR="00147CB4">
              <w:rPr>
                <w:noProof/>
                <w:webHidden/>
              </w:rPr>
              <w:tab/>
            </w:r>
            <w:r w:rsidR="00147CB4">
              <w:rPr>
                <w:noProof/>
                <w:webHidden/>
              </w:rPr>
              <w:fldChar w:fldCharType="begin"/>
            </w:r>
            <w:r w:rsidR="00147CB4">
              <w:rPr>
                <w:noProof/>
                <w:webHidden/>
              </w:rPr>
              <w:instrText xml:space="preserve"> PAGEREF _Toc6923256 \h </w:instrText>
            </w:r>
            <w:r w:rsidR="00147CB4">
              <w:rPr>
                <w:noProof/>
                <w:webHidden/>
              </w:rPr>
            </w:r>
            <w:r w:rsidR="00147CB4">
              <w:rPr>
                <w:noProof/>
                <w:webHidden/>
              </w:rPr>
              <w:fldChar w:fldCharType="separate"/>
            </w:r>
            <w:r w:rsidR="00AA0D62">
              <w:rPr>
                <w:noProof/>
                <w:webHidden/>
              </w:rPr>
              <w:t>42</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57" w:history="1">
            <w:r w:rsidR="00147CB4" w:rsidRPr="00E978B5">
              <w:rPr>
                <w:rStyle w:val="Hyperlink"/>
                <w:rFonts w:cs="Calibri"/>
                <w:noProof/>
              </w:rPr>
              <w:t>3.2.</w:t>
            </w:r>
            <w:r w:rsidR="00147CB4">
              <w:rPr>
                <w:rFonts w:asciiTheme="minorHAnsi" w:eastAsiaTheme="minorEastAsia" w:hAnsiTheme="minorHAnsi" w:cstheme="minorBidi"/>
                <w:noProof/>
                <w:sz w:val="22"/>
              </w:rPr>
              <w:tab/>
            </w:r>
            <w:r w:rsidR="00147CB4" w:rsidRPr="00E978B5">
              <w:rPr>
                <w:rStyle w:val="Hyperlink"/>
                <w:rFonts w:cs="Calibri"/>
                <w:noProof/>
              </w:rPr>
              <w:t>Информация, в стойностно и количествено изражение за основните категории продукти и предоставени услуги, с посочване на техния дял в приходите от продажби на Група Българска фондова борса като цяло и промените, настъпили през отчетната финансова година.</w:t>
            </w:r>
            <w:r w:rsidR="00147CB4">
              <w:rPr>
                <w:noProof/>
                <w:webHidden/>
              </w:rPr>
              <w:tab/>
            </w:r>
            <w:r w:rsidR="00147CB4">
              <w:rPr>
                <w:noProof/>
                <w:webHidden/>
              </w:rPr>
              <w:fldChar w:fldCharType="begin"/>
            </w:r>
            <w:r w:rsidR="00147CB4">
              <w:rPr>
                <w:noProof/>
                <w:webHidden/>
              </w:rPr>
              <w:instrText xml:space="preserve"> PAGEREF _Toc6923257 \h </w:instrText>
            </w:r>
            <w:r w:rsidR="00147CB4">
              <w:rPr>
                <w:noProof/>
                <w:webHidden/>
              </w:rPr>
            </w:r>
            <w:r w:rsidR="00147CB4">
              <w:rPr>
                <w:noProof/>
                <w:webHidden/>
              </w:rPr>
              <w:fldChar w:fldCharType="separate"/>
            </w:r>
            <w:r w:rsidR="00AA0D62">
              <w:rPr>
                <w:noProof/>
                <w:webHidden/>
              </w:rPr>
              <w:t>44</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58" w:history="1">
            <w:r w:rsidR="00147CB4" w:rsidRPr="00E978B5">
              <w:rPr>
                <w:rStyle w:val="Hyperlink"/>
                <w:rFonts w:cs="Calibri"/>
                <w:noProof/>
              </w:rPr>
              <w:t>3.3.</w:t>
            </w:r>
            <w:r w:rsidR="00147CB4">
              <w:rPr>
                <w:rFonts w:asciiTheme="minorHAnsi" w:eastAsiaTheme="minorEastAsia" w:hAnsiTheme="minorHAnsi" w:cstheme="minorBidi"/>
                <w:noProof/>
                <w:sz w:val="22"/>
              </w:rPr>
              <w:tab/>
            </w:r>
            <w:r w:rsidR="00147CB4" w:rsidRPr="00E978B5">
              <w:rPr>
                <w:rStyle w:val="Hyperlink"/>
                <w:rFonts w:cs="Calibri"/>
                <w:noProof/>
              </w:rPr>
              <w:t>Информация относно приходите, разпределени по отделните категории дейности, вътрешни и външни пазари, както и информация за източниците за снабдяване с материали, необходими за производството на стоки или предоставянето на услуги с отразяване степента на зависимост по отношение на всеки отделен продавач или купувач/потребител, като в случай, че относителният дял на някой от тях надхвърля 10 на сто от разходите или приходите от продажби, се предоставя информация за всяко лице поотделно, за неговия дял в продажбите или покупките и връзките му с емитента.</w:t>
            </w:r>
            <w:r w:rsidR="00147CB4">
              <w:rPr>
                <w:noProof/>
                <w:webHidden/>
              </w:rPr>
              <w:tab/>
            </w:r>
            <w:r w:rsidR="00147CB4">
              <w:rPr>
                <w:noProof/>
                <w:webHidden/>
              </w:rPr>
              <w:fldChar w:fldCharType="begin"/>
            </w:r>
            <w:r w:rsidR="00147CB4">
              <w:rPr>
                <w:noProof/>
                <w:webHidden/>
              </w:rPr>
              <w:instrText xml:space="preserve"> PAGEREF _Toc6923258 \h </w:instrText>
            </w:r>
            <w:r w:rsidR="00147CB4">
              <w:rPr>
                <w:noProof/>
                <w:webHidden/>
              </w:rPr>
            </w:r>
            <w:r w:rsidR="00147CB4">
              <w:rPr>
                <w:noProof/>
                <w:webHidden/>
              </w:rPr>
              <w:fldChar w:fldCharType="separate"/>
            </w:r>
            <w:r w:rsidR="00AA0D62">
              <w:rPr>
                <w:noProof/>
                <w:webHidden/>
              </w:rPr>
              <w:t>45</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59" w:history="1">
            <w:r w:rsidR="00147CB4" w:rsidRPr="00E978B5">
              <w:rPr>
                <w:rStyle w:val="Hyperlink"/>
                <w:rFonts w:cs="Calibri"/>
                <w:noProof/>
              </w:rPr>
              <w:t>3.4.</w:t>
            </w:r>
            <w:r w:rsidR="00147CB4">
              <w:rPr>
                <w:rFonts w:asciiTheme="minorHAnsi" w:eastAsiaTheme="minorEastAsia" w:hAnsiTheme="minorHAnsi" w:cstheme="minorBidi"/>
                <w:noProof/>
                <w:sz w:val="22"/>
              </w:rPr>
              <w:tab/>
            </w:r>
            <w:r w:rsidR="00147CB4" w:rsidRPr="00E978B5">
              <w:rPr>
                <w:rStyle w:val="Hyperlink"/>
                <w:rFonts w:cs="Calibri"/>
                <w:noProof/>
              </w:rPr>
              <w:t>Информация за сключени големи сделки и такива от съществено значение за дейността на Група Българска Фондова Борса</w:t>
            </w:r>
            <w:r w:rsidR="00147CB4">
              <w:rPr>
                <w:noProof/>
                <w:webHidden/>
              </w:rPr>
              <w:tab/>
            </w:r>
            <w:r w:rsidR="00147CB4">
              <w:rPr>
                <w:noProof/>
                <w:webHidden/>
              </w:rPr>
              <w:fldChar w:fldCharType="begin"/>
            </w:r>
            <w:r w:rsidR="00147CB4">
              <w:rPr>
                <w:noProof/>
                <w:webHidden/>
              </w:rPr>
              <w:instrText xml:space="preserve"> PAGEREF _Toc6923259 \h </w:instrText>
            </w:r>
            <w:r w:rsidR="00147CB4">
              <w:rPr>
                <w:noProof/>
                <w:webHidden/>
              </w:rPr>
            </w:r>
            <w:r w:rsidR="00147CB4">
              <w:rPr>
                <w:noProof/>
                <w:webHidden/>
              </w:rPr>
              <w:fldChar w:fldCharType="separate"/>
            </w:r>
            <w:r w:rsidR="00AA0D62">
              <w:rPr>
                <w:noProof/>
                <w:webHidden/>
              </w:rPr>
              <w:t>46</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60" w:history="1">
            <w:r w:rsidR="00147CB4" w:rsidRPr="00E978B5">
              <w:rPr>
                <w:rStyle w:val="Hyperlink"/>
                <w:rFonts w:cs="Calibri"/>
                <w:noProof/>
              </w:rPr>
              <w:t>3.5.</w:t>
            </w:r>
            <w:r w:rsidR="00147CB4">
              <w:rPr>
                <w:rFonts w:asciiTheme="minorHAnsi" w:eastAsiaTheme="minorEastAsia" w:hAnsiTheme="minorHAnsi" w:cstheme="minorBidi"/>
                <w:noProof/>
                <w:sz w:val="22"/>
              </w:rPr>
              <w:tab/>
            </w:r>
            <w:r w:rsidR="00147CB4" w:rsidRPr="00E978B5">
              <w:rPr>
                <w:rStyle w:val="Hyperlink"/>
                <w:rFonts w:cs="Calibri"/>
                <w:noProof/>
              </w:rPr>
              <w:t>Информация относно сделките, сключени между емитента и свързани лица, през отчетния период, предложения за сключване на такива сделки, както и сделки, които са извън обичайната му дейност или съществено се отклоняват от пазарните условия, по които емитентът или негово дъщерно дружество е страна с посочване на стойността на сделките, характера на свързаността и всяка информация, необходима за оценка на въздействието върху финансовото състояние на емитента.</w:t>
            </w:r>
            <w:r w:rsidR="00147CB4">
              <w:rPr>
                <w:noProof/>
                <w:webHidden/>
              </w:rPr>
              <w:tab/>
            </w:r>
            <w:r w:rsidR="00147CB4">
              <w:rPr>
                <w:noProof/>
                <w:webHidden/>
              </w:rPr>
              <w:fldChar w:fldCharType="begin"/>
            </w:r>
            <w:r w:rsidR="00147CB4">
              <w:rPr>
                <w:noProof/>
                <w:webHidden/>
              </w:rPr>
              <w:instrText xml:space="preserve"> PAGEREF _Toc6923260 \h </w:instrText>
            </w:r>
            <w:r w:rsidR="00147CB4">
              <w:rPr>
                <w:noProof/>
                <w:webHidden/>
              </w:rPr>
            </w:r>
            <w:r w:rsidR="00147CB4">
              <w:rPr>
                <w:noProof/>
                <w:webHidden/>
              </w:rPr>
              <w:fldChar w:fldCharType="separate"/>
            </w:r>
            <w:r w:rsidR="00AA0D62">
              <w:rPr>
                <w:noProof/>
                <w:webHidden/>
              </w:rPr>
              <w:t>46</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61" w:history="1">
            <w:r w:rsidR="00147CB4" w:rsidRPr="00E978B5">
              <w:rPr>
                <w:rStyle w:val="Hyperlink"/>
                <w:rFonts w:cs="Calibri"/>
                <w:noProof/>
              </w:rPr>
              <w:t>3.6.</w:t>
            </w:r>
            <w:r w:rsidR="00147CB4">
              <w:rPr>
                <w:rFonts w:asciiTheme="minorHAnsi" w:eastAsiaTheme="minorEastAsia" w:hAnsiTheme="minorHAnsi" w:cstheme="minorBidi"/>
                <w:noProof/>
                <w:sz w:val="22"/>
              </w:rPr>
              <w:tab/>
            </w:r>
            <w:r w:rsidR="00147CB4" w:rsidRPr="00E978B5">
              <w:rPr>
                <w:rStyle w:val="Hyperlink"/>
                <w:rFonts w:cs="Calibri"/>
                <w:noProof/>
              </w:rPr>
              <w:t>Информация за събития с необичаен за емитента характер, имащи съществено влияние върху дейността му, и реализираните от него приходи и извършени разходи; оценка за влиянието им върху резултатите през текущата година.</w:t>
            </w:r>
            <w:r w:rsidR="00147CB4">
              <w:rPr>
                <w:noProof/>
                <w:webHidden/>
              </w:rPr>
              <w:tab/>
            </w:r>
            <w:r w:rsidR="00147CB4">
              <w:rPr>
                <w:noProof/>
                <w:webHidden/>
              </w:rPr>
              <w:fldChar w:fldCharType="begin"/>
            </w:r>
            <w:r w:rsidR="00147CB4">
              <w:rPr>
                <w:noProof/>
                <w:webHidden/>
              </w:rPr>
              <w:instrText xml:space="preserve"> PAGEREF _Toc6923261 \h </w:instrText>
            </w:r>
            <w:r w:rsidR="00147CB4">
              <w:rPr>
                <w:noProof/>
                <w:webHidden/>
              </w:rPr>
            </w:r>
            <w:r w:rsidR="00147CB4">
              <w:rPr>
                <w:noProof/>
                <w:webHidden/>
              </w:rPr>
              <w:fldChar w:fldCharType="separate"/>
            </w:r>
            <w:r w:rsidR="00AA0D62">
              <w:rPr>
                <w:noProof/>
                <w:webHidden/>
              </w:rPr>
              <w:t>48</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62" w:history="1">
            <w:r w:rsidR="00147CB4" w:rsidRPr="00E978B5">
              <w:rPr>
                <w:rStyle w:val="Hyperlink"/>
                <w:rFonts w:cs="Calibri"/>
                <w:noProof/>
              </w:rPr>
              <w:t>3.7.</w:t>
            </w:r>
            <w:r w:rsidR="00147CB4">
              <w:rPr>
                <w:rFonts w:asciiTheme="minorHAnsi" w:eastAsiaTheme="minorEastAsia" w:hAnsiTheme="minorHAnsi" w:cstheme="minorBidi"/>
                <w:noProof/>
                <w:sz w:val="22"/>
              </w:rPr>
              <w:tab/>
            </w:r>
            <w:r w:rsidR="00147CB4" w:rsidRPr="00E978B5">
              <w:rPr>
                <w:rStyle w:val="Hyperlink"/>
                <w:rFonts w:cs="Calibri"/>
                <w:noProof/>
              </w:rPr>
              <w:t>Информация за сделки, водени извънбалансово</w:t>
            </w:r>
            <w:r w:rsidR="00147CB4">
              <w:rPr>
                <w:noProof/>
                <w:webHidden/>
              </w:rPr>
              <w:tab/>
            </w:r>
            <w:r w:rsidR="00147CB4">
              <w:rPr>
                <w:noProof/>
                <w:webHidden/>
              </w:rPr>
              <w:fldChar w:fldCharType="begin"/>
            </w:r>
            <w:r w:rsidR="00147CB4">
              <w:rPr>
                <w:noProof/>
                <w:webHidden/>
              </w:rPr>
              <w:instrText xml:space="preserve"> PAGEREF _Toc6923262 \h </w:instrText>
            </w:r>
            <w:r w:rsidR="00147CB4">
              <w:rPr>
                <w:noProof/>
                <w:webHidden/>
              </w:rPr>
            </w:r>
            <w:r w:rsidR="00147CB4">
              <w:rPr>
                <w:noProof/>
                <w:webHidden/>
              </w:rPr>
              <w:fldChar w:fldCharType="separate"/>
            </w:r>
            <w:r w:rsidR="00AA0D62">
              <w:rPr>
                <w:noProof/>
                <w:webHidden/>
              </w:rPr>
              <w:t>48</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63" w:history="1">
            <w:r w:rsidR="00147CB4" w:rsidRPr="00E978B5">
              <w:rPr>
                <w:rStyle w:val="Hyperlink"/>
                <w:rFonts w:cs="Calibri"/>
                <w:noProof/>
              </w:rPr>
              <w:t>3.8.</w:t>
            </w:r>
            <w:r w:rsidR="00147CB4">
              <w:rPr>
                <w:rFonts w:asciiTheme="minorHAnsi" w:eastAsiaTheme="minorEastAsia" w:hAnsiTheme="minorHAnsi" w:cstheme="minorBidi"/>
                <w:noProof/>
                <w:sz w:val="22"/>
              </w:rPr>
              <w:tab/>
            </w:r>
            <w:r w:rsidR="00147CB4" w:rsidRPr="00E978B5">
              <w:rPr>
                <w:rStyle w:val="Hyperlink"/>
                <w:rFonts w:cs="Calibri"/>
                <w:noProof/>
              </w:rPr>
              <w:t>Информация за дялови участия на емитента, за основните му инвестиции в страната и чужбина (в ценни книжа, финансови инструменти, нематериални активи и недвижими имоти), както и инвестициите в дялови ценни книжа извън неговата икономическа група и източниците/начините на финансиране</w:t>
            </w:r>
            <w:r w:rsidR="00147CB4">
              <w:rPr>
                <w:noProof/>
                <w:webHidden/>
              </w:rPr>
              <w:tab/>
            </w:r>
            <w:r w:rsidR="00147CB4">
              <w:rPr>
                <w:noProof/>
                <w:webHidden/>
              </w:rPr>
              <w:fldChar w:fldCharType="begin"/>
            </w:r>
            <w:r w:rsidR="00147CB4">
              <w:rPr>
                <w:noProof/>
                <w:webHidden/>
              </w:rPr>
              <w:instrText xml:space="preserve"> PAGEREF _Toc6923263 \h </w:instrText>
            </w:r>
            <w:r w:rsidR="00147CB4">
              <w:rPr>
                <w:noProof/>
                <w:webHidden/>
              </w:rPr>
            </w:r>
            <w:r w:rsidR="00147CB4">
              <w:rPr>
                <w:noProof/>
                <w:webHidden/>
              </w:rPr>
              <w:fldChar w:fldCharType="separate"/>
            </w:r>
            <w:r w:rsidR="00AA0D62">
              <w:rPr>
                <w:noProof/>
                <w:webHidden/>
              </w:rPr>
              <w:t>48</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64" w:history="1">
            <w:r w:rsidR="00147CB4" w:rsidRPr="00E978B5">
              <w:rPr>
                <w:rStyle w:val="Hyperlink"/>
                <w:rFonts w:cs="Calibri"/>
                <w:noProof/>
              </w:rPr>
              <w:t>3.9.</w:t>
            </w:r>
            <w:r w:rsidR="00147CB4">
              <w:rPr>
                <w:rFonts w:asciiTheme="minorHAnsi" w:eastAsiaTheme="minorEastAsia" w:hAnsiTheme="minorHAnsi" w:cstheme="minorBidi"/>
                <w:noProof/>
                <w:sz w:val="22"/>
              </w:rPr>
              <w:tab/>
            </w:r>
            <w:r w:rsidR="00147CB4" w:rsidRPr="00E978B5">
              <w:rPr>
                <w:rStyle w:val="Hyperlink"/>
                <w:rFonts w:cs="Calibri"/>
                <w:noProof/>
              </w:rPr>
              <w:t>Информация относно сключените от дружествата в Групата, в качеството им на заемополучатели, договори за заем с посочване на условията по тях, включително на крайните срокове за изплащане, както и информация за предоставени гаранции и поемане на задължения.</w:t>
            </w:r>
            <w:r w:rsidR="00147CB4">
              <w:rPr>
                <w:noProof/>
                <w:webHidden/>
              </w:rPr>
              <w:tab/>
            </w:r>
            <w:r w:rsidR="00147CB4">
              <w:rPr>
                <w:noProof/>
                <w:webHidden/>
              </w:rPr>
              <w:fldChar w:fldCharType="begin"/>
            </w:r>
            <w:r w:rsidR="00147CB4">
              <w:rPr>
                <w:noProof/>
                <w:webHidden/>
              </w:rPr>
              <w:instrText xml:space="preserve"> PAGEREF _Toc6923264 \h </w:instrText>
            </w:r>
            <w:r w:rsidR="00147CB4">
              <w:rPr>
                <w:noProof/>
                <w:webHidden/>
              </w:rPr>
            </w:r>
            <w:r w:rsidR="00147CB4">
              <w:rPr>
                <w:noProof/>
                <w:webHidden/>
              </w:rPr>
              <w:fldChar w:fldCharType="separate"/>
            </w:r>
            <w:r w:rsidR="00AA0D62">
              <w:rPr>
                <w:noProof/>
                <w:webHidden/>
              </w:rPr>
              <w:t>51</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65" w:history="1">
            <w:r w:rsidR="00147CB4" w:rsidRPr="00E978B5">
              <w:rPr>
                <w:rStyle w:val="Hyperlink"/>
                <w:rFonts w:cs="Calibri"/>
                <w:noProof/>
              </w:rPr>
              <w:t>3.10.</w:t>
            </w:r>
            <w:r w:rsidR="00147CB4">
              <w:rPr>
                <w:rFonts w:asciiTheme="minorHAnsi" w:eastAsiaTheme="minorEastAsia" w:hAnsiTheme="minorHAnsi" w:cstheme="minorBidi"/>
                <w:noProof/>
                <w:sz w:val="22"/>
              </w:rPr>
              <w:tab/>
            </w:r>
            <w:r w:rsidR="00147CB4" w:rsidRPr="00E978B5">
              <w:rPr>
                <w:rStyle w:val="Hyperlink"/>
                <w:rFonts w:cs="Calibri"/>
                <w:noProof/>
              </w:rPr>
              <w:t>Информация относно сключените от дружествата в Групата, в качеството им на заемодатели, договори за заем, включително предоставяне на гаранции от всякакъв вид, в това число на свързани лица, с посочване на конкретните условия по тях, включително на крайните срокове за плащане, и целта, за която са били отпуснати.</w:t>
            </w:r>
            <w:r w:rsidR="00147CB4">
              <w:rPr>
                <w:noProof/>
                <w:webHidden/>
              </w:rPr>
              <w:tab/>
            </w:r>
            <w:r w:rsidR="00147CB4">
              <w:rPr>
                <w:noProof/>
                <w:webHidden/>
              </w:rPr>
              <w:fldChar w:fldCharType="begin"/>
            </w:r>
            <w:r w:rsidR="00147CB4">
              <w:rPr>
                <w:noProof/>
                <w:webHidden/>
              </w:rPr>
              <w:instrText xml:space="preserve"> PAGEREF _Toc6923265 \h </w:instrText>
            </w:r>
            <w:r w:rsidR="00147CB4">
              <w:rPr>
                <w:noProof/>
                <w:webHidden/>
              </w:rPr>
            </w:r>
            <w:r w:rsidR="00147CB4">
              <w:rPr>
                <w:noProof/>
                <w:webHidden/>
              </w:rPr>
              <w:fldChar w:fldCharType="separate"/>
            </w:r>
            <w:r w:rsidR="00AA0D62">
              <w:rPr>
                <w:noProof/>
                <w:webHidden/>
              </w:rPr>
              <w:t>51</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66" w:history="1">
            <w:r w:rsidR="00147CB4" w:rsidRPr="00E978B5">
              <w:rPr>
                <w:rStyle w:val="Hyperlink"/>
                <w:rFonts w:cs="Calibri"/>
                <w:noProof/>
              </w:rPr>
              <w:t>3.11.</w:t>
            </w:r>
            <w:r w:rsidR="00147CB4">
              <w:rPr>
                <w:rFonts w:asciiTheme="minorHAnsi" w:eastAsiaTheme="minorEastAsia" w:hAnsiTheme="minorHAnsi" w:cstheme="minorBidi"/>
                <w:noProof/>
                <w:sz w:val="22"/>
              </w:rPr>
              <w:tab/>
            </w:r>
            <w:r w:rsidR="00147CB4" w:rsidRPr="00E978B5">
              <w:rPr>
                <w:rStyle w:val="Hyperlink"/>
                <w:rFonts w:cs="Calibri"/>
                <w:noProof/>
              </w:rPr>
              <w:t>Информация за използването на средствата от извършена нова емисия ценни книжа през отчетния период</w:t>
            </w:r>
            <w:r w:rsidR="00147CB4">
              <w:rPr>
                <w:noProof/>
                <w:webHidden/>
              </w:rPr>
              <w:tab/>
            </w:r>
            <w:r w:rsidR="00147CB4">
              <w:rPr>
                <w:noProof/>
                <w:webHidden/>
              </w:rPr>
              <w:fldChar w:fldCharType="begin"/>
            </w:r>
            <w:r w:rsidR="00147CB4">
              <w:rPr>
                <w:noProof/>
                <w:webHidden/>
              </w:rPr>
              <w:instrText xml:space="preserve"> PAGEREF _Toc6923266 \h </w:instrText>
            </w:r>
            <w:r w:rsidR="00147CB4">
              <w:rPr>
                <w:noProof/>
                <w:webHidden/>
              </w:rPr>
            </w:r>
            <w:r w:rsidR="00147CB4">
              <w:rPr>
                <w:noProof/>
                <w:webHidden/>
              </w:rPr>
              <w:fldChar w:fldCharType="separate"/>
            </w:r>
            <w:r w:rsidR="00AA0D62">
              <w:rPr>
                <w:noProof/>
                <w:webHidden/>
              </w:rPr>
              <w:t>51</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67" w:history="1">
            <w:r w:rsidR="00147CB4" w:rsidRPr="00E978B5">
              <w:rPr>
                <w:rStyle w:val="Hyperlink"/>
                <w:rFonts w:cs="Calibri"/>
                <w:noProof/>
              </w:rPr>
              <w:t>3.12.</w:t>
            </w:r>
            <w:r w:rsidR="00147CB4">
              <w:rPr>
                <w:rFonts w:asciiTheme="minorHAnsi" w:eastAsiaTheme="minorEastAsia" w:hAnsiTheme="minorHAnsi" w:cstheme="minorBidi"/>
                <w:noProof/>
                <w:sz w:val="22"/>
              </w:rPr>
              <w:tab/>
            </w:r>
            <w:r w:rsidR="00147CB4" w:rsidRPr="00E978B5">
              <w:rPr>
                <w:rStyle w:val="Hyperlink"/>
                <w:rFonts w:cs="Calibri"/>
                <w:noProof/>
              </w:rPr>
              <w:t>Анализ на съотношението между постигнатите финансови резултати, отразени в консолидирания финансов отчет за финансовата година, и по-рано публикувани прогнози за тези резултати.</w:t>
            </w:r>
            <w:r w:rsidR="00147CB4">
              <w:rPr>
                <w:noProof/>
                <w:webHidden/>
              </w:rPr>
              <w:tab/>
            </w:r>
            <w:r w:rsidR="00147CB4">
              <w:rPr>
                <w:noProof/>
                <w:webHidden/>
              </w:rPr>
              <w:fldChar w:fldCharType="begin"/>
            </w:r>
            <w:r w:rsidR="00147CB4">
              <w:rPr>
                <w:noProof/>
                <w:webHidden/>
              </w:rPr>
              <w:instrText xml:space="preserve"> PAGEREF _Toc6923267 \h </w:instrText>
            </w:r>
            <w:r w:rsidR="00147CB4">
              <w:rPr>
                <w:noProof/>
                <w:webHidden/>
              </w:rPr>
            </w:r>
            <w:r w:rsidR="00147CB4">
              <w:rPr>
                <w:noProof/>
                <w:webHidden/>
              </w:rPr>
              <w:fldChar w:fldCharType="separate"/>
            </w:r>
            <w:r w:rsidR="00AA0D62">
              <w:rPr>
                <w:noProof/>
                <w:webHidden/>
              </w:rPr>
              <w:t>51</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68" w:history="1">
            <w:r w:rsidR="00147CB4" w:rsidRPr="00E978B5">
              <w:rPr>
                <w:rStyle w:val="Hyperlink"/>
                <w:rFonts w:cs="Calibri"/>
                <w:noProof/>
              </w:rPr>
              <w:t>3.13.</w:t>
            </w:r>
            <w:r w:rsidR="00147CB4">
              <w:rPr>
                <w:rFonts w:asciiTheme="minorHAnsi" w:eastAsiaTheme="minorEastAsia" w:hAnsiTheme="minorHAnsi" w:cstheme="minorBidi"/>
                <w:noProof/>
                <w:sz w:val="22"/>
              </w:rPr>
              <w:tab/>
            </w:r>
            <w:r w:rsidR="00147CB4" w:rsidRPr="00E978B5">
              <w:rPr>
                <w:rStyle w:val="Hyperlink"/>
                <w:rFonts w:cs="Calibri"/>
                <w:noProof/>
              </w:rPr>
              <w:t>Анализ и оценка на политиката относно управлението на финансовите ресурси с посочване на възможностите за обслужване на задълженията, евентуалните заплахи и мерки, които емитентът е предприел или предстои да предприеме с оглед отстраняването им</w:t>
            </w:r>
            <w:r w:rsidR="00147CB4">
              <w:rPr>
                <w:noProof/>
                <w:webHidden/>
              </w:rPr>
              <w:tab/>
            </w:r>
            <w:r w:rsidR="00147CB4">
              <w:rPr>
                <w:noProof/>
                <w:webHidden/>
              </w:rPr>
              <w:fldChar w:fldCharType="begin"/>
            </w:r>
            <w:r w:rsidR="00147CB4">
              <w:rPr>
                <w:noProof/>
                <w:webHidden/>
              </w:rPr>
              <w:instrText xml:space="preserve"> PAGEREF _Toc6923268 \h </w:instrText>
            </w:r>
            <w:r w:rsidR="00147CB4">
              <w:rPr>
                <w:noProof/>
                <w:webHidden/>
              </w:rPr>
            </w:r>
            <w:r w:rsidR="00147CB4">
              <w:rPr>
                <w:noProof/>
                <w:webHidden/>
              </w:rPr>
              <w:fldChar w:fldCharType="separate"/>
            </w:r>
            <w:r w:rsidR="00AA0D62">
              <w:rPr>
                <w:noProof/>
                <w:webHidden/>
              </w:rPr>
              <w:t>51</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69" w:history="1">
            <w:r w:rsidR="00147CB4" w:rsidRPr="00E978B5">
              <w:rPr>
                <w:rStyle w:val="Hyperlink"/>
                <w:rFonts w:cs="Calibri"/>
                <w:noProof/>
              </w:rPr>
              <w:t>3.14.</w:t>
            </w:r>
            <w:r w:rsidR="00147CB4">
              <w:rPr>
                <w:rFonts w:asciiTheme="minorHAnsi" w:eastAsiaTheme="minorEastAsia" w:hAnsiTheme="minorHAnsi" w:cstheme="minorBidi"/>
                <w:noProof/>
                <w:sz w:val="22"/>
              </w:rPr>
              <w:tab/>
            </w:r>
            <w:r w:rsidR="00147CB4" w:rsidRPr="00E978B5">
              <w:rPr>
                <w:rStyle w:val="Hyperlink"/>
                <w:rFonts w:cs="Calibri"/>
                <w:noProof/>
              </w:rPr>
              <w:t>Оценка на възможностите за реализация на инвестиционните намерения с посочване на размера на разполагаемите средства и отразяване на възможните промени в структурата на финансиране на тази дейност</w:t>
            </w:r>
            <w:r w:rsidR="00147CB4">
              <w:rPr>
                <w:noProof/>
                <w:webHidden/>
              </w:rPr>
              <w:tab/>
            </w:r>
            <w:r w:rsidR="00147CB4">
              <w:rPr>
                <w:noProof/>
                <w:webHidden/>
              </w:rPr>
              <w:fldChar w:fldCharType="begin"/>
            </w:r>
            <w:r w:rsidR="00147CB4">
              <w:rPr>
                <w:noProof/>
                <w:webHidden/>
              </w:rPr>
              <w:instrText xml:space="preserve"> PAGEREF _Toc6923269 \h </w:instrText>
            </w:r>
            <w:r w:rsidR="00147CB4">
              <w:rPr>
                <w:noProof/>
                <w:webHidden/>
              </w:rPr>
            </w:r>
            <w:r w:rsidR="00147CB4">
              <w:rPr>
                <w:noProof/>
                <w:webHidden/>
              </w:rPr>
              <w:fldChar w:fldCharType="separate"/>
            </w:r>
            <w:r w:rsidR="00AA0D62">
              <w:rPr>
                <w:noProof/>
                <w:webHidden/>
              </w:rPr>
              <w:t>52</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70" w:history="1">
            <w:r w:rsidR="00147CB4" w:rsidRPr="00E978B5">
              <w:rPr>
                <w:rStyle w:val="Hyperlink"/>
                <w:rFonts w:cs="Calibri"/>
                <w:noProof/>
              </w:rPr>
              <w:t>3.15.</w:t>
            </w:r>
            <w:r w:rsidR="00147CB4">
              <w:rPr>
                <w:rFonts w:asciiTheme="minorHAnsi" w:eastAsiaTheme="minorEastAsia" w:hAnsiTheme="minorHAnsi" w:cstheme="minorBidi"/>
                <w:noProof/>
                <w:sz w:val="22"/>
              </w:rPr>
              <w:tab/>
            </w:r>
            <w:r w:rsidR="00147CB4" w:rsidRPr="00E978B5">
              <w:rPr>
                <w:rStyle w:val="Hyperlink"/>
                <w:rFonts w:cs="Calibri"/>
                <w:noProof/>
              </w:rPr>
              <w:t>Информация за настъпили промени през отчетния период в основните принципи за управление на икономическата група</w:t>
            </w:r>
            <w:r w:rsidR="00147CB4">
              <w:rPr>
                <w:noProof/>
                <w:webHidden/>
              </w:rPr>
              <w:tab/>
            </w:r>
            <w:r w:rsidR="00147CB4">
              <w:rPr>
                <w:noProof/>
                <w:webHidden/>
              </w:rPr>
              <w:fldChar w:fldCharType="begin"/>
            </w:r>
            <w:r w:rsidR="00147CB4">
              <w:rPr>
                <w:noProof/>
                <w:webHidden/>
              </w:rPr>
              <w:instrText xml:space="preserve"> PAGEREF _Toc6923270 \h </w:instrText>
            </w:r>
            <w:r w:rsidR="00147CB4">
              <w:rPr>
                <w:noProof/>
                <w:webHidden/>
              </w:rPr>
            </w:r>
            <w:r w:rsidR="00147CB4">
              <w:rPr>
                <w:noProof/>
                <w:webHidden/>
              </w:rPr>
              <w:fldChar w:fldCharType="separate"/>
            </w:r>
            <w:r w:rsidR="00AA0D62">
              <w:rPr>
                <w:noProof/>
                <w:webHidden/>
              </w:rPr>
              <w:t>52</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71" w:history="1">
            <w:r w:rsidR="00147CB4" w:rsidRPr="00E978B5">
              <w:rPr>
                <w:rStyle w:val="Hyperlink"/>
                <w:rFonts w:cs="Calibri"/>
                <w:noProof/>
              </w:rPr>
              <w:t>3.16.</w:t>
            </w:r>
            <w:r w:rsidR="00147CB4">
              <w:rPr>
                <w:rFonts w:asciiTheme="minorHAnsi" w:eastAsiaTheme="minorEastAsia" w:hAnsiTheme="minorHAnsi" w:cstheme="minorBidi"/>
                <w:noProof/>
                <w:sz w:val="22"/>
              </w:rPr>
              <w:tab/>
            </w:r>
            <w:r w:rsidR="00147CB4" w:rsidRPr="00E978B5">
              <w:rPr>
                <w:rStyle w:val="Hyperlink"/>
                <w:rFonts w:cs="Calibri"/>
                <w:noProof/>
              </w:rPr>
              <w:t>Информация за основните характеристики на прилаганите от емитента в процеса на изготвяне на финансовите отчети система за вътрешен контрол и система за управление на рискове.</w:t>
            </w:r>
            <w:r w:rsidR="00147CB4">
              <w:rPr>
                <w:noProof/>
                <w:webHidden/>
              </w:rPr>
              <w:tab/>
            </w:r>
            <w:r w:rsidR="00147CB4">
              <w:rPr>
                <w:noProof/>
                <w:webHidden/>
              </w:rPr>
              <w:fldChar w:fldCharType="begin"/>
            </w:r>
            <w:r w:rsidR="00147CB4">
              <w:rPr>
                <w:noProof/>
                <w:webHidden/>
              </w:rPr>
              <w:instrText xml:space="preserve"> PAGEREF _Toc6923271 \h </w:instrText>
            </w:r>
            <w:r w:rsidR="00147CB4">
              <w:rPr>
                <w:noProof/>
                <w:webHidden/>
              </w:rPr>
            </w:r>
            <w:r w:rsidR="00147CB4">
              <w:rPr>
                <w:noProof/>
                <w:webHidden/>
              </w:rPr>
              <w:fldChar w:fldCharType="separate"/>
            </w:r>
            <w:r w:rsidR="00AA0D62">
              <w:rPr>
                <w:noProof/>
                <w:webHidden/>
              </w:rPr>
              <w:t>52</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72" w:history="1">
            <w:r w:rsidR="00147CB4" w:rsidRPr="00E978B5">
              <w:rPr>
                <w:rStyle w:val="Hyperlink"/>
                <w:rFonts w:cs="Calibri"/>
                <w:noProof/>
              </w:rPr>
              <w:t>3.17.</w:t>
            </w:r>
            <w:r w:rsidR="00147CB4">
              <w:rPr>
                <w:rFonts w:asciiTheme="minorHAnsi" w:eastAsiaTheme="minorEastAsia" w:hAnsiTheme="minorHAnsi" w:cstheme="minorBidi"/>
                <w:noProof/>
                <w:sz w:val="22"/>
              </w:rPr>
              <w:tab/>
            </w:r>
            <w:r w:rsidR="00147CB4" w:rsidRPr="00E978B5">
              <w:rPr>
                <w:rStyle w:val="Hyperlink"/>
                <w:rFonts w:cs="Calibri"/>
                <w:noProof/>
              </w:rPr>
              <w:t>Информация за промените в управителните и надзорните органи през отчетната финансова година</w:t>
            </w:r>
            <w:r w:rsidR="00147CB4">
              <w:rPr>
                <w:noProof/>
                <w:webHidden/>
              </w:rPr>
              <w:tab/>
            </w:r>
            <w:r w:rsidR="00147CB4">
              <w:rPr>
                <w:noProof/>
                <w:webHidden/>
              </w:rPr>
              <w:fldChar w:fldCharType="begin"/>
            </w:r>
            <w:r w:rsidR="00147CB4">
              <w:rPr>
                <w:noProof/>
                <w:webHidden/>
              </w:rPr>
              <w:instrText xml:space="preserve"> PAGEREF _Toc6923272 \h </w:instrText>
            </w:r>
            <w:r w:rsidR="00147CB4">
              <w:rPr>
                <w:noProof/>
                <w:webHidden/>
              </w:rPr>
            </w:r>
            <w:r w:rsidR="00147CB4">
              <w:rPr>
                <w:noProof/>
                <w:webHidden/>
              </w:rPr>
              <w:fldChar w:fldCharType="separate"/>
            </w:r>
            <w:r w:rsidR="00AA0D62">
              <w:rPr>
                <w:noProof/>
                <w:webHidden/>
              </w:rPr>
              <w:t>53</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73" w:history="1">
            <w:r w:rsidR="00147CB4" w:rsidRPr="00E978B5">
              <w:rPr>
                <w:rStyle w:val="Hyperlink"/>
                <w:rFonts w:cs="Calibri"/>
                <w:noProof/>
              </w:rPr>
              <w:t>3.18.</w:t>
            </w:r>
            <w:r w:rsidR="00147CB4">
              <w:rPr>
                <w:rFonts w:asciiTheme="minorHAnsi" w:eastAsiaTheme="minorEastAsia" w:hAnsiTheme="minorHAnsi" w:cstheme="minorBidi"/>
                <w:noProof/>
                <w:sz w:val="22"/>
              </w:rPr>
              <w:tab/>
            </w:r>
            <w:r w:rsidR="00147CB4" w:rsidRPr="00E978B5">
              <w:rPr>
                <w:rStyle w:val="Hyperlink"/>
                <w:rFonts w:cs="Calibri"/>
                <w:noProof/>
              </w:rPr>
              <w:t>Информация за размера на възнагражденията, наградите и/или ползите на всеки от членовете на управителните и на контролните органи за отчетната финансова година, изплатени от емитента и негови дъщерни дружества, независимо от това, дали са били включени в разходите на емитента или произтичат от разпределение на печалбата</w:t>
            </w:r>
            <w:r w:rsidR="00147CB4">
              <w:rPr>
                <w:noProof/>
                <w:webHidden/>
              </w:rPr>
              <w:tab/>
            </w:r>
            <w:r w:rsidR="00147CB4">
              <w:rPr>
                <w:noProof/>
                <w:webHidden/>
              </w:rPr>
              <w:fldChar w:fldCharType="begin"/>
            </w:r>
            <w:r w:rsidR="00147CB4">
              <w:rPr>
                <w:noProof/>
                <w:webHidden/>
              </w:rPr>
              <w:instrText xml:space="preserve"> PAGEREF _Toc6923273 \h </w:instrText>
            </w:r>
            <w:r w:rsidR="00147CB4">
              <w:rPr>
                <w:noProof/>
                <w:webHidden/>
              </w:rPr>
            </w:r>
            <w:r w:rsidR="00147CB4">
              <w:rPr>
                <w:noProof/>
                <w:webHidden/>
              </w:rPr>
              <w:fldChar w:fldCharType="separate"/>
            </w:r>
            <w:r w:rsidR="00AA0D62">
              <w:rPr>
                <w:noProof/>
                <w:webHidden/>
              </w:rPr>
              <w:t>53</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74" w:history="1">
            <w:r w:rsidR="00147CB4" w:rsidRPr="00E978B5">
              <w:rPr>
                <w:rStyle w:val="Hyperlink"/>
                <w:rFonts w:cs="Calibri"/>
                <w:noProof/>
              </w:rPr>
              <w:t>3.19.</w:t>
            </w:r>
            <w:r w:rsidR="00147CB4">
              <w:rPr>
                <w:rFonts w:asciiTheme="minorHAnsi" w:eastAsiaTheme="minorEastAsia" w:hAnsiTheme="minorHAnsi" w:cstheme="minorBidi"/>
                <w:noProof/>
                <w:sz w:val="22"/>
              </w:rPr>
              <w:tab/>
            </w:r>
            <w:r w:rsidR="00147CB4" w:rsidRPr="00E978B5">
              <w:rPr>
                <w:rStyle w:val="Hyperlink"/>
                <w:rFonts w:cs="Calibri"/>
                <w:noProof/>
              </w:rPr>
              <w:t>Информация за притежавани от членовете на управителните и на контролните органи, прокуристите и висшия ръководен състав акции на емитента, включително акциите, притежавани от всеки от тях поотделно и като процент от акциите от всеки клас, както и предоставени им от емитента опции върху негови ценни книжа - вид и размер на ценните книжа, върху които са учредени опциите, цена на упражняване на опциите, покупна цена, ако има такава, и срок на опциите.</w:t>
            </w:r>
            <w:r w:rsidR="00147CB4">
              <w:rPr>
                <w:noProof/>
                <w:webHidden/>
              </w:rPr>
              <w:tab/>
            </w:r>
            <w:r w:rsidR="00147CB4">
              <w:rPr>
                <w:noProof/>
                <w:webHidden/>
              </w:rPr>
              <w:fldChar w:fldCharType="begin"/>
            </w:r>
            <w:r w:rsidR="00147CB4">
              <w:rPr>
                <w:noProof/>
                <w:webHidden/>
              </w:rPr>
              <w:instrText xml:space="preserve"> PAGEREF _Toc6923274 \h </w:instrText>
            </w:r>
            <w:r w:rsidR="00147CB4">
              <w:rPr>
                <w:noProof/>
                <w:webHidden/>
              </w:rPr>
            </w:r>
            <w:r w:rsidR="00147CB4">
              <w:rPr>
                <w:noProof/>
                <w:webHidden/>
              </w:rPr>
              <w:fldChar w:fldCharType="separate"/>
            </w:r>
            <w:r w:rsidR="00AA0D62">
              <w:rPr>
                <w:noProof/>
                <w:webHidden/>
              </w:rPr>
              <w:t>54</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75" w:history="1">
            <w:r w:rsidR="00147CB4" w:rsidRPr="00E978B5">
              <w:rPr>
                <w:rStyle w:val="Hyperlink"/>
                <w:rFonts w:cs="Calibri"/>
                <w:noProof/>
              </w:rPr>
              <w:t>3.20.</w:t>
            </w:r>
            <w:r w:rsidR="00147CB4">
              <w:rPr>
                <w:rFonts w:asciiTheme="minorHAnsi" w:eastAsiaTheme="minorEastAsia" w:hAnsiTheme="minorHAnsi" w:cstheme="minorBidi"/>
                <w:noProof/>
                <w:sz w:val="22"/>
              </w:rPr>
              <w:tab/>
            </w:r>
            <w:r w:rsidR="00147CB4" w:rsidRPr="00E978B5">
              <w:rPr>
                <w:rStyle w:val="Hyperlink"/>
                <w:rFonts w:cs="Calibri"/>
                <w:noProof/>
              </w:rPr>
              <w:t>Информация за известните на дружеството договорености (включително и след приключване на финансовата година), в резултат на които в бъдещ период могат да настъпят промени в притежавания относителен дял акции или облигации от настоящи акционери или облигационери</w:t>
            </w:r>
            <w:r w:rsidR="00147CB4">
              <w:rPr>
                <w:noProof/>
                <w:webHidden/>
              </w:rPr>
              <w:tab/>
            </w:r>
            <w:r w:rsidR="00147CB4">
              <w:rPr>
                <w:noProof/>
                <w:webHidden/>
              </w:rPr>
              <w:fldChar w:fldCharType="begin"/>
            </w:r>
            <w:r w:rsidR="00147CB4">
              <w:rPr>
                <w:noProof/>
                <w:webHidden/>
              </w:rPr>
              <w:instrText xml:space="preserve"> PAGEREF _Toc6923275 \h </w:instrText>
            </w:r>
            <w:r w:rsidR="00147CB4">
              <w:rPr>
                <w:noProof/>
                <w:webHidden/>
              </w:rPr>
            </w:r>
            <w:r w:rsidR="00147CB4">
              <w:rPr>
                <w:noProof/>
                <w:webHidden/>
              </w:rPr>
              <w:fldChar w:fldCharType="separate"/>
            </w:r>
            <w:r w:rsidR="00AA0D62">
              <w:rPr>
                <w:noProof/>
                <w:webHidden/>
              </w:rPr>
              <w:t>54</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76" w:history="1">
            <w:r w:rsidR="00147CB4" w:rsidRPr="00E978B5">
              <w:rPr>
                <w:rStyle w:val="Hyperlink"/>
                <w:rFonts w:cs="Calibri"/>
                <w:noProof/>
              </w:rPr>
              <w:t>3.21.</w:t>
            </w:r>
            <w:r w:rsidR="00147CB4">
              <w:rPr>
                <w:rFonts w:asciiTheme="minorHAnsi" w:eastAsiaTheme="minorEastAsia" w:hAnsiTheme="minorHAnsi" w:cstheme="minorBidi"/>
                <w:noProof/>
                <w:sz w:val="22"/>
              </w:rPr>
              <w:tab/>
            </w:r>
            <w:r w:rsidR="00147CB4" w:rsidRPr="00E978B5">
              <w:rPr>
                <w:rStyle w:val="Hyperlink"/>
                <w:rFonts w:cs="Calibri"/>
                <w:noProof/>
              </w:rPr>
              <w:t>Информация за висящи съдебни, административни или арбитражни производства, касаещи задължения или вземания на емитента в размер най-малко 10 на сто от собствения му капитал; ако общата стойност на задълженията или вземанията на емитента по всички образувани производства надхвърля 10 на сто от собствения му капитал, се представя информация за всяко производство поотделно</w:t>
            </w:r>
            <w:r w:rsidR="00147CB4">
              <w:rPr>
                <w:noProof/>
                <w:webHidden/>
              </w:rPr>
              <w:tab/>
            </w:r>
            <w:r w:rsidR="00147CB4">
              <w:rPr>
                <w:noProof/>
                <w:webHidden/>
              </w:rPr>
              <w:fldChar w:fldCharType="begin"/>
            </w:r>
            <w:r w:rsidR="00147CB4">
              <w:rPr>
                <w:noProof/>
                <w:webHidden/>
              </w:rPr>
              <w:instrText xml:space="preserve"> PAGEREF _Toc6923276 \h </w:instrText>
            </w:r>
            <w:r w:rsidR="00147CB4">
              <w:rPr>
                <w:noProof/>
                <w:webHidden/>
              </w:rPr>
            </w:r>
            <w:r w:rsidR="00147CB4">
              <w:rPr>
                <w:noProof/>
                <w:webHidden/>
              </w:rPr>
              <w:fldChar w:fldCharType="separate"/>
            </w:r>
            <w:r w:rsidR="00AA0D62">
              <w:rPr>
                <w:noProof/>
                <w:webHidden/>
              </w:rPr>
              <w:t>54</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77" w:history="1">
            <w:r w:rsidR="00147CB4" w:rsidRPr="00E978B5">
              <w:rPr>
                <w:rStyle w:val="Hyperlink"/>
                <w:rFonts w:cs="Calibri"/>
                <w:noProof/>
              </w:rPr>
              <w:t>3.22.</w:t>
            </w:r>
            <w:r w:rsidR="00147CB4">
              <w:rPr>
                <w:rFonts w:asciiTheme="minorHAnsi" w:eastAsiaTheme="minorEastAsia" w:hAnsiTheme="minorHAnsi" w:cstheme="minorBidi"/>
                <w:noProof/>
                <w:sz w:val="22"/>
              </w:rPr>
              <w:tab/>
            </w:r>
            <w:r w:rsidR="00147CB4" w:rsidRPr="00E978B5">
              <w:rPr>
                <w:rStyle w:val="Hyperlink"/>
                <w:rFonts w:cs="Calibri"/>
                <w:noProof/>
              </w:rPr>
              <w:t>Данни за директора за връзки с инвеститора, включително телефон и адрес за кореспонденция</w:t>
            </w:r>
            <w:r w:rsidR="00147CB4">
              <w:rPr>
                <w:noProof/>
                <w:webHidden/>
              </w:rPr>
              <w:tab/>
            </w:r>
            <w:r w:rsidR="00147CB4">
              <w:rPr>
                <w:noProof/>
                <w:webHidden/>
              </w:rPr>
              <w:fldChar w:fldCharType="begin"/>
            </w:r>
            <w:r w:rsidR="00147CB4">
              <w:rPr>
                <w:noProof/>
                <w:webHidden/>
              </w:rPr>
              <w:instrText xml:space="preserve"> PAGEREF _Toc6923277 \h </w:instrText>
            </w:r>
            <w:r w:rsidR="00147CB4">
              <w:rPr>
                <w:noProof/>
                <w:webHidden/>
              </w:rPr>
            </w:r>
            <w:r w:rsidR="00147CB4">
              <w:rPr>
                <w:noProof/>
                <w:webHidden/>
              </w:rPr>
              <w:fldChar w:fldCharType="separate"/>
            </w:r>
            <w:r w:rsidR="00AA0D62">
              <w:rPr>
                <w:noProof/>
                <w:webHidden/>
              </w:rPr>
              <w:t>55</w:t>
            </w:r>
            <w:r w:rsidR="00147CB4">
              <w:rPr>
                <w:noProof/>
                <w:webHidden/>
              </w:rPr>
              <w:fldChar w:fldCharType="end"/>
            </w:r>
          </w:hyperlink>
        </w:p>
        <w:p w:rsidR="00147CB4" w:rsidRDefault="008F3486">
          <w:pPr>
            <w:pStyle w:val="TOC2"/>
            <w:tabs>
              <w:tab w:val="left" w:pos="1100"/>
              <w:tab w:val="right" w:leader="dot" w:pos="9912"/>
            </w:tabs>
            <w:rPr>
              <w:rFonts w:asciiTheme="minorHAnsi" w:eastAsiaTheme="minorEastAsia" w:hAnsiTheme="minorHAnsi" w:cstheme="minorBidi"/>
              <w:noProof/>
              <w:sz w:val="22"/>
            </w:rPr>
          </w:pPr>
          <w:hyperlink w:anchor="_Toc6923278" w:history="1">
            <w:r w:rsidR="00147CB4" w:rsidRPr="00E978B5">
              <w:rPr>
                <w:rStyle w:val="Hyperlink"/>
                <w:rFonts w:cs="Calibri"/>
                <w:noProof/>
              </w:rPr>
              <w:t>3.23.</w:t>
            </w:r>
            <w:r w:rsidR="00147CB4">
              <w:rPr>
                <w:rFonts w:asciiTheme="minorHAnsi" w:eastAsiaTheme="minorEastAsia" w:hAnsiTheme="minorHAnsi" w:cstheme="minorBidi"/>
                <w:noProof/>
                <w:sz w:val="22"/>
              </w:rPr>
              <w:tab/>
            </w:r>
            <w:r w:rsidR="00147CB4" w:rsidRPr="00E978B5">
              <w:rPr>
                <w:rStyle w:val="Hyperlink"/>
                <w:rFonts w:cs="Calibri"/>
                <w:noProof/>
              </w:rPr>
              <w:t>Промени в цената на акциите на дружествата в групата</w:t>
            </w:r>
            <w:r w:rsidR="00147CB4">
              <w:rPr>
                <w:noProof/>
                <w:webHidden/>
              </w:rPr>
              <w:tab/>
            </w:r>
            <w:r w:rsidR="00147CB4">
              <w:rPr>
                <w:noProof/>
                <w:webHidden/>
              </w:rPr>
              <w:fldChar w:fldCharType="begin"/>
            </w:r>
            <w:r w:rsidR="00147CB4">
              <w:rPr>
                <w:noProof/>
                <w:webHidden/>
              </w:rPr>
              <w:instrText xml:space="preserve"> PAGEREF _Toc6923278 \h </w:instrText>
            </w:r>
            <w:r w:rsidR="00147CB4">
              <w:rPr>
                <w:noProof/>
                <w:webHidden/>
              </w:rPr>
            </w:r>
            <w:r w:rsidR="00147CB4">
              <w:rPr>
                <w:noProof/>
                <w:webHidden/>
              </w:rPr>
              <w:fldChar w:fldCharType="separate"/>
            </w:r>
            <w:r w:rsidR="00AA0D62">
              <w:rPr>
                <w:noProof/>
                <w:webHidden/>
              </w:rPr>
              <w:t>56</w:t>
            </w:r>
            <w:r w:rsidR="00147CB4">
              <w:rPr>
                <w:noProof/>
                <w:webHidden/>
              </w:rPr>
              <w:fldChar w:fldCharType="end"/>
            </w:r>
          </w:hyperlink>
        </w:p>
        <w:p w:rsidR="00147CB4" w:rsidRDefault="008F3486">
          <w:pPr>
            <w:pStyle w:val="TOC1"/>
            <w:rPr>
              <w:rFonts w:asciiTheme="minorHAnsi" w:eastAsiaTheme="minorEastAsia" w:hAnsiTheme="minorHAnsi" w:cstheme="minorBidi"/>
              <w:noProof/>
              <w:sz w:val="22"/>
            </w:rPr>
          </w:pPr>
          <w:hyperlink w:anchor="_Toc6923279" w:history="1">
            <w:r w:rsidR="00147CB4" w:rsidRPr="00E978B5">
              <w:rPr>
                <w:rStyle w:val="Hyperlink"/>
                <w:rFonts w:cs="Calibri"/>
                <w:noProof/>
              </w:rPr>
              <w:t>4.</w:t>
            </w:r>
            <w:r w:rsidR="00147CB4">
              <w:rPr>
                <w:rFonts w:asciiTheme="minorHAnsi" w:eastAsiaTheme="minorEastAsia" w:hAnsiTheme="minorHAnsi" w:cstheme="minorBidi"/>
                <w:noProof/>
                <w:sz w:val="22"/>
              </w:rPr>
              <w:tab/>
            </w:r>
            <w:r w:rsidR="00147CB4" w:rsidRPr="00E978B5">
              <w:rPr>
                <w:rStyle w:val="Hyperlink"/>
                <w:rFonts w:cs="Calibri"/>
                <w:noProof/>
              </w:rPr>
              <w:t>ВАЖНИ СЪБИТИЯ, НАСТЪПИЛИ СЛЕД ДАТАТА НА ГОДИШНИЯ ФИНАНСОВ ОТЧЕТ</w:t>
            </w:r>
            <w:r w:rsidR="00147CB4">
              <w:rPr>
                <w:noProof/>
                <w:webHidden/>
              </w:rPr>
              <w:tab/>
            </w:r>
            <w:r w:rsidR="00147CB4">
              <w:rPr>
                <w:noProof/>
                <w:webHidden/>
              </w:rPr>
              <w:fldChar w:fldCharType="begin"/>
            </w:r>
            <w:r w:rsidR="00147CB4">
              <w:rPr>
                <w:noProof/>
                <w:webHidden/>
              </w:rPr>
              <w:instrText xml:space="preserve"> PAGEREF _Toc6923279 \h </w:instrText>
            </w:r>
            <w:r w:rsidR="00147CB4">
              <w:rPr>
                <w:noProof/>
                <w:webHidden/>
              </w:rPr>
            </w:r>
            <w:r w:rsidR="00147CB4">
              <w:rPr>
                <w:noProof/>
                <w:webHidden/>
              </w:rPr>
              <w:fldChar w:fldCharType="separate"/>
            </w:r>
            <w:r w:rsidR="00AA0D62">
              <w:rPr>
                <w:noProof/>
                <w:webHidden/>
              </w:rPr>
              <w:t>57</w:t>
            </w:r>
            <w:r w:rsidR="00147CB4">
              <w:rPr>
                <w:noProof/>
                <w:webHidden/>
              </w:rPr>
              <w:fldChar w:fldCharType="end"/>
            </w:r>
          </w:hyperlink>
        </w:p>
        <w:p w:rsidR="00147CB4" w:rsidRDefault="008F3486">
          <w:pPr>
            <w:pStyle w:val="TOC1"/>
            <w:rPr>
              <w:rFonts w:asciiTheme="minorHAnsi" w:eastAsiaTheme="minorEastAsia" w:hAnsiTheme="minorHAnsi" w:cstheme="minorBidi"/>
              <w:noProof/>
              <w:sz w:val="22"/>
            </w:rPr>
          </w:pPr>
          <w:hyperlink w:anchor="_Toc6923280" w:history="1">
            <w:r w:rsidR="00147CB4" w:rsidRPr="00E978B5">
              <w:rPr>
                <w:rStyle w:val="Hyperlink"/>
                <w:rFonts w:cs="Calibri"/>
                <w:noProof/>
              </w:rPr>
              <w:t>5.</w:t>
            </w:r>
            <w:r w:rsidR="00147CB4">
              <w:rPr>
                <w:rFonts w:asciiTheme="minorHAnsi" w:eastAsiaTheme="minorEastAsia" w:hAnsiTheme="minorHAnsi" w:cstheme="minorBidi"/>
                <w:noProof/>
                <w:sz w:val="22"/>
              </w:rPr>
              <w:tab/>
            </w:r>
            <w:r w:rsidR="00147CB4" w:rsidRPr="00E978B5">
              <w:rPr>
                <w:rStyle w:val="Hyperlink"/>
                <w:rFonts w:cs="Calibri"/>
                <w:noProof/>
              </w:rPr>
              <w:t>ОСНОВНИ НАПРАВЛЕНИЯ В ДЕЙНОСТТА НА ДРУЖЕСТВАТА ОТ ГРУПА БЪЛГАРСКА ФОНДОВА БОРСА ПРЕЗ 2019 Г.</w:t>
            </w:r>
            <w:r w:rsidR="00147CB4">
              <w:rPr>
                <w:noProof/>
                <w:webHidden/>
              </w:rPr>
              <w:tab/>
            </w:r>
            <w:r w:rsidR="00147CB4">
              <w:rPr>
                <w:noProof/>
                <w:webHidden/>
              </w:rPr>
              <w:fldChar w:fldCharType="begin"/>
            </w:r>
            <w:r w:rsidR="00147CB4">
              <w:rPr>
                <w:noProof/>
                <w:webHidden/>
              </w:rPr>
              <w:instrText xml:space="preserve"> PAGEREF _Toc6923280 \h </w:instrText>
            </w:r>
            <w:r w:rsidR="00147CB4">
              <w:rPr>
                <w:noProof/>
                <w:webHidden/>
              </w:rPr>
            </w:r>
            <w:r w:rsidR="00147CB4">
              <w:rPr>
                <w:noProof/>
                <w:webHidden/>
              </w:rPr>
              <w:fldChar w:fldCharType="separate"/>
            </w:r>
            <w:r w:rsidR="00AA0D62">
              <w:rPr>
                <w:noProof/>
                <w:webHidden/>
              </w:rPr>
              <w:t>57</w:t>
            </w:r>
            <w:r w:rsidR="00147CB4">
              <w:rPr>
                <w:noProof/>
                <w:webHidden/>
              </w:rPr>
              <w:fldChar w:fldCharType="end"/>
            </w:r>
          </w:hyperlink>
        </w:p>
        <w:p w:rsidR="00147CB4" w:rsidRDefault="008F3486">
          <w:pPr>
            <w:pStyle w:val="TOC1"/>
            <w:rPr>
              <w:rFonts w:asciiTheme="minorHAnsi" w:eastAsiaTheme="minorEastAsia" w:hAnsiTheme="minorHAnsi" w:cstheme="minorBidi"/>
              <w:noProof/>
              <w:sz w:val="22"/>
            </w:rPr>
          </w:pPr>
          <w:hyperlink w:anchor="_Toc6923281" w:history="1">
            <w:r w:rsidR="00147CB4" w:rsidRPr="00E978B5">
              <w:rPr>
                <w:rStyle w:val="Hyperlink"/>
                <w:rFonts w:cs="Calibri"/>
                <w:noProof/>
              </w:rPr>
              <w:t>6.</w:t>
            </w:r>
            <w:r w:rsidR="00147CB4">
              <w:rPr>
                <w:rFonts w:asciiTheme="minorHAnsi" w:eastAsiaTheme="minorEastAsia" w:hAnsiTheme="minorHAnsi" w:cstheme="minorBidi"/>
                <w:noProof/>
                <w:sz w:val="22"/>
              </w:rPr>
              <w:tab/>
            </w:r>
            <w:r w:rsidR="00147CB4" w:rsidRPr="00E978B5">
              <w:rPr>
                <w:rStyle w:val="Hyperlink"/>
                <w:rFonts w:cs="Calibri"/>
                <w:noProof/>
              </w:rPr>
              <w:t>НАУЧНО ИЗСЛЕДОВАТЕЛСКА И РАЗВОЙНА ДЕЙНОСТ</w:t>
            </w:r>
            <w:r w:rsidR="00147CB4">
              <w:rPr>
                <w:noProof/>
                <w:webHidden/>
              </w:rPr>
              <w:tab/>
            </w:r>
            <w:r w:rsidR="00147CB4">
              <w:rPr>
                <w:noProof/>
                <w:webHidden/>
              </w:rPr>
              <w:fldChar w:fldCharType="begin"/>
            </w:r>
            <w:r w:rsidR="00147CB4">
              <w:rPr>
                <w:noProof/>
                <w:webHidden/>
              </w:rPr>
              <w:instrText xml:space="preserve"> PAGEREF _Toc6923281 \h </w:instrText>
            </w:r>
            <w:r w:rsidR="00147CB4">
              <w:rPr>
                <w:noProof/>
                <w:webHidden/>
              </w:rPr>
            </w:r>
            <w:r w:rsidR="00147CB4">
              <w:rPr>
                <w:noProof/>
                <w:webHidden/>
              </w:rPr>
              <w:fldChar w:fldCharType="separate"/>
            </w:r>
            <w:r w:rsidR="00AA0D62">
              <w:rPr>
                <w:noProof/>
                <w:webHidden/>
              </w:rPr>
              <w:t>58</w:t>
            </w:r>
            <w:r w:rsidR="00147CB4">
              <w:rPr>
                <w:noProof/>
                <w:webHidden/>
              </w:rPr>
              <w:fldChar w:fldCharType="end"/>
            </w:r>
          </w:hyperlink>
        </w:p>
        <w:p w:rsidR="00147CB4" w:rsidRDefault="008F3486">
          <w:pPr>
            <w:pStyle w:val="TOC1"/>
            <w:rPr>
              <w:rFonts w:asciiTheme="minorHAnsi" w:eastAsiaTheme="minorEastAsia" w:hAnsiTheme="minorHAnsi" w:cstheme="minorBidi"/>
              <w:noProof/>
              <w:sz w:val="22"/>
            </w:rPr>
          </w:pPr>
          <w:hyperlink w:anchor="_Toc6923282" w:history="1">
            <w:r w:rsidR="00147CB4" w:rsidRPr="00E978B5">
              <w:rPr>
                <w:rStyle w:val="Hyperlink"/>
                <w:rFonts w:cs="Calibri"/>
                <w:noProof/>
              </w:rPr>
              <w:t>7.</w:t>
            </w:r>
            <w:r w:rsidR="00147CB4">
              <w:rPr>
                <w:rFonts w:asciiTheme="minorHAnsi" w:eastAsiaTheme="minorEastAsia" w:hAnsiTheme="minorHAnsi" w:cstheme="minorBidi"/>
                <w:noProof/>
                <w:sz w:val="22"/>
              </w:rPr>
              <w:tab/>
            </w:r>
            <w:r w:rsidR="00147CB4" w:rsidRPr="00E978B5">
              <w:rPr>
                <w:rStyle w:val="Hyperlink"/>
                <w:rFonts w:cs="Calibri"/>
                <w:noProof/>
              </w:rPr>
              <w:t>ИНФОРМАЦИЯ, ИЗИСКВАНА ПО РЕДА НА ЧЛ. 187Д И 247 ОТ ТЪРГОВСКИЯ ЗАКОН</w:t>
            </w:r>
            <w:r w:rsidR="00147CB4">
              <w:rPr>
                <w:noProof/>
                <w:webHidden/>
              </w:rPr>
              <w:tab/>
            </w:r>
            <w:r w:rsidR="00147CB4">
              <w:rPr>
                <w:noProof/>
                <w:webHidden/>
              </w:rPr>
              <w:fldChar w:fldCharType="begin"/>
            </w:r>
            <w:r w:rsidR="00147CB4">
              <w:rPr>
                <w:noProof/>
                <w:webHidden/>
              </w:rPr>
              <w:instrText xml:space="preserve"> PAGEREF _Toc6923282 \h </w:instrText>
            </w:r>
            <w:r w:rsidR="00147CB4">
              <w:rPr>
                <w:noProof/>
                <w:webHidden/>
              </w:rPr>
            </w:r>
            <w:r w:rsidR="00147CB4">
              <w:rPr>
                <w:noProof/>
                <w:webHidden/>
              </w:rPr>
              <w:fldChar w:fldCharType="separate"/>
            </w:r>
            <w:r w:rsidR="00AA0D62">
              <w:rPr>
                <w:noProof/>
                <w:webHidden/>
              </w:rPr>
              <w:t>58</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83" w:history="1">
            <w:r w:rsidR="00147CB4" w:rsidRPr="00E978B5">
              <w:rPr>
                <w:rStyle w:val="Hyperlink"/>
                <w:rFonts w:cs="Calibri"/>
                <w:noProof/>
              </w:rPr>
              <w:t>7.1.</w:t>
            </w:r>
            <w:r w:rsidR="00147CB4">
              <w:rPr>
                <w:rFonts w:asciiTheme="minorHAnsi" w:eastAsiaTheme="minorEastAsia" w:hAnsiTheme="minorHAnsi" w:cstheme="minorBidi"/>
                <w:noProof/>
                <w:sz w:val="22"/>
              </w:rPr>
              <w:tab/>
            </w:r>
            <w:r w:rsidR="00147CB4" w:rsidRPr="00E978B5">
              <w:rPr>
                <w:rStyle w:val="Hyperlink"/>
                <w:rFonts w:cs="Calibri"/>
                <w:noProof/>
              </w:rPr>
              <w:t>Информация за членовете на съвета на директорите на БФБ АД по чл. 247, ал. 2 от Търговския закон</w:t>
            </w:r>
            <w:r w:rsidR="00147CB4">
              <w:rPr>
                <w:noProof/>
                <w:webHidden/>
              </w:rPr>
              <w:tab/>
            </w:r>
            <w:r w:rsidR="00147CB4">
              <w:rPr>
                <w:noProof/>
                <w:webHidden/>
              </w:rPr>
              <w:fldChar w:fldCharType="begin"/>
            </w:r>
            <w:r w:rsidR="00147CB4">
              <w:rPr>
                <w:noProof/>
                <w:webHidden/>
              </w:rPr>
              <w:instrText xml:space="preserve"> PAGEREF _Toc6923283 \h </w:instrText>
            </w:r>
            <w:r w:rsidR="00147CB4">
              <w:rPr>
                <w:noProof/>
                <w:webHidden/>
              </w:rPr>
            </w:r>
            <w:r w:rsidR="00147CB4">
              <w:rPr>
                <w:noProof/>
                <w:webHidden/>
              </w:rPr>
              <w:fldChar w:fldCharType="separate"/>
            </w:r>
            <w:r w:rsidR="00AA0D62">
              <w:rPr>
                <w:noProof/>
                <w:webHidden/>
              </w:rPr>
              <w:t>58</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84" w:history="1">
            <w:r w:rsidR="00147CB4" w:rsidRPr="00E978B5">
              <w:rPr>
                <w:rStyle w:val="Hyperlink"/>
                <w:rFonts w:cs="Calibri"/>
                <w:noProof/>
              </w:rPr>
              <w:t>7.2.</w:t>
            </w:r>
            <w:r w:rsidR="00147CB4">
              <w:rPr>
                <w:rFonts w:asciiTheme="minorHAnsi" w:eastAsiaTheme="minorEastAsia" w:hAnsiTheme="minorHAnsi" w:cstheme="minorBidi"/>
                <w:noProof/>
                <w:sz w:val="22"/>
              </w:rPr>
              <w:tab/>
            </w:r>
            <w:r w:rsidR="00147CB4" w:rsidRPr="00E978B5">
              <w:rPr>
                <w:rStyle w:val="Hyperlink"/>
                <w:rFonts w:cs="Calibri"/>
                <w:noProof/>
              </w:rPr>
              <w:t>Планирана стопанска политика на групата през 2019 година и очаквани инвестиции и развитие на персонала</w:t>
            </w:r>
            <w:r w:rsidR="00147CB4">
              <w:rPr>
                <w:noProof/>
                <w:webHidden/>
              </w:rPr>
              <w:tab/>
            </w:r>
            <w:r w:rsidR="00147CB4">
              <w:rPr>
                <w:noProof/>
                <w:webHidden/>
              </w:rPr>
              <w:fldChar w:fldCharType="begin"/>
            </w:r>
            <w:r w:rsidR="00147CB4">
              <w:rPr>
                <w:noProof/>
                <w:webHidden/>
              </w:rPr>
              <w:instrText xml:space="preserve"> PAGEREF _Toc6923284 \h </w:instrText>
            </w:r>
            <w:r w:rsidR="00147CB4">
              <w:rPr>
                <w:noProof/>
                <w:webHidden/>
              </w:rPr>
            </w:r>
            <w:r w:rsidR="00147CB4">
              <w:rPr>
                <w:noProof/>
                <w:webHidden/>
              </w:rPr>
              <w:fldChar w:fldCharType="separate"/>
            </w:r>
            <w:r w:rsidR="00AA0D62">
              <w:rPr>
                <w:noProof/>
                <w:webHidden/>
              </w:rPr>
              <w:t>59</w:t>
            </w:r>
            <w:r w:rsidR="00147CB4">
              <w:rPr>
                <w:noProof/>
                <w:webHidden/>
              </w:rPr>
              <w:fldChar w:fldCharType="end"/>
            </w:r>
          </w:hyperlink>
        </w:p>
        <w:p w:rsidR="00147CB4" w:rsidRDefault="008F3486">
          <w:pPr>
            <w:pStyle w:val="TOC1"/>
            <w:rPr>
              <w:rFonts w:asciiTheme="minorHAnsi" w:eastAsiaTheme="minorEastAsia" w:hAnsiTheme="minorHAnsi" w:cstheme="minorBidi"/>
              <w:noProof/>
              <w:sz w:val="22"/>
            </w:rPr>
          </w:pPr>
          <w:hyperlink w:anchor="_Toc6923285" w:history="1">
            <w:r w:rsidR="00147CB4" w:rsidRPr="00E978B5">
              <w:rPr>
                <w:rStyle w:val="Hyperlink"/>
                <w:rFonts w:cs="Calibri"/>
                <w:noProof/>
              </w:rPr>
              <w:t>8.</w:t>
            </w:r>
            <w:r w:rsidR="00147CB4">
              <w:rPr>
                <w:rFonts w:asciiTheme="minorHAnsi" w:eastAsiaTheme="minorEastAsia" w:hAnsiTheme="minorHAnsi" w:cstheme="minorBidi"/>
                <w:noProof/>
                <w:sz w:val="22"/>
              </w:rPr>
              <w:tab/>
            </w:r>
            <w:r w:rsidR="00147CB4" w:rsidRPr="00E978B5">
              <w:rPr>
                <w:rStyle w:val="Hyperlink"/>
                <w:rFonts w:cs="Calibri"/>
                <w:noProof/>
              </w:rPr>
              <w:t>КЛОНОВЕ НА ГРУПА БЪЛГАРСКА ФОНДОВА БОРСА АД</w:t>
            </w:r>
            <w:r w:rsidR="00147CB4">
              <w:rPr>
                <w:noProof/>
                <w:webHidden/>
              </w:rPr>
              <w:tab/>
            </w:r>
            <w:r w:rsidR="00147CB4">
              <w:rPr>
                <w:noProof/>
                <w:webHidden/>
              </w:rPr>
              <w:fldChar w:fldCharType="begin"/>
            </w:r>
            <w:r w:rsidR="00147CB4">
              <w:rPr>
                <w:noProof/>
                <w:webHidden/>
              </w:rPr>
              <w:instrText xml:space="preserve"> PAGEREF _Toc6923285 \h </w:instrText>
            </w:r>
            <w:r w:rsidR="00147CB4">
              <w:rPr>
                <w:noProof/>
                <w:webHidden/>
              </w:rPr>
            </w:r>
            <w:r w:rsidR="00147CB4">
              <w:rPr>
                <w:noProof/>
                <w:webHidden/>
              </w:rPr>
              <w:fldChar w:fldCharType="separate"/>
            </w:r>
            <w:r w:rsidR="00AA0D62">
              <w:rPr>
                <w:noProof/>
                <w:webHidden/>
              </w:rPr>
              <w:t>59</w:t>
            </w:r>
            <w:r w:rsidR="00147CB4">
              <w:rPr>
                <w:noProof/>
                <w:webHidden/>
              </w:rPr>
              <w:fldChar w:fldCharType="end"/>
            </w:r>
          </w:hyperlink>
        </w:p>
        <w:p w:rsidR="00147CB4" w:rsidRDefault="008F3486">
          <w:pPr>
            <w:pStyle w:val="TOC1"/>
            <w:rPr>
              <w:rFonts w:asciiTheme="minorHAnsi" w:eastAsiaTheme="minorEastAsia" w:hAnsiTheme="minorHAnsi" w:cstheme="minorBidi"/>
              <w:noProof/>
              <w:sz w:val="22"/>
            </w:rPr>
          </w:pPr>
          <w:hyperlink w:anchor="_Toc6923286" w:history="1">
            <w:r w:rsidR="00147CB4" w:rsidRPr="00E978B5">
              <w:rPr>
                <w:rStyle w:val="Hyperlink"/>
                <w:rFonts w:cs="Calibri"/>
                <w:noProof/>
              </w:rPr>
              <w:t>9.</w:t>
            </w:r>
            <w:r w:rsidR="00147CB4">
              <w:rPr>
                <w:rFonts w:asciiTheme="minorHAnsi" w:eastAsiaTheme="minorEastAsia" w:hAnsiTheme="minorHAnsi" w:cstheme="minorBidi"/>
                <w:noProof/>
                <w:sz w:val="22"/>
              </w:rPr>
              <w:tab/>
            </w:r>
            <w:r w:rsidR="00147CB4" w:rsidRPr="00E978B5">
              <w:rPr>
                <w:rStyle w:val="Hyperlink"/>
                <w:rFonts w:cs="Calibri"/>
                <w:noProof/>
              </w:rPr>
              <w:t>ФИНАНСОВИ ИНСТРУМЕНТИ, ИЗПОЛЗВАНИ ОТ ГРУПА БЪЛГАРСКА ФОНДОВА БОРСА</w:t>
            </w:r>
            <w:r w:rsidR="00147CB4">
              <w:rPr>
                <w:noProof/>
                <w:webHidden/>
              </w:rPr>
              <w:tab/>
            </w:r>
            <w:r w:rsidR="00147CB4">
              <w:rPr>
                <w:noProof/>
                <w:webHidden/>
              </w:rPr>
              <w:fldChar w:fldCharType="begin"/>
            </w:r>
            <w:r w:rsidR="00147CB4">
              <w:rPr>
                <w:noProof/>
                <w:webHidden/>
              </w:rPr>
              <w:instrText xml:space="preserve"> PAGEREF _Toc6923286 \h </w:instrText>
            </w:r>
            <w:r w:rsidR="00147CB4">
              <w:rPr>
                <w:noProof/>
                <w:webHidden/>
              </w:rPr>
            </w:r>
            <w:r w:rsidR="00147CB4">
              <w:rPr>
                <w:noProof/>
                <w:webHidden/>
              </w:rPr>
              <w:fldChar w:fldCharType="separate"/>
            </w:r>
            <w:r w:rsidR="00AA0D62">
              <w:rPr>
                <w:noProof/>
                <w:webHidden/>
              </w:rPr>
              <w:t>60</w:t>
            </w:r>
            <w:r w:rsidR="00147CB4">
              <w:rPr>
                <w:noProof/>
                <w:webHidden/>
              </w:rPr>
              <w:fldChar w:fldCharType="end"/>
            </w:r>
          </w:hyperlink>
        </w:p>
        <w:p w:rsidR="00147CB4" w:rsidRDefault="008F3486">
          <w:pPr>
            <w:pStyle w:val="TOC2"/>
            <w:tabs>
              <w:tab w:val="left" w:pos="880"/>
              <w:tab w:val="right" w:leader="dot" w:pos="9912"/>
            </w:tabs>
            <w:rPr>
              <w:rFonts w:asciiTheme="minorHAnsi" w:eastAsiaTheme="minorEastAsia" w:hAnsiTheme="minorHAnsi" w:cstheme="minorBidi"/>
              <w:noProof/>
              <w:sz w:val="22"/>
            </w:rPr>
          </w:pPr>
          <w:hyperlink w:anchor="_Toc6923287" w:history="1">
            <w:r w:rsidR="00147CB4" w:rsidRPr="00E978B5">
              <w:rPr>
                <w:rStyle w:val="Hyperlink"/>
                <w:rFonts w:cs="Calibri"/>
                <w:noProof/>
              </w:rPr>
              <w:t>9.1.</w:t>
            </w:r>
            <w:r w:rsidR="00147CB4">
              <w:rPr>
                <w:rFonts w:asciiTheme="minorHAnsi" w:eastAsiaTheme="minorEastAsia" w:hAnsiTheme="minorHAnsi" w:cstheme="minorBidi"/>
                <w:noProof/>
                <w:sz w:val="22"/>
              </w:rPr>
              <w:tab/>
            </w:r>
            <w:r w:rsidR="00147CB4" w:rsidRPr="00E978B5">
              <w:rPr>
                <w:rStyle w:val="Hyperlink"/>
                <w:rFonts w:cs="Calibri"/>
                <w:noProof/>
              </w:rPr>
              <w:t>Риск на лихвоносните парични потоци</w:t>
            </w:r>
            <w:r w:rsidR="00147CB4">
              <w:rPr>
                <w:noProof/>
                <w:webHidden/>
              </w:rPr>
              <w:tab/>
            </w:r>
            <w:r w:rsidR="00147CB4">
              <w:rPr>
                <w:noProof/>
                <w:webHidden/>
              </w:rPr>
              <w:fldChar w:fldCharType="begin"/>
            </w:r>
            <w:r w:rsidR="00147CB4">
              <w:rPr>
                <w:noProof/>
                <w:webHidden/>
              </w:rPr>
              <w:instrText xml:space="preserve"> PAGEREF _Toc6923287 \h </w:instrText>
            </w:r>
            <w:r w:rsidR="00147CB4">
              <w:rPr>
                <w:noProof/>
                <w:webHidden/>
              </w:rPr>
            </w:r>
            <w:r w:rsidR="00147CB4">
              <w:rPr>
                <w:noProof/>
                <w:webHidden/>
              </w:rPr>
              <w:fldChar w:fldCharType="separate"/>
            </w:r>
            <w:r w:rsidR="00AA0D62">
              <w:rPr>
                <w:noProof/>
                <w:webHidden/>
              </w:rPr>
              <w:t>60</w:t>
            </w:r>
            <w:r w:rsidR="00147CB4">
              <w:rPr>
                <w:noProof/>
                <w:webHidden/>
              </w:rPr>
              <w:fldChar w:fldCharType="end"/>
            </w:r>
          </w:hyperlink>
        </w:p>
        <w:p w:rsidR="00147CB4" w:rsidRDefault="008F3486">
          <w:pPr>
            <w:pStyle w:val="TOC1"/>
            <w:rPr>
              <w:rFonts w:asciiTheme="minorHAnsi" w:eastAsiaTheme="minorEastAsia" w:hAnsiTheme="minorHAnsi" w:cstheme="minorBidi"/>
              <w:noProof/>
              <w:sz w:val="22"/>
            </w:rPr>
          </w:pPr>
          <w:hyperlink w:anchor="_Toc6923288" w:history="1">
            <w:r w:rsidR="00147CB4" w:rsidRPr="00E978B5">
              <w:rPr>
                <w:rStyle w:val="Hyperlink"/>
                <w:rFonts w:cs="Calibri"/>
                <w:noProof/>
              </w:rPr>
              <w:t>10.</w:t>
            </w:r>
            <w:r w:rsidR="00147CB4">
              <w:rPr>
                <w:rFonts w:asciiTheme="minorHAnsi" w:eastAsiaTheme="minorEastAsia" w:hAnsiTheme="minorHAnsi" w:cstheme="minorBidi"/>
                <w:noProof/>
                <w:sz w:val="22"/>
              </w:rPr>
              <w:tab/>
            </w:r>
            <w:r w:rsidR="00147CB4" w:rsidRPr="00E978B5">
              <w:rPr>
                <w:rStyle w:val="Hyperlink"/>
                <w:rFonts w:cs="Calibri"/>
                <w:noProof/>
              </w:rPr>
              <w:t>КОРПОРАТИВНО УПРАВЛЕНИЕ</w:t>
            </w:r>
            <w:r w:rsidR="00147CB4">
              <w:rPr>
                <w:noProof/>
                <w:webHidden/>
              </w:rPr>
              <w:tab/>
            </w:r>
            <w:r w:rsidR="00147CB4">
              <w:rPr>
                <w:noProof/>
                <w:webHidden/>
              </w:rPr>
              <w:fldChar w:fldCharType="begin"/>
            </w:r>
            <w:r w:rsidR="00147CB4">
              <w:rPr>
                <w:noProof/>
                <w:webHidden/>
              </w:rPr>
              <w:instrText xml:space="preserve"> PAGEREF _Toc6923288 \h </w:instrText>
            </w:r>
            <w:r w:rsidR="00147CB4">
              <w:rPr>
                <w:noProof/>
                <w:webHidden/>
              </w:rPr>
            </w:r>
            <w:r w:rsidR="00147CB4">
              <w:rPr>
                <w:noProof/>
                <w:webHidden/>
              </w:rPr>
              <w:fldChar w:fldCharType="separate"/>
            </w:r>
            <w:r w:rsidR="00AA0D62">
              <w:rPr>
                <w:noProof/>
                <w:webHidden/>
              </w:rPr>
              <w:t>61</w:t>
            </w:r>
            <w:r w:rsidR="00147CB4">
              <w:rPr>
                <w:noProof/>
                <w:webHidden/>
              </w:rPr>
              <w:fldChar w:fldCharType="end"/>
            </w:r>
          </w:hyperlink>
        </w:p>
        <w:p w:rsidR="00BB6B16" w:rsidRPr="000B697A" w:rsidRDefault="000B57D2" w:rsidP="00FF6ECF">
          <w:pPr>
            <w:tabs>
              <w:tab w:val="left" w:pos="9356"/>
            </w:tabs>
            <w:spacing w:line="220" w:lineRule="exact"/>
            <w:jc w:val="left"/>
            <w:rPr>
              <w:rFonts w:cs="Calibri"/>
            </w:rPr>
          </w:pPr>
          <w:r w:rsidRPr="000B697A">
            <w:rPr>
              <w:rFonts w:cs="Calibri"/>
              <w:b/>
              <w:bCs/>
            </w:rPr>
            <w:fldChar w:fldCharType="end"/>
          </w:r>
        </w:p>
      </w:sdtContent>
    </w:sdt>
    <w:p w:rsidR="00BB6B16" w:rsidRPr="000B697A" w:rsidRDefault="00BB6B16">
      <w:pPr>
        <w:jc w:val="left"/>
        <w:rPr>
          <w:rFonts w:cs="Calibri"/>
        </w:rPr>
      </w:pPr>
      <w:r w:rsidRPr="000B697A">
        <w:rPr>
          <w:rFonts w:cs="Calibri"/>
        </w:rPr>
        <w:br w:type="page"/>
      </w:r>
    </w:p>
    <w:p w:rsidR="007D0731" w:rsidRPr="000B697A" w:rsidRDefault="001478CA" w:rsidP="00875382">
      <w:pPr>
        <w:spacing w:after="240"/>
        <w:rPr>
          <w:rFonts w:cs="Calibri"/>
          <w:b/>
        </w:rPr>
      </w:pPr>
      <w:bookmarkStart w:id="0" w:name="_Toc283112098"/>
      <w:r w:rsidRPr="000B697A">
        <w:rPr>
          <w:rFonts w:cs="Calibri"/>
          <w:b/>
        </w:rPr>
        <w:lastRenderedPageBreak/>
        <w:t>ВЪВЕДЕНИЕ</w:t>
      </w:r>
      <w:bookmarkEnd w:id="0"/>
    </w:p>
    <w:p w:rsidR="007D0731" w:rsidRPr="000B697A" w:rsidRDefault="000C4B73" w:rsidP="00846D25">
      <w:pPr>
        <w:rPr>
          <w:rFonts w:cs="Calibri"/>
        </w:rPr>
      </w:pPr>
      <w:r w:rsidRPr="000B697A">
        <w:rPr>
          <w:rFonts w:cs="Calibri"/>
        </w:rPr>
        <w:t xml:space="preserve">Настоящият доклад е изготвен в съответствие с чл. </w:t>
      </w:r>
      <w:r w:rsidR="00870C7A" w:rsidRPr="000B697A">
        <w:rPr>
          <w:rFonts w:cs="Calibri"/>
        </w:rPr>
        <w:t>190</w:t>
      </w:r>
      <w:r w:rsidRPr="000B697A">
        <w:rPr>
          <w:rFonts w:cs="Calibri"/>
        </w:rPr>
        <w:t xml:space="preserve">, ал. </w:t>
      </w:r>
      <w:r w:rsidR="008B219D" w:rsidRPr="000B697A">
        <w:rPr>
          <w:rFonts w:cs="Calibri"/>
        </w:rPr>
        <w:t>1</w:t>
      </w:r>
      <w:r w:rsidRPr="000B697A">
        <w:rPr>
          <w:rFonts w:cs="Calibri"/>
        </w:rPr>
        <w:t xml:space="preserve"> от Закона за пазарите на финансови инструменти и съгласно изискванията на чл. 32а от Наредба 2 на Комисията за финансов надзор за проспектите при публично предлагане на ценни книжа и за разкриването на информация от публичните дружества и другите емитенти на ценни книжа (Наредба 2), във връзка с чл. 100н от Закона за публичното предлагане на ценни книжа и съдържа изискуемата информация по Приложение №10 на Наредба 2.</w:t>
      </w:r>
    </w:p>
    <w:p w:rsidR="00875382" w:rsidRPr="000B697A" w:rsidRDefault="000C4B73" w:rsidP="00846D25">
      <w:pPr>
        <w:rPr>
          <w:rFonts w:cs="Calibri"/>
        </w:rPr>
      </w:pPr>
      <w:r w:rsidRPr="000B697A">
        <w:rPr>
          <w:rFonts w:cs="Calibri"/>
        </w:rPr>
        <w:t>Докладът дава информация за важн</w:t>
      </w:r>
      <w:r w:rsidR="006D6438" w:rsidRPr="000B697A">
        <w:rPr>
          <w:rFonts w:cs="Calibri"/>
        </w:rPr>
        <w:t>ите събития, настъпили през 201</w:t>
      </w:r>
      <w:r w:rsidR="00656FB4">
        <w:rPr>
          <w:rFonts w:cs="Calibri"/>
        </w:rPr>
        <w:t>8</w:t>
      </w:r>
      <w:r w:rsidRPr="000B697A">
        <w:rPr>
          <w:rFonts w:cs="Calibri"/>
        </w:rPr>
        <w:t xml:space="preserve"> г., като са взети под внимание основните показатели на дейността, съпроводени със съответните анализи и изводи. Очертани са основните тенденции в развитието на капиталовия пазар, направен е достоверен преглед на развитието и резултатите от дейностите и състоянието на дружествата, включени в консолид</w:t>
      </w:r>
      <w:r w:rsidR="00B20210" w:rsidRPr="000B697A">
        <w:rPr>
          <w:rFonts w:cs="Calibri"/>
        </w:rPr>
        <w:t>ирания отчет</w:t>
      </w:r>
      <w:r w:rsidR="008F6FCA" w:rsidRPr="000B697A">
        <w:rPr>
          <w:rFonts w:cs="Calibri"/>
        </w:rPr>
        <w:t xml:space="preserve"> </w:t>
      </w:r>
      <w:r w:rsidRPr="000B697A">
        <w:rPr>
          <w:rFonts w:cs="Calibri"/>
        </w:rPr>
        <w:t>като цяло и са описани</w:t>
      </w:r>
      <w:r w:rsidR="00EA5D47" w:rsidRPr="000B697A">
        <w:rPr>
          <w:rFonts w:cs="Calibri"/>
        </w:rPr>
        <w:t xml:space="preserve"> </w:t>
      </w:r>
      <w:r w:rsidRPr="000B697A">
        <w:rPr>
          <w:rFonts w:cs="Calibri"/>
        </w:rPr>
        <w:t xml:space="preserve">основните рискове и </w:t>
      </w:r>
      <w:proofErr w:type="spellStart"/>
      <w:r w:rsidRPr="000B697A">
        <w:rPr>
          <w:rFonts w:cs="Calibri"/>
        </w:rPr>
        <w:t>несигурности</w:t>
      </w:r>
      <w:proofErr w:type="spellEnd"/>
      <w:r w:rsidRPr="000B697A">
        <w:rPr>
          <w:rFonts w:cs="Calibri"/>
        </w:rPr>
        <w:t>, пред които те са изправени.</w:t>
      </w:r>
    </w:p>
    <w:p w:rsidR="007D0731" w:rsidRPr="000B697A" w:rsidRDefault="000C4B73" w:rsidP="00A46753">
      <w:pPr>
        <w:pStyle w:val="Mainnumbers"/>
        <w:outlineLvl w:val="0"/>
        <w:rPr>
          <w:rFonts w:cs="Calibri"/>
          <w:lang w:val="bg-BG"/>
        </w:rPr>
      </w:pPr>
      <w:bookmarkStart w:id="1" w:name="_Toc6923235"/>
      <w:r w:rsidRPr="000B697A">
        <w:rPr>
          <w:rFonts w:cs="Calibri"/>
          <w:lang w:val="bg-BG"/>
        </w:rPr>
        <w:t>ИНФОРМАЦИЯ ЗА ГРУПА БЪЛГАРСКА ФОНДОВА БОРСА</w:t>
      </w:r>
      <w:bookmarkEnd w:id="1"/>
    </w:p>
    <w:p w:rsidR="00B343F5" w:rsidRPr="000B697A" w:rsidRDefault="00D757AB" w:rsidP="00846D25">
      <w:pPr>
        <w:rPr>
          <w:rFonts w:cs="Calibri"/>
          <w:sz w:val="28"/>
        </w:rPr>
      </w:pPr>
      <w:r w:rsidRPr="000B697A">
        <w:rPr>
          <w:rFonts w:cs="Calibri"/>
          <w:szCs w:val="18"/>
        </w:rPr>
        <w:t>Групата Българска Фондова Борса (Групата) се състои от Българска Фондова Борса АД (дружество-майка) и дъщерн</w:t>
      </w:r>
      <w:r w:rsidR="008B219D" w:rsidRPr="000B697A">
        <w:rPr>
          <w:rFonts w:cs="Calibri"/>
          <w:szCs w:val="18"/>
        </w:rPr>
        <w:t>и</w:t>
      </w:r>
      <w:r w:rsidRPr="000B697A">
        <w:rPr>
          <w:rFonts w:cs="Calibri"/>
          <w:szCs w:val="18"/>
        </w:rPr>
        <w:t>т</w:t>
      </w:r>
      <w:r w:rsidR="008B219D" w:rsidRPr="000B697A">
        <w:rPr>
          <w:rFonts w:cs="Calibri"/>
          <w:szCs w:val="18"/>
        </w:rPr>
        <w:t>е</w:t>
      </w:r>
      <w:r w:rsidRPr="000B697A">
        <w:rPr>
          <w:rFonts w:cs="Calibri"/>
          <w:szCs w:val="18"/>
        </w:rPr>
        <w:t xml:space="preserve"> дружеств</w:t>
      </w:r>
      <w:r w:rsidR="008B219D" w:rsidRPr="000B697A">
        <w:rPr>
          <w:rFonts w:cs="Calibri"/>
          <w:szCs w:val="18"/>
        </w:rPr>
        <w:t>а</w:t>
      </w:r>
      <w:r w:rsidRPr="000B697A">
        <w:rPr>
          <w:rFonts w:cs="Calibri"/>
          <w:szCs w:val="18"/>
        </w:rPr>
        <w:t xml:space="preserve"> Сервиз Финансови Пазари ЕООД</w:t>
      </w:r>
      <w:r w:rsidR="008B219D" w:rsidRPr="000B697A">
        <w:rPr>
          <w:rFonts w:cs="Calibri"/>
          <w:szCs w:val="18"/>
        </w:rPr>
        <w:t xml:space="preserve"> и Българска независима енергийна борса ЕАД</w:t>
      </w:r>
      <w:r w:rsidRPr="000B697A">
        <w:rPr>
          <w:rFonts w:cs="Calibri"/>
          <w:szCs w:val="18"/>
        </w:rPr>
        <w:t>. Допълнително от 15.04.2014 година Групата има ин</w:t>
      </w:r>
      <w:r w:rsidR="00F73859" w:rsidRPr="000B697A">
        <w:rPr>
          <w:rFonts w:cs="Calibri"/>
          <w:szCs w:val="18"/>
        </w:rPr>
        <w:t>вестиция в съвместно дружество.</w:t>
      </w:r>
    </w:p>
    <w:p w:rsidR="00B343F5" w:rsidRPr="000B697A" w:rsidRDefault="000C4B73" w:rsidP="0028038B">
      <w:pPr>
        <w:pStyle w:val="a7"/>
        <w:rPr>
          <w:rFonts w:cs="Calibri"/>
        </w:rPr>
      </w:pPr>
      <w:r w:rsidRPr="000B697A">
        <w:rPr>
          <w:rFonts w:cs="Calibri"/>
        </w:rPr>
        <w:t>Компания - майка</w:t>
      </w:r>
    </w:p>
    <w:p w:rsidR="007D0731" w:rsidRPr="000B697A" w:rsidRDefault="000C4B73" w:rsidP="00846D25">
      <w:pPr>
        <w:rPr>
          <w:rFonts w:cs="Calibri"/>
        </w:rPr>
      </w:pPr>
      <w:r w:rsidRPr="000B697A">
        <w:rPr>
          <w:rFonts w:cs="Calibri"/>
        </w:rPr>
        <w:t xml:space="preserve">Българска фондова борса АД е търговско дружество, създадено през месец ноември 1991 г. Дружеството е със седалище и адрес на управление гр. София, ул. “Три уши” № </w:t>
      </w:r>
      <w:r w:rsidR="00560419" w:rsidRPr="000B697A">
        <w:rPr>
          <w:rFonts w:cs="Calibri"/>
        </w:rPr>
        <w:t>6</w:t>
      </w:r>
      <w:r w:rsidRPr="000B697A">
        <w:rPr>
          <w:rFonts w:cs="Calibri"/>
        </w:rPr>
        <w:t>. Съдебната регистрация на дружеството е от 1991 г. с Решение № 25 156 /08.11.1991 г. на Софийски градски съд.</w:t>
      </w:r>
    </w:p>
    <w:p w:rsidR="007D0731" w:rsidRPr="000B697A" w:rsidRDefault="000C4B73" w:rsidP="00846D25">
      <w:pPr>
        <w:rPr>
          <w:rFonts w:cs="Calibri"/>
        </w:rPr>
      </w:pPr>
      <w:r w:rsidRPr="000B697A">
        <w:rPr>
          <w:rFonts w:cs="Calibri"/>
        </w:rPr>
        <w:t>Българска фондова борса АД е публично акци</w:t>
      </w:r>
      <w:r w:rsidR="006D6438" w:rsidRPr="000B697A">
        <w:rPr>
          <w:rFonts w:cs="Calibri"/>
        </w:rPr>
        <w:t>онерно дружество. Към 31.12.</w:t>
      </w:r>
      <w:r w:rsidR="00656FB4" w:rsidRPr="000B697A">
        <w:rPr>
          <w:rFonts w:cs="Calibri"/>
        </w:rPr>
        <w:t>201</w:t>
      </w:r>
      <w:r w:rsidR="00656FB4">
        <w:rPr>
          <w:rFonts w:cs="Calibri"/>
        </w:rPr>
        <w:t>8</w:t>
      </w:r>
      <w:r w:rsidR="00656FB4" w:rsidRPr="000B697A">
        <w:rPr>
          <w:rFonts w:cs="Calibri"/>
        </w:rPr>
        <w:t xml:space="preserve"> </w:t>
      </w:r>
      <w:r w:rsidRPr="000B697A">
        <w:rPr>
          <w:rFonts w:cs="Calibri"/>
        </w:rPr>
        <w:t>г. капиталът на дружеството е разпределен в 6,582,860 броя безналични поименни акции с номинална сто</w:t>
      </w:r>
      <w:r w:rsidR="00F73859" w:rsidRPr="000B697A">
        <w:rPr>
          <w:rFonts w:cs="Calibri"/>
        </w:rPr>
        <w:t>йност на една акция - един лев.</w:t>
      </w:r>
    </w:p>
    <w:p w:rsidR="007D0731" w:rsidRPr="000B697A" w:rsidRDefault="000C4B73" w:rsidP="00846D25">
      <w:pPr>
        <w:rPr>
          <w:rFonts w:cs="Calibri"/>
        </w:rPr>
      </w:pPr>
      <w:r w:rsidRPr="000B697A">
        <w:rPr>
          <w:rFonts w:cs="Calibri"/>
        </w:rPr>
        <w:t>На 09.12.2010 г. е вписано в Търговския регистър увеличение на основния капитал на Борсата със 715,000 лева от 5,867,860 лева 6,582,860 лева чрез издаване на нови 715,000 броя обикновени поименни безналични акции с право на глас срещу парична вноска от акционера на дружеството Министерство на финансите на Република България.</w:t>
      </w:r>
    </w:p>
    <w:p w:rsidR="00B343F5" w:rsidRPr="000B697A" w:rsidRDefault="000C4B73" w:rsidP="0028038B">
      <w:pPr>
        <w:pStyle w:val="a7"/>
        <w:rPr>
          <w:rFonts w:cs="Calibri"/>
        </w:rPr>
      </w:pPr>
      <w:r w:rsidRPr="000B697A">
        <w:rPr>
          <w:rFonts w:cs="Calibri"/>
        </w:rPr>
        <w:t>Дъщерн</w:t>
      </w:r>
      <w:r w:rsidR="008B219D" w:rsidRPr="000B697A">
        <w:rPr>
          <w:rFonts w:cs="Calibri"/>
        </w:rPr>
        <w:t>и</w:t>
      </w:r>
      <w:r w:rsidRPr="000B697A">
        <w:rPr>
          <w:rFonts w:cs="Calibri"/>
        </w:rPr>
        <w:t xml:space="preserve"> дружеств</w:t>
      </w:r>
      <w:r w:rsidR="008B219D" w:rsidRPr="000B697A">
        <w:rPr>
          <w:rFonts w:cs="Calibri"/>
        </w:rPr>
        <w:t>а</w:t>
      </w:r>
    </w:p>
    <w:p w:rsidR="00B343F5" w:rsidRPr="000B697A" w:rsidRDefault="000C4B73" w:rsidP="00846D25">
      <w:pPr>
        <w:pStyle w:val="Default"/>
        <w:spacing w:line="276" w:lineRule="auto"/>
        <w:jc w:val="both"/>
        <w:rPr>
          <w:rFonts w:ascii="Calibri" w:hAnsi="Calibri" w:cs="Calibri"/>
          <w:color w:val="auto"/>
          <w:sz w:val="22"/>
        </w:rPr>
      </w:pPr>
      <w:r w:rsidRPr="000B697A">
        <w:rPr>
          <w:rFonts w:ascii="Calibri" w:hAnsi="Calibri" w:cs="Calibri"/>
          <w:color w:val="auto"/>
          <w:sz w:val="22"/>
        </w:rPr>
        <w:t xml:space="preserve">Дъщерното дружество - </w:t>
      </w:r>
      <w:r w:rsidRPr="000B697A">
        <w:rPr>
          <w:rFonts w:ascii="Calibri" w:hAnsi="Calibri" w:cs="Calibri"/>
          <w:b/>
          <w:color w:val="auto"/>
          <w:sz w:val="22"/>
        </w:rPr>
        <w:t>Сервиз Финансови Пазари ЕООД</w:t>
      </w:r>
      <w:r w:rsidRPr="000B697A">
        <w:rPr>
          <w:rFonts w:ascii="Calibri" w:hAnsi="Calibri" w:cs="Calibri"/>
          <w:color w:val="auto"/>
          <w:sz w:val="22"/>
        </w:rPr>
        <w:t xml:space="preserve"> е регистрирано съгласно решение № 2 на СГС от 6 март 2007 г. Дружеството е със седалище и адрес на управление гр. София, ул. “Три уши” № </w:t>
      </w:r>
      <w:r w:rsidR="00560419" w:rsidRPr="000B697A">
        <w:rPr>
          <w:rFonts w:ascii="Calibri" w:hAnsi="Calibri" w:cs="Calibri"/>
          <w:color w:val="auto"/>
          <w:sz w:val="22"/>
        </w:rPr>
        <w:t>6</w:t>
      </w:r>
      <w:r w:rsidRPr="000B697A">
        <w:rPr>
          <w:rFonts w:ascii="Calibri" w:hAnsi="Calibri" w:cs="Calibri"/>
          <w:color w:val="auto"/>
          <w:sz w:val="22"/>
        </w:rPr>
        <w:t xml:space="preserve">. </w:t>
      </w:r>
    </w:p>
    <w:p w:rsidR="007D0731" w:rsidRPr="000B697A" w:rsidRDefault="000C4B73" w:rsidP="00846D25">
      <w:pPr>
        <w:rPr>
          <w:rFonts w:cs="Calibri"/>
        </w:rPr>
      </w:pPr>
      <w:r w:rsidRPr="000B697A">
        <w:rPr>
          <w:rFonts w:cs="Calibri"/>
        </w:rPr>
        <w:t xml:space="preserve">Първоначално същото е регистрирано като търговско дружество - съвместно контролирано предприятие със съдружници - Борсата и Централен депозитар АД и капитал от 80 хил. лв. На </w:t>
      </w:r>
      <w:r w:rsidRPr="000B697A">
        <w:rPr>
          <w:rFonts w:cs="Calibri"/>
        </w:rPr>
        <w:lastRenderedPageBreak/>
        <w:t>12 октомври 2006 г. по решение на Общото събрание на съдружниците на съвместното дружество (ДВ бр.191 от 2006 г.), Централен депозитар прекратява участието си. Взето е решение за намаляване на капитала на дружеството от 80 хил. лв. на 40 хил. лв., при което напусналият съдружник е получил изцяло обратно средствата от своя дял в съвместното предприятие.</w:t>
      </w:r>
    </w:p>
    <w:p w:rsidR="00437D1C" w:rsidRPr="000B697A" w:rsidRDefault="00437D1C" w:rsidP="00846D25">
      <w:pPr>
        <w:rPr>
          <w:rFonts w:cs="Calibri"/>
        </w:rPr>
      </w:pPr>
    </w:p>
    <w:p w:rsidR="008B219D" w:rsidRPr="000B697A" w:rsidRDefault="008B219D" w:rsidP="00437D1C">
      <w:pPr>
        <w:rPr>
          <w:rFonts w:cs="Calibri"/>
          <w:szCs w:val="20"/>
        </w:rPr>
      </w:pPr>
      <w:r w:rsidRPr="000B697A">
        <w:rPr>
          <w:rFonts w:cs="Calibri"/>
          <w:szCs w:val="20"/>
        </w:rPr>
        <w:t xml:space="preserve">На 15.02.2018 година в Търговския регистър е вписана промяната в собствеността на </w:t>
      </w:r>
      <w:r w:rsidRPr="000B697A">
        <w:rPr>
          <w:rFonts w:cs="Calibri"/>
          <w:b/>
          <w:szCs w:val="20"/>
        </w:rPr>
        <w:t>Дъщерното дружество Българска независима енергийна борса ЕАД (БНЕБ ЕАД)</w:t>
      </w:r>
      <w:r w:rsidRPr="000B697A">
        <w:rPr>
          <w:rFonts w:cs="Calibri"/>
          <w:szCs w:val="20"/>
        </w:rPr>
        <w:t xml:space="preserve">, съгласно сключен на 03.01.2018 г. договор, между БФБ АД и Български Енергиен Холдинг ЕАД, за покупка и придобиване на 100 % от акционерния капитал на БНЕБ ЕАД или 217,664 броя </w:t>
      </w:r>
      <w:proofErr w:type="spellStart"/>
      <w:r w:rsidRPr="000B697A">
        <w:rPr>
          <w:rFonts w:cs="Calibri"/>
          <w:szCs w:val="20"/>
        </w:rPr>
        <w:t>обикновенни</w:t>
      </w:r>
      <w:proofErr w:type="spellEnd"/>
      <w:r w:rsidRPr="000B697A">
        <w:rPr>
          <w:rFonts w:cs="Calibri"/>
          <w:szCs w:val="20"/>
        </w:rPr>
        <w:t xml:space="preserve"> поименни акции с право на глас, с номинална стойност 10.00 лева, представляващи 100 % от капитала Българска Независима Енергийна Борса ЕАД на покупна стойност 5,200,000 лева.</w:t>
      </w:r>
    </w:p>
    <w:p w:rsidR="008B219D" w:rsidRPr="000B697A" w:rsidRDefault="008B219D" w:rsidP="00437D1C">
      <w:pPr>
        <w:autoSpaceDE w:val="0"/>
        <w:autoSpaceDN w:val="0"/>
        <w:adjustRightInd w:val="0"/>
        <w:rPr>
          <w:rFonts w:cs="Calibri"/>
          <w:szCs w:val="20"/>
        </w:rPr>
      </w:pPr>
      <w:r w:rsidRPr="000B697A">
        <w:rPr>
          <w:rFonts w:cs="Calibri"/>
          <w:szCs w:val="20"/>
        </w:rPr>
        <w:t>Българска независима енергийна борса ЕАД е учредено през 2014 г. Дружеството е регистрирано като еднолично акционерно дружество в град София, вписано в Търговския регистър с ЕИК 202880940.</w:t>
      </w:r>
    </w:p>
    <w:p w:rsidR="008B219D" w:rsidRPr="000B697A" w:rsidRDefault="008B219D" w:rsidP="00437D1C">
      <w:pPr>
        <w:autoSpaceDE w:val="0"/>
        <w:autoSpaceDN w:val="0"/>
        <w:adjustRightInd w:val="0"/>
        <w:rPr>
          <w:rFonts w:cs="Calibri"/>
          <w:szCs w:val="20"/>
        </w:rPr>
      </w:pPr>
      <w:r w:rsidRPr="000B697A">
        <w:rPr>
          <w:rFonts w:cs="Calibri"/>
          <w:szCs w:val="20"/>
        </w:rPr>
        <w:t>Седалището и адресът на управление на БНЕБ ЕАД е град София - 1000, район Оборище, бул. „Княз Александър Дондуков“ № 19, ет.7.</w:t>
      </w:r>
    </w:p>
    <w:p w:rsidR="00D757AB" w:rsidRPr="000B697A" w:rsidRDefault="00D757AB" w:rsidP="0028038B">
      <w:pPr>
        <w:pStyle w:val="a7"/>
        <w:rPr>
          <w:rFonts w:cs="Calibri"/>
        </w:rPr>
      </w:pPr>
      <w:r w:rsidRPr="000B697A">
        <w:rPr>
          <w:rFonts w:cs="Calibri"/>
        </w:rPr>
        <w:t>Съвместно дружество</w:t>
      </w:r>
    </w:p>
    <w:p w:rsidR="00875382" w:rsidRPr="000B697A" w:rsidRDefault="00D757AB" w:rsidP="00846D25">
      <w:pPr>
        <w:rPr>
          <w:rFonts w:cs="Calibri"/>
          <w:szCs w:val="18"/>
        </w:rPr>
      </w:pPr>
      <w:r w:rsidRPr="000B697A">
        <w:rPr>
          <w:rFonts w:cs="Calibri"/>
          <w:szCs w:val="18"/>
        </w:rPr>
        <w:t>Съвместното дружество СЕЕ Линк ДОО,</w:t>
      </w:r>
      <w:r w:rsidR="005E4667" w:rsidRPr="000B697A">
        <w:rPr>
          <w:rFonts w:cs="Calibri"/>
          <w:szCs w:val="18"/>
        </w:rPr>
        <w:t xml:space="preserve"> Скопие е учредено на 15.04.2015</w:t>
      </w:r>
      <w:r w:rsidRPr="000B697A">
        <w:rPr>
          <w:rFonts w:cs="Calibri"/>
          <w:szCs w:val="18"/>
        </w:rPr>
        <w:t xml:space="preserve"> г. по силата на сключено съвместно споразумение между Българска фондова борса АД, Македонска Борса за ценни книжа АД, Скопие и Загребска Борса АД. Съгласно условията на споразумението всяка една от страните притежава 33,33 % от капитала на учреденото дружество. Дружеството е със седалище</w:t>
      </w:r>
      <w:r w:rsidR="003D057B" w:rsidRPr="000B697A">
        <w:rPr>
          <w:rFonts w:cs="Calibri"/>
          <w:szCs w:val="18"/>
        </w:rPr>
        <w:t xml:space="preserve"> </w:t>
      </w:r>
      <w:r w:rsidRPr="000B697A">
        <w:rPr>
          <w:rFonts w:cs="Calibri"/>
          <w:szCs w:val="18"/>
        </w:rPr>
        <w:t>ул. Орце Николов 75, Скопие, Македония и основен предмет на дейност: извършване на услуги във връзка с компютри и информационни технологии.</w:t>
      </w:r>
    </w:p>
    <w:p w:rsidR="007D0731" w:rsidRPr="000B697A" w:rsidRDefault="001C5787" w:rsidP="0016443B">
      <w:pPr>
        <w:pStyle w:val="SubNumbers"/>
        <w:rPr>
          <w:rFonts w:cs="Calibri"/>
        </w:rPr>
      </w:pPr>
      <w:bookmarkStart w:id="2" w:name="_Toc6923236"/>
      <w:r w:rsidRPr="000B697A">
        <w:rPr>
          <w:rFonts w:cs="Calibri"/>
        </w:rPr>
        <w:t>Собственост и управление</w:t>
      </w:r>
      <w:bookmarkEnd w:id="2"/>
    </w:p>
    <w:p w:rsidR="00D757AB" w:rsidRPr="000B697A" w:rsidRDefault="000C4B73" w:rsidP="00846D25">
      <w:pPr>
        <w:rPr>
          <w:rFonts w:cs="Calibri"/>
        </w:rPr>
      </w:pPr>
      <w:r w:rsidRPr="000B697A">
        <w:rPr>
          <w:rFonts w:cs="Calibri"/>
        </w:rPr>
        <w:t>Съгласно направе</w:t>
      </w:r>
      <w:r w:rsidR="006D6438" w:rsidRPr="000B697A">
        <w:rPr>
          <w:rFonts w:cs="Calibri"/>
        </w:rPr>
        <w:t>на справка, към 31 декември 201</w:t>
      </w:r>
      <w:r w:rsidR="00437D1C" w:rsidRPr="000B697A">
        <w:rPr>
          <w:rFonts w:cs="Calibri"/>
        </w:rPr>
        <w:t>8</w:t>
      </w:r>
      <w:r w:rsidRPr="000B697A">
        <w:rPr>
          <w:rFonts w:cs="Calibri"/>
        </w:rPr>
        <w:t xml:space="preserve"> г. акционерният състав на дружеството–майка Българска фондова борса АД е концентриран в </w:t>
      </w:r>
      <w:r w:rsidR="008F6FCA" w:rsidRPr="000B697A">
        <w:rPr>
          <w:rFonts w:cs="Calibri"/>
        </w:rPr>
        <w:t xml:space="preserve">четири </w:t>
      </w:r>
      <w:r w:rsidRPr="000B697A">
        <w:rPr>
          <w:rFonts w:cs="Calibri"/>
        </w:rPr>
        <w:t>основни вида лица, както следва:</w:t>
      </w:r>
    </w:p>
    <w:p w:rsidR="007365D3" w:rsidRPr="000B697A" w:rsidRDefault="000C4B73" w:rsidP="00F106D3">
      <w:pPr>
        <w:pStyle w:val="ChartHeader"/>
        <w:rPr>
          <w:rFonts w:cs="Calibri"/>
        </w:rPr>
      </w:pPr>
      <w:r w:rsidRPr="000B697A">
        <w:rPr>
          <w:rFonts w:cs="Calibri"/>
        </w:rPr>
        <w:t>Таблица 1. Акц</w:t>
      </w:r>
      <w:r w:rsidR="007C73D7" w:rsidRPr="000B697A">
        <w:rPr>
          <w:rFonts w:cs="Calibri"/>
        </w:rPr>
        <w:t>ионерна структура към 31.12.201</w:t>
      </w:r>
      <w:r w:rsidR="002203E9">
        <w:rPr>
          <w:rFonts w:cs="Calibri"/>
        </w:rPr>
        <w:t>8</w:t>
      </w:r>
    </w:p>
    <w:tbl>
      <w:tblPr>
        <w:tblW w:w="8513" w:type="dxa"/>
        <w:jc w:val="center"/>
        <w:tblLook w:val="04A0" w:firstRow="1" w:lastRow="0" w:firstColumn="1" w:lastColumn="0" w:noHBand="0" w:noVBand="1"/>
      </w:tblPr>
      <w:tblGrid>
        <w:gridCol w:w="5523"/>
        <w:gridCol w:w="1820"/>
        <w:gridCol w:w="1170"/>
      </w:tblGrid>
      <w:tr w:rsidR="007365D3" w:rsidRPr="000B697A" w:rsidTr="000B5C4C">
        <w:trPr>
          <w:trHeight w:val="170"/>
          <w:jc w:val="center"/>
        </w:trPr>
        <w:tc>
          <w:tcPr>
            <w:tcW w:w="5523"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365D3" w:rsidRPr="000B697A" w:rsidRDefault="007365D3" w:rsidP="000B5C4C">
            <w:pPr>
              <w:jc w:val="center"/>
              <w:rPr>
                <w:rFonts w:cs="Calibri"/>
                <w:b/>
                <w:bCs/>
                <w:color w:val="FFFFFF"/>
                <w:lang w:eastAsia="en-US"/>
              </w:rPr>
            </w:pPr>
            <w:r w:rsidRPr="000B697A">
              <w:rPr>
                <w:rFonts w:cs="Calibri"/>
                <w:b/>
                <w:bCs/>
                <w:color w:val="FFFFFF"/>
                <w:lang w:eastAsia="en-US"/>
              </w:rPr>
              <w:t>Вид</w:t>
            </w:r>
          </w:p>
        </w:tc>
        <w:tc>
          <w:tcPr>
            <w:tcW w:w="1820" w:type="dxa"/>
            <w:tcBorders>
              <w:top w:val="single" w:sz="4" w:space="0" w:color="auto"/>
              <w:left w:val="nil"/>
              <w:bottom w:val="single" w:sz="4" w:space="0" w:color="auto"/>
              <w:right w:val="single" w:sz="4" w:space="0" w:color="auto"/>
            </w:tcBorders>
            <w:shd w:val="clear" w:color="000000" w:fill="4F81BD"/>
            <w:noWrap/>
            <w:vAlign w:val="center"/>
            <w:hideMark/>
          </w:tcPr>
          <w:p w:rsidR="007365D3" w:rsidRPr="000B697A" w:rsidRDefault="007365D3" w:rsidP="000B5C4C">
            <w:pPr>
              <w:jc w:val="center"/>
              <w:rPr>
                <w:rFonts w:cs="Calibri"/>
                <w:b/>
                <w:bCs/>
                <w:color w:val="FFFFFF"/>
                <w:lang w:eastAsia="en-US"/>
              </w:rPr>
            </w:pPr>
            <w:r w:rsidRPr="000B697A">
              <w:rPr>
                <w:rFonts w:cs="Calibri"/>
                <w:b/>
                <w:bCs/>
                <w:color w:val="FFFFFF"/>
                <w:lang w:eastAsia="en-US"/>
              </w:rPr>
              <w:t>Брой акции</w:t>
            </w:r>
          </w:p>
        </w:tc>
        <w:tc>
          <w:tcPr>
            <w:tcW w:w="1170" w:type="dxa"/>
            <w:tcBorders>
              <w:top w:val="single" w:sz="4" w:space="0" w:color="auto"/>
              <w:left w:val="nil"/>
              <w:bottom w:val="single" w:sz="4" w:space="0" w:color="auto"/>
              <w:right w:val="single" w:sz="4" w:space="0" w:color="auto"/>
            </w:tcBorders>
            <w:shd w:val="clear" w:color="000000" w:fill="4F81BD"/>
            <w:noWrap/>
            <w:vAlign w:val="center"/>
            <w:hideMark/>
          </w:tcPr>
          <w:p w:rsidR="007365D3" w:rsidRPr="000B697A" w:rsidRDefault="007365D3" w:rsidP="000B5C4C">
            <w:pPr>
              <w:jc w:val="center"/>
              <w:rPr>
                <w:rFonts w:cs="Calibri"/>
                <w:b/>
                <w:bCs/>
                <w:color w:val="FFFFFF"/>
                <w:lang w:eastAsia="en-US"/>
              </w:rPr>
            </w:pPr>
            <w:r w:rsidRPr="000B697A">
              <w:rPr>
                <w:rFonts w:cs="Calibri"/>
                <w:b/>
                <w:bCs/>
                <w:color w:val="FFFFFF"/>
                <w:lang w:eastAsia="en-US"/>
              </w:rPr>
              <w:t>%</w:t>
            </w:r>
          </w:p>
        </w:tc>
      </w:tr>
      <w:tr w:rsidR="00437D1C" w:rsidRPr="000B697A" w:rsidTr="0034033B">
        <w:trPr>
          <w:trHeight w:val="170"/>
          <w:jc w:val="center"/>
        </w:trPr>
        <w:tc>
          <w:tcPr>
            <w:tcW w:w="5523" w:type="dxa"/>
            <w:tcBorders>
              <w:top w:val="nil"/>
              <w:left w:val="single" w:sz="4" w:space="0" w:color="auto"/>
              <w:bottom w:val="single" w:sz="4" w:space="0" w:color="auto"/>
              <w:right w:val="single" w:sz="4" w:space="0" w:color="auto"/>
            </w:tcBorders>
            <w:shd w:val="clear" w:color="auto" w:fill="auto"/>
            <w:noWrap/>
            <w:vAlign w:val="center"/>
            <w:hideMark/>
          </w:tcPr>
          <w:p w:rsidR="00437D1C" w:rsidRPr="000B697A" w:rsidRDefault="00437D1C" w:rsidP="00437D1C">
            <w:pPr>
              <w:jc w:val="left"/>
              <w:rPr>
                <w:rFonts w:cs="Calibri"/>
                <w:color w:val="000000"/>
                <w:lang w:eastAsia="en-US"/>
              </w:rPr>
            </w:pPr>
            <w:r w:rsidRPr="000B697A">
              <w:rPr>
                <w:rFonts w:cs="Calibri"/>
                <w:color w:val="000000"/>
                <w:lang w:eastAsia="en-US"/>
              </w:rPr>
              <w:t>Министерство на финансите</w:t>
            </w:r>
          </w:p>
        </w:tc>
        <w:tc>
          <w:tcPr>
            <w:tcW w:w="1820" w:type="dxa"/>
            <w:tcBorders>
              <w:top w:val="nil"/>
              <w:left w:val="nil"/>
              <w:bottom w:val="single" w:sz="4" w:space="0" w:color="auto"/>
              <w:right w:val="single" w:sz="4" w:space="0" w:color="auto"/>
            </w:tcBorders>
            <w:shd w:val="clear" w:color="auto" w:fill="auto"/>
            <w:noWrap/>
            <w:vAlign w:val="bottom"/>
            <w:hideMark/>
          </w:tcPr>
          <w:p w:rsidR="00437D1C" w:rsidRPr="000B697A" w:rsidRDefault="00437D1C" w:rsidP="00437D1C">
            <w:pPr>
              <w:jc w:val="right"/>
              <w:rPr>
                <w:rFonts w:cs="Calibri"/>
                <w:color w:val="000000"/>
                <w:lang w:eastAsia="en-US"/>
              </w:rPr>
            </w:pPr>
            <w:r w:rsidRPr="000B697A">
              <w:rPr>
                <w:rFonts w:cs="Calibri"/>
                <w:color w:val="000000"/>
                <w:lang w:eastAsia="en-US"/>
              </w:rPr>
              <w:t>3 295 000</w:t>
            </w:r>
          </w:p>
        </w:tc>
        <w:tc>
          <w:tcPr>
            <w:tcW w:w="1170" w:type="dxa"/>
            <w:tcBorders>
              <w:top w:val="nil"/>
              <w:left w:val="nil"/>
              <w:bottom w:val="single" w:sz="4" w:space="0" w:color="auto"/>
              <w:right w:val="single" w:sz="4" w:space="0" w:color="auto"/>
            </w:tcBorders>
            <w:shd w:val="clear" w:color="auto" w:fill="auto"/>
            <w:noWrap/>
            <w:vAlign w:val="bottom"/>
            <w:hideMark/>
          </w:tcPr>
          <w:p w:rsidR="00437D1C" w:rsidRPr="000B697A" w:rsidRDefault="00437D1C" w:rsidP="00437D1C">
            <w:pPr>
              <w:jc w:val="right"/>
              <w:rPr>
                <w:rFonts w:cs="Calibri"/>
                <w:color w:val="000000"/>
                <w:lang w:eastAsia="en-US"/>
              </w:rPr>
            </w:pPr>
            <w:r w:rsidRPr="000B697A">
              <w:rPr>
                <w:rFonts w:cs="Calibri"/>
                <w:color w:val="000000"/>
                <w:lang w:eastAsia="en-US"/>
              </w:rPr>
              <w:t>50,05%</w:t>
            </w:r>
          </w:p>
        </w:tc>
      </w:tr>
      <w:tr w:rsidR="00437D1C" w:rsidRPr="000B697A" w:rsidTr="0034033B">
        <w:trPr>
          <w:trHeight w:val="170"/>
          <w:jc w:val="center"/>
        </w:trPr>
        <w:tc>
          <w:tcPr>
            <w:tcW w:w="5523" w:type="dxa"/>
            <w:tcBorders>
              <w:top w:val="nil"/>
              <w:left w:val="single" w:sz="4" w:space="0" w:color="auto"/>
              <w:bottom w:val="single" w:sz="4" w:space="0" w:color="auto"/>
              <w:right w:val="single" w:sz="4" w:space="0" w:color="auto"/>
            </w:tcBorders>
            <w:shd w:val="clear" w:color="auto" w:fill="auto"/>
            <w:noWrap/>
            <w:vAlign w:val="center"/>
            <w:hideMark/>
          </w:tcPr>
          <w:p w:rsidR="00437D1C" w:rsidRPr="000B697A" w:rsidRDefault="00437D1C" w:rsidP="00437D1C">
            <w:pPr>
              <w:jc w:val="left"/>
              <w:rPr>
                <w:rFonts w:cs="Calibri"/>
                <w:color w:val="000000"/>
                <w:lang w:eastAsia="en-US"/>
              </w:rPr>
            </w:pPr>
            <w:r w:rsidRPr="000B697A">
              <w:rPr>
                <w:rFonts w:cs="Calibri"/>
                <w:color w:val="000000"/>
                <w:lang w:eastAsia="en-US"/>
              </w:rPr>
              <w:t>Инвестиционни посредници и търговски банки</w:t>
            </w:r>
          </w:p>
        </w:tc>
        <w:tc>
          <w:tcPr>
            <w:tcW w:w="1820" w:type="dxa"/>
            <w:tcBorders>
              <w:top w:val="nil"/>
              <w:left w:val="nil"/>
              <w:bottom w:val="single" w:sz="4" w:space="0" w:color="auto"/>
              <w:right w:val="single" w:sz="4" w:space="0" w:color="auto"/>
            </w:tcBorders>
            <w:shd w:val="clear" w:color="auto" w:fill="auto"/>
            <w:noWrap/>
            <w:vAlign w:val="center"/>
            <w:hideMark/>
          </w:tcPr>
          <w:p w:rsidR="00437D1C" w:rsidRPr="000B697A" w:rsidRDefault="00437D1C" w:rsidP="00437D1C">
            <w:pPr>
              <w:jc w:val="right"/>
              <w:rPr>
                <w:rFonts w:cs="Calibri"/>
                <w:color w:val="000000"/>
                <w:lang w:eastAsia="en-US"/>
              </w:rPr>
            </w:pPr>
            <w:r w:rsidRPr="000B697A">
              <w:rPr>
                <w:rFonts w:cs="Calibri"/>
                <w:color w:val="000000"/>
                <w:lang w:eastAsia="en-US"/>
              </w:rPr>
              <w:t>1 045 793</w:t>
            </w:r>
          </w:p>
        </w:tc>
        <w:tc>
          <w:tcPr>
            <w:tcW w:w="1170" w:type="dxa"/>
            <w:tcBorders>
              <w:top w:val="nil"/>
              <w:left w:val="nil"/>
              <w:bottom w:val="single" w:sz="4" w:space="0" w:color="auto"/>
              <w:right w:val="single" w:sz="4" w:space="0" w:color="auto"/>
            </w:tcBorders>
            <w:shd w:val="clear" w:color="auto" w:fill="auto"/>
            <w:noWrap/>
            <w:vAlign w:val="bottom"/>
            <w:hideMark/>
          </w:tcPr>
          <w:p w:rsidR="00437D1C" w:rsidRPr="000B697A" w:rsidRDefault="00437D1C" w:rsidP="00437D1C">
            <w:pPr>
              <w:jc w:val="right"/>
              <w:rPr>
                <w:rFonts w:cs="Calibri"/>
                <w:color w:val="000000"/>
                <w:lang w:eastAsia="en-US"/>
              </w:rPr>
            </w:pPr>
            <w:r w:rsidRPr="000B697A">
              <w:rPr>
                <w:rFonts w:cs="Calibri"/>
                <w:color w:val="000000"/>
                <w:lang w:eastAsia="en-US"/>
              </w:rPr>
              <w:t>15,89%</w:t>
            </w:r>
          </w:p>
        </w:tc>
      </w:tr>
      <w:tr w:rsidR="00437D1C" w:rsidRPr="000B697A" w:rsidTr="0034033B">
        <w:trPr>
          <w:trHeight w:val="170"/>
          <w:jc w:val="center"/>
        </w:trPr>
        <w:tc>
          <w:tcPr>
            <w:tcW w:w="5523" w:type="dxa"/>
            <w:tcBorders>
              <w:top w:val="nil"/>
              <w:left w:val="single" w:sz="4" w:space="0" w:color="auto"/>
              <w:bottom w:val="single" w:sz="4" w:space="0" w:color="auto"/>
              <w:right w:val="single" w:sz="4" w:space="0" w:color="auto"/>
            </w:tcBorders>
            <w:shd w:val="clear" w:color="auto" w:fill="auto"/>
            <w:noWrap/>
            <w:vAlign w:val="center"/>
            <w:hideMark/>
          </w:tcPr>
          <w:p w:rsidR="00437D1C" w:rsidRPr="000B697A" w:rsidRDefault="00437D1C" w:rsidP="00437D1C">
            <w:pPr>
              <w:jc w:val="left"/>
              <w:rPr>
                <w:rFonts w:cs="Calibri"/>
                <w:color w:val="000000"/>
                <w:lang w:eastAsia="en-US"/>
              </w:rPr>
            </w:pPr>
            <w:r w:rsidRPr="000B697A">
              <w:rPr>
                <w:rFonts w:cs="Calibri"/>
                <w:color w:val="000000"/>
                <w:lang w:eastAsia="en-US"/>
              </w:rPr>
              <w:t>Други юридически лица</w:t>
            </w:r>
          </w:p>
        </w:tc>
        <w:tc>
          <w:tcPr>
            <w:tcW w:w="1820" w:type="dxa"/>
            <w:tcBorders>
              <w:top w:val="nil"/>
              <w:left w:val="nil"/>
              <w:bottom w:val="single" w:sz="4" w:space="0" w:color="auto"/>
              <w:right w:val="single" w:sz="4" w:space="0" w:color="auto"/>
            </w:tcBorders>
            <w:shd w:val="clear" w:color="auto" w:fill="auto"/>
            <w:noWrap/>
            <w:vAlign w:val="center"/>
            <w:hideMark/>
          </w:tcPr>
          <w:p w:rsidR="00437D1C" w:rsidRPr="000B697A" w:rsidRDefault="00437D1C" w:rsidP="00437D1C">
            <w:pPr>
              <w:jc w:val="right"/>
              <w:rPr>
                <w:rFonts w:cs="Calibri"/>
                <w:color w:val="000000"/>
                <w:lang w:eastAsia="en-US"/>
              </w:rPr>
            </w:pPr>
            <w:r w:rsidRPr="000B697A">
              <w:rPr>
                <w:rFonts w:cs="Calibri"/>
                <w:color w:val="000000"/>
                <w:lang w:eastAsia="en-US"/>
              </w:rPr>
              <w:t>1 353 445</w:t>
            </w:r>
          </w:p>
        </w:tc>
        <w:tc>
          <w:tcPr>
            <w:tcW w:w="1170" w:type="dxa"/>
            <w:tcBorders>
              <w:top w:val="nil"/>
              <w:left w:val="nil"/>
              <w:bottom w:val="single" w:sz="4" w:space="0" w:color="auto"/>
              <w:right w:val="single" w:sz="4" w:space="0" w:color="auto"/>
            </w:tcBorders>
            <w:shd w:val="clear" w:color="auto" w:fill="auto"/>
            <w:noWrap/>
            <w:vAlign w:val="bottom"/>
            <w:hideMark/>
          </w:tcPr>
          <w:p w:rsidR="00437D1C" w:rsidRPr="000B697A" w:rsidRDefault="00437D1C" w:rsidP="00437D1C">
            <w:pPr>
              <w:jc w:val="right"/>
              <w:rPr>
                <w:rFonts w:cs="Calibri"/>
                <w:color w:val="000000"/>
                <w:lang w:eastAsia="en-US"/>
              </w:rPr>
            </w:pPr>
            <w:r w:rsidRPr="000B697A">
              <w:rPr>
                <w:rFonts w:cs="Calibri"/>
                <w:color w:val="000000"/>
                <w:lang w:eastAsia="en-US"/>
              </w:rPr>
              <w:t>20,56%</w:t>
            </w:r>
          </w:p>
        </w:tc>
      </w:tr>
      <w:tr w:rsidR="00437D1C" w:rsidRPr="000B697A" w:rsidTr="0034033B">
        <w:trPr>
          <w:trHeight w:val="170"/>
          <w:jc w:val="center"/>
        </w:trPr>
        <w:tc>
          <w:tcPr>
            <w:tcW w:w="5523" w:type="dxa"/>
            <w:tcBorders>
              <w:top w:val="nil"/>
              <w:left w:val="single" w:sz="4" w:space="0" w:color="auto"/>
              <w:bottom w:val="single" w:sz="4" w:space="0" w:color="auto"/>
              <w:right w:val="single" w:sz="4" w:space="0" w:color="auto"/>
            </w:tcBorders>
            <w:shd w:val="clear" w:color="auto" w:fill="auto"/>
            <w:noWrap/>
            <w:vAlign w:val="center"/>
            <w:hideMark/>
          </w:tcPr>
          <w:p w:rsidR="00437D1C" w:rsidRPr="000B697A" w:rsidRDefault="00437D1C" w:rsidP="00437D1C">
            <w:pPr>
              <w:jc w:val="left"/>
              <w:rPr>
                <w:rFonts w:cs="Calibri"/>
                <w:color w:val="000000"/>
                <w:lang w:eastAsia="en-US"/>
              </w:rPr>
            </w:pPr>
            <w:r w:rsidRPr="000B697A">
              <w:rPr>
                <w:rFonts w:cs="Calibri"/>
                <w:color w:val="000000"/>
                <w:lang w:eastAsia="en-US"/>
              </w:rPr>
              <w:t>Физически лица</w:t>
            </w:r>
          </w:p>
        </w:tc>
        <w:tc>
          <w:tcPr>
            <w:tcW w:w="1820" w:type="dxa"/>
            <w:tcBorders>
              <w:top w:val="nil"/>
              <w:left w:val="nil"/>
              <w:bottom w:val="single" w:sz="4" w:space="0" w:color="auto"/>
              <w:right w:val="single" w:sz="4" w:space="0" w:color="auto"/>
            </w:tcBorders>
            <w:shd w:val="clear" w:color="auto" w:fill="auto"/>
            <w:noWrap/>
            <w:vAlign w:val="center"/>
            <w:hideMark/>
          </w:tcPr>
          <w:p w:rsidR="00437D1C" w:rsidRPr="000B697A" w:rsidRDefault="00437D1C" w:rsidP="00437D1C">
            <w:pPr>
              <w:jc w:val="right"/>
              <w:rPr>
                <w:rFonts w:cs="Calibri"/>
                <w:color w:val="000000"/>
                <w:lang w:eastAsia="en-US"/>
              </w:rPr>
            </w:pPr>
            <w:r w:rsidRPr="000B697A">
              <w:rPr>
                <w:rFonts w:cs="Calibri"/>
                <w:color w:val="000000"/>
                <w:lang w:eastAsia="en-US"/>
              </w:rPr>
              <w:t>888 622</w:t>
            </w:r>
          </w:p>
        </w:tc>
        <w:tc>
          <w:tcPr>
            <w:tcW w:w="1170" w:type="dxa"/>
            <w:tcBorders>
              <w:top w:val="nil"/>
              <w:left w:val="nil"/>
              <w:bottom w:val="single" w:sz="4" w:space="0" w:color="auto"/>
              <w:right w:val="single" w:sz="4" w:space="0" w:color="auto"/>
            </w:tcBorders>
            <w:shd w:val="clear" w:color="auto" w:fill="auto"/>
            <w:noWrap/>
            <w:vAlign w:val="bottom"/>
            <w:hideMark/>
          </w:tcPr>
          <w:p w:rsidR="00437D1C" w:rsidRPr="000B697A" w:rsidRDefault="00437D1C" w:rsidP="00437D1C">
            <w:pPr>
              <w:jc w:val="right"/>
              <w:rPr>
                <w:rFonts w:cs="Calibri"/>
                <w:color w:val="000000"/>
                <w:lang w:eastAsia="en-US"/>
              </w:rPr>
            </w:pPr>
            <w:r w:rsidRPr="000B697A">
              <w:rPr>
                <w:rFonts w:cs="Calibri"/>
                <w:color w:val="000000"/>
                <w:lang w:eastAsia="en-US"/>
              </w:rPr>
              <w:t>13,50%</w:t>
            </w:r>
          </w:p>
        </w:tc>
      </w:tr>
      <w:tr w:rsidR="00437D1C" w:rsidRPr="000B697A" w:rsidTr="0034033B">
        <w:trPr>
          <w:trHeight w:val="170"/>
          <w:jc w:val="center"/>
        </w:trPr>
        <w:tc>
          <w:tcPr>
            <w:tcW w:w="5523" w:type="dxa"/>
            <w:tcBorders>
              <w:top w:val="nil"/>
              <w:left w:val="single" w:sz="4" w:space="0" w:color="auto"/>
              <w:bottom w:val="single" w:sz="4" w:space="0" w:color="auto"/>
              <w:right w:val="single" w:sz="4" w:space="0" w:color="auto"/>
            </w:tcBorders>
            <w:shd w:val="clear" w:color="auto" w:fill="auto"/>
            <w:noWrap/>
            <w:vAlign w:val="center"/>
            <w:hideMark/>
          </w:tcPr>
          <w:p w:rsidR="00437D1C" w:rsidRPr="000B697A" w:rsidRDefault="00437D1C" w:rsidP="00437D1C">
            <w:pPr>
              <w:jc w:val="left"/>
              <w:rPr>
                <w:rFonts w:cs="Calibri"/>
                <w:b/>
                <w:bCs/>
                <w:color w:val="000000"/>
                <w:lang w:eastAsia="en-US"/>
              </w:rPr>
            </w:pPr>
            <w:r w:rsidRPr="000B697A">
              <w:rPr>
                <w:rFonts w:cs="Calibri"/>
                <w:b/>
                <w:bCs/>
                <w:color w:val="000000"/>
                <w:lang w:eastAsia="en-US"/>
              </w:rPr>
              <w:t>Общо</w:t>
            </w:r>
          </w:p>
        </w:tc>
        <w:tc>
          <w:tcPr>
            <w:tcW w:w="1820" w:type="dxa"/>
            <w:tcBorders>
              <w:top w:val="nil"/>
              <w:left w:val="nil"/>
              <w:bottom w:val="single" w:sz="4" w:space="0" w:color="auto"/>
              <w:right w:val="single" w:sz="4" w:space="0" w:color="auto"/>
            </w:tcBorders>
            <w:shd w:val="clear" w:color="auto" w:fill="auto"/>
            <w:noWrap/>
            <w:vAlign w:val="bottom"/>
            <w:hideMark/>
          </w:tcPr>
          <w:p w:rsidR="00437D1C" w:rsidRPr="000B697A" w:rsidRDefault="00437D1C" w:rsidP="00437D1C">
            <w:pPr>
              <w:jc w:val="right"/>
              <w:rPr>
                <w:rFonts w:cs="Calibri"/>
                <w:color w:val="000000"/>
                <w:lang w:eastAsia="en-US"/>
              </w:rPr>
            </w:pPr>
            <w:r w:rsidRPr="000B697A">
              <w:rPr>
                <w:rFonts w:cs="Calibri"/>
                <w:color w:val="000000"/>
                <w:lang w:eastAsia="en-US"/>
              </w:rPr>
              <w:t>6 582 860</w:t>
            </w:r>
          </w:p>
        </w:tc>
        <w:tc>
          <w:tcPr>
            <w:tcW w:w="1170" w:type="dxa"/>
            <w:tcBorders>
              <w:top w:val="nil"/>
              <w:left w:val="nil"/>
              <w:bottom w:val="single" w:sz="4" w:space="0" w:color="auto"/>
              <w:right w:val="single" w:sz="4" w:space="0" w:color="auto"/>
            </w:tcBorders>
            <w:shd w:val="clear" w:color="auto" w:fill="auto"/>
            <w:noWrap/>
            <w:vAlign w:val="bottom"/>
            <w:hideMark/>
          </w:tcPr>
          <w:p w:rsidR="00437D1C" w:rsidRPr="000B697A" w:rsidRDefault="00437D1C" w:rsidP="00437D1C">
            <w:pPr>
              <w:jc w:val="left"/>
              <w:rPr>
                <w:rFonts w:cs="Calibri"/>
                <w:color w:val="000000"/>
                <w:lang w:eastAsia="en-US"/>
              </w:rPr>
            </w:pPr>
            <w:r w:rsidRPr="000B697A">
              <w:rPr>
                <w:rFonts w:cs="Calibri"/>
                <w:color w:val="000000"/>
                <w:lang w:eastAsia="en-US"/>
              </w:rPr>
              <w:t> </w:t>
            </w:r>
          </w:p>
        </w:tc>
      </w:tr>
      <w:tr w:rsidR="00437D1C" w:rsidRPr="000B697A" w:rsidTr="0034033B">
        <w:trPr>
          <w:trHeight w:val="170"/>
          <w:jc w:val="center"/>
        </w:trPr>
        <w:tc>
          <w:tcPr>
            <w:tcW w:w="5523" w:type="dxa"/>
            <w:tcBorders>
              <w:top w:val="nil"/>
              <w:left w:val="single" w:sz="4" w:space="0" w:color="auto"/>
              <w:bottom w:val="single" w:sz="4" w:space="0" w:color="auto"/>
              <w:right w:val="single" w:sz="4" w:space="0" w:color="auto"/>
            </w:tcBorders>
            <w:shd w:val="clear" w:color="auto" w:fill="auto"/>
            <w:noWrap/>
            <w:vAlign w:val="center"/>
            <w:hideMark/>
          </w:tcPr>
          <w:p w:rsidR="00437D1C" w:rsidRPr="000B697A" w:rsidRDefault="00437D1C" w:rsidP="00437D1C">
            <w:pPr>
              <w:jc w:val="left"/>
              <w:rPr>
                <w:rFonts w:cs="Calibri"/>
                <w:color w:val="000000"/>
                <w:lang w:eastAsia="en-US"/>
              </w:rPr>
            </w:pPr>
            <w:r w:rsidRPr="000B697A">
              <w:rPr>
                <w:rFonts w:cs="Calibri"/>
                <w:color w:val="000000"/>
                <w:lang w:eastAsia="en-US"/>
              </w:rPr>
              <w:t>От които чуждестранни акционери</w:t>
            </w:r>
          </w:p>
        </w:tc>
        <w:tc>
          <w:tcPr>
            <w:tcW w:w="1820" w:type="dxa"/>
            <w:tcBorders>
              <w:top w:val="nil"/>
              <w:left w:val="nil"/>
              <w:bottom w:val="single" w:sz="4" w:space="0" w:color="auto"/>
              <w:right w:val="single" w:sz="4" w:space="0" w:color="auto"/>
            </w:tcBorders>
            <w:shd w:val="clear" w:color="auto" w:fill="auto"/>
            <w:noWrap/>
            <w:vAlign w:val="center"/>
            <w:hideMark/>
          </w:tcPr>
          <w:p w:rsidR="00437D1C" w:rsidRPr="000B697A" w:rsidRDefault="00437D1C" w:rsidP="00437D1C">
            <w:pPr>
              <w:jc w:val="right"/>
              <w:rPr>
                <w:rFonts w:cs="Calibri"/>
                <w:color w:val="000000"/>
                <w:lang w:eastAsia="en-US"/>
              </w:rPr>
            </w:pPr>
            <w:r w:rsidRPr="000B697A">
              <w:rPr>
                <w:rFonts w:cs="Calibri"/>
                <w:color w:val="000000"/>
                <w:lang w:eastAsia="en-US"/>
              </w:rPr>
              <w:t>220 077</w:t>
            </w:r>
          </w:p>
        </w:tc>
        <w:tc>
          <w:tcPr>
            <w:tcW w:w="1170" w:type="dxa"/>
            <w:tcBorders>
              <w:top w:val="nil"/>
              <w:left w:val="nil"/>
              <w:bottom w:val="single" w:sz="4" w:space="0" w:color="auto"/>
              <w:right w:val="single" w:sz="4" w:space="0" w:color="auto"/>
            </w:tcBorders>
            <w:shd w:val="clear" w:color="auto" w:fill="auto"/>
            <w:noWrap/>
            <w:vAlign w:val="bottom"/>
            <w:hideMark/>
          </w:tcPr>
          <w:p w:rsidR="00437D1C" w:rsidRPr="000B697A" w:rsidRDefault="00437D1C" w:rsidP="00437D1C">
            <w:pPr>
              <w:jc w:val="right"/>
              <w:rPr>
                <w:rFonts w:cs="Calibri"/>
                <w:color w:val="000000"/>
                <w:lang w:eastAsia="en-US"/>
              </w:rPr>
            </w:pPr>
            <w:r w:rsidRPr="000B697A">
              <w:rPr>
                <w:rFonts w:cs="Calibri"/>
                <w:color w:val="000000"/>
                <w:lang w:eastAsia="en-US"/>
              </w:rPr>
              <w:t>3,34%</w:t>
            </w:r>
          </w:p>
        </w:tc>
      </w:tr>
    </w:tbl>
    <w:p w:rsidR="001923AD" w:rsidRDefault="001923AD">
      <w:pPr>
        <w:jc w:val="left"/>
        <w:rPr>
          <w:rFonts w:cs="Calibri"/>
        </w:rPr>
      </w:pPr>
      <w:bookmarkStart w:id="3" w:name="_Toc283112099"/>
    </w:p>
    <w:p w:rsidR="001923AD" w:rsidRDefault="001923AD">
      <w:pPr>
        <w:spacing w:line="240" w:lineRule="auto"/>
        <w:jc w:val="left"/>
        <w:rPr>
          <w:rFonts w:cs="Calibri"/>
        </w:rPr>
      </w:pPr>
      <w:r>
        <w:rPr>
          <w:rFonts w:cs="Calibri"/>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9"/>
      </w:tblGrid>
      <w:tr w:rsidR="007C73D7" w:rsidRPr="000B697A" w:rsidTr="007C73D7">
        <w:trPr>
          <w:jc w:val="center"/>
        </w:trPr>
        <w:tc>
          <w:tcPr>
            <w:tcW w:w="9779" w:type="dxa"/>
          </w:tcPr>
          <w:p w:rsidR="007C73D7" w:rsidRPr="000B697A" w:rsidRDefault="007C73D7" w:rsidP="00F106D3">
            <w:pPr>
              <w:pStyle w:val="ChartHeader"/>
              <w:rPr>
                <w:rFonts w:cs="Calibri"/>
              </w:rPr>
            </w:pPr>
            <w:r w:rsidRPr="000B697A">
              <w:rPr>
                <w:rFonts w:cs="Calibri"/>
              </w:rPr>
              <w:lastRenderedPageBreak/>
              <w:t>Графика 1: Акционерна структура на „БФБ“ АД към 31.12.201</w:t>
            </w:r>
            <w:r w:rsidR="00437D1C" w:rsidRPr="000B697A">
              <w:rPr>
                <w:rFonts w:cs="Calibri"/>
              </w:rPr>
              <w:t>8</w:t>
            </w:r>
            <w:r w:rsidRPr="000B697A">
              <w:rPr>
                <w:rFonts w:cs="Calibri"/>
              </w:rPr>
              <w:t xml:space="preserve"> г.</w:t>
            </w:r>
          </w:p>
        </w:tc>
      </w:tr>
      <w:tr w:rsidR="007C73D7" w:rsidRPr="000B697A" w:rsidTr="007C73D7">
        <w:trPr>
          <w:jc w:val="center"/>
        </w:trPr>
        <w:tc>
          <w:tcPr>
            <w:tcW w:w="9779" w:type="dxa"/>
          </w:tcPr>
          <w:p w:rsidR="007C73D7" w:rsidRPr="000B697A" w:rsidRDefault="00437D1C" w:rsidP="00003BFE">
            <w:pPr>
              <w:jc w:val="center"/>
              <w:rPr>
                <w:rFonts w:cs="Calibri"/>
              </w:rPr>
            </w:pPr>
            <w:r w:rsidRPr="000B697A">
              <w:rPr>
                <w:rFonts w:cs="Calibri"/>
                <w:noProof/>
                <w:lang w:val="en-US" w:eastAsia="en-US"/>
              </w:rPr>
              <w:drawing>
                <wp:inline distT="0" distB="0" distL="0" distR="0">
                  <wp:extent cx="5444116" cy="3303468"/>
                  <wp:effectExtent l="38100" t="0" r="42545" b="0"/>
                  <wp:docPr id="19" name="Chart 19">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7D0731" w:rsidRPr="000B697A" w:rsidRDefault="000C4B73" w:rsidP="00846D25">
      <w:pPr>
        <w:rPr>
          <w:rFonts w:cs="Calibri"/>
        </w:rPr>
      </w:pPr>
      <w:r w:rsidRPr="000B697A">
        <w:rPr>
          <w:rFonts w:cs="Calibri"/>
        </w:rPr>
        <w:t>Дружеството-майка има едностепенна система на управление със Съве</w:t>
      </w:r>
      <w:r w:rsidR="006D6438" w:rsidRPr="000B697A">
        <w:rPr>
          <w:rFonts w:cs="Calibri"/>
        </w:rPr>
        <w:t>т на директорите. Към 31.12.201</w:t>
      </w:r>
      <w:r w:rsidR="00D05806">
        <w:rPr>
          <w:rFonts w:cs="Calibri"/>
        </w:rPr>
        <w:t>8</w:t>
      </w:r>
      <w:r w:rsidRPr="000B697A">
        <w:rPr>
          <w:rFonts w:cs="Calibri"/>
        </w:rPr>
        <w:t xml:space="preserve"> г. Съветът на директорите е в състав:</w:t>
      </w:r>
    </w:p>
    <w:p w:rsidR="007D0731" w:rsidRPr="000B697A" w:rsidRDefault="000C4B73" w:rsidP="00846D25">
      <w:pPr>
        <w:pStyle w:val="ListParagraph"/>
        <w:numPr>
          <w:ilvl w:val="0"/>
          <w:numId w:val="2"/>
        </w:numPr>
        <w:rPr>
          <w:rFonts w:cs="Calibri"/>
          <w:lang w:val="bg-BG"/>
        </w:rPr>
      </w:pPr>
      <w:r w:rsidRPr="000B697A">
        <w:rPr>
          <w:rFonts w:cs="Calibri"/>
          <w:lang w:val="bg-BG"/>
        </w:rPr>
        <w:t>Асен Ягодин (Председател),</w:t>
      </w:r>
    </w:p>
    <w:p w:rsidR="00DF4CAF" w:rsidRPr="000B697A" w:rsidRDefault="00437D1C" w:rsidP="00846D25">
      <w:pPr>
        <w:pStyle w:val="ListParagraph"/>
        <w:numPr>
          <w:ilvl w:val="0"/>
          <w:numId w:val="2"/>
        </w:numPr>
        <w:rPr>
          <w:rFonts w:cs="Calibri"/>
          <w:lang w:val="bg-BG"/>
        </w:rPr>
      </w:pPr>
      <w:r w:rsidRPr="000B697A">
        <w:rPr>
          <w:rFonts w:cs="Calibri"/>
          <w:lang w:val="bg-BG"/>
        </w:rPr>
        <w:t xml:space="preserve">Христина </w:t>
      </w:r>
      <w:proofErr w:type="spellStart"/>
      <w:r w:rsidRPr="000B697A">
        <w:rPr>
          <w:rFonts w:cs="Calibri"/>
          <w:lang w:val="bg-BG"/>
        </w:rPr>
        <w:t>Пендичева</w:t>
      </w:r>
      <w:proofErr w:type="spellEnd"/>
      <w:r w:rsidRPr="000B697A">
        <w:rPr>
          <w:rFonts w:cs="Calibri"/>
          <w:lang w:val="bg-BG"/>
        </w:rPr>
        <w:t>,</w:t>
      </w:r>
    </w:p>
    <w:p w:rsidR="007D0731" w:rsidRPr="000B697A" w:rsidRDefault="000C4B73" w:rsidP="00846D25">
      <w:pPr>
        <w:pStyle w:val="ListParagraph"/>
        <w:numPr>
          <w:ilvl w:val="0"/>
          <w:numId w:val="2"/>
        </w:numPr>
        <w:rPr>
          <w:rFonts w:cs="Calibri"/>
          <w:lang w:val="bg-BG"/>
        </w:rPr>
      </w:pPr>
      <w:r w:rsidRPr="000B697A">
        <w:rPr>
          <w:rFonts w:cs="Calibri"/>
          <w:lang w:val="bg-BG"/>
        </w:rPr>
        <w:t xml:space="preserve">Васил </w:t>
      </w:r>
      <w:proofErr w:type="spellStart"/>
      <w:r w:rsidRPr="000B697A">
        <w:rPr>
          <w:rFonts w:cs="Calibri"/>
          <w:lang w:val="bg-BG"/>
        </w:rPr>
        <w:t>Големански</w:t>
      </w:r>
      <w:proofErr w:type="spellEnd"/>
      <w:r w:rsidRPr="000B697A">
        <w:rPr>
          <w:rFonts w:cs="Calibri"/>
          <w:lang w:val="bg-BG"/>
        </w:rPr>
        <w:t xml:space="preserve"> (Заместник-председател),</w:t>
      </w:r>
    </w:p>
    <w:p w:rsidR="007D0731" w:rsidRPr="000B697A" w:rsidRDefault="000C4B73" w:rsidP="00846D25">
      <w:pPr>
        <w:pStyle w:val="ListParagraph"/>
        <w:numPr>
          <w:ilvl w:val="0"/>
          <w:numId w:val="2"/>
        </w:numPr>
        <w:rPr>
          <w:rFonts w:cs="Calibri"/>
          <w:lang w:val="bg-BG"/>
        </w:rPr>
      </w:pPr>
      <w:r w:rsidRPr="000B697A">
        <w:rPr>
          <w:rFonts w:cs="Calibri"/>
          <w:lang w:val="bg-BG"/>
        </w:rPr>
        <w:t>Иван Такев,</w:t>
      </w:r>
    </w:p>
    <w:p w:rsidR="007D0731" w:rsidRPr="000B697A" w:rsidRDefault="000C4B73" w:rsidP="00846D25">
      <w:pPr>
        <w:pStyle w:val="ListParagraph"/>
        <w:numPr>
          <w:ilvl w:val="0"/>
          <w:numId w:val="2"/>
        </w:numPr>
        <w:rPr>
          <w:rFonts w:cs="Calibri"/>
          <w:lang w:val="bg-BG"/>
        </w:rPr>
      </w:pPr>
      <w:r w:rsidRPr="000B697A">
        <w:rPr>
          <w:rFonts w:cs="Calibri"/>
          <w:lang w:val="bg-BG"/>
        </w:rPr>
        <w:t>Любомир Бояджиев</w:t>
      </w:r>
    </w:p>
    <w:p w:rsidR="00D757AB" w:rsidRPr="000B697A" w:rsidRDefault="00437D1C" w:rsidP="00437D1C">
      <w:pPr>
        <w:rPr>
          <w:rFonts w:cs="Calibri"/>
          <w:szCs w:val="18"/>
          <w:lang w:eastAsia="en-US"/>
        </w:rPr>
      </w:pPr>
      <w:bookmarkStart w:id="4" w:name="_Toc439746785"/>
      <w:bookmarkStart w:id="5" w:name="_Toc298341233"/>
      <w:r w:rsidRPr="000B697A">
        <w:rPr>
          <w:rFonts w:cs="Calibri"/>
        </w:rPr>
        <w:t>Представителството в дружеството се осъществява от изпълнителния директор Иван Такев.</w:t>
      </w:r>
    </w:p>
    <w:p w:rsidR="00437D1C" w:rsidRPr="000B697A" w:rsidRDefault="00DF4CAF" w:rsidP="00846D25">
      <w:pPr>
        <w:widowControl w:val="0"/>
        <w:tabs>
          <w:tab w:val="left" w:pos="720"/>
        </w:tabs>
        <w:rPr>
          <w:rFonts w:cs="Calibri"/>
          <w:szCs w:val="18"/>
          <w:lang w:eastAsia="en-US"/>
        </w:rPr>
      </w:pPr>
      <w:r w:rsidRPr="000B697A">
        <w:rPr>
          <w:rFonts w:cs="Calibri"/>
          <w:szCs w:val="18"/>
          <w:lang w:eastAsia="en-US"/>
        </w:rPr>
        <w:t>Към 31.12.201</w:t>
      </w:r>
      <w:r w:rsidR="00D05806">
        <w:rPr>
          <w:rFonts w:cs="Calibri"/>
          <w:szCs w:val="18"/>
          <w:lang w:eastAsia="en-US"/>
        </w:rPr>
        <w:t>8</w:t>
      </w:r>
      <w:r w:rsidR="00D757AB" w:rsidRPr="000B697A">
        <w:rPr>
          <w:rFonts w:cs="Calibri"/>
          <w:szCs w:val="18"/>
          <w:lang w:eastAsia="en-US"/>
        </w:rPr>
        <w:t xml:space="preserve"> г. дъщерн</w:t>
      </w:r>
      <w:r w:rsidR="00437D1C" w:rsidRPr="000B697A">
        <w:rPr>
          <w:rFonts w:cs="Calibri"/>
          <w:szCs w:val="18"/>
          <w:lang w:eastAsia="en-US"/>
        </w:rPr>
        <w:t>и</w:t>
      </w:r>
      <w:r w:rsidR="00D757AB" w:rsidRPr="000B697A">
        <w:rPr>
          <w:rFonts w:cs="Calibri"/>
          <w:szCs w:val="18"/>
          <w:lang w:eastAsia="en-US"/>
        </w:rPr>
        <w:t>т</w:t>
      </w:r>
      <w:r w:rsidR="00437D1C" w:rsidRPr="000B697A">
        <w:rPr>
          <w:rFonts w:cs="Calibri"/>
          <w:szCs w:val="18"/>
          <w:lang w:eastAsia="en-US"/>
        </w:rPr>
        <w:t>е</w:t>
      </w:r>
      <w:r w:rsidR="00D757AB" w:rsidRPr="000B697A">
        <w:rPr>
          <w:rFonts w:cs="Calibri"/>
          <w:szCs w:val="18"/>
          <w:lang w:eastAsia="en-US"/>
        </w:rPr>
        <w:t xml:space="preserve"> дружеств</w:t>
      </w:r>
      <w:r w:rsidR="00437D1C" w:rsidRPr="000B697A">
        <w:rPr>
          <w:rFonts w:cs="Calibri"/>
          <w:szCs w:val="18"/>
          <w:lang w:eastAsia="en-US"/>
        </w:rPr>
        <w:t>а</w:t>
      </w:r>
      <w:r w:rsidR="00D757AB" w:rsidRPr="000B697A">
        <w:rPr>
          <w:rFonts w:cs="Calibri"/>
          <w:szCs w:val="18"/>
          <w:lang w:eastAsia="en-US"/>
        </w:rPr>
        <w:t xml:space="preserve"> </w:t>
      </w:r>
      <w:r w:rsidR="00437D1C" w:rsidRPr="000B697A">
        <w:rPr>
          <w:rFonts w:cs="Calibri"/>
          <w:szCs w:val="18"/>
          <w:lang w:eastAsia="en-US"/>
        </w:rPr>
        <w:t>са</w:t>
      </w:r>
      <w:r w:rsidR="00D757AB" w:rsidRPr="000B697A">
        <w:rPr>
          <w:rFonts w:cs="Calibri"/>
          <w:szCs w:val="18"/>
          <w:lang w:eastAsia="en-US"/>
        </w:rPr>
        <w:t xml:space="preserve"> 100 % собственост на дружеството-майка</w:t>
      </w:r>
      <w:r w:rsidR="00437D1C" w:rsidRPr="000B697A">
        <w:rPr>
          <w:rFonts w:cs="Calibri"/>
          <w:szCs w:val="18"/>
          <w:lang w:eastAsia="en-US"/>
        </w:rPr>
        <w:t>.</w:t>
      </w:r>
    </w:p>
    <w:p w:rsidR="00D757AB" w:rsidRPr="000B697A" w:rsidRDefault="00437D1C" w:rsidP="00846D25">
      <w:pPr>
        <w:widowControl w:val="0"/>
        <w:tabs>
          <w:tab w:val="left" w:pos="720"/>
        </w:tabs>
        <w:rPr>
          <w:rFonts w:cs="Calibri"/>
          <w:szCs w:val="18"/>
          <w:lang w:eastAsia="en-US"/>
        </w:rPr>
      </w:pPr>
      <w:r w:rsidRPr="000B697A">
        <w:rPr>
          <w:rFonts w:cs="Calibri"/>
          <w:szCs w:val="18"/>
          <w:lang w:eastAsia="en-US"/>
        </w:rPr>
        <w:t xml:space="preserve">Дъщерното дружество Сервиз финансови пазари ООД </w:t>
      </w:r>
      <w:r w:rsidR="00D757AB" w:rsidRPr="000B697A">
        <w:rPr>
          <w:rFonts w:cs="Calibri"/>
          <w:szCs w:val="18"/>
          <w:lang w:eastAsia="en-US"/>
        </w:rPr>
        <w:t xml:space="preserve">се управлява от </w:t>
      </w:r>
      <w:r w:rsidRPr="000B697A">
        <w:rPr>
          <w:rFonts w:cs="Calibri"/>
          <w:szCs w:val="18"/>
          <w:lang w:eastAsia="en-US"/>
        </w:rPr>
        <w:t xml:space="preserve">Иван Росенов Райков </w:t>
      </w:r>
      <w:r w:rsidR="003C2A48" w:rsidRPr="000B697A">
        <w:rPr>
          <w:rFonts w:cs="Calibri"/>
          <w:szCs w:val="18"/>
          <w:lang w:eastAsia="en-US"/>
        </w:rPr>
        <w:t>– управител (31.12.201</w:t>
      </w:r>
      <w:r w:rsidRPr="000B697A">
        <w:rPr>
          <w:rFonts w:cs="Calibri"/>
          <w:szCs w:val="18"/>
          <w:lang w:eastAsia="en-US"/>
        </w:rPr>
        <w:t>7</w:t>
      </w:r>
      <w:r w:rsidR="00D757AB" w:rsidRPr="000B697A">
        <w:rPr>
          <w:rFonts w:cs="Calibri"/>
          <w:szCs w:val="18"/>
          <w:lang w:eastAsia="en-US"/>
        </w:rPr>
        <w:t xml:space="preserve"> г.: </w:t>
      </w:r>
      <w:r w:rsidRPr="000B697A">
        <w:rPr>
          <w:rFonts w:cs="Calibri"/>
          <w:szCs w:val="18"/>
          <w:lang w:eastAsia="en-US"/>
        </w:rPr>
        <w:t>Румен Димитров Соколов</w:t>
      </w:r>
      <w:r w:rsidR="00D757AB" w:rsidRPr="000B697A">
        <w:rPr>
          <w:rFonts w:cs="Calibri"/>
          <w:szCs w:val="18"/>
          <w:lang w:eastAsia="en-US"/>
        </w:rPr>
        <w:t>).</w:t>
      </w:r>
    </w:p>
    <w:p w:rsidR="00437D1C" w:rsidRPr="000B697A" w:rsidRDefault="00437D1C" w:rsidP="00846D25">
      <w:pPr>
        <w:widowControl w:val="0"/>
        <w:tabs>
          <w:tab w:val="left" w:pos="720"/>
        </w:tabs>
        <w:rPr>
          <w:rFonts w:cs="Calibri"/>
          <w:szCs w:val="18"/>
          <w:lang w:eastAsia="en-US"/>
        </w:rPr>
      </w:pPr>
      <w:r w:rsidRPr="000B697A">
        <w:rPr>
          <w:rFonts w:cs="Calibri"/>
          <w:szCs w:val="18"/>
          <w:lang w:eastAsia="en-US"/>
        </w:rPr>
        <w:t>Дъщерното дружество Българска независима енергийна борса ЕАД е 100% собственост на Дружеството-майка и се управлява от Костадин Валериев Костадинов - Изпълнителен директор.</w:t>
      </w:r>
    </w:p>
    <w:p w:rsidR="00D757AB" w:rsidRPr="000B697A" w:rsidRDefault="00D757AB" w:rsidP="00846D25">
      <w:pPr>
        <w:widowControl w:val="0"/>
        <w:tabs>
          <w:tab w:val="left" w:pos="720"/>
        </w:tabs>
        <w:rPr>
          <w:rFonts w:cs="Calibri"/>
          <w:szCs w:val="18"/>
          <w:lang w:eastAsia="en-US"/>
        </w:rPr>
      </w:pPr>
      <w:r w:rsidRPr="000B697A">
        <w:rPr>
          <w:rFonts w:cs="Calibri"/>
          <w:szCs w:val="18"/>
          <w:lang w:eastAsia="en-US"/>
        </w:rPr>
        <w:t>Към 31.12.201</w:t>
      </w:r>
      <w:r w:rsidR="00437D1C" w:rsidRPr="000B697A">
        <w:rPr>
          <w:rFonts w:cs="Calibri"/>
          <w:szCs w:val="18"/>
          <w:lang w:eastAsia="en-US"/>
        </w:rPr>
        <w:t>8</w:t>
      </w:r>
      <w:r w:rsidRPr="000B697A">
        <w:rPr>
          <w:rFonts w:cs="Calibri"/>
          <w:szCs w:val="18"/>
          <w:lang w:eastAsia="en-US"/>
        </w:rPr>
        <w:t xml:space="preserve"> г. общият </w:t>
      </w:r>
      <w:r w:rsidR="003C2A48" w:rsidRPr="000B697A">
        <w:rPr>
          <w:rFonts w:cs="Calibri"/>
          <w:szCs w:val="18"/>
          <w:lang w:eastAsia="en-US"/>
        </w:rPr>
        <w:t xml:space="preserve">брой на персонала в Групата е </w:t>
      </w:r>
      <w:r w:rsidR="007004B2">
        <w:rPr>
          <w:rFonts w:cs="Calibri"/>
          <w:szCs w:val="18"/>
          <w:lang w:eastAsia="en-US"/>
        </w:rPr>
        <w:t>5</w:t>
      </w:r>
      <w:r w:rsidR="00FA3193">
        <w:rPr>
          <w:rFonts w:cs="Calibri"/>
          <w:szCs w:val="18"/>
          <w:lang w:eastAsia="en-US"/>
        </w:rPr>
        <w:t>2</w:t>
      </w:r>
      <w:r w:rsidRPr="000B697A">
        <w:rPr>
          <w:rFonts w:cs="Calibri"/>
          <w:szCs w:val="18"/>
          <w:lang w:eastAsia="en-US"/>
        </w:rPr>
        <w:t xml:space="preserve"> служители (31.12.201</w:t>
      </w:r>
      <w:r w:rsidR="00437D1C" w:rsidRPr="000B697A">
        <w:rPr>
          <w:rFonts w:cs="Calibri"/>
          <w:szCs w:val="18"/>
          <w:lang w:eastAsia="en-US"/>
        </w:rPr>
        <w:t>7</w:t>
      </w:r>
      <w:r w:rsidRPr="000B697A">
        <w:rPr>
          <w:rFonts w:cs="Calibri"/>
          <w:szCs w:val="18"/>
          <w:lang w:eastAsia="en-US"/>
        </w:rPr>
        <w:t xml:space="preserve"> г.: </w:t>
      </w:r>
      <w:r w:rsidR="00437D1C" w:rsidRPr="000B697A">
        <w:rPr>
          <w:rFonts w:cs="Calibri"/>
          <w:szCs w:val="18"/>
          <w:lang w:eastAsia="en-US"/>
        </w:rPr>
        <w:t>29</w:t>
      </w:r>
      <w:r w:rsidRPr="000B697A">
        <w:rPr>
          <w:rFonts w:cs="Calibri"/>
          <w:szCs w:val="18"/>
          <w:lang w:eastAsia="en-US"/>
        </w:rPr>
        <w:t xml:space="preserve"> служители).</w:t>
      </w:r>
    </w:p>
    <w:p w:rsidR="007D0731" w:rsidRPr="000B697A" w:rsidRDefault="0000036F" w:rsidP="0016443B">
      <w:pPr>
        <w:pStyle w:val="SubNumbers"/>
        <w:rPr>
          <w:rFonts w:cs="Calibri"/>
        </w:rPr>
      </w:pPr>
      <w:bookmarkStart w:id="6" w:name="_Toc6923237"/>
      <w:r w:rsidRPr="000B697A">
        <w:rPr>
          <w:rFonts w:cs="Calibri"/>
        </w:rPr>
        <w:t>Предмет на дейност</w:t>
      </w:r>
      <w:bookmarkEnd w:id="4"/>
      <w:bookmarkEnd w:id="5"/>
      <w:bookmarkEnd w:id="6"/>
    </w:p>
    <w:p w:rsidR="00881E63" w:rsidRPr="000B697A" w:rsidRDefault="00881E63" w:rsidP="00F73859">
      <w:pPr>
        <w:widowControl w:val="0"/>
        <w:tabs>
          <w:tab w:val="left" w:pos="720"/>
        </w:tabs>
        <w:rPr>
          <w:rFonts w:cs="Calibri"/>
          <w:szCs w:val="18"/>
        </w:rPr>
      </w:pPr>
      <w:r w:rsidRPr="000B697A">
        <w:rPr>
          <w:rFonts w:cs="Calibri"/>
          <w:szCs w:val="18"/>
        </w:rPr>
        <w:t>Дружеството-майка е лицензирано с разрешение, издадено от Държавната комисия по ценните книжа да извършва дейност като фондова борса.</w:t>
      </w:r>
    </w:p>
    <w:p w:rsidR="00881E63" w:rsidRPr="000B697A" w:rsidRDefault="00881E63" w:rsidP="00F73859">
      <w:pPr>
        <w:pStyle w:val="BodyText2"/>
        <w:widowControl w:val="0"/>
        <w:tabs>
          <w:tab w:val="left" w:pos="720"/>
        </w:tabs>
        <w:spacing w:after="0" w:line="276" w:lineRule="auto"/>
        <w:rPr>
          <w:rFonts w:cs="Calibri"/>
          <w:szCs w:val="18"/>
        </w:rPr>
      </w:pPr>
      <w:r w:rsidRPr="000B697A">
        <w:rPr>
          <w:rFonts w:cs="Calibri"/>
          <w:szCs w:val="18"/>
        </w:rPr>
        <w:t xml:space="preserve">Предметът на дейност на </w:t>
      </w:r>
      <w:r w:rsidRPr="000B697A">
        <w:rPr>
          <w:rFonts w:cs="Calibri"/>
          <w:szCs w:val="18"/>
          <w:u w:val="single"/>
        </w:rPr>
        <w:t>дружеството-майка</w:t>
      </w:r>
      <w:r w:rsidRPr="000B697A">
        <w:rPr>
          <w:rFonts w:cs="Calibri"/>
          <w:szCs w:val="18"/>
        </w:rPr>
        <w:t xml:space="preserve"> за 201</w:t>
      </w:r>
      <w:r w:rsidR="00437D1C" w:rsidRPr="000B697A">
        <w:rPr>
          <w:rFonts w:cs="Calibri"/>
          <w:szCs w:val="18"/>
        </w:rPr>
        <w:t>8</w:t>
      </w:r>
      <w:r w:rsidR="003C2A48" w:rsidRPr="000B697A">
        <w:rPr>
          <w:rFonts w:cs="Calibri"/>
          <w:szCs w:val="18"/>
        </w:rPr>
        <w:t xml:space="preserve"> </w:t>
      </w:r>
      <w:r w:rsidRPr="000B697A">
        <w:rPr>
          <w:rFonts w:cs="Calibri"/>
          <w:szCs w:val="18"/>
        </w:rPr>
        <w:t xml:space="preserve">г. включва следните видове операции и сделки: </w:t>
      </w:r>
    </w:p>
    <w:p w:rsidR="00881E63" w:rsidRPr="000B697A" w:rsidRDefault="00881E63" w:rsidP="00846D25">
      <w:pPr>
        <w:widowControl w:val="0"/>
        <w:numPr>
          <w:ilvl w:val="0"/>
          <w:numId w:val="3"/>
        </w:numPr>
        <w:tabs>
          <w:tab w:val="clear" w:pos="1080"/>
          <w:tab w:val="left" w:pos="709"/>
        </w:tabs>
        <w:ind w:left="0" w:firstLine="0"/>
        <w:rPr>
          <w:rFonts w:cs="Calibri"/>
          <w:szCs w:val="18"/>
        </w:rPr>
      </w:pPr>
      <w:r w:rsidRPr="000B697A">
        <w:rPr>
          <w:rFonts w:cs="Calibri"/>
          <w:szCs w:val="18"/>
        </w:rPr>
        <w:t>организиране на търговия с ценни книжа и други финансови инструменти;</w:t>
      </w:r>
    </w:p>
    <w:p w:rsidR="00881E63" w:rsidRPr="000B697A" w:rsidRDefault="00881E63" w:rsidP="00846D25">
      <w:pPr>
        <w:widowControl w:val="0"/>
        <w:numPr>
          <w:ilvl w:val="0"/>
          <w:numId w:val="3"/>
        </w:numPr>
        <w:tabs>
          <w:tab w:val="clear" w:pos="1080"/>
          <w:tab w:val="left" w:pos="709"/>
        </w:tabs>
        <w:ind w:left="0" w:firstLine="0"/>
        <w:rPr>
          <w:rFonts w:cs="Calibri"/>
          <w:szCs w:val="18"/>
        </w:rPr>
      </w:pPr>
      <w:r w:rsidRPr="000B697A">
        <w:rPr>
          <w:rFonts w:cs="Calibri"/>
          <w:szCs w:val="18"/>
        </w:rPr>
        <w:t>организиране и поддържане на информационна система за търговия с ценни книжа;</w:t>
      </w:r>
    </w:p>
    <w:p w:rsidR="00881E63" w:rsidRPr="000B697A" w:rsidRDefault="00881E63" w:rsidP="00846D25">
      <w:pPr>
        <w:widowControl w:val="0"/>
        <w:numPr>
          <w:ilvl w:val="0"/>
          <w:numId w:val="3"/>
        </w:numPr>
        <w:tabs>
          <w:tab w:val="clear" w:pos="1080"/>
          <w:tab w:val="left" w:pos="709"/>
        </w:tabs>
        <w:ind w:left="0" w:firstLine="0"/>
        <w:rPr>
          <w:rFonts w:cs="Calibri"/>
          <w:szCs w:val="18"/>
        </w:rPr>
      </w:pPr>
      <w:r w:rsidRPr="000B697A">
        <w:rPr>
          <w:rFonts w:cs="Calibri"/>
          <w:szCs w:val="18"/>
        </w:rPr>
        <w:lastRenderedPageBreak/>
        <w:t>създаване и поддържане на клирингова система за гарантиране на поетите задължения по сделките с ценни книжа, извършвани на нея.</w:t>
      </w:r>
    </w:p>
    <w:p w:rsidR="00881E63" w:rsidRPr="000B697A" w:rsidRDefault="00881E63" w:rsidP="00846D25">
      <w:pPr>
        <w:widowControl w:val="0"/>
        <w:tabs>
          <w:tab w:val="left" w:pos="720"/>
        </w:tabs>
        <w:rPr>
          <w:rFonts w:cs="Calibri"/>
          <w:szCs w:val="18"/>
        </w:rPr>
      </w:pPr>
      <w:r w:rsidRPr="000B697A">
        <w:rPr>
          <w:rFonts w:cs="Calibri"/>
          <w:szCs w:val="18"/>
        </w:rPr>
        <w:t xml:space="preserve">С решение на общо събрание на акционерите на дружеството-майка, проведено на 13.09.2010 г., предметът на дейност на Българска Фондова Борса АД е променен както следва: </w:t>
      </w:r>
      <w:r w:rsidR="003C2A48" w:rsidRPr="000B697A">
        <w:rPr>
          <w:rFonts w:cs="Calibri"/>
          <w:i/>
          <w:szCs w:val="18"/>
        </w:rPr>
        <w:t>О</w:t>
      </w:r>
      <w:r w:rsidRPr="000B697A">
        <w:rPr>
          <w:rFonts w:cs="Calibri"/>
          <w:i/>
          <w:szCs w:val="18"/>
        </w:rPr>
        <w:t>рганизиране на регулиран пазар на финансови инструменти като система за търговия, която среща или съдейства за срещането на интересите за покупка и продажба на финансови инструменти, допуснати до търговия на регулирания пазар, на множество трети страни, в рамките на системата и въз основа на правила, като резултатът е сключване на сделки с тези инструменти. Системата функционира редовно и в съответствие с изискванията на ЗПФИ и актовете по прилагането му</w:t>
      </w:r>
      <w:r w:rsidRPr="000B697A">
        <w:rPr>
          <w:rFonts w:cs="Calibri"/>
          <w:szCs w:val="18"/>
        </w:rPr>
        <w:t>.</w:t>
      </w:r>
    </w:p>
    <w:p w:rsidR="00437D1C" w:rsidRPr="000B697A" w:rsidRDefault="00437D1C" w:rsidP="00846D25">
      <w:pPr>
        <w:widowControl w:val="0"/>
        <w:tabs>
          <w:tab w:val="left" w:pos="720"/>
        </w:tabs>
        <w:rPr>
          <w:rFonts w:cs="Calibri"/>
          <w:szCs w:val="18"/>
        </w:rPr>
      </w:pPr>
    </w:p>
    <w:p w:rsidR="00881E63" w:rsidRPr="000B697A" w:rsidRDefault="00881E63" w:rsidP="00846D25">
      <w:pPr>
        <w:widowControl w:val="0"/>
        <w:tabs>
          <w:tab w:val="left" w:pos="720"/>
        </w:tabs>
        <w:rPr>
          <w:rFonts w:cs="Calibri"/>
          <w:szCs w:val="18"/>
        </w:rPr>
      </w:pPr>
      <w:r w:rsidRPr="000B697A">
        <w:rPr>
          <w:rFonts w:cs="Calibri"/>
          <w:szCs w:val="18"/>
        </w:rPr>
        <w:t xml:space="preserve">Предметът на дейност на </w:t>
      </w:r>
      <w:r w:rsidRPr="000B697A">
        <w:rPr>
          <w:rFonts w:cs="Calibri"/>
          <w:szCs w:val="18"/>
          <w:u w:val="single"/>
        </w:rPr>
        <w:t>дъщерното дружество</w:t>
      </w:r>
      <w:r w:rsidRPr="000B697A">
        <w:rPr>
          <w:rFonts w:cs="Calibri"/>
          <w:szCs w:val="18"/>
        </w:rPr>
        <w:t xml:space="preserve"> </w:t>
      </w:r>
      <w:r w:rsidR="00437D1C" w:rsidRPr="000B697A">
        <w:rPr>
          <w:rFonts w:cs="Calibri"/>
          <w:szCs w:val="18"/>
        </w:rPr>
        <w:t xml:space="preserve">Сервиз финансови пазари ООД </w:t>
      </w:r>
      <w:r w:rsidRPr="000B697A">
        <w:rPr>
          <w:rFonts w:cs="Calibri"/>
          <w:szCs w:val="18"/>
        </w:rPr>
        <w:t xml:space="preserve">съгласно съдебната регистрация е: </w:t>
      </w:r>
      <w:r w:rsidR="003C2A48" w:rsidRPr="000B697A">
        <w:rPr>
          <w:rFonts w:cs="Calibri"/>
          <w:i/>
          <w:szCs w:val="18"/>
        </w:rPr>
        <w:t>П</w:t>
      </w:r>
      <w:r w:rsidRPr="000B697A">
        <w:rPr>
          <w:rFonts w:cs="Calibri"/>
          <w:i/>
          <w:szCs w:val="18"/>
        </w:rPr>
        <w:t>роектиране, развитие и поддържане на информационни системи и продукти, свързани с пазара на ценни книжа и финансови инструменти, разработване на информационни технологии, доставка, инсталиране и монтаж на информационни системи, хардуерна и софтуерна поддръжка, консултации</w:t>
      </w:r>
      <w:r w:rsidR="003C2A48" w:rsidRPr="000B697A">
        <w:rPr>
          <w:rFonts w:cs="Calibri"/>
          <w:i/>
          <w:szCs w:val="18"/>
        </w:rPr>
        <w:t xml:space="preserve"> и обучение</w:t>
      </w:r>
      <w:r w:rsidR="003C2A48" w:rsidRPr="000B697A">
        <w:rPr>
          <w:rFonts w:cs="Calibri"/>
          <w:szCs w:val="18"/>
        </w:rPr>
        <w:t>.</w:t>
      </w:r>
    </w:p>
    <w:p w:rsidR="00437D1C" w:rsidRPr="000B697A" w:rsidRDefault="00437D1C" w:rsidP="00846D25">
      <w:pPr>
        <w:widowControl w:val="0"/>
        <w:tabs>
          <w:tab w:val="left" w:pos="720"/>
        </w:tabs>
        <w:rPr>
          <w:rFonts w:cs="Calibri"/>
          <w:szCs w:val="18"/>
        </w:rPr>
      </w:pPr>
      <w:r w:rsidRPr="000B697A">
        <w:rPr>
          <w:rFonts w:cs="Calibri"/>
          <w:szCs w:val="20"/>
        </w:rPr>
        <w:t xml:space="preserve">Предметът на дейност на </w:t>
      </w:r>
      <w:r w:rsidRPr="000B697A">
        <w:rPr>
          <w:rFonts w:cs="Calibri"/>
          <w:szCs w:val="20"/>
          <w:u w:val="single"/>
        </w:rPr>
        <w:t>дъщерното дружество</w:t>
      </w:r>
      <w:r w:rsidRPr="000B697A">
        <w:rPr>
          <w:rFonts w:cs="Calibri"/>
          <w:szCs w:val="20"/>
        </w:rPr>
        <w:t xml:space="preserve"> Българска независима енергийна борса ЕАД съгласно съдебната регистрация е: </w:t>
      </w:r>
      <w:r w:rsidRPr="000B697A">
        <w:rPr>
          <w:rFonts w:cs="Calibri"/>
          <w:i/>
          <w:szCs w:val="20"/>
        </w:rPr>
        <w:t>Организиране на борсов пазар за търговия в областта на енергетиката и свързаните с енергопотреблението продукти като електричество, природен газ, въглища, емисии и зелени сертификати, като система за търговия, която среща или съдейства за срещането на интересите за покупка и продажба на допуснати до търговия на регулирания пазар на множество трети страни, в рамките на системата и въз основа на правила, като резултатът е сключване на сделки с тези инструменти</w:t>
      </w:r>
    </w:p>
    <w:p w:rsidR="00437D1C" w:rsidRPr="000B697A" w:rsidRDefault="00437D1C" w:rsidP="00846D25">
      <w:pPr>
        <w:widowControl w:val="0"/>
        <w:tabs>
          <w:tab w:val="left" w:pos="720"/>
        </w:tabs>
        <w:rPr>
          <w:rFonts w:cs="Calibri"/>
          <w:szCs w:val="18"/>
        </w:rPr>
      </w:pPr>
    </w:p>
    <w:p w:rsidR="000F2F80" w:rsidRPr="000B697A" w:rsidRDefault="00881E63" w:rsidP="00846D25">
      <w:pPr>
        <w:widowControl w:val="0"/>
        <w:tabs>
          <w:tab w:val="left" w:pos="720"/>
        </w:tabs>
        <w:rPr>
          <w:rFonts w:cs="Calibri"/>
          <w:szCs w:val="18"/>
        </w:rPr>
      </w:pPr>
      <w:r w:rsidRPr="000B697A">
        <w:rPr>
          <w:rFonts w:cs="Calibri"/>
          <w:szCs w:val="18"/>
        </w:rPr>
        <w:t>Дружеството-майка и дъщерн</w:t>
      </w:r>
      <w:r w:rsidR="00437D1C" w:rsidRPr="000B697A">
        <w:rPr>
          <w:rFonts w:cs="Calibri"/>
          <w:szCs w:val="18"/>
        </w:rPr>
        <w:t>и</w:t>
      </w:r>
      <w:r w:rsidRPr="000B697A">
        <w:rPr>
          <w:rFonts w:cs="Calibri"/>
          <w:szCs w:val="18"/>
        </w:rPr>
        <w:t>т</w:t>
      </w:r>
      <w:r w:rsidR="00437D1C" w:rsidRPr="000B697A">
        <w:rPr>
          <w:rFonts w:cs="Calibri"/>
          <w:szCs w:val="18"/>
        </w:rPr>
        <w:t>е</w:t>
      </w:r>
      <w:r w:rsidRPr="000B697A">
        <w:rPr>
          <w:rFonts w:cs="Calibri"/>
          <w:szCs w:val="18"/>
        </w:rPr>
        <w:t xml:space="preserve"> дружеств</w:t>
      </w:r>
      <w:r w:rsidR="00437D1C" w:rsidRPr="000B697A">
        <w:rPr>
          <w:rFonts w:cs="Calibri"/>
          <w:szCs w:val="18"/>
        </w:rPr>
        <w:t>а</w:t>
      </w:r>
      <w:r w:rsidRPr="000B697A">
        <w:rPr>
          <w:rFonts w:cs="Calibri"/>
          <w:szCs w:val="18"/>
        </w:rPr>
        <w:t xml:space="preserve"> извършват изцяло своята дейност в България, а съвместното дружество на територията на Македония.</w:t>
      </w:r>
    </w:p>
    <w:p w:rsidR="007D0731" w:rsidRPr="000B697A" w:rsidRDefault="00D95C21" w:rsidP="00A46753">
      <w:pPr>
        <w:pStyle w:val="Mainnumbers"/>
        <w:outlineLvl w:val="0"/>
        <w:rPr>
          <w:rFonts w:cs="Calibri"/>
          <w:lang w:val="bg-BG"/>
        </w:rPr>
      </w:pPr>
      <w:bookmarkStart w:id="7" w:name="_Toc6923238"/>
      <w:bookmarkEnd w:id="3"/>
      <w:r w:rsidRPr="000B697A">
        <w:rPr>
          <w:rFonts w:cs="Calibri"/>
          <w:lang w:val="bg-BG"/>
        </w:rPr>
        <w:t>ИНФОРМАЦИЯ ЗА ДЕЙНОСТТА НА ГРУПА БЪЛГАРСКА ФОНДОВА БОРСА</w:t>
      </w:r>
      <w:bookmarkEnd w:id="7"/>
    </w:p>
    <w:p w:rsidR="007D0731" w:rsidRPr="000B697A" w:rsidRDefault="00797AC8" w:rsidP="0016443B">
      <w:pPr>
        <w:pStyle w:val="SubNumbers"/>
        <w:rPr>
          <w:rFonts w:cs="Calibri"/>
        </w:rPr>
      </w:pPr>
      <w:bookmarkStart w:id="8" w:name="_Toc283112100"/>
      <w:bookmarkStart w:id="9" w:name="_Toc6923239"/>
      <w:r w:rsidRPr="000B697A">
        <w:rPr>
          <w:rFonts w:cs="Calibri"/>
        </w:rPr>
        <w:t>Данни за търговията на „</w:t>
      </w:r>
      <w:bookmarkEnd w:id="8"/>
      <w:r w:rsidR="00744DFF" w:rsidRPr="000B697A">
        <w:rPr>
          <w:rFonts w:cs="Calibri"/>
        </w:rPr>
        <w:t>Българска фондова борса</w:t>
      </w:r>
      <w:r w:rsidRPr="000B697A">
        <w:rPr>
          <w:rFonts w:cs="Calibri"/>
        </w:rPr>
        <w:t>“ АД</w:t>
      </w:r>
      <w:r w:rsidR="008F6FCA" w:rsidRPr="000B697A">
        <w:rPr>
          <w:rFonts w:cs="Calibri"/>
        </w:rPr>
        <w:t xml:space="preserve"> /дружество-майка/</w:t>
      </w:r>
      <w:bookmarkEnd w:id="9"/>
    </w:p>
    <w:p w:rsidR="00E61E00" w:rsidRPr="000B697A" w:rsidRDefault="00E61E00" w:rsidP="00985E8C">
      <w:pPr>
        <w:pStyle w:val="SubSubNumber"/>
        <w:outlineLvl w:val="9"/>
        <w:rPr>
          <w:rFonts w:cs="Calibri"/>
        </w:rPr>
      </w:pPr>
      <w:r w:rsidRPr="000B697A">
        <w:rPr>
          <w:rFonts w:cs="Calibri"/>
        </w:rPr>
        <w:t>Оборот на БФБ</w:t>
      </w:r>
      <w:r w:rsidR="00CA6E11" w:rsidRPr="000B697A">
        <w:rPr>
          <w:rFonts w:cs="Calibri"/>
        </w:rPr>
        <w:t xml:space="preserve"> през 201</w:t>
      </w:r>
      <w:r w:rsidR="00744DFF" w:rsidRPr="000B697A">
        <w:rPr>
          <w:rFonts w:cs="Calibri"/>
          <w:lang w:val="en-US"/>
        </w:rPr>
        <w:t>8</w:t>
      </w:r>
      <w:r w:rsidR="003C2A48" w:rsidRPr="000B697A">
        <w:rPr>
          <w:rFonts w:cs="Calibri"/>
        </w:rPr>
        <w:t xml:space="preserve"> година</w:t>
      </w:r>
    </w:p>
    <w:p w:rsidR="00437D1C" w:rsidRPr="000B697A" w:rsidRDefault="00437D1C" w:rsidP="00437D1C">
      <w:pPr>
        <w:rPr>
          <w:rFonts w:cs="Calibri"/>
        </w:rPr>
      </w:pPr>
      <w:bookmarkStart w:id="10" w:name="_Toc283112101"/>
      <w:bookmarkStart w:id="11" w:name="_Toc142469780"/>
      <w:bookmarkStart w:id="12" w:name="_Toc142469778"/>
      <w:r w:rsidRPr="000B697A">
        <w:rPr>
          <w:rFonts w:cs="Calibri"/>
        </w:rPr>
        <w:t xml:space="preserve">Оборотът на регулирания пазар на финансови инструменти през </w:t>
      </w:r>
      <w:r w:rsidRPr="000B697A">
        <w:rPr>
          <w:rFonts w:cs="Calibri"/>
          <w:b/>
        </w:rPr>
        <w:t>първото тримесечие</w:t>
      </w:r>
      <w:r w:rsidRPr="000B697A">
        <w:rPr>
          <w:rFonts w:cs="Calibri"/>
        </w:rPr>
        <w:t xml:space="preserve"> на 2018 година беше 111 201 417 лева. За сравнение, през първото тримесечие на 2017 година беше 100 084 966 лева, което представлява ръст от 11% или 11,1 милиона лева. Ръстът се дължеше основно на нарастване в оборотите с акции (без АДСИЦ) с 24,4% или 16,2 милиона лева и спадът на сделките с акции на АДСИЦ с 40,9% или 8,3 милиона лева.</w:t>
      </w:r>
    </w:p>
    <w:p w:rsidR="00437D1C" w:rsidRPr="000B697A" w:rsidRDefault="00437D1C" w:rsidP="00437D1C">
      <w:pPr>
        <w:rPr>
          <w:rFonts w:cs="Calibri"/>
        </w:rPr>
      </w:pPr>
      <w:r w:rsidRPr="000B697A">
        <w:rPr>
          <w:rFonts w:cs="Calibri"/>
        </w:rPr>
        <w:t xml:space="preserve">През </w:t>
      </w:r>
      <w:r w:rsidRPr="000B697A">
        <w:rPr>
          <w:rFonts w:cs="Calibri"/>
          <w:b/>
        </w:rPr>
        <w:t>второто тримесечие</w:t>
      </w:r>
      <w:r w:rsidRPr="000B697A">
        <w:rPr>
          <w:rFonts w:cs="Calibri"/>
        </w:rPr>
        <w:t xml:space="preserve"> на 2018 година оборотът достигна 163 564 243 лева. За сравнение оборотът през второто тримесечие на 2017-а година беше 119 610 476 лева, т.е. налице бе сериозен ръст от 36,7% или 43,9 милиона лева. Характерно за това тримесечие бе ръстът от 81 </w:t>
      </w:r>
      <w:r w:rsidRPr="000B697A">
        <w:rPr>
          <w:rFonts w:cs="Calibri"/>
        </w:rPr>
        <w:lastRenderedPageBreak/>
        <w:t>милиона лева при оборота с Други финансови инструменти, където бе отразено първичното публично предлагане, осъществено през юни 2018 година. При останалите групи финансови инструменти имаше спад: при акциите (без АДСИЦ) с 26,4% или 24,6 милиона лева, при акциите на АДСИЦ – с 56,11% или 8,5 милиона лева и при облигациите – с 55,2% или 5,5 милиона лева.</w:t>
      </w:r>
    </w:p>
    <w:p w:rsidR="00437D1C" w:rsidRPr="000B697A" w:rsidRDefault="00437D1C" w:rsidP="00437D1C">
      <w:pPr>
        <w:rPr>
          <w:rFonts w:cs="Calibri"/>
        </w:rPr>
      </w:pPr>
      <w:r w:rsidRPr="000B697A">
        <w:rPr>
          <w:rFonts w:cs="Calibri"/>
        </w:rPr>
        <w:t xml:space="preserve">През </w:t>
      </w:r>
      <w:r w:rsidRPr="000B697A">
        <w:rPr>
          <w:rFonts w:cs="Calibri"/>
          <w:b/>
        </w:rPr>
        <w:t>третото тримесечие</w:t>
      </w:r>
      <w:r w:rsidRPr="000B697A">
        <w:rPr>
          <w:rFonts w:cs="Calibri"/>
        </w:rPr>
        <w:t xml:space="preserve"> на 2018 година оборотът на регулирания пазар на финансови инструменти достигна 95 022 358 лева. За сравнение през третото тримесечие на 2017 година той беше 276 315 916 лева. Това бе най-сериозният спад спрямо съответно тримесечие на предходната 2017 година от 65,6% или 181,3 милиона лева. Намаление имаше при оборота с всички групи финансови инструменти, като при акции без АДСИЦ то бе 80,5% или 179,5 милиона лева, а със 75,6% или 29,8 милиона лева спадна оборотът с акции на АДСИЦ. Ръстът от 34,9 милиона в оборота на сегмента за държавни ценни книжа не повлия на общия спад в оборота.</w:t>
      </w:r>
    </w:p>
    <w:p w:rsidR="00437D1C" w:rsidRPr="000B697A" w:rsidRDefault="00437D1C" w:rsidP="00437D1C">
      <w:pPr>
        <w:rPr>
          <w:rFonts w:cs="Calibri"/>
        </w:rPr>
      </w:pPr>
      <w:r w:rsidRPr="000B697A">
        <w:rPr>
          <w:rFonts w:cs="Calibri"/>
        </w:rPr>
        <w:t xml:space="preserve">Въпреки че </w:t>
      </w:r>
      <w:r w:rsidRPr="000B697A">
        <w:rPr>
          <w:rFonts w:cs="Calibri"/>
          <w:b/>
        </w:rPr>
        <w:t>четвъртото тримесечие</w:t>
      </w:r>
      <w:r w:rsidRPr="000B697A">
        <w:rPr>
          <w:rFonts w:cs="Calibri"/>
        </w:rPr>
        <w:t xml:space="preserve"> донесе най-високия оборот през 2018 година и почти двоен ръст спрямо предходното тримесечие на същата година и оборотът на регулирания пазар достигна 180 252 919 лева, през четвъртото тримесечие на 2017-а година той беше 209 839 580 лева. Разликата между оборота през двете тримесечия бе 14,1% в полза на четвъртото тримесечие на 2017 година. За първи път се наблюдаваше ръст от 157,7% или 16,9 милиона лева в оборота с акции на АДСИЦ спрямо съответно тримесечие на предходната година. Спад имаше в оборота с акции (без АДСИЦ) от </w:t>
      </w:r>
      <w:r w:rsidRPr="000B697A">
        <w:rPr>
          <w:rFonts w:cs="Calibri"/>
          <w:lang w:val="en-US"/>
        </w:rPr>
        <w:t>26.41</w:t>
      </w:r>
      <w:r w:rsidRPr="000B697A">
        <w:rPr>
          <w:rFonts w:cs="Calibri"/>
        </w:rPr>
        <w:t>% или 39,5 милиона лева, оборотът с облигации спадна с 33,7% или 15,7 милиона лева</w:t>
      </w:r>
    </w:p>
    <w:p w:rsidR="00CA6E11" w:rsidRPr="000B697A" w:rsidRDefault="00CA6E11" w:rsidP="00437D1C">
      <w:pPr>
        <w:rPr>
          <w:rFonts w:cs="Calibri"/>
        </w:rPr>
      </w:pPr>
    </w:p>
    <w:tbl>
      <w:tblPr>
        <w:tblStyle w:val="TableGrid"/>
        <w:tblpPr w:leftFromText="141" w:rightFromText="141" w:vertAnchor="text" w:tblpX="-1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tblGrid>
      <w:tr w:rsidR="00CA6E11" w:rsidRPr="000B697A" w:rsidTr="00F106D3">
        <w:tc>
          <w:tcPr>
            <w:tcW w:w="5353" w:type="dxa"/>
          </w:tcPr>
          <w:p w:rsidR="00CA6E11" w:rsidRPr="000B697A" w:rsidRDefault="00CA6E11" w:rsidP="00F106D3">
            <w:pPr>
              <w:pStyle w:val="ChartHeader"/>
              <w:rPr>
                <w:rFonts w:cs="Calibri"/>
              </w:rPr>
            </w:pPr>
            <w:r w:rsidRPr="000B697A">
              <w:rPr>
                <w:rFonts w:cs="Calibri"/>
              </w:rPr>
              <w:t>Графика 2: Сравнение на оборота с финансови инструменти</w:t>
            </w:r>
          </w:p>
        </w:tc>
      </w:tr>
      <w:tr w:rsidR="00CA6E11" w:rsidRPr="000B697A" w:rsidTr="00F106D3">
        <w:trPr>
          <w:trHeight w:val="4260"/>
        </w:trPr>
        <w:tc>
          <w:tcPr>
            <w:tcW w:w="5353" w:type="dxa"/>
          </w:tcPr>
          <w:p w:rsidR="00CA6E11" w:rsidRPr="000B697A" w:rsidRDefault="0028038B" w:rsidP="00811C9D">
            <w:pPr>
              <w:rPr>
                <w:rFonts w:cs="Calibri"/>
                <w:sz w:val="12"/>
                <w:szCs w:val="12"/>
              </w:rPr>
            </w:pPr>
            <w:r w:rsidRPr="000B697A">
              <w:rPr>
                <w:rFonts w:cs="Calibri"/>
                <w:noProof/>
                <w:lang w:val="en-US" w:eastAsia="en-US"/>
              </w:rPr>
              <w:drawing>
                <wp:inline distT="0" distB="0" distL="0" distR="0">
                  <wp:extent cx="3228340" cy="2949905"/>
                  <wp:effectExtent l="0" t="0" r="10160" b="31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CA6E11" w:rsidRPr="000B697A" w:rsidRDefault="0028038B" w:rsidP="007365D3">
      <w:pPr>
        <w:rPr>
          <w:rFonts w:cs="Calibri"/>
        </w:rPr>
      </w:pPr>
      <w:r w:rsidRPr="000B697A">
        <w:rPr>
          <w:rFonts w:cs="Calibri"/>
        </w:rPr>
        <w:t>На годишна база оборотът беше 550 милиона лева, а за предходната 2017 година той беше 706 милиона лева, което представлява намаление със 156 милиона лева или 22%. Най-голям в абсолютна стойност бе спадът при оборота с акции (без тези на АДСИЦ): от 532 милиона до 305 милиона лева (спад от 43%). Намаление с 35% или 30 милиона лева имаше при акциите на АДСИЦ, оборотът на годишна база с облигации също спадна с 34%. Оборотът с ДЦК нарасна с 48 милиона лева, а оборотът с Други финансови инструменти отбеляза ръст от 81 милиона заради осъществено през 2018 година Първично публично предлагане</w:t>
      </w:r>
      <w:r w:rsidR="00CA6E11" w:rsidRPr="000B697A">
        <w:rPr>
          <w:rFonts w:cs="Calibri"/>
        </w:rPr>
        <w:t>.</w:t>
      </w:r>
    </w:p>
    <w:p w:rsidR="00701D5F" w:rsidRPr="000B697A" w:rsidRDefault="00701D5F" w:rsidP="00985E8C">
      <w:pPr>
        <w:pStyle w:val="SubSubNumber"/>
        <w:outlineLvl w:val="9"/>
        <w:rPr>
          <w:rFonts w:cs="Calibri"/>
        </w:rPr>
      </w:pPr>
      <w:bookmarkStart w:id="13" w:name="_Toc383433174"/>
      <w:r w:rsidRPr="000B697A">
        <w:rPr>
          <w:rFonts w:cs="Calibri"/>
        </w:rPr>
        <w:t>Брой сделки през 201</w:t>
      </w:r>
      <w:bookmarkEnd w:id="13"/>
      <w:r w:rsidR="0028038B" w:rsidRPr="000B697A">
        <w:rPr>
          <w:rFonts w:cs="Calibri"/>
          <w:lang w:val="en-US"/>
        </w:rPr>
        <w:t>8</w:t>
      </w:r>
      <w:r w:rsidR="003C2A48" w:rsidRPr="000B697A">
        <w:rPr>
          <w:rFonts w:cs="Calibri"/>
        </w:rPr>
        <w:t xml:space="preserve"> година</w:t>
      </w:r>
    </w:p>
    <w:p w:rsidR="0028038B" w:rsidRPr="000B697A" w:rsidRDefault="0028038B" w:rsidP="0028038B">
      <w:pPr>
        <w:rPr>
          <w:rFonts w:cs="Calibri"/>
        </w:rPr>
      </w:pPr>
      <w:r w:rsidRPr="000B697A">
        <w:rPr>
          <w:rFonts w:cs="Calibri"/>
        </w:rPr>
        <w:lastRenderedPageBreak/>
        <w:t xml:space="preserve">При броя сделки през </w:t>
      </w:r>
      <w:r w:rsidRPr="000B697A">
        <w:rPr>
          <w:rFonts w:cs="Calibri"/>
          <w:b/>
        </w:rPr>
        <w:t>първото тримесечие</w:t>
      </w:r>
      <w:r w:rsidRPr="000B697A">
        <w:rPr>
          <w:rFonts w:cs="Calibri"/>
        </w:rPr>
        <w:t xml:space="preserve"> спрямо аналогичното тримесечие на 2017 година се наблюдаваше спад от 7%. Най-значителен бе спадът при броя сделки с акции (без АДСИЦ) с 1 359 сделки или над 8%. Броят сделки с акции на АДСИЦ намаля с 215 или 10,4%. Нараснаха броят сделки с облигации и други финансови инструменти. При броят сделки с останалите основни групи финансови инструменти имаше незначително в абсолютно изражение намаление.</w:t>
      </w:r>
    </w:p>
    <w:p w:rsidR="0028038B" w:rsidRPr="000B697A" w:rsidRDefault="0028038B" w:rsidP="0028038B">
      <w:pPr>
        <w:rPr>
          <w:rFonts w:cs="Calibri"/>
        </w:rPr>
      </w:pPr>
      <w:r w:rsidRPr="000B697A">
        <w:rPr>
          <w:rFonts w:cs="Calibri"/>
        </w:rPr>
        <w:t xml:space="preserve">Броят сделки през </w:t>
      </w:r>
      <w:r w:rsidRPr="000B697A">
        <w:rPr>
          <w:rFonts w:cs="Calibri"/>
          <w:b/>
        </w:rPr>
        <w:t>второто тримесечие</w:t>
      </w:r>
      <w:r w:rsidRPr="000B697A">
        <w:rPr>
          <w:rFonts w:cs="Calibri"/>
        </w:rPr>
        <w:t xml:space="preserve"> отново отбеляза спад спрямо аналогичното тримесечие на предходната година и той бе още по-голям: повече от 47%. Основна вина за спада имаха броят сделки с акции без АДСИЦ, който отбеляза спад от близо 10 хиляди сделки или 58% и броят сделки с акции на АДСИЦ, който спадна с 1 130 или над 44%. Ръст с 1 385 имаше при сделките с други финансови инструменти,</w:t>
      </w:r>
      <w:r w:rsidRPr="000B697A">
        <w:rPr>
          <w:rFonts w:cs="Calibri"/>
          <w:lang w:val="en-US"/>
        </w:rPr>
        <w:t xml:space="preserve"> </w:t>
      </w:r>
      <w:r w:rsidRPr="000B697A">
        <w:rPr>
          <w:rFonts w:cs="Calibri"/>
        </w:rPr>
        <w:t>но той не можа да обърне цялостния тренд към спад в броя сделки.</w:t>
      </w:r>
    </w:p>
    <w:p w:rsidR="0028038B" w:rsidRPr="000B697A" w:rsidRDefault="0028038B" w:rsidP="0028038B">
      <w:pPr>
        <w:rPr>
          <w:rFonts w:cs="Calibri"/>
        </w:rPr>
      </w:pPr>
      <w:r w:rsidRPr="000B697A">
        <w:rPr>
          <w:rFonts w:cs="Calibri"/>
        </w:rPr>
        <w:t xml:space="preserve">Общият брой сделки през </w:t>
      </w:r>
      <w:r w:rsidRPr="000B697A">
        <w:rPr>
          <w:rFonts w:cs="Calibri"/>
          <w:b/>
        </w:rPr>
        <w:t>третото тримесечие</w:t>
      </w:r>
      <w:r w:rsidRPr="000B697A">
        <w:rPr>
          <w:rFonts w:cs="Calibri"/>
        </w:rPr>
        <w:t xml:space="preserve"> спадна с 56% от 23 330 сделки през третото тримесечие на 2017 г. до 10 249 сделки през третото тримесечие на 2018 г. Сделките с акции, които традиционно имат най-голям абсолютен дял в общия брой, намаляха с 60% или над 12 хиляди сделки. Спад от 30% или близо 700 имаше и при броя сделки с акции на АДСИЦ. Промяната при останалите групи финансови инструменти бе незначителна в абсолютни стойности.</w:t>
      </w:r>
    </w:p>
    <w:p w:rsidR="00F106D3" w:rsidRPr="000B697A" w:rsidRDefault="0028038B" w:rsidP="007365D3">
      <w:pPr>
        <w:rPr>
          <w:rFonts w:cs="Calibri"/>
        </w:rPr>
      </w:pPr>
      <w:r w:rsidRPr="000B697A">
        <w:rPr>
          <w:rFonts w:cs="Calibri"/>
        </w:rPr>
        <w:t xml:space="preserve">През </w:t>
      </w:r>
      <w:r w:rsidRPr="000B697A">
        <w:rPr>
          <w:rFonts w:cs="Calibri"/>
          <w:b/>
        </w:rPr>
        <w:t>четвъртото тримесечие</w:t>
      </w:r>
      <w:r w:rsidRPr="000B697A">
        <w:rPr>
          <w:rFonts w:cs="Calibri"/>
        </w:rPr>
        <w:t xml:space="preserve"> на 2018 броят сделки отново намаля в сравнение със същия период на предходната 2017 година</w:t>
      </w:r>
      <w:r w:rsidRPr="000B697A">
        <w:rPr>
          <w:rFonts w:cs="Calibri"/>
          <w:b/>
        </w:rPr>
        <w:t>.</w:t>
      </w:r>
      <w:r w:rsidRPr="000B697A">
        <w:rPr>
          <w:rFonts w:cs="Calibri"/>
        </w:rPr>
        <w:t xml:space="preserve"> През четвъртото тримесечие на миналия период броят сделки бе 16 323, а през същото тримесечие на 2018 той бе 15 302, което представляваше спад с 6% или 1 021 сделки. Броят сделки с акции, борсово търгувани продукти и други финансови инструменти спадна</w:t>
      </w:r>
      <w:r w:rsidRPr="000B697A">
        <w:rPr>
          <w:rFonts w:cs="Calibri"/>
          <w:lang w:val="en-US"/>
        </w:rPr>
        <w:t>,</w:t>
      </w:r>
      <w:r w:rsidRPr="000B697A">
        <w:rPr>
          <w:rFonts w:cs="Calibri"/>
        </w:rPr>
        <w:t xml:space="preserve"> докато сделките с останалите основни групи финансови инструменти нараснаха. Най-значителен бе спадът с повече от 900 сделки с акции</w:t>
      </w:r>
      <w:r w:rsidR="00CA6E11" w:rsidRPr="000B697A">
        <w:rPr>
          <w:rFonts w:cs="Calibri"/>
        </w:rPr>
        <w:t>.</w:t>
      </w:r>
    </w:p>
    <w:p w:rsidR="00CA6E11" w:rsidRPr="000B697A" w:rsidRDefault="00F106D3" w:rsidP="00F106D3">
      <w:pPr>
        <w:spacing w:line="240" w:lineRule="auto"/>
        <w:jc w:val="left"/>
        <w:rPr>
          <w:rFonts w:cs="Calibri"/>
        </w:rPr>
      </w:pPr>
      <w:r w:rsidRPr="000B697A">
        <w:rPr>
          <w:rFonts w:cs="Calibri"/>
        </w:rPr>
        <w:br w:type="page"/>
      </w:r>
    </w:p>
    <w:tbl>
      <w:tblPr>
        <w:tblStyle w:val="TableGrid"/>
        <w:tblpPr w:leftFromText="141" w:rightFromText="141" w:vertAnchor="text" w:horzAnchor="margin" w:tblpY="9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tblGrid>
      <w:tr w:rsidR="00F106D3" w:rsidRPr="000B697A" w:rsidTr="00F106D3">
        <w:tc>
          <w:tcPr>
            <w:tcW w:w="5211" w:type="dxa"/>
          </w:tcPr>
          <w:p w:rsidR="00F106D3" w:rsidRPr="000B697A" w:rsidRDefault="00F106D3" w:rsidP="00F106D3">
            <w:pPr>
              <w:pStyle w:val="ChartHeader"/>
              <w:rPr>
                <w:rFonts w:cs="Calibri"/>
              </w:rPr>
            </w:pPr>
            <w:r w:rsidRPr="000B697A">
              <w:rPr>
                <w:rFonts w:cs="Calibri"/>
              </w:rPr>
              <w:lastRenderedPageBreak/>
              <w:t>Графика 3: Сравнение на броя сделки с финансови инструменти</w:t>
            </w:r>
          </w:p>
        </w:tc>
      </w:tr>
      <w:tr w:rsidR="00F106D3" w:rsidRPr="000B697A" w:rsidTr="00F106D3">
        <w:trPr>
          <w:trHeight w:val="4396"/>
        </w:trPr>
        <w:tc>
          <w:tcPr>
            <w:tcW w:w="5211" w:type="dxa"/>
          </w:tcPr>
          <w:p w:rsidR="00F106D3" w:rsidRPr="000B697A" w:rsidRDefault="00F106D3" w:rsidP="00F106D3">
            <w:pPr>
              <w:tabs>
                <w:tab w:val="left" w:pos="360"/>
              </w:tabs>
              <w:rPr>
                <w:rFonts w:cs="Calibri"/>
                <w:sz w:val="12"/>
                <w:szCs w:val="12"/>
              </w:rPr>
            </w:pPr>
            <w:r w:rsidRPr="000B697A">
              <w:rPr>
                <w:rFonts w:cs="Calibri"/>
                <w:noProof/>
                <w:lang w:val="en-US" w:eastAsia="en-US"/>
              </w:rPr>
              <w:drawing>
                <wp:inline distT="0" distB="0" distL="0" distR="0">
                  <wp:extent cx="3253740" cy="3307373"/>
                  <wp:effectExtent l="0" t="0" r="381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CA6E11" w:rsidRPr="000B697A" w:rsidRDefault="0028038B" w:rsidP="003C2A48">
      <w:pPr>
        <w:rPr>
          <w:rFonts w:cs="Calibri"/>
          <w:lang w:val="en-US"/>
        </w:rPr>
      </w:pPr>
      <w:r w:rsidRPr="000B697A">
        <w:rPr>
          <w:rFonts w:cs="Calibri"/>
        </w:rPr>
        <w:t>На годишна база броят сделки отбеляза спад с 32% от 79 629 сделки през 2017 година до 54 341 през 2018-а. Очаквано, най-значително беше намалението в броя сделки с акции (без АДСИЦ), който съставлява най-голям дял в общия брой сделки и определя тенденцията. Броят сделки с акции спадна с 36% или 24 хиляди. При акциите на АДСИЦ отрицателната промяна бе с 24% или 2 017 сделки. Заслужава да се отбележи ръстът на броя сделки с други финанс</w:t>
      </w:r>
      <w:r w:rsidR="00107AAF">
        <w:rPr>
          <w:rFonts w:cs="Calibri"/>
        </w:rPr>
        <w:t>о</w:t>
      </w:r>
      <w:r w:rsidRPr="000B697A">
        <w:rPr>
          <w:rFonts w:cs="Calibri"/>
        </w:rPr>
        <w:t>ви инструменти, който се дължи основно на осъщественото през второто тримесечие първично публично предлагане. Броят сделки с останалите основни групи финансови инструменти се промени разнопосочно незначително</w:t>
      </w:r>
      <w:r w:rsidR="003C2A48" w:rsidRPr="000B697A">
        <w:rPr>
          <w:rFonts w:cs="Calibri"/>
        </w:rPr>
        <w:t>.</w:t>
      </w:r>
    </w:p>
    <w:p w:rsidR="00F106D3" w:rsidRPr="000B697A" w:rsidRDefault="005330E6" w:rsidP="00F106D3">
      <w:pPr>
        <w:pStyle w:val="ChartHeader"/>
        <w:rPr>
          <w:rFonts w:cs="Calibri"/>
        </w:rPr>
      </w:pPr>
      <w:r w:rsidRPr="000B697A">
        <w:rPr>
          <w:rFonts w:cs="Calibri"/>
        </w:rPr>
        <w:t>Таблица 2. Структура</w:t>
      </w:r>
      <w:r w:rsidR="00701D5F" w:rsidRPr="000B697A">
        <w:rPr>
          <w:rFonts w:cs="Calibri"/>
        </w:rPr>
        <w:t xml:space="preserve"> на търговията по пазари за </w:t>
      </w:r>
      <w:r w:rsidR="00F106D3" w:rsidRPr="000B697A">
        <w:rPr>
          <w:rFonts w:cs="Calibri"/>
          <w:lang w:val="en-US"/>
        </w:rPr>
        <w:t xml:space="preserve">2018 </w:t>
      </w:r>
      <w:r w:rsidR="000C073B" w:rsidRPr="000B697A">
        <w:rPr>
          <w:rFonts w:cs="Calibri"/>
        </w:rPr>
        <w:t>година и сравнения с 201</w:t>
      </w:r>
      <w:r w:rsidR="00F106D3" w:rsidRPr="000B697A">
        <w:rPr>
          <w:rFonts w:cs="Calibri"/>
          <w:lang w:val="en-US"/>
        </w:rPr>
        <w:t>6</w:t>
      </w:r>
      <w:r w:rsidR="000C073B" w:rsidRPr="000B697A">
        <w:rPr>
          <w:rFonts w:cs="Calibri"/>
        </w:rPr>
        <w:t xml:space="preserve"> и 201</w:t>
      </w:r>
      <w:r w:rsidR="00F106D3" w:rsidRPr="000B697A">
        <w:rPr>
          <w:rFonts w:cs="Calibri"/>
          <w:lang w:val="en-US"/>
        </w:rPr>
        <w:t>7</w:t>
      </w:r>
    </w:p>
    <w:tbl>
      <w:tblPr>
        <w:tblW w:w="9535" w:type="dxa"/>
        <w:jc w:val="center"/>
        <w:tblCellMar>
          <w:left w:w="70" w:type="dxa"/>
          <w:right w:w="70" w:type="dxa"/>
        </w:tblCellMar>
        <w:tblLook w:val="04A0" w:firstRow="1" w:lastRow="0" w:firstColumn="1" w:lastColumn="0" w:noHBand="0" w:noVBand="1"/>
      </w:tblPr>
      <w:tblGrid>
        <w:gridCol w:w="2931"/>
        <w:gridCol w:w="1479"/>
        <w:gridCol w:w="1468"/>
        <w:gridCol w:w="1457"/>
        <w:gridCol w:w="1097"/>
        <w:gridCol w:w="1103"/>
      </w:tblGrid>
      <w:tr w:rsidR="00F106D3" w:rsidRPr="000B697A" w:rsidTr="0034033B">
        <w:trPr>
          <w:trHeight w:val="170"/>
          <w:jc w:val="center"/>
        </w:trPr>
        <w:tc>
          <w:tcPr>
            <w:tcW w:w="7335" w:type="dxa"/>
            <w:gridSpan w:val="4"/>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F106D3" w:rsidRPr="000B697A" w:rsidRDefault="00F106D3" w:rsidP="0034033B">
            <w:pPr>
              <w:jc w:val="center"/>
              <w:rPr>
                <w:rFonts w:cs="Calibri"/>
                <w:b/>
                <w:bCs/>
                <w:color w:val="FFFFFF"/>
                <w:sz w:val="18"/>
                <w:szCs w:val="18"/>
              </w:rPr>
            </w:pPr>
            <w:r w:rsidRPr="000B697A">
              <w:rPr>
                <w:rFonts w:cs="Calibri"/>
                <w:b/>
                <w:bCs/>
                <w:color w:val="FFFFFF"/>
                <w:sz w:val="18"/>
                <w:szCs w:val="18"/>
              </w:rPr>
              <w:t>Търговия по видове ценни книжа на регулиран пазар</w:t>
            </w:r>
          </w:p>
        </w:tc>
        <w:tc>
          <w:tcPr>
            <w:tcW w:w="2200" w:type="dxa"/>
            <w:gridSpan w:val="2"/>
            <w:tcBorders>
              <w:top w:val="single" w:sz="4" w:space="0" w:color="auto"/>
              <w:left w:val="nil"/>
              <w:bottom w:val="single" w:sz="4" w:space="0" w:color="auto"/>
              <w:right w:val="single" w:sz="4" w:space="0" w:color="000000"/>
            </w:tcBorders>
            <w:shd w:val="clear" w:color="000000" w:fill="4F81BD"/>
            <w:noWrap/>
            <w:vAlign w:val="center"/>
            <w:hideMark/>
          </w:tcPr>
          <w:p w:rsidR="00F106D3" w:rsidRPr="000B697A" w:rsidRDefault="00F106D3" w:rsidP="0034033B">
            <w:pPr>
              <w:jc w:val="center"/>
              <w:rPr>
                <w:rFonts w:cs="Calibri"/>
                <w:b/>
                <w:bCs/>
                <w:color w:val="FFFFFF"/>
                <w:sz w:val="18"/>
                <w:szCs w:val="18"/>
              </w:rPr>
            </w:pPr>
            <w:r w:rsidRPr="000B697A">
              <w:rPr>
                <w:rFonts w:cs="Calibri"/>
                <w:b/>
                <w:bCs/>
                <w:color w:val="FFFFFF"/>
                <w:sz w:val="18"/>
                <w:szCs w:val="18"/>
              </w:rPr>
              <w:t>Изменение %</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000000" w:fill="4F81BD"/>
            <w:noWrap/>
            <w:vAlign w:val="center"/>
            <w:hideMark/>
          </w:tcPr>
          <w:p w:rsidR="00F106D3" w:rsidRPr="000B697A" w:rsidRDefault="00F106D3" w:rsidP="0034033B">
            <w:pPr>
              <w:jc w:val="left"/>
              <w:rPr>
                <w:rFonts w:cs="Calibri"/>
                <w:b/>
                <w:bCs/>
                <w:color w:val="FFFFFF"/>
                <w:sz w:val="18"/>
                <w:szCs w:val="18"/>
              </w:rPr>
            </w:pPr>
            <w:r w:rsidRPr="000B697A">
              <w:rPr>
                <w:rFonts w:cs="Calibri"/>
                <w:b/>
                <w:bCs/>
                <w:color w:val="FFFFFF"/>
                <w:sz w:val="18"/>
                <w:szCs w:val="18"/>
              </w:rPr>
              <w:t>Пазар / Пазарен сегмент</w:t>
            </w:r>
          </w:p>
        </w:tc>
        <w:tc>
          <w:tcPr>
            <w:tcW w:w="1479" w:type="dxa"/>
            <w:tcBorders>
              <w:top w:val="nil"/>
              <w:left w:val="nil"/>
              <w:bottom w:val="single" w:sz="4" w:space="0" w:color="auto"/>
              <w:right w:val="single" w:sz="4" w:space="0" w:color="auto"/>
            </w:tcBorders>
            <w:shd w:val="clear" w:color="000000" w:fill="4F81BD"/>
            <w:noWrap/>
            <w:vAlign w:val="center"/>
            <w:hideMark/>
          </w:tcPr>
          <w:p w:rsidR="00F106D3" w:rsidRPr="000B697A" w:rsidRDefault="00F106D3" w:rsidP="0034033B">
            <w:pPr>
              <w:jc w:val="center"/>
              <w:rPr>
                <w:rFonts w:cs="Calibri"/>
                <w:b/>
                <w:bCs/>
                <w:color w:val="FFFFFF"/>
                <w:sz w:val="18"/>
                <w:szCs w:val="18"/>
              </w:rPr>
            </w:pPr>
            <w:r w:rsidRPr="000B697A">
              <w:rPr>
                <w:rFonts w:cs="Calibri"/>
                <w:b/>
                <w:bCs/>
                <w:color w:val="FFFFFF"/>
                <w:sz w:val="18"/>
                <w:szCs w:val="18"/>
              </w:rPr>
              <w:t>2016</w:t>
            </w:r>
          </w:p>
        </w:tc>
        <w:tc>
          <w:tcPr>
            <w:tcW w:w="1468" w:type="dxa"/>
            <w:tcBorders>
              <w:top w:val="nil"/>
              <w:left w:val="nil"/>
              <w:bottom w:val="single" w:sz="4" w:space="0" w:color="auto"/>
              <w:right w:val="single" w:sz="4" w:space="0" w:color="auto"/>
            </w:tcBorders>
            <w:shd w:val="clear" w:color="000000" w:fill="4F81BD"/>
            <w:noWrap/>
            <w:vAlign w:val="center"/>
            <w:hideMark/>
          </w:tcPr>
          <w:p w:rsidR="00F106D3" w:rsidRPr="000B697A" w:rsidRDefault="00F106D3" w:rsidP="0034033B">
            <w:pPr>
              <w:jc w:val="center"/>
              <w:rPr>
                <w:rFonts w:cs="Calibri"/>
                <w:b/>
                <w:bCs/>
                <w:color w:val="FFFFFF"/>
                <w:sz w:val="18"/>
                <w:szCs w:val="18"/>
              </w:rPr>
            </w:pPr>
            <w:r w:rsidRPr="000B697A">
              <w:rPr>
                <w:rFonts w:cs="Calibri"/>
                <w:b/>
                <w:bCs/>
                <w:color w:val="FFFFFF"/>
                <w:sz w:val="18"/>
                <w:szCs w:val="18"/>
              </w:rPr>
              <w:t>2017</w:t>
            </w:r>
          </w:p>
        </w:tc>
        <w:tc>
          <w:tcPr>
            <w:tcW w:w="1457" w:type="dxa"/>
            <w:tcBorders>
              <w:top w:val="nil"/>
              <w:left w:val="nil"/>
              <w:bottom w:val="single" w:sz="4" w:space="0" w:color="auto"/>
              <w:right w:val="single" w:sz="4" w:space="0" w:color="auto"/>
            </w:tcBorders>
            <w:shd w:val="clear" w:color="000000" w:fill="4F81BD"/>
            <w:noWrap/>
            <w:vAlign w:val="center"/>
            <w:hideMark/>
          </w:tcPr>
          <w:p w:rsidR="00F106D3" w:rsidRPr="000B697A" w:rsidRDefault="00F106D3" w:rsidP="0034033B">
            <w:pPr>
              <w:jc w:val="center"/>
              <w:rPr>
                <w:rFonts w:cs="Calibri"/>
                <w:b/>
                <w:bCs/>
                <w:color w:val="FFFFFF"/>
                <w:sz w:val="18"/>
                <w:szCs w:val="18"/>
              </w:rPr>
            </w:pPr>
            <w:r w:rsidRPr="000B697A">
              <w:rPr>
                <w:rFonts w:cs="Calibri"/>
                <w:b/>
                <w:bCs/>
                <w:color w:val="FFFFFF"/>
                <w:sz w:val="18"/>
                <w:szCs w:val="18"/>
              </w:rPr>
              <w:t>2018</w:t>
            </w:r>
          </w:p>
        </w:tc>
        <w:tc>
          <w:tcPr>
            <w:tcW w:w="1097" w:type="dxa"/>
            <w:tcBorders>
              <w:top w:val="nil"/>
              <w:left w:val="nil"/>
              <w:bottom w:val="single" w:sz="4" w:space="0" w:color="auto"/>
              <w:right w:val="single" w:sz="4" w:space="0" w:color="auto"/>
            </w:tcBorders>
            <w:shd w:val="clear" w:color="000000" w:fill="4F81BD"/>
            <w:noWrap/>
            <w:vAlign w:val="center"/>
            <w:hideMark/>
          </w:tcPr>
          <w:p w:rsidR="00F106D3" w:rsidRPr="000B697A" w:rsidRDefault="00F106D3" w:rsidP="0034033B">
            <w:pPr>
              <w:jc w:val="center"/>
              <w:rPr>
                <w:rFonts w:cs="Calibri"/>
                <w:b/>
                <w:bCs/>
                <w:color w:val="FFFFFF"/>
                <w:sz w:val="18"/>
                <w:szCs w:val="18"/>
              </w:rPr>
            </w:pPr>
            <w:r w:rsidRPr="000B697A">
              <w:rPr>
                <w:rFonts w:cs="Calibri"/>
                <w:b/>
                <w:bCs/>
                <w:color w:val="FFFFFF"/>
                <w:sz w:val="18"/>
                <w:szCs w:val="18"/>
              </w:rPr>
              <w:t>2017/2016</w:t>
            </w:r>
          </w:p>
        </w:tc>
        <w:tc>
          <w:tcPr>
            <w:tcW w:w="1103" w:type="dxa"/>
            <w:tcBorders>
              <w:top w:val="nil"/>
              <w:left w:val="nil"/>
              <w:bottom w:val="single" w:sz="4" w:space="0" w:color="auto"/>
              <w:right w:val="single" w:sz="4" w:space="0" w:color="auto"/>
            </w:tcBorders>
            <w:shd w:val="clear" w:color="000000" w:fill="4F81BD"/>
            <w:noWrap/>
            <w:vAlign w:val="center"/>
            <w:hideMark/>
          </w:tcPr>
          <w:p w:rsidR="00F106D3" w:rsidRPr="000B697A" w:rsidRDefault="00F106D3" w:rsidP="0034033B">
            <w:pPr>
              <w:jc w:val="center"/>
              <w:rPr>
                <w:rFonts w:cs="Calibri"/>
                <w:b/>
                <w:bCs/>
                <w:color w:val="FFFFFF"/>
                <w:sz w:val="18"/>
                <w:szCs w:val="18"/>
              </w:rPr>
            </w:pPr>
            <w:r w:rsidRPr="000B697A">
              <w:rPr>
                <w:rFonts w:cs="Calibri"/>
                <w:b/>
                <w:bCs/>
                <w:color w:val="FFFFFF"/>
                <w:sz w:val="18"/>
                <w:szCs w:val="18"/>
              </w:rPr>
              <w:t>2018/2017</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b/>
                <w:bCs/>
                <w:color w:val="000000"/>
                <w:sz w:val="18"/>
                <w:szCs w:val="18"/>
              </w:rPr>
            </w:pPr>
            <w:r w:rsidRPr="000B697A">
              <w:rPr>
                <w:rFonts w:cs="Calibri"/>
                <w:b/>
                <w:bCs/>
                <w:color w:val="000000"/>
                <w:sz w:val="18"/>
                <w:szCs w:val="18"/>
              </w:rPr>
              <w:t>Оборот (BGN)</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b/>
                <w:bCs/>
                <w:color w:val="000000"/>
                <w:sz w:val="18"/>
                <w:szCs w:val="18"/>
              </w:rPr>
            </w:pPr>
            <w:r w:rsidRPr="000B697A">
              <w:rPr>
                <w:rFonts w:cs="Calibri"/>
                <w:b/>
                <w:bCs/>
                <w:color w:val="000000"/>
                <w:sz w:val="18"/>
                <w:szCs w:val="18"/>
              </w:rPr>
              <w:t>416 003 871</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b/>
                <w:bCs/>
                <w:color w:val="000000"/>
                <w:sz w:val="18"/>
                <w:szCs w:val="18"/>
              </w:rPr>
            </w:pPr>
            <w:r w:rsidRPr="000B697A">
              <w:rPr>
                <w:rFonts w:cs="Calibri"/>
                <w:b/>
                <w:bCs/>
                <w:color w:val="000000"/>
                <w:sz w:val="18"/>
                <w:szCs w:val="18"/>
              </w:rPr>
              <w:t>705 850 939</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b/>
                <w:bCs/>
                <w:color w:val="000000"/>
                <w:sz w:val="18"/>
                <w:szCs w:val="18"/>
              </w:rPr>
            </w:pPr>
            <w:r w:rsidRPr="000B697A">
              <w:rPr>
                <w:rFonts w:cs="Calibri"/>
                <w:b/>
                <w:bCs/>
                <w:color w:val="000000"/>
                <w:sz w:val="18"/>
                <w:szCs w:val="18"/>
              </w:rPr>
              <w:t>550 040 937</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b/>
                <w:bCs/>
                <w:color w:val="000000"/>
                <w:sz w:val="18"/>
                <w:szCs w:val="18"/>
              </w:rPr>
            </w:pPr>
            <w:r w:rsidRPr="000B697A">
              <w:rPr>
                <w:rFonts w:cs="Calibri"/>
                <w:b/>
                <w:bCs/>
                <w:color w:val="000000"/>
                <w:sz w:val="18"/>
                <w:szCs w:val="18"/>
              </w:rPr>
              <w:t>69,67%</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b/>
                <w:bCs/>
                <w:color w:val="000000"/>
                <w:sz w:val="18"/>
                <w:szCs w:val="18"/>
              </w:rPr>
            </w:pPr>
            <w:r w:rsidRPr="000B697A">
              <w:rPr>
                <w:rFonts w:cs="Calibri"/>
                <w:b/>
                <w:bCs/>
                <w:color w:val="000000"/>
                <w:sz w:val="18"/>
                <w:szCs w:val="18"/>
              </w:rPr>
              <w:t>-22,07%</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Акции (без АДСИЦ)</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278 548 296</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532 138 393</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304 737 442</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91,04%</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-42,73%</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Акции на АДСИЦ</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67 118 369</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85 636 523</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55 869 628</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27.59%</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-34,76%</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Облигации</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48 997 883</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78 245 874</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51 651 169</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59.69%</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-33,99%</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Борсово търгувани продукти</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3 187 548</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2 874 462</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1 996 144</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-9.82%</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-30,56%</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Сегмент за държавни ценни книжа</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0</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664 693</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48 495 697</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N/A</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7195,95%</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Компенсаторни инструменти</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8 118 634</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6 080 769</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5 618 287</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-25.10%</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-7,61%</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Други</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10 033 141</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210 224</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81 672 568</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-97.90%</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38750,26%</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b/>
                <w:bCs/>
                <w:color w:val="000000"/>
                <w:sz w:val="18"/>
                <w:szCs w:val="18"/>
              </w:rPr>
            </w:pPr>
            <w:r w:rsidRPr="000B697A">
              <w:rPr>
                <w:rFonts w:cs="Calibri"/>
                <w:b/>
                <w:bCs/>
                <w:color w:val="000000"/>
                <w:sz w:val="18"/>
                <w:szCs w:val="18"/>
              </w:rPr>
              <w:t>Обем ФИ</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b/>
                <w:bCs/>
                <w:color w:val="000000"/>
                <w:sz w:val="18"/>
                <w:szCs w:val="18"/>
              </w:rPr>
            </w:pPr>
            <w:r w:rsidRPr="000B697A">
              <w:rPr>
                <w:rFonts w:cs="Calibri"/>
                <w:b/>
                <w:bCs/>
                <w:color w:val="000000"/>
                <w:sz w:val="18"/>
                <w:szCs w:val="18"/>
              </w:rPr>
              <w:t>185 905 925</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b/>
                <w:bCs/>
                <w:color w:val="000000"/>
                <w:sz w:val="18"/>
                <w:szCs w:val="18"/>
              </w:rPr>
            </w:pPr>
            <w:r w:rsidRPr="000B697A">
              <w:rPr>
                <w:rFonts w:cs="Calibri"/>
                <w:b/>
                <w:bCs/>
                <w:color w:val="000000"/>
                <w:sz w:val="18"/>
                <w:szCs w:val="18"/>
              </w:rPr>
              <w:t>401 497 834</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b/>
                <w:bCs/>
                <w:color w:val="000000"/>
                <w:sz w:val="18"/>
                <w:szCs w:val="18"/>
              </w:rPr>
            </w:pPr>
            <w:r w:rsidRPr="000B697A">
              <w:rPr>
                <w:rFonts w:cs="Calibri"/>
                <w:b/>
                <w:bCs/>
                <w:color w:val="000000"/>
                <w:sz w:val="18"/>
                <w:szCs w:val="18"/>
              </w:rPr>
              <w:t>282 100 711</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b/>
                <w:bCs/>
                <w:color w:val="000000"/>
                <w:sz w:val="18"/>
                <w:szCs w:val="18"/>
              </w:rPr>
            </w:pPr>
            <w:r w:rsidRPr="000B697A">
              <w:rPr>
                <w:rFonts w:cs="Calibri"/>
                <w:b/>
                <w:bCs/>
                <w:color w:val="000000"/>
                <w:sz w:val="18"/>
                <w:szCs w:val="18"/>
              </w:rPr>
              <w:t>115.97%</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b/>
                <w:bCs/>
                <w:color w:val="000000"/>
                <w:sz w:val="18"/>
                <w:szCs w:val="18"/>
              </w:rPr>
            </w:pPr>
            <w:r w:rsidRPr="000B697A">
              <w:rPr>
                <w:rFonts w:cs="Calibri"/>
                <w:b/>
                <w:bCs/>
                <w:color w:val="000000"/>
                <w:sz w:val="18"/>
                <w:szCs w:val="18"/>
              </w:rPr>
              <w:t>-29,74%</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Акции (без АДСИЦ)</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102 505 800</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193 984 112</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118 131 152</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89.24%</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-39,10%</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Акции на АДСИЦ</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25 706 895</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25 408 548</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35 020 040</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-1.16%</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37,83%</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Облигации</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44 246</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61 411</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36 699</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38.79%</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-40,24%</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Борсово търгувани продукти</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3 087 214</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7 335 068</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3 820 447</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137.60%</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-47,92%</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Сегмент за държавни ценни книжа</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0</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601</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31 572</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N/A</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5153,24%</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Компенсаторни инструменти</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19 039 700</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17 773 097</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11 912 418</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-6.65%</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-32,98%</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Други</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35 522 070</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156 934 997</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113 148 383</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341.80%</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-27,90%</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b/>
                <w:bCs/>
                <w:color w:val="000000"/>
                <w:sz w:val="18"/>
                <w:szCs w:val="18"/>
              </w:rPr>
            </w:pPr>
            <w:r w:rsidRPr="000B697A">
              <w:rPr>
                <w:rFonts w:cs="Calibri"/>
                <w:b/>
                <w:bCs/>
                <w:color w:val="000000"/>
                <w:sz w:val="18"/>
                <w:szCs w:val="18"/>
              </w:rPr>
              <w:t>Брой сделки</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b/>
                <w:bCs/>
                <w:color w:val="000000"/>
                <w:sz w:val="18"/>
                <w:szCs w:val="18"/>
              </w:rPr>
            </w:pPr>
            <w:r w:rsidRPr="000B697A">
              <w:rPr>
                <w:rFonts w:cs="Calibri"/>
                <w:b/>
                <w:bCs/>
                <w:color w:val="000000"/>
                <w:sz w:val="18"/>
                <w:szCs w:val="18"/>
              </w:rPr>
              <w:t>58 442</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b/>
                <w:bCs/>
                <w:color w:val="000000"/>
                <w:sz w:val="18"/>
                <w:szCs w:val="18"/>
              </w:rPr>
            </w:pPr>
            <w:r w:rsidRPr="000B697A">
              <w:rPr>
                <w:rFonts w:cs="Calibri"/>
                <w:b/>
                <w:bCs/>
                <w:color w:val="000000"/>
                <w:sz w:val="18"/>
                <w:szCs w:val="18"/>
              </w:rPr>
              <w:t>79 629</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b/>
                <w:bCs/>
                <w:color w:val="000000"/>
                <w:sz w:val="18"/>
                <w:szCs w:val="18"/>
              </w:rPr>
            </w:pPr>
            <w:r w:rsidRPr="000B697A">
              <w:rPr>
                <w:rFonts w:cs="Calibri"/>
                <w:b/>
                <w:bCs/>
                <w:color w:val="000000"/>
                <w:sz w:val="18"/>
                <w:szCs w:val="18"/>
              </w:rPr>
              <w:t>54 341</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b/>
                <w:bCs/>
                <w:color w:val="000000"/>
                <w:sz w:val="18"/>
                <w:szCs w:val="18"/>
              </w:rPr>
            </w:pPr>
            <w:r w:rsidRPr="000B697A">
              <w:rPr>
                <w:rFonts w:cs="Calibri"/>
                <w:b/>
                <w:bCs/>
                <w:color w:val="000000"/>
                <w:sz w:val="18"/>
                <w:szCs w:val="18"/>
              </w:rPr>
              <w:t>36.25%</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b/>
                <w:bCs/>
                <w:color w:val="000000"/>
                <w:sz w:val="18"/>
                <w:szCs w:val="18"/>
              </w:rPr>
            </w:pPr>
            <w:r w:rsidRPr="000B697A">
              <w:rPr>
                <w:rFonts w:cs="Calibri"/>
                <w:b/>
                <w:bCs/>
                <w:color w:val="000000"/>
                <w:sz w:val="18"/>
                <w:szCs w:val="18"/>
              </w:rPr>
              <w:t>-31,76%</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Акции (без АДСИЦ)</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46 805</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67 245</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42 921</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43.67%</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-36,17%</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Акции на АДСИЦ</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7 158</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8 484</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6 467</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18.52%</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-23,77%</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Облигации</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441</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196</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323</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-55.56%</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64,80%</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Борсово търгувани продукти</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1 366</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1 358</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878</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-0.59%</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-35,35%</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Сегмент за държавни ценни книжа</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0</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16</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N/A</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433,33%</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Компенсаторни инструменти</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2 356</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2 116</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1 708</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-10.19%</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-19,28%</w:t>
            </w:r>
          </w:p>
        </w:tc>
      </w:tr>
      <w:tr w:rsidR="00F106D3" w:rsidRPr="000B697A" w:rsidTr="0034033B">
        <w:trPr>
          <w:trHeight w:val="170"/>
          <w:jc w:val="center"/>
        </w:trPr>
        <w:tc>
          <w:tcPr>
            <w:tcW w:w="2931" w:type="dxa"/>
            <w:tcBorders>
              <w:top w:val="nil"/>
              <w:left w:val="single" w:sz="4" w:space="0" w:color="auto"/>
              <w:bottom w:val="single" w:sz="4" w:space="0" w:color="auto"/>
              <w:right w:val="single" w:sz="4" w:space="0" w:color="auto"/>
            </w:tcBorders>
            <w:shd w:val="clear" w:color="auto" w:fill="auto"/>
            <w:noWrap/>
            <w:vAlign w:val="center"/>
            <w:hideMark/>
          </w:tcPr>
          <w:p w:rsidR="00F106D3" w:rsidRPr="000B697A" w:rsidRDefault="00F106D3" w:rsidP="0034033B">
            <w:pPr>
              <w:jc w:val="left"/>
              <w:rPr>
                <w:rFonts w:cs="Calibri"/>
                <w:color w:val="000000"/>
                <w:sz w:val="18"/>
                <w:szCs w:val="18"/>
              </w:rPr>
            </w:pPr>
            <w:r w:rsidRPr="000B697A">
              <w:rPr>
                <w:rFonts w:cs="Calibri"/>
                <w:color w:val="000000"/>
                <w:sz w:val="18"/>
                <w:szCs w:val="18"/>
              </w:rPr>
              <w:t>Други</w:t>
            </w:r>
          </w:p>
        </w:tc>
        <w:tc>
          <w:tcPr>
            <w:tcW w:w="1479"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316</w:t>
            </w:r>
          </w:p>
        </w:tc>
        <w:tc>
          <w:tcPr>
            <w:tcW w:w="1468"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227</w:t>
            </w:r>
          </w:p>
        </w:tc>
        <w:tc>
          <w:tcPr>
            <w:tcW w:w="145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2 028</w:t>
            </w:r>
          </w:p>
        </w:tc>
        <w:tc>
          <w:tcPr>
            <w:tcW w:w="1097"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-28.16%</w:t>
            </w:r>
          </w:p>
        </w:tc>
        <w:tc>
          <w:tcPr>
            <w:tcW w:w="1103" w:type="dxa"/>
            <w:tcBorders>
              <w:top w:val="nil"/>
              <w:left w:val="nil"/>
              <w:bottom w:val="single" w:sz="4" w:space="0" w:color="auto"/>
              <w:right w:val="single" w:sz="4" w:space="0" w:color="auto"/>
            </w:tcBorders>
            <w:shd w:val="clear" w:color="auto" w:fill="auto"/>
            <w:noWrap/>
            <w:vAlign w:val="center"/>
            <w:hideMark/>
          </w:tcPr>
          <w:p w:rsidR="00F106D3" w:rsidRPr="000B697A" w:rsidRDefault="00F106D3" w:rsidP="0034033B">
            <w:pPr>
              <w:jc w:val="right"/>
              <w:rPr>
                <w:rFonts w:cs="Calibri"/>
                <w:color w:val="000000"/>
                <w:sz w:val="18"/>
                <w:szCs w:val="18"/>
              </w:rPr>
            </w:pPr>
            <w:r w:rsidRPr="000B697A">
              <w:rPr>
                <w:rFonts w:cs="Calibri"/>
                <w:color w:val="000000"/>
                <w:sz w:val="18"/>
                <w:szCs w:val="18"/>
              </w:rPr>
              <w:t>793,39%</w:t>
            </w:r>
          </w:p>
        </w:tc>
      </w:tr>
    </w:tbl>
    <w:p w:rsidR="007D0731" w:rsidRPr="000B697A" w:rsidRDefault="00797AC8" w:rsidP="0016443B">
      <w:pPr>
        <w:pStyle w:val="SubNumbers"/>
        <w:rPr>
          <w:rFonts w:cs="Calibri"/>
        </w:rPr>
      </w:pPr>
      <w:bookmarkStart w:id="14" w:name="_Toc6923240"/>
      <w:r w:rsidRPr="000B697A">
        <w:rPr>
          <w:rFonts w:cs="Calibri"/>
        </w:rPr>
        <w:lastRenderedPageBreak/>
        <w:t>Отраслова структура на търговията</w:t>
      </w:r>
      <w:bookmarkEnd w:id="10"/>
      <w:bookmarkEnd w:id="14"/>
    </w:p>
    <w:p w:rsidR="00F106D3" w:rsidRPr="000B697A" w:rsidRDefault="00F106D3" w:rsidP="00F106D3">
      <w:pPr>
        <w:tabs>
          <w:tab w:val="left" w:pos="360"/>
        </w:tabs>
        <w:rPr>
          <w:rFonts w:cs="Calibri"/>
        </w:rPr>
      </w:pPr>
      <w:bookmarkStart w:id="15" w:name="_Toc283112102"/>
      <w:r w:rsidRPr="000B697A">
        <w:rPr>
          <w:rFonts w:cs="Calibri"/>
        </w:rPr>
        <w:t xml:space="preserve">През </w:t>
      </w:r>
      <w:r w:rsidRPr="000B697A">
        <w:rPr>
          <w:rFonts w:cs="Calibri"/>
          <w:b/>
        </w:rPr>
        <w:t>първото тримесечие</w:t>
      </w:r>
      <w:r w:rsidRPr="000B697A">
        <w:rPr>
          <w:rFonts w:cs="Calibri"/>
        </w:rPr>
        <w:t xml:space="preserve"> на 2018 година „Финансови и застрахователни дейности“ възвърна първото си място, от което бе изместен през четвъртото тримесечие на 2017 година от „Преработвателна промишленост“, с тримесечен оборот от 53 милиона лева. „Операции с недвижими имоти“, който през предходното тримесечие беше на трето място, също изпревари „Преработваща промишленост“ с оборот от 18 милиона лева. Така, с оборот от 12 милиона лева, сектор „Преработваща промишленост“ остана на трето място.</w:t>
      </w:r>
    </w:p>
    <w:p w:rsidR="00F106D3" w:rsidRPr="000B697A" w:rsidRDefault="00F106D3" w:rsidP="00F106D3">
      <w:pPr>
        <w:tabs>
          <w:tab w:val="left" w:pos="360"/>
        </w:tabs>
        <w:rPr>
          <w:rFonts w:cs="Calibri"/>
        </w:rPr>
      </w:pPr>
      <w:r w:rsidRPr="000B697A">
        <w:rPr>
          <w:rFonts w:cs="Calibri"/>
        </w:rPr>
        <w:t xml:space="preserve">През </w:t>
      </w:r>
      <w:r w:rsidRPr="000B697A">
        <w:rPr>
          <w:rFonts w:cs="Calibri"/>
          <w:b/>
        </w:rPr>
        <w:t>второто тримесечие</w:t>
      </w:r>
      <w:r w:rsidRPr="000B697A">
        <w:rPr>
          <w:rFonts w:cs="Calibri"/>
        </w:rPr>
        <w:t xml:space="preserve"> на 2018 година структурата на оборота по браншове остана същата. За пореден път секторът „Финансови и застрахователни дейности“ запази лидерската позиция в класацията по оборот с 47 млн. лв. Секторът „Преработваща промишленост“ запази второто си място с оборот от 16 млн. лв. Третото място в класацията отново беше за сектор „Операции с недвижими имоти“ с оборот от 3,6 млн. лв.</w:t>
      </w:r>
    </w:p>
    <w:p w:rsidR="00F106D3" w:rsidRPr="000B697A" w:rsidRDefault="00F106D3" w:rsidP="00F106D3">
      <w:pPr>
        <w:tabs>
          <w:tab w:val="left" w:pos="360"/>
        </w:tabs>
        <w:rPr>
          <w:rFonts w:cs="Calibri"/>
        </w:rPr>
      </w:pPr>
      <w:r w:rsidRPr="000B697A">
        <w:rPr>
          <w:rFonts w:cs="Calibri"/>
        </w:rPr>
        <w:t xml:space="preserve">През </w:t>
      </w:r>
      <w:r w:rsidRPr="000B697A">
        <w:rPr>
          <w:rFonts w:cs="Calibri"/>
          <w:b/>
        </w:rPr>
        <w:t>третото тримесечие</w:t>
      </w:r>
      <w:r w:rsidRPr="000B697A">
        <w:rPr>
          <w:rFonts w:cs="Calibri"/>
        </w:rPr>
        <w:t xml:space="preserve"> на 2018 година секторът „Финансови и застрахователни дейности“ отново бе на първо място в класацията по оборот с 27,7 млн. лв. Сектор „Операции с недвижими имоти“ измести „Преработваща промишленост“ от второто място с оборот от 12,</w:t>
      </w:r>
      <w:r w:rsidRPr="000B697A">
        <w:rPr>
          <w:rFonts w:cs="Calibri"/>
          <w:lang w:val="en-US"/>
        </w:rPr>
        <w:t>6</w:t>
      </w:r>
      <w:r w:rsidRPr="000B697A">
        <w:rPr>
          <w:rFonts w:cs="Calibri"/>
        </w:rPr>
        <w:t xml:space="preserve"> млн. лв. На трето място в класацията беше сектор „Преработваща промишленост“ с оборот от 9,83 млн. лв.</w:t>
      </w:r>
    </w:p>
    <w:p w:rsidR="00CA6E11" w:rsidRPr="000B697A" w:rsidRDefault="00F106D3" w:rsidP="00F106D3">
      <w:pPr>
        <w:rPr>
          <w:rFonts w:cs="Calibri"/>
        </w:rPr>
      </w:pPr>
      <w:r w:rsidRPr="000B697A">
        <w:rPr>
          <w:rFonts w:cs="Calibri"/>
        </w:rPr>
        <w:t xml:space="preserve">През </w:t>
      </w:r>
      <w:r w:rsidRPr="000B697A">
        <w:rPr>
          <w:rFonts w:cs="Calibri"/>
          <w:b/>
        </w:rPr>
        <w:t>четвъртото тримесечие</w:t>
      </w:r>
      <w:r w:rsidRPr="000B697A">
        <w:rPr>
          <w:rFonts w:cs="Calibri"/>
        </w:rPr>
        <w:t xml:space="preserve"> секторът „Финансови и застрахователни дейности“ запази челното място в класацията по оборот със 73,8 млн. лв. Сектор „Операции с недвижими имоти“ запази преднината си пред „Преработваща промишленост“ с оборот от 44,1 млн. лв. На трето място в класацията, както и през предходното тримесечие, беше сектор „Преработваща промишленост“ с оборот от 12,2 млн. лв. и 8.8% от общия оборот. Тази структура се запазва устойчива и рядко друг сектор влиза в топ три, което обикновено се дължи на ефект от еднократни големи сделки. Финансовите дейности традиционно формират най-голямата част от оборота на Борсата. Оборотът на сектора често надхвърля общия на всички останали браншове в общия оборот за тримесечието. Това прави оборотът и капитализацията на Борсата особено чувствителни към сътресения и лоши новини, свързани с банковия и застрахователния сектори.</w:t>
      </w:r>
    </w:p>
    <w:p w:rsidR="00F106D3" w:rsidRPr="000B697A" w:rsidRDefault="005330E6" w:rsidP="00F106D3">
      <w:pPr>
        <w:pStyle w:val="ChartHeader"/>
        <w:rPr>
          <w:rFonts w:cs="Calibri"/>
        </w:rPr>
      </w:pPr>
      <w:r w:rsidRPr="000B697A">
        <w:rPr>
          <w:rFonts w:cs="Calibri"/>
        </w:rPr>
        <w:t xml:space="preserve">Таблица 3. Структура на търговията по </w:t>
      </w:r>
      <w:r w:rsidR="000C073B" w:rsidRPr="000B697A">
        <w:rPr>
          <w:rFonts w:cs="Calibri"/>
        </w:rPr>
        <w:t xml:space="preserve">сектори за </w:t>
      </w:r>
      <w:r w:rsidR="00811C9D" w:rsidRPr="000B697A">
        <w:rPr>
          <w:rFonts w:cs="Calibri"/>
        </w:rPr>
        <w:t>201</w:t>
      </w:r>
      <w:r w:rsidR="00F106D3" w:rsidRPr="000B697A">
        <w:rPr>
          <w:rFonts w:cs="Calibri"/>
        </w:rPr>
        <w:t>8</w:t>
      </w:r>
      <w:r w:rsidR="000C073B" w:rsidRPr="000B697A">
        <w:rPr>
          <w:rFonts w:cs="Calibri"/>
        </w:rPr>
        <w:t>:</w:t>
      </w:r>
    </w:p>
    <w:tbl>
      <w:tblPr>
        <w:tblW w:w="10778" w:type="dxa"/>
        <w:jc w:val="center"/>
        <w:tblCellMar>
          <w:left w:w="70" w:type="dxa"/>
          <w:right w:w="70" w:type="dxa"/>
        </w:tblCellMar>
        <w:tblLook w:val="04A0" w:firstRow="1" w:lastRow="0" w:firstColumn="1" w:lastColumn="0" w:noHBand="0" w:noVBand="1"/>
      </w:tblPr>
      <w:tblGrid>
        <w:gridCol w:w="7508"/>
        <w:gridCol w:w="868"/>
        <w:gridCol w:w="1262"/>
        <w:gridCol w:w="1140"/>
      </w:tblGrid>
      <w:tr w:rsidR="00F106D3" w:rsidRPr="000B697A" w:rsidTr="0034033B">
        <w:trPr>
          <w:trHeight w:val="170"/>
          <w:jc w:val="center"/>
        </w:trPr>
        <w:tc>
          <w:tcPr>
            <w:tcW w:w="7508" w:type="dxa"/>
            <w:tcBorders>
              <w:top w:val="single" w:sz="4" w:space="0" w:color="auto"/>
              <w:left w:val="single" w:sz="4" w:space="0" w:color="auto"/>
              <w:bottom w:val="single" w:sz="4" w:space="0" w:color="auto"/>
              <w:right w:val="single" w:sz="4" w:space="0" w:color="auto"/>
            </w:tcBorders>
            <w:shd w:val="clear" w:color="000000" w:fill="4F81BD"/>
            <w:hideMark/>
          </w:tcPr>
          <w:p w:rsidR="00F106D3" w:rsidRPr="000B697A" w:rsidRDefault="00F106D3" w:rsidP="0034033B">
            <w:pPr>
              <w:jc w:val="center"/>
              <w:rPr>
                <w:rFonts w:cs="Calibri"/>
                <w:b/>
                <w:bCs/>
                <w:color w:val="FFFFFF"/>
                <w:sz w:val="18"/>
                <w:szCs w:val="18"/>
              </w:rPr>
            </w:pPr>
            <w:r w:rsidRPr="000B697A">
              <w:rPr>
                <w:rFonts w:cs="Calibri"/>
                <w:b/>
                <w:bCs/>
                <w:color w:val="FFFFFF"/>
                <w:sz w:val="18"/>
                <w:szCs w:val="18"/>
                <w:lang w:eastAsia="en-US"/>
              </w:rPr>
              <w:t>Сектор</w:t>
            </w:r>
          </w:p>
        </w:tc>
        <w:tc>
          <w:tcPr>
            <w:tcW w:w="868" w:type="dxa"/>
            <w:tcBorders>
              <w:top w:val="single" w:sz="4" w:space="0" w:color="auto"/>
              <w:left w:val="nil"/>
              <w:bottom w:val="single" w:sz="4" w:space="0" w:color="auto"/>
              <w:right w:val="single" w:sz="4" w:space="0" w:color="auto"/>
            </w:tcBorders>
            <w:shd w:val="clear" w:color="000000" w:fill="4F81BD"/>
            <w:noWrap/>
            <w:hideMark/>
          </w:tcPr>
          <w:p w:rsidR="00F106D3" w:rsidRPr="000B697A" w:rsidRDefault="00F106D3" w:rsidP="0034033B">
            <w:pPr>
              <w:jc w:val="center"/>
              <w:rPr>
                <w:rFonts w:cs="Calibri"/>
                <w:b/>
                <w:bCs/>
                <w:color w:val="FFFFFF"/>
                <w:sz w:val="18"/>
                <w:szCs w:val="18"/>
              </w:rPr>
            </w:pPr>
            <w:r w:rsidRPr="000B697A">
              <w:rPr>
                <w:rFonts w:cs="Calibri"/>
                <w:b/>
                <w:bCs/>
                <w:color w:val="FFFFFF"/>
                <w:sz w:val="18"/>
                <w:szCs w:val="18"/>
                <w:lang w:eastAsia="en-US"/>
              </w:rPr>
              <w:t>Брой сделки</w:t>
            </w:r>
          </w:p>
        </w:tc>
        <w:tc>
          <w:tcPr>
            <w:tcW w:w="1262" w:type="dxa"/>
            <w:tcBorders>
              <w:top w:val="single" w:sz="4" w:space="0" w:color="auto"/>
              <w:left w:val="nil"/>
              <w:bottom w:val="single" w:sz="4" w:space="0" w:color="auto"/>
              <w:right w:val="single" w:sz="4" w:space="0" w:color="auto"/>
            </w:tcBorders>
            <w:shd w:val="clear" w:color="000000" w:fill="4F81BD"/>
            <w:noWrap/>
            <w:hideMark/>
          </w:tcPr>
          <w:p w:rsidR="00F106D3" w:rsidRPr="000B697A" w:rsidRDefault="00F106D3" w:rsidP="0034033B">
            <w:pPr>
              <w:jc w:val="center"/>
              <w:rPr>
                <w:rFonts w:cs="Calibri"/>
                <w:b/>
                <w:bCs/>
                <w:color w:val="FFFFFF"/>
                <w:sz w:val="18"/>
                <w:szCs w:val="18"/>
              </w:rPr>
            </w:pPr>
            <w:r w:rsidRPr="000B697A">
              <w:rPr>
                <w:rFonts w:cs="Calibri"/>
                <w:b/>
                <w:bCs/>
                <w:color w:val="FFFFFF"/>
                <w:sz w:val="18"/>
                <w:szCs w:val="18"/>
                <w:lang w:eastAsia="en-US"/>
              </w:rPr>
              <w:t>Изтъргувани лотове</w:t>
            </w:r>
          </w:p>
        </w:tc>
        <w:tc>
          <w:tcPr>
            <w:tcW w:w="1140" w:type="dxa"/>
            <w:tcBorders>
              <w:top w:val="single" w:sz="4" w:space="0" w:color="auto"/>
              <w:left w:val="nil"/>
              <w:bottom w:val="single" w:sz="4" w:space="0" w:color="auto"/>
              <w:right w:val="single" w:sz="4" w:space="0" w:color="auto"/>
            </w:tcBorders>
            <w:shd w:val="clear" w:color="000000" w:fill="4F81BD"/>
            <w:noWrap/>
            <w:hideMark/>
          </w:tcPr>
          <w:p w:rsidR="00F106D3" w:rsidRPr="000B697A" w:rsidRDefault="00F106D3" w:rsidP="0034033B">
            <w:pPr>
              <w:jc w:val="center"/>
              <w:rPr>
                <w:rFonts w:cs="Calibri"/>
                <w:b/>
                <w:bCs/>
                <w:color w:val="FFFFFF"/>
                <w:sz w:val="18"/>
                <w:szCs w:val="18"/>
              </w:rPr>
            </w:pPr>
            <w:r w:rsidRPr="000B697A">
              <w:rPr>
                <w:rFonts w:cs="Calibri"/>
                <w:b/>
                <w:bCs/>
                <w:color w:val="FFFFFF"/>
                <w:sz w:val="18"/>
                <w:szCs w:val="18"/>
                <w:lang w:eastAsia="en-US"/>
              </w:rPr>
              <w:t>Оборот (лв.)</w:t>
            </w:r>
          </w:p>
        </w:tc>
      </w:tr>
      <w:tr w:rsidR="00F106D3" w:rsidRPr="000B697A" w:rsidTr="0034033B">
        <w:trPr>
          <w:trHeight w:val="17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F106D3" w:rsidRPr="000B697A" w:rsidRDefault="00F106D3" w:rsidP="0034033B">
            <w:pPr>
              <w:jc w:val="left"/>
              <w:rPr>
                <w:rFonts w:cs="Calibri"/>
                <w:color w:val="000000"/>
                <w:sz w:val="18"/>
                <w:szCs w:val="18"/>
              </w:rPr>
            </w:pPr>
            <w:r w:rsidRPr="000B697A">
              <w:rPr>
                <w:rFonts w:cs="Calibri"/>
                <w:color w:val="000000"/>
                <w:sz w:val="18"/>
                <w:szCs w:val="18"/>
              </w:rPr>
              <w:t>Финансови и застрахователни дейности</w:t>
            </w:r>
          </w:p>
        </w:tc>
        <w:tc>
          <w:tcPr>
            <w:tcW w:w="868"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27 762</w:t>
            </w:r>
          </w:p>
        </w:tc>
        <w:tc>
          <w:tcPr>
            <w:tcW w:w="1262"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107 722 755</w:t>
            </w:r>
          </w:p>
        </w:tc>
        <w:tc>
          <w:tcPr>
            <w:tcW w:w="1140"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202 027 227</w:t>
            </w:r>
          </w:p>
        </w:tc>
      </w:tr>
      <w:tr w:rsidR="00F106D3" w:rsidRPr="000B697A" w:rsidTr="0034033B">
        <w:trPr>
          <w:trHeight w:val="17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F106D3" w:rsidRPr="000B697A" w:rsidRDefault="00F106D3" w:rsidP="0034033B">
            <w:pPr>
              <w:jc w:val="left"/>
              <w:rPr>
                <w:rFonts w:cs="Calibri"/>
                <w:color w:val="000000"/>
                <w:sz w:val="18"/>
                <w:szCs w:val="18"/>
              </w:rPr>
            </w:pPr>
            <w:r w:rsidRPr="000B697A">
              <w:rPr>
                <w:rFonts w:cs="Calibri"/>
                <w:color w:val="000000"/>
                <w:sz w:val="18"/>
                <w:szCs w:val="18"/>
              </w:rPr>
              <w:t>Операции с недвижими имоти</w:t>
            </w:r>
          </w:p>
        </w:tc>
        <w:tc>
          <w:tcPr>
            <w:tcW w:w="868"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1 751</w:t>
            </w:r>
          </w:p>
        </w:tc>
        <w:tc>
          <w:tcPr>
            <w:tcW w:w="1262"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19 362 372</w:t>
            </w:r>
          </w:p>
        </w:tc>
        <w:tc>
          <w:tcPr>
            <w:tcW w:w="1140"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78 688 455</w:t>
            </w:r>
          </w:p>
        </w:tc>
      </w:tr>
      <w:tr w:rsidR="00F106D3" w:rsidRPr="000B697A" w:rsidTr="0034033B">
        <w:trPr>
          <w:trHeight w:val="17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F106D3" w:rsidRPr="000B697A" w:rsidRDefault="00F106D3" w:rsidP="0034033B">
            <w:pPr>
              <w:jc w:val="left"/>
              <w:rPr>
                <w:rFonts w:cs="Calibri"/>
                <w:color w:val="000000"/>
                <w:sz w:val="18"/>
                <w:szCs w:val="18"/>
              </w:rPr>
            </w:pPr>
            <w:r w:rsidRPr="000B697A">
              <w:rPr>
                <w:rFonts w:cs="Calibri"/>
                <w:color w:val="000000"/>
                <w:sz w:val="18"/>
                <w:szCs w:val="18"/>
              </w:rPr>
              <w:t>Преработваща промишленост</w:t>
            </w:r>
          </w:p>
        </w:tc>
        <w:tc>
          <w:tcPr>
            <w:tcW w:w="868"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11 213</w:t>
            </w:r>
          </w:p>
        </w:tc>
        <w:tc>
          <w:tcPr>
            <w:tcW w:w="1262"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11 459 185</w:t>
            </w:r>
          </w:p>
        </w:tc>
        <w:tc>
          <w:tcPr>
            <w:tcW w:w="1140"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50 042 425</w:t>
            </w:r>
          </w:p>
        </w:tc>
      </w:tr>
      <w:tr w:rsidR="00F106D3" w:rsidRPr="000B697A" w:rsidTr="0034033B">
        <w:trPr>
          <w:trHeight w:val="17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F106D3" w:rsidRPr="000B697A" w:rsidRDefault="00F106D3" w:rsidP="0034033B">
            <w:pPr>
              <w:jc w:val="left"/>
              <w:rPr>
                <w:rFonts w:cs="Calibri"/>
                <w:color w:val="000000"/>
                <w:sz w:val="18"/>
                <w:szCs w:val="18"/>
              </w:rPr>
            </w:pPr>
            <w:r w:rsidRPr="000B697A">
              <w:rPr>
                <w:rFonts w:cs="Calibri"/>
                <w:color w:val="000000"/>
                <w:sz w:val="18"/>
                <w:szCs w:val="18"/>
              </w:rPr>
              <w:t>Създаване и разпространение на информация и творчески продукти; далекосъобщения</w:t>
            </w:r>
          </w:p>
        </w:tc>
        <w:tc>
          <w:tcPr>
            <w:tcW w:w="868"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119</w:t>
            </w:r>
          </w:p>
        </w:tc>
        <w:tc>
          <w:tcPr>
            <w:tcW w:w="1262"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760 079</w:t>
            </w:r>
          </w:p>
        </w:tc>
        <w:tc>
          <w:tcPr>
            <w:tcW w:w="1140"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7 672 101</w:t>
            </w:r>
          </w:p>
        </w:tc>
      </w:tr>
      <w:tr w:rsidR="00F106D3" w:rsidRPr="000B697A" w:rsidTr="0034033B">
        <w:trPr>
          <w:trHeight w:val="17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F106D3" w:rsidRPr="000B697A" w:rsidRDefault="00F106D3" w:rsidP="0034033B">
            <w:pPr>
              <w:jc w:val="left"/>
              <w:rPr>
                <w:rFonts w:cs="Calibri"/>
                <w:color w:val="000000"/>
                <w:sz w:val="18"/>
                <w:szCs w:val="18"/>
              </w:rPr>
            </w:pPr>
            <w:r w:rsidRPr="000B697A">
              <w:rPr>
                <w:rFonts w:cs="Calibri"/>
                <w:color w:val="000000"/>
                <w:sz w:val="18"/>
                <w:szCs w:val="18"/>
              </w:rPr>
              <w:t>Професионални дейности и научни изследвания</w:t>
            </w:r>
          </w:p>
        </w:tc>
        <w:tc>
          <w:tcPr>
            <w:tcW w:w="868"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2 894</w:t>
            </w:r>
          </w:p>
        </w:tc>
        <w:tc>
          <w:tcPr>
            <w:tcW w:w="1262"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5 410 444</w:t>
            </w:r>
          </w:p>
        </w:tc>
        <w:tc>
          <w:tcPr>
            <w:tcW w:w="1140"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6 558 045</w:t>
            </w:r>
          </w:p>
        </w:tc>
      </w:tr>
      <w:tr w:rsidR="00F106D3" w:rsidRPr="000B697A" w:rsidTr="0034033B">
        <w:trPr>
          <w:trHeight w:val="17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F106D3" w:rsidRPr="000B697A" w:rsidRDefault="00F106D3" w:rsidP="0034033B">
            <w:pPr>
              <w:jc w:val="left"/>
              <w:rPr>
                <w:rFonts w:cs="Calibri"/>
                <w:color w:val="000000"/>
                <w:sz w:val="18"/>
                <w:szCs w:val="18"/>
              </w:rPr>
            </w:pPr>
            <w:r w:rsidRPr="000B697A">
              <w:rPr>
                <w:rFonts w:cs="Calibri"/>
                <w:color w:val="000000"/>
                <w:sz w:val="18"/>
                <w:szCs w:val="18"/>
              </w:rPr>
              <w:t>Строителство</w:t>
            </w:r>
          </w:p>
        </w:tc>
        <w:tc>
          <w:tcPr>
            <w:tcW w:w="868"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1 238</w:t>
            </w:r>
          </w:p>
        </w:tc>
        <w:tc>
          <w:tcPr>
            <w:tcW w:w="1262"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4 373 651</w:t>
            </w:r>
          </w:p>
        </w:tc>
        <w:tc>
          <w:tcPr>
            <w:tcW w:w="1140"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4 296 975</w:t>
            </w:r>
          </w:p>
        </w:tc>
      </w:tr>
      <w:tr w:rsidR="00F106D3" w:rsidRPr="000B697A" w:rsidTr="0034033B">
        <w:trPr>
          <w:trHeight w:val="17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F106D3" w:rsidRPr="000B697A" w:rsidRDefault="00F106D3" w:rsidP="0034033B">
            <w:pPr>
              <w:jc w:val="left"/>
              <w:rPr>
                <w:rFonts w:cs="Calibri"/>
                <w:color w:val="000000"/>
                <w:sz w:val="18"/>
                <w:szCs w:val="18"/>
              </w:rPr>
            </w:pPr>
            <w:r w:rsidRPr="000B697A">
              <w:rPr>
                <w:rFonts w:cs="Calibri"/>
                <w:color w:val="000000"/>
                <w:sz w:val="18"/>
                <w:szCs w:val="18"/>
              </w:rPr>
              <w:t>Търговия; ремонт на автомобили и мотоциклети</w:t>
            </w:r>
          </w:p>
        </w:tc>
        <w:tc>
          <w:tcPr>
            <w:tcW w:w="868"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2 015</w:t>
            </w:r>
          </w:p>
        </w:tc>
        <w:tc>
          <w:tcPr>
            <w:tcW w:w="1262"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2 899 018</w:t>
            </w:r>
          </w:p>
        </w:tc>
        <w:tc>
          <w:tcPr>
            <w:tcW w:w="1140"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3 424 764</w:t>
            </w:r>
          </w:p>
        </w:tc>
      </w:tr>
      <w:tr w:rsidR="00F106D3" w:rsidRPr="000B697A" w:rsidTr="0034033B">
        <w:trPr>
          <w:trHeight w:val="17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F106D3" w:rsidRPr="000B697A" w:rsidRDefault="00F106D3" w:rsidP="0034033B">
            <w:pPr>
              <w:jc w:val="left"/>
              <w:rPr>
                <w:rFonts w:cs="Calibri"/>
                <w:color w:val="000000"/>
                <w:sz w:val="18"/>
                <w:szCs w:val="18"/>
              </w:rPr>
            </w:pPr>
            <w:r w:rsidRPr="000B697A">
              <w:rPr>
                <w:rFonts w:cs="Calibri"/>
                <w:color w:val="000000"/>
                <w:sz w:val="18"/>
                <w:szCs w:val="18"/>
              </w:rPr>
              <w:t>Производство и разпределение на електрическа и топлинна енергия и на газообразни горива</w:t>
            </w:r>
          </w:p>
        </w:tc>
        <w:tc>
          <w:tcPr>
            <w:tcW w:w="868"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724</w:t>
            </w:r>
          </w:p>
        </w:tc>
        <w:tc>
          <w:tcPr>
            <w:tcW w:w="1262"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38 098</w:t>
            </w:r>
          </w:p>
        </w:tc>
        <w:tc>
          <w:tcPr>
            <w:tcW w:w="1140"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3 277 673</w:t>
            </w:r>
          </w:p>
        </w:tc>
      </w:tr>
      <w:tr w:rsidR="00F106D3" w:rsidRPr="000B697A" w:rsidTr="0034033B">
        <w:trPr>
          <w:trHeight w:val="17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F106D3" w:rsidRPr="000B697A" w:rsidRDefault="00F106D3" w:rsidP="0034033B">
            <w:pPr>
              <w:jc w:val="left"/>
              <w:rPr>
                <w:rFonts w:cs="Calibri"/>
                <w:color w:val="000000"/>
                <w:sz w:val="18"/>
                <w:szCs w:val="18"/>
              </w:rPr>
            </w:pPr>
            <w:r w:rsidRPr="000B697A">
              <w:rPr>
                <w:rFonts w:cs="Calibri"/>
                <w:color w:val="000000"/>
                <w:sz w:val="18"/>
                <w:szCs w:val="18"/>
              </w:rPr>
              <w:t>Хотелиерство и ресторантьорство</w:t>
            </w:r>
          </w:p>
        </w:tc>
        <w:tc>
          <w:tcPr>
            <w:tcW w:w="868"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929</w:t>
            </w:r>
          </w:p>
        </w:tc>
        <w:tc>
          <w:tcPr>
            <w:tcW w:w="1262"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51 827</w:t>
            </w:r>
          </w:p>
        </w:tc>
        <w:tc>
          <w:tcPr>
            <w:tcW w:w="1140"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1 747 055</w:t>
            </w:r>
          </w:p>
        </w:tc>
      </w:tr>
      <w:tr w:rsidR="00F106D3" w:rsidRPr="000B697A" w:rsidTr="0034033B">
        <w:trPr>
          <w:trHeight w:val="17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F106D3" w:rsidRPr="000B697A" w:rsidRDefault="00F106D3" w:rsidP="0034033B">
            <w:pPr>
              <w:jc w:val="left"/>
              <w:rPr>
                <w:rFonts w:cs="Calibri"/>
                <w:color w:val="000000"/>
                <w:sz w:val="18"/>
                <w:szCs w:val="18"/>
              </w:rPr>
            </w:pPr>
            <w:r w:rsidRPr="000B697A">
              <w:rPr>
                <w:rFonts w:cs="Calibri"/>
                <w:color w:val="000000"/>
                <w:sz w:val="18"/>
                <w:szCs w:val="18"/>
              </w:rPr>
              <w:t>Добивна промишленост</w:t>
            </w:r>
          </w:p>
        </w:tc>
        <w:tc>
          <w:tcPr>
            <w:tcW w:w="868"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263</w:t>
            </w:r>
          </w:p>
        </w:tc>
        <w:tc>
          <w:tcPr>
            <w:tcW w:w="1262"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215 446</w:t>
            </w:r>
          </w:p>
        </w:tc>
        <w:tc>
          <w:tcPr>
            <w:tcW w:w="1140"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1 572 754</w:t>
            </w:r>
          </w:p>
        </w:tc>
      </w:tr>
      <w:tr w:rsidR="00F106D3" w:rsidRPr="000B697A" w:rsidTr="0034033B">
        <w:trPr>
          <w:trHeight w:val="17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F106D3" w:rsidRPr="000B697A" w:rsidRDefault="00F106D3" w:rsidP="0034033B">
            <w:pPr>
              <w:jc w:val="left"/>
              <w:rPr>
                <w:rFonts w:cs="Calibri"/>
                <w:color w:val="000000"/>
                <w:sz w:val="18"/>
                <w:szCs w:val="18"/>
              </w:rPr>
            </w:pPr>
            <w:r w:rsidRPr="000B697A">
              <w:rPr>
                <w:rFonts w:cs="Calibri"/>
                <w:color w:val="000000"/>
                <w:sz w:val="18"/>
                <w:szCs w:val="18"/>
              </w:rPr>
              <w:t>Транспорт, складиране и пощи</w:t>
            </w:r>
          </w:p>
        </w:tc>
        <w:tc>
          <w:tcPr>
            <w:tcW w:w="868"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480</w:t>
            </w:r>
          </w:p>
        </w:tc>
        <w:tc>
          <w:tcPr>
            <w:tcW w:w="1262"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858 317</w:t>
            </w:r>
          </w:p>
        </w:tc>
        <w:tc>
          <w:tcPr>
            <w:tcW w:w="1140" w:type="dxa"/>
            <w:tcBorders>
              <w:top w:val="nil"/>
              <w:left w:val="nil"/>
              <w:bottom w:val="single" w:sz="4" w:space="0" w:color="auto"/>
              <w:right w:val="single" w:sz="4" w:space="0" w:color="auto"/>
            </w:tcBorders>
            <w:shd w:val="clear" w:color="auto" w:fill="auto"/>
            <w:noWrap/>
            <w:vAlign w:val="bottom"/>
            <w:hideMark/>
          </w:tcPr>
          <w:p w:rsidR="00F106D3" w:rsidRPr="000B697A" w:rsidRDefault="00F106D3" w:rsidP="0034033B">
            <w:pPr>
              <w:jc w:val="right"/>
              <w:rPr>
                <w:rFonts w:cs="Calibri"/>
                <w:color w:val="000000"/>
                <w:sz w:val="18"/>
                <w:szCs w:val="18"/>
              </w:rPr>
            </w:pPr>
            <w:r w:rsidRPr="000B697A">
              <w:rPr>
                <w:rFonts w:cs="Calibri"/>
                <w:color w:val="000000"/>
                <w:sz w:val="18"/>
                <w:szCs w:val="18"/>
              </w:rPr>
              <w:t>1 299 595</w:t>
            </w:r>
          </w:p>
        </w:tc>
      </w:tr>
    </w:tbl>
    <w:p w:rsidR="001923AD" w:rsidRDefault="001923AD">
      <w:pPr>
        <w:rPr>
          <w:rFonts w:cs="Calibri"/>
          <w:sz w:val="8"/>
          <w:szCs w:val="8"/>
        </w:rPr>
      </w:pPr>
      <w:bookmarkStart w:id="16" w:name="_Toc319930454"/>
      <w:bookmarkStart w:id="17" w:name="_Toc320544659"/>
      <w:bookmarkEnd w:id="16"/>
      <w:bookmarkEnd w:id="17"/>
    </w:p>
    <w:p w:rsidR="001923AD" w:rsidRDefault="001923AD">
      <w:pPr>
        <w:spacing w:line="240" w:lineRule="auto"/>
        <w:jc w:val="left"/>
        <w:rPr>
          <w:rFonts w:cs="Calibri"/>
          <w:sz w:val="8"/>
          <w:szCs w:val="8"/>
        </w:rPr>
      </w:pPr>
      <w:r>
        <w:rPr>
          <w:rFonts w:cs="Calibri"/>
          <w:sz w:val="8"/>
          <w:szCs w:val="8"/>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875382" w:rsidRPr="000B697A" w:rsidTr="00811C9D">
        <w:trPr>
          <w:jc w:val="center"/>
        </w:trPr>
        <w:tc>
          <w:tcPr>
            <w:tcW w:w="9818" w:type="dxa"/>
          </w:tcPr>
          <w:p w:rsidR="00875382" w:rsidRPr="000B697A" w:rsidRDefault="00875382" w:rsidP="00F106D3">
            <w:pPr>
              <w:pStyle w:val="ChartHeader"/>
              <w:rPr>
                <w:rFonts w:cs="Calibri"/>
              </w:rPr>
            </w:pPr>
            <w:r w:rsidRPr="000B697A">
              <w:rPr>
                <w:rFonts w:cs="Calibri"/>
              </w:rPr>
              <w:lastRenderedPageBreak/>
              <w:t>Графика 4: Структура на търговията на БФБ през 201</w:t>
            </w:r>
            <w:r w:rsidR="00120C84">
              <w:rPr>
                <w:rFonts w:cs="Calibri"/>
              </w:rPr>
              <w:t>8</w:t>
            </w:r>
            <w:r w:rsidR="00541757" w:rsidRPr="000B697A">
              <w:rPr>
                <w:rFonts w:cs="Calibri"/>
              </w:rPr>
              <w:t xml:space="preserve"> година</w:t>
            </w:r>
          </w:p>
        </w:tc>
      </w:tr>
      <w:tr w:rsidR="00875382" w:rsidRPr="000B697A" w:rsidTr="00811C9D">
        <w:trPr>
          <w:jc w:val="center"/>
        </w:trPr>
        <w:tc>
          <w:tcPr>
            <w:tcW w:w="9818" w:type="dxa"/>
          </w:tcPr>
          <w:p w:rsidR="00875382" w:rsidRPr="000B697A" w:rsidRDefault="00F106D3" w:rsidP="00011853">
            <w:pPr>
              <w:rPr>
                <w:rFonts w:cs="Calibri"/>
                <w:b/>
              </w:rPr>
            </w:pPr>
            <w:r w:rsidRPr="000B697A">
              <w:rPr>
                <w:rFonts w:cs="Calibri"/>
                <w:noProof/>
                <w:lang w:val="en-US" w:eastAsia="en-US"/>
              </w:rPr>
              <w:drawing>
                <wp:inline distT="0" distB="0" distL="0" distR="0">
                  <wp:extent cx="6141085" cy="2632874"/>
                  <wp:effectExtent l="0" t="0" r="0" b="0"/>
                  <wp:docPr id="31" name="Chart 31">
                    <a:extLst xmlns:a="http://schemas.openxmlformats.org/drawingml/2006/main">
                      <a:ext uri="{FF2B5EF4-FFF2-40B4-BE49-F238E27FC236}">
                        <a16:creationId xmlns:a16="http://schemas.microsoft.com/office/drawing/2014/main" id="{F285F252-FD76-47C3-B28B-D3DB216D0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FC52F4" w:rsidRPr="000B697A" w:rsidRDefault="008F0DA2" w:rsidP="0016443B">
      <w:pPr>
        <w:pStyle w:val="SubNumbers"/>
        <w:rPr>
          <w:rFonts w:cs="Calibri"/>
        </w:rPr>
      </w:pPr>
      <w:bookmarkStart w:id="18" w:name="_Toc6923241"/>
      <w:r w:rsidRPr="000B697A">
        <w:rPr>
          <w:rFonts w:cs="Calibri"/>
        </w:rPr>
        <w:t>Регистрирани емисии финансови инструменти на Б</w:t>
      </w:r>
      <w:bookmarkEnd w:id="15"/>
      <w:r w:rsidR="00F106D3" w:rsidRPr="000B697A">
        <w:rPr>
          <w:rFonts w:cs="Calibri"/>
        </w:rPr>
        <w:t>ългарска фондова борса</w:t>
      </w:r>
      <w:bookmarkEnd w:id="18"/>
    </w:p>
    <w:p w:rsidR="00F106D3" w:rsidRPr="000B697A" w:rsidRDefault="00F106D3" w:rsidP="00F106D3">
      <w:pPr>
        <w:rPr>
          <w:rFonts w:cs="Calibri"/>
        </w:rPr>
      </w:pPr>
      <w:r w:rsidRPr="000B697A">
        <w:rPr>
          <w:rFonts w:cs="Calibri"/>
        </w:rPr>
        <w:t>Броят на емисиите финансови инструменти, допуснати до търговия на пазарите, организирани от Българска фондова борса, бе 381 към 31 декември 2018-а година. За сравнение, той бе 409 към 31 декември 2017-а година (Виж Таблица 4).</w:t>
      </w:r>
    </w:p>
    <w:p w:rsidR="00701D5F" w:rsidRPr="000B697A" w:rsidRDefault="00F106D3" w:rsidP="00F106D3">
      <w:pPr>
        <w:rPr>
          <w:rFonts w:cs="Calibri"/>
        </w:rPr>
      </w:pPr>
      <w:r w:rsidRPr="000B697A">
        <w:rPr>
          <w:rFonts w:cs="Calibri"/>
        </w:rPr>
        <w:t xml:space="preserve">Една нова емисия беше регистрирана на сегмент за акции Premium, а регистрираните на сегмент Standard емисии намаляха с двадесет, както заради премествания, така и поради </w:t>
      </w:r>
      <w:proofErr w:type="spellStart"/>
      <w:r w:rsidRPr="000B697A">
        <w:rPr>
          <w:rFonts w:cs="Calibri"/>
        </w:rPr>
        <w:t>делистване</w:t>
      </w:r>
      <w:proofErr w:type="spellEnd"/>
      <w:r w:rsidRPr="000B697A">
        <w:rPr>
          <w:rFonts w:cs="Calibri"/>
        </w:rPr>
        <w:t xml:space="preserve"> на дружества. С две емисии намаляха регистрираните на сегмент за АДСИЦ на Основния пазар, а тези на Алтернативния се увеличиха с четири. Десет нови борсово търгувани фонда бяха листвани на регулирания пазар през 2018 година. С единадесет нарасна броят емисии облигации, допуснати до търговия. Броят емисии акции на Алтернативен пазар намаля с 32, поради отписване на емисии и преместване на дружества от сегмент Standard. С една намаляха емисиите допуснати до търговия на стартиралия в края на 2017 година Сегмент за търговия с ДЦК на Основния пазар</w:t>
      </w:r>
      <w:r w:rsidR="00F62D9D" w:rsidRPr="000B697A">
        <w:rPr>
          <w:rFonts w:cs="Calibri"/>
        </w:rPr>
        <w:t>.</w:t>
      </w:r>
    </w:p>
    <w:p w:rsidR="00811C9D" w:rsidRPr="000B697A" w:rsidRDefault="0017729F" w:rsidP="00F106D3">
      <w:pPr>
        <w:pStyle w:val="ChartHeader"/>
        <w:rPr>
          <w:rFonts w:cs="Calibri"/>
        </w:rPr>
      </w:pPr>
      <w:r w:rsidRPr="000B697A">
        <w:rPr>
          <w:rFonts w:cs="Calibri"/>
        </w:rPr>
        <w:t>Таблица 4.</w:t>
      </w:r>
      <w:r w:rsidRPr="000B697A">
        <w:rPr>
          <w:rFonts w:cs="Calibri"/>
          <w:i/>
        </w:rPr>
        <w:t xml:space="preserve"> </w:t>
      </w:r>
      <w:r w:rsidRPr="000B697A">
        <w:rPr>
          <w:rFonts w:cs="Calibri"/>
        </w:rPr>
        <w:t>Допуснати до търговия емисии финансови инструменти</w:t>
      </w:r>
    </w:p>
    <w:tbl>
      <w:tblPr>
        <w:tblW w:w="9544" w:type="dxa"/>
        <w:jc w:val="center"/>
        <w:tblLook w:val="04A0" w:firstRow="1" w:lastRow="0" w:firstColumn="1" w:lastColumn="0" w:noHBand="0" w:noVBand="1"/>
      </w:tblPr>
      <w:tblGrid>
        <w:gridCol w:w="5776"/>
        <w:gridCol w:w="1341"/>
        <w:gridCol w:w="1341"/>
        <w:gridCol w:w="1086"/>
      </w:tblGrid>
      <w:tr w:rsidR="00811C9D" w:rsidRPr="000B697A" w:rsidTr="00811C9D">
        <w:trPr>
          <w:trHeight w:val="170"/>
          <w:jc w:val="center"/>
        </w:trPr>
        <w:tc>
          <w:tcPr>
            <w:tcW w:w="5776" w:type="dxa"/>
            <w:tcBorders>
              <w:top w:val="nil"/>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811C9D" w:rsidRPr="000B697A" w:rsidRDefault="00811C9D" w:rsidP="00811C9D">
            <w:pPr>
              <w:jc w:val="left"/>
              <w:rPr>
                <w:rFonts w:cs="Calibri"/>
                <w:b/>
                <w:bCs/>
                <w:color w:val="FFFFFF"/>
                <w:sz w:val="20"/>
                <w:szCs w:val="20"/>
                <w:lang w:val="en-US" w:eastAsia="en-US"/>
              </w:rPr>
            </w:pPr>
            <w:r w:rsidRPr="000B697A">
              <w:rPr>
                <w:rFonts w:cs="Calibri"/>
                <w:b/>
                <w:bCs/>
                <w:color w:val="FFFFFF"/>
                <w:sz w:val="20"/>
                <w:szCs w:val="20"/>
                <w:lang w:eastAsia="en-US"/>
              </w:rPr>
              <w:t>Пазарен сегмент</w:t>
            </w:r>
            <w:r w:rsidR="0034033B" w:rsidRPr="000B697A">
              <w:rPr>
                <w:rFonts w:cs="Calibri"/>
                <w:b/>
                <w:bCs/>
                <w:color w:val="FFFFFF"/>
                <w:sz w:val="20"/>
                <w:szCs w:val="20"/>
                <w:lang w:eastAsia="en-US"/>
              </w:rPr>
              <w:t xml:space="preserve"> </w:t>
            </w:r>
            <w:r w:rsidR="0034033B" w:rsidRPr="000B697A">
              <w:rPr>
                <w:rFonts w:cs="Calibri"/>
                <w:b/>
                <w:bCs/>
                <w:color w:val="FFFFFF"/>
                <w:sz w:val="20"/>
                <w:szCs w:val="20"/>
                <w:lang w:val="en-US" w:eastAsia="en-US"/>
              </w:rPr>
              <w:t xml:space="preserve">\ </w:t>
            </w:r>
            <w:r w:rsidR="0034033B" w:rsidRPr="000B697A">
              <w:rPr>
                <w:rFonts w:cs="Calibri"/>
                <w:b/>
                <w:bCs/>
                <w:color w:val="FFFFFF"/>
                <w:sz w:val="20"/>
                <w:szCs w:val="20"/>
                <w:lang w:eastAsia="en-US"/>
              </w:rPr>
              <w:t>Брой регистрирани емисии</w:t>
            </w:r>
          </w:p>
        </w:tc>
        <w:tc>
          <w:tcPr>
            <w:tcW w:w="1341"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811C9D" w:rsidRPr="000B697A" w:rsidRDefault="00811C9D" w:rsidP="0034033B">
            <w:pPr>
              <w:jc w:val="center"/>
              <w:rPr>
                <w:rFonts w:cs="Calibri"/>
                <w:b/>
                <w:bCs/>
                <w:color w:val="FFFFFF"/>
                <w:sz w:val="20"/>
                <w:szCs w:val="20"/>
                <w:lang w:val="en-US" w:eastAsia="en-US"/>
              </w:rPr>
            </w:pPr>
            <w:r w:rsidRPr="000B697A">
              <w:rPr>
                <w:rFonts w:cs="Calibri"/>
                <w:b/>
                <w:bCs/>
                <w:color w:val="FFFFFF"/>
                <w:sz w:val="20"/>
                <w:szCs w:val="20"/>
                <w:lang w:eastAsia="en-US"/>
              </w:rPr>
              <w:t>31.12.201</w:t>
            </w:r>
            <w:r w:rsidR="0034033B" w:rsidRPr="000B697A">
              <w:rPr>
                <w:rFonts w:cs="Calibri"/>
                <w:b/>
                <w:bCs/>
                <w:color w:val="FFFFFF"/>
                <w:sz w:val="20"/>
                <w:szCs w:val="20"/>
                <w:lang w:val="en-US" w:eastAsia="en-US"/>
              </w:rPr>
              <w:t>7</w:t>
            </w:r>
          </w:p>
        </w:tc>
        <w:tc>
          <w:tcPr>
            <w:tcW w:w="1341"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811C9D" w:rsidRPr="000B697A" w:rsidRDefault="00811C9D" w:rsidP="0034033B">
            <w:pPr>
              <w:jc w:val="center"/>
              <w:rPr>
                <w:rFonts w:cs="Calibri"/>
                <w:b/>
                <w:bCs/>
                <w:color w:val="FFFFFF"/>
                <w:sz w:val="20"/>
                <w:szCs w:val="20"/>
                <w:lang w:val="en-US" w:eastAsia="en-US"/>
              </w:rPr>
            </w:pPr>
            <w:r w:rsidRPr="000B697A">
              <w:rPr>
                <w:rFonts w:cs="Calibri"/>
                <w:b/>
                <w:bCs/>
                <w:color w:val="FFFFFF"/>
                <w:sz w:val="20"/>
                <w:szCs w:val="20"/>
                <w:lang w:eastAsia="en-US"/>
              </w:rPr>
              <w:t>31.12.201</w:t>
            </w:r>
            <w:r w:rsidR="0034033B" w:rsidRPr="000B697A">
              <w:rPr>
                <w:rFonts w:cs="Calibri"/>
                <w:b/>
                <w:bCs/>
                <w:color w:val="FFFFFF"/>
                <w:sz w:val="20"/>
                <w:szCs w:val="20"/>
                <w:lang w:val="en-US" w:eastAsia="en-US"/>
              </w:rPr>
              <w:t>8</w:t>
            </w:r>
          </w:p>
        </w:tc>
        <w:tc>
          <w:tcPr>
            <w:tcW w:w="1086"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811C9D" w:rsidRPr="000B697A" w:rsidRDefault="00811C9D" w:rsidP="0034033B">
            <w:pPr>
              <w:jc w:val="center"/>
              <w:rPr>
                <w:rFonts w:cs="Calibri"/>
                <w:b/>
                <w:bCs/>
                <w:color w:val="FFFFFF"/>
                <w:sz w:val="20"/>
                <w:szCs w:val="20"/>
                <w:lang w:eastAsia="en-US"/>
              </w:rPr>
            </w:pPr>
            <w:r w:rsidRPr="000B697A">
              <w:rPr>
                <w:rFonts w:cs="Calibri"/>
                <w:b/>
                <w:bCs/>
                <w:color w:val="FFFFFF"/>
                <w:sz w:val="20"/>
                <w:szCs w:val="20"/>
                <w:lang w:eastAsia="en-US"/>
              </w:rPr>
              <w:t>промяна</w:t>
            </w:r>
          </w:p>
        </w:tc>
      </w:tr>
      <w:tr w:rsidR="0034033B" w:rsidRPr="000B697A" w:rsidTr="0034033B">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акции Premium,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6</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7</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w:t>
            </w:r>
          </w:p>
        </w:tc>
      </w:tr>
      <w:tr w:rsidR="0034033B" w:rsidRPr="000B697A" w:rsidTr="0034033B">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акции Standard,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80</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60</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-20</w:t>
            </w:r>
          </w:p>
        </w:tc>
      </w:tr>
      <w:tr w:rsidR="0034033B" w:rsidRPr="000B697A" w:rsidTr="0034033B">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борсово търгувани продукти,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3</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13</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10</w:t>
            </w:r>
          </w:p>
        </w:tc>
      </w:tr>
      <w:tr w:rsidR="0034033B" w:rsidRPr="000B697A" w:rsidTr="0034033B">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АДСИЦ,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14</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12</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-2</w:t>
            </w:r>
          </w:p>
        </w:tc>
      </w:tr>
      <w:tr w:rsidR="0034033B" w:rsidRPr="000B697A" w:rsidTr="0034033B">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ДЦК,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20</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19</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w:t>
            </w:r>
          </w:p>
        </w:tc>
      </w:tr>
      <w:tr w:rsidR="0034033B" w:rsidRPr="000B697A" w:rsidTr="0034033B">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компенсаторни инструменти,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3</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3</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0</w:t>
            </w:r>
          </w:p>
        </w:tc>
      </w:tr>
      <w:tr w:rsidR="0034033B" w:rsidRPr="000B697A" w:rsidTr="0034033B">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облигации,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55</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66</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11</w:t>
            </w:r>
          </w:p>
        </w:tc>
      </w:tr>
      <w:tr w:rsidR="0034033B" w:rsidRPr="000B697A" w:rsidTr="0034033B">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права,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1</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0</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w:t>
            </w:r>
          </w:p>
        </w:tc>
      </w:tr>
      <w:tr w:rsidR="0034033B" w:rsidRPr="000B697A" w:rsidTr="0034033B">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първично публично предлагане, BSE Market</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0</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2</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2</w:t>
            </w:r>
          </w:p>
        </w:tc>
      </w:tr>
      <w:tr w:rsidR="0034033B" w:rsidRPr="000B697A" w:rsidTr="0034033B">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 xml:space="preserve">Сегмент акции, пазар </w:t>
            </w:r>
            <w:proofErr w:type="spellStart"/>
            <w:r w:rsidRPr="000B697A">
              <w:rPr>
                <w:rFonts w:cs="Calibri"/>
                <w:color w:val="000000"/>
                <w:sz w:val="20"/>
                <w:szCs w:val="20"/>
                <w:lang w:eastAsia="en-US"/>
              </w:rPr>
              <w:t>BаSE</w:t>
            </w:r>
            <w:proofErr w:type="spellEnd"/>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186</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154</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-32</w:t>
            </w:r>
          </w:p>
        </w:tc>
      </w:tr>
      <w:tr w:rsidR="0034033B" w:rsidRPr="000B697A" w:rsidTr="0034033B">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 xml:space="preserve">Сегмент за АДСИЦ, пазар </w:t>
            </w:r>
            <w:proofErr w:type="spellStart"/>
            <w:r w:rsidRPr="000B697A">
              <w:rPr>
                <w:rFonts w:cs="Calibri"/>
                <w:color w:val="000000"/>
                <w:sz w:val="20"/>
                <w:szCs w:val="20"/>
                <w:lang w:eastAsia="en-US"/>
              </w:rPr>
              <w:t>BаSE</w:t>
            </w:r>
            <w:proofErr w:type="spellEnd"/>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41</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45</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4</w:t>
            </w:r>
          </w:p>
        </w:tc>
      </w:tr>
      <w:tr w:rsidR="0034033B" w:rsidRPr="000B697A" w:rsidTr="0034033B">
        <w:trPr>
          <w:trHeight w:val="170"/>
          <w:jc w:val="center"/>
        </w:trPr>
        <w:tc>
          <w:tcPr>
            <w:tcW w:w="577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left"/>
              <w:rPr>
                <w:rFonts w:cs="Calibri"/>
                <w:b/>
                <w:bCs/>
                <w:color w:val="000000"/>
                <w:sz w:val="20"/>
                <w:szCs w:val="20"/>
              </w:rPr>
            </w:pPr>
            <w:r w:rsidRPr="000B697A">
              <w:rPr>
                <w:rFonts w:cs="Calibri"/>
                <w:b/>
                <w:bCs/>
                <w:color w:val="000000"/>
                <w:sz w:val="20"/>
                <w:szCs w:val="20"/>
                <w:lang w:eastAsia="en-US"/>
              </w:rPr>
              <w:t>Общо</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b/>
                <w:bCs/>
                <w:color w:val="000000"/>
                <w:sz w:val="20"/>
                <w:szCs w:val="20"/>
              </w:rPr>
            </w:pPr>
            <w:r w:rsidRPr="000B697A">
              <w:rPr>
                <w:rFonts w:cs="Calibri"/>
                <w:b/>
                <w:bCs/>
                <w:color w:val="000000"/>
                <w:sz w:val="20"/>
                <w:szCs w:val="20"/>
                <w:lang w:eastAsia="en-US"/>
              </w:rPr>
              <w:t>409</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34033B" w:rsidRPr="000B697A" w:rsidRDefault="0034033B" w:rsidP="0034033B">
            <w:pPr>
              <w:jc w:val="right"/>
              <w:rPr>
                <w:rFonts w:cs="Calibri"/>
                <w:b/>
                <w:bCs/>
                <w:color w:val="000000"/>
                <w:sz w:val="20"/>
                <w:szCs w:val="20"/>
              </w:rPr>
            </w:pPr>
            <w:r w:rsidRPr="000B697A">
              <w:rPr>
                <w:rFonts w:cs="Calibri"/>
                <w:b/>
                <w:bCs/>
                <w:color w:val="000000"/>
                <w:sz w:val="20"/>
                <w:szCs w:val="20"/>
              </w:rPr>
              <w:t>381</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34033B" w:rsidRPr="000B697A" w:rsidRDefault="0034033B" w:rsidP="0034033B">
            <w:pPr>
              <w:jc w:val="right"/>
              <w:rPr>
                <w:rFonts w:cs="Calibri"/>
                <w:b/>
                <w:color w:val="000000"/>
                <w:sz w:val="20"/>
                <w:szCs w:val="20"/>
              </w:rPr>
            </w:pPr>
            <w:r w:rsidRPr="000B697A">
              <w:rPr>
                <w:rFonts w:cs="Calibri"/>
                <w:b/>
                <w:color w:val="000000"/>
                <w:sz w:val="20"/>
                <w:szCs w:val="20"/>
              </w:rPr>
              <w:t>-28</w:t>
            </w:r>
          </w:p>
        </w:tc>
      </w:tr>
    </w:tbl>
    <w:p w:rsidR="00811C9D" w:rsidRPr="000B697A" w:rsidRDefault="00811C9D" w:rsidP="00281505">
      <w:pPr>
        <w:rPr>
          <w:rFonts w:cs="Calibri"/>
          <w:sz w:val="8"/>
          <w:szCs w:val="8"/>
        </w:rPr>
      </w:pPr>
    </w:p>
    <w:tbl>
      <w:tblPr>
        <w:tblW w:w="0" w:type="auto"/>
        <w:jc w:val="center"/>
        <w:tblLook w:val="00A0" w:firstRow="1" w:lastRow="0" w:firstColumn="1" w:lastColumn="0" w:noHBand="0" w:noVBand="0"/>
      </w:tblPr>
      <w:tblGrid>
        <w:gridCol w:w="9583"/>
      </w:tblGrid>
      <w:tr w:rsidR="0017729F" w:rsidRPr="000B697A" w:rsidTr="00811C9D">
        <w:trPr>
          <w:jc w:val="center"/>
        </w:trPr>
        <w:tc>
          <w:tcPr>
            <w:tcW w:w="9583" w:type="dxa"/>
          </w:tcPr>
          <w:p w:rsidR="0017729F" w:rsidRPr="000B697A" w:rsidRDefault="00661FDD" w:rsidP="0034033B">
            <w:pPr>
              <w:pStyle w:val="ChartHeader"/>
              <w:rPr>
                <w:rFonts w:cs="Calibri"/>
              </w:rPr>
            </w:pPr>
            <w:r w:rsidRPr="000B697A">
              <w:rPr>
                <w:rFonts w:cs="Calibri"/>
              </w:rPr>
              <w:br w:type="page"/>
            </w:r>
            <w:r w:rsidR="0017729F" w:rsidRPr="000B697A">
              <w:rPr>
                <w:rFonts w:cs="Calibri"/>
                <w:sz w:val="20"/>
                <w:szCs w:val="20"/>
              </w:rPr>
              <w:br w:type="page"/>
            </w:r>
            <w:r w:rsidR="007C73D7" w:rsidRPr="000B697A">
              <w:rPr>
                <w:rFonts w:cs="Calibri"/>
              </w:rPr>
              <w:t>Графика 5</w:t>
            </w:r>
            <w:r w:rsidR="0017729F" w:rsidRPr="000B697A">
              <w:rPr>
                <w:rFonts w:cs="Calibri"/>
              </w:rPr>
              <w:t xml:space="preserve">: Регистрирани емисии по </w:t>
            </w:r>
            <w:r w:rsidR="0034033B" w:rsidRPr="000B697A">
              <w:rPr>
                <w:rFonts w:cs="Calibri"/>
              </w:rPr>
              <w:t>пазари към края на 2017-а и 2018-а година (обобщение по видове инструменти)</w:t>
            </w:r>
          </w:p>
        </w:tc>
      </w:tr>
      <w:tr w:rsidR="0017729F" w:rsidRPr="000B697A" w:rsidTr="00811C9D">
        <w:tblPrEx>
          <w:tblCellMar>
            <w:left w:w="70" w:type="dxa"/>
            <w:right w:w="70" w:type="dxa"/>
          </w:tblCellMar>
        </w:tblPrEx>
        <w:trPr>
          <w:jc w:val="center"/>
        </w:trPr>
        <w:tc>
          <w:tcPr>
            <w:tcW w:w="9583" w:type="dxa"/>
          </w:tcPr>
          <w:p w:rsidR="0017729F" w:rsidRPr="000B697A" w:rsidRDefault="0034033B" w:rsidP="00281505">
            <w:pPr>
              <w:rPr>
                <w:rFonts w:cs="Calibri"/>
              </w:rPr>
            </w:pPr>
            <w:r w:rsidRPr="000B697A">
              <w:rPr>
                <w:rFonts w:cs="Calibri"/>
                <w:noProof/>
                <w:lang w:val="en-US" w:eastAsia="en-US"/>
              </w:rPr>
              <w:drawing>
                <wp:inline distT="0" distB="0" distL="0" distR="0">
                  <wp:extent cx="5941434" cy="2769235"/>
                  <wp:effectExtent l="0" t="0" r="2540"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7D0731" w:rsidRPr="000B697A" w:rsidRDefault="00D95C21" w:rsidP="0016443B">
      <w:pPr>
        <w:pStyle w:val="SubNumbers"/>
        <w:rPr>
          <w:rFonts w:cs="Calibri"/>
        </w:rPr>
      </w:pPr>
      <w:bookmarkStart w:id="19" w:name="_Toc319930456"/>
      <w:bookmarkStart w:id="20" w:name="_Toc320544661"/>
      <w:bookmarkStart w:id="21" w:name="_Toc283112103"/>
      <w:bookmarkStart w:id="22" w:name="_Toc6923242"/>
      <w:bookmarkEnd w:id="19"/>
      <w:bookmarkEnd w:id="20"/>
      <w:r w:rsidRPr="000B697A">
        <w:rPr>
          <w:rFonts w:cs="Calibri"/>
        </w:rPr>
        <w:t>Нови емитенти, отписани емисии и увеличения на капита</w:t>
      </w:r>
      <w:bookmarkEnd w:id="21"/>
      <w:r w:rsidRPr="000B697A">
        <w:rPr>
          <w:rFonts w:cs="Calibri"/>
        </w:rPr>
        <w:t>л</w:t>
      </w:r>
      <w:bookmarkEnd w:id="22"/>
    </w:p>
    <w:p w:rsidR="0034033B" w:rsidRPr="000B697A" w:rsidRDefault="0034033B" w:rsidP="0034033B">
      <w:pPr>
        <w:rPr>
          <w:rFonts w:cs="Calibri"/>
        </w:rPr>
      </w:pPr>
      <w:bookmarkStart w:id="23" w:name="_Toc142469786"/>
      <w:bookmarkStart w:id="24" w:name="_Toc283112104"/>
      <w:bookmarkEnd w:id="11"/>
      <w:bookmarkEnd w:id="12"/>
      <w:r w:rsidRPr="000B697A">
        <w:rPr>
          <w:rFonts w:cs="Calibri"/>
        </w:rPr>
        <w:t xml:space="preserve">През </w:t>
      </w:r>
      <w:r w:rsidRPr="000B697A">
        <w:rPr>
          <w:rFonts w:cs="Calibri"/>
          <w:b/>
        </w:rPr>
        <w:t>първото тримесечие</w:t>
      </w:r>
      <w:r w:rsidRPr="000B697A">
        <w:rPr>
          <w:rFonts w:cs="Calibri"/>
        </w:rPr>
        <w:t xml:space="preserve"> на 2018 година имаше 16 нови емисии финансови инструменти, допуснати до търговия: осем бяха нови борсово търгувани фондове, четири бяха емисии облигации, а четири емисии бяха права. Прекратена бе регистрацията на двадесет и четири емисии, от които седемнадесет емисии акции, една емисия борсово търгувани продукти, три облигационни емисии и три емисии права. През това тримесечие едно дружество увеличи капитала си.</w:t>
      </w:r>
    </w:p>
    <w:p w:rsidR="0034033B" w:rsidRPr="000B697A" w:rsidRDefault="0034033B" w:rsidP="0034033B">
      <w:pPr>
        <w:rPr>
          <w:rFonts w:cs="Calibri"/>
        </w:rPr>
      </w:pPr>
      <w:r w:rsidRPr="000B697A">
        <w:rPr>
          <w:rFonts w:cs="Calibri"/>
        </w:rPr>
        <w:t xml:space="preserve">През </w:t>
      </w:r>
      <w:r w:rsidRPr="000B697A">
        <w:rPr>
          <w:rFonts w:cs="Calibri"/>
          <w:b/>
        </w:rPr>
        <w:t>второто тримесечие</w:t>
      </w:r>
      <w:r w:rsidRPr="000B697A">
        <w:rPr>
          <w:rFonts w:cs="Calibri"/>
        </w:rPr>
        <w:t xml:space="preserve"> на 2018 година имаше единадесет нови емисии, допуснати до търговия: две от тях бяха борсово търгувани фондове, шест бяха облигационни емисии и по една емисия права, акции на АДСИЦ и на сегмент Първично публично предлагане. Прекратена бе регистрацията на тридесет и една емисии акции, една емисия от сегмент Първично публично предлагане и една емисия права. През второто тримесечие четири дружества увеличиха капитала си.</w:t>
      </w:r>
    </w:p>
    <w:p w:rsidR="0034033B" w:rsidRPr="000B697A" w:rsidRDefault="0034033B" w:rsidP="0034033B">
      <w:pPr>
        <w:rPr>
          <w:rFonts w:cs="Calibri"/>
        </w:rPr>
      </w:pPr>
      <w:r w:rsidRPr="000B697A">
        <w:rPr>
          <w:rFonts w:cs="Calibri"/>
        </w:rPr>
        <w:t xml:space="preserve">През </w:t>
      </w:r>
      <w:r w:rsidRPr="000B697A">
        <w:rPr>
          <w:rFonts w:cs="Calibri"/>
          <w:b/>
        </w:rPr>
        <w:t>третото тримесечие</w:t>
      </w:r>
      <w:r w:rsidRPr="000B697A">
        <w:rPr>
          <w:rFonts w:cs="Calibri"/>
        </w:rPr>
        <w:t xml:space="preserve"> на 2018 година имаше единадесет нови емисии финансови инструменти, допуснати до търговия: една емисия акции на АДСИЦ, две облигационни емисии, две емисии акции и шест емисии на права. Прекратена бе регистрацията на тринадесет емисии, от които пет емисии акции, две облигационни емисии и шест емисии права. През това тримесечие три дружества увеличиха капитала си.</w:t>
      </w:r>
    </w:p>
    <w:p w:rsidR="0034033B" w:rsidRPr="000B697A" w:rsidRDefault="0034033B" w:rsidP="0034033B">
      <w:pPr>
        <w:pStyle w:val="NoSpacing"/>
        <w:spacing w:line="276" w:lineRule="auto"/>
        <w:jc w:val="both"/>
        <w:rPr>
          <w:rFonts w:ascii="Calibri" w:hAnsi="Calibri" w:cs="Calibri"/>
          <w:sz w:val="22"/>
          <w:szCs w:val="22"/>
        </w:rPr>
      </w:pPr>
      <w:r w:rsidRPr="000B697A">
        <w:rPr>
          <w:rFonts w:ascii="Calibri" w:hAnsi="Calibri" w:cs="Calibri"/>
          <w:sz w:val="22"/>
          <w:szCs w:val="22"/>
        </w:rPr>
        <w:t xml:space="preserve">През </w:t>
      </w:r>
      <w:r w:rsidRPr="000B697A">
        <w:rPr>
          <w:rFonts w:ascii="Calibri" w:hAnsi="Calibri" w:cs="Calibri"/>
          <w:b/>
          <w:sz w:val="22"/>
          <w:szCs w:val="22"/>
        </w:rPr>
        <w:t>четвъртото тримесечие</w:t>
      </w:r>
      <w:r w:rsidRPr="000B697A">
        <w:rPr>
          <w:rFonts w:ascii="Calibri" w:hAnsi="Calibri" w:cs="Calibri"/>
          <w:sz w:val="22"/>
          <w:szCs w:val="22"/>
        </w:rPr>
        <w:t xml:space="preserve"> на 2018 година имаше петнадесет нови емисии финансови инструменти, допуснати до търговия: една емисия акции, една емисия борсово търгувани продукти, една емисия акции на АДСИЦ, седем облигационни емисии и пет емисии на права. Прекратена бе регистрацията на девет емисии, от които две емисии акции, една облигационна емисия, една емисия ДЦК и пет емисии права. През четвъртото тримесечие пет дружества увеличиха капитала си.</w:t>
      </w:r>
    </w:p>
    <w:p w:rsidR="00D118F9" w:rsidRPr="000B697A" w:rsidRDefault="0034033B" w:rsidP="000B5C4C">
      <w:pPr>
        <w:rPr>
          <w:rFonts w:cs="Calibri"/>
        </w:rPr>
      </w:pPr>
      <w:r w:rsidRPr="000B697A">
        <w:rPr>
          <w:rFonts w:cs="Calibri"/>
        </w:rPr>
        <w:lastRenderedPageBreak/>
        <w:t>Емисиите права и регистрираните на сегмент Първично публично предлагане не са показани в данните по-горе, защото тяхната регистрация е временна. Често те се допускат до търговия и биват прекратени в едно и също тримесечие, което изкривява статистиката</w:t>
      </w:r>
      <w:r w:rsidR="00D118F9" w:rsidRPr="000B697A">
        <w:rPr>
          <w:rFonts w:cs="Calibri"/>
        </w:rPr>
        <w:t>.</w:t>
      </w:r>
    </w:p>
    <w:p w:rsidR="00811C9D" w:rsidRPr="000B697A" w:rsidRDefault="003B2660" w:rsidP="0034033B">
      <w:pPr>
        <w:pStyle w:val="ChartHeader"/>
        <w:rPr>
          <w:rFonts w:cs="Calibri"/>
        </w:rPr>
      </w:pPr>
      <w:r w:rsidRPr="000B697A">
        <w:rPr>
          <w:rFonts w:cs="Calibri"/>
        </w:rPr>
        <w:t>Таблица 5</w:t>
      </w:r>
      <w:r w:rsidR="00C1750E" w:rsidRPr="000B697A">
        <w:rPr>
          <w:rFonts w:cs="Calibri"/>
        </w:rPr>
        <w:t>.а</w:t>
      </w:r>
      <w:r w:rsidRPr="000B697A">
        <w:rPr>
          <w:rFonts w:cs="Calibri"/>
        </w:rPr>
        <w:t xml:space="preserve">. Нови емитенти, отписани емисии и увеличения на капитала през </w:t>
      </w:r>
      <w:r w:rsidR="00541757" w:rsidRPr="000B697A">
        <w:rPr>
          <w:rFonts w:cs="Calibri"/>
        </w:rPr>
        <w:t>текущата и предходната години</w:t>
      </w:r>
      <w:r w:rsidRPr="000B697A">
        <w:rPr>
          <w:rFonts w:cs="Calibri"/>
        </w:rPr>
        <w:t xml:space="preserve"> (обобщена информация</w:t>
      </w:r>
      <w:r w:rsidR="008C7401" w:rsidRPr="000B697A">
        <w:rPr>
          <w:rFonts w:cs="Calibri"/>
        </w:rPr>
        <w:t xml:space="preserve"> и сравнение</w:t>
      </w:r>
      <w:r w:rsidRPr="000B697A">
        <w:rPr>
          <w:rFonts w:cs="Calibri"/>
        </w:rPr>
        <w:t>)</w:t>
      </w:r>
    </w:p>
    <w:tbl>
      <w:tblPr>
        <w:tblW w:w="9273" w:type="dxa"/>
        <w:jc w:val="center"/>
        <w:tblCellMar>
          <w:left w:w="70" w:type="dxa"/>
          <w:right w:w="70" w:type="dxa"/>
        </w:tblCellMar>
        <w:tblLook w:val="04A0" w:firstRow="1" w:lastRow="0" w:firstColumn="1" w:lastColumn="0" w:noHBand="0" w:noVBand="1"/>
      </w:tblPr>
      <w:tblGrid>
        <w:gridCol w:w="6120"/>
        <w:gridCol w:w="1553"/>
        <w:gridCol w:w="1600"/>
      </w:tblGrid>
      <w:tr w:rsidR="0034033B" w:rsidRPr="000B697A" w:rsidTr="0034033B">
        <w:trPr>
          <w:trHeight w:val="170"/>
          <w:jc w:val="center"/>
        </w:trPr>
        <w:tc>
          <w:tcPr>
            <w:tcW w:w="6120"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34033B" w:rsidRPr="000B697A" w:rsidRDefault="0034033B" w:rsidP="0034033B">
            <w:pPr>
              <w:jc w:val="left"/>
              <w:rPr>
                <w:rFonts w:cs="Calibri"/>
                <w:b/>
                <w:bCs/>
                <w:color w:val="FFFFFF"/>
                <w:sz w:val="20"/>
                <w:szCs w:val="20"/>
              </w:rPr>
            </w:pPr>
            <w:r w:rsidRPr="000B697A">
              <w:rPr>
                <w:rFonts w:cs="Calibri"/>
                <w:b/>
                <w:bCs/>
                <w:color w:val="FFFFFF"/>
                <w:sz w:val="20"/>
                <w:szCs w:val="20"/>
                <w:lang w:eastAsia="en-US"/>
              </w:rPr>
              <w:t>Брой емисии, допуснати до търговия на БФБ за периода</w:t>
            </w:r>
          </w:p>
        </w:tc>
        <w:tc>
          <w:tcPr>
            <w:tcW w:w="1553" w:type="dxa"/>
            <w:tcBorders>
              <w:top w:val="single" w:sz="4" w:space="0" w:color="auto"/>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b/>
                <w:bCs/>
                <w:color w:val="FFFFFF"/>
                <w:sz w:val="20"/>
                <w:szCs w:val="20"/>
              </w:rPr>
            </w:pPr>
            <w:r w:rsidRPr="000B697A">
              <w:rPr>
                <w:rFonts w:cs="Calibri"/>
                <w:b/>
                <w:bCs/>
                <w:color w:val="FFFFFF"/>
                <w:sz w:val="20"/>
                <w:szCs w:val="20"/>
                <w:lang w:eastAsia="en-US"/>
              </w:rPr>
              <w:t>2017</w:t>
            </w:r>
          </w:p>
        </w:tc>
        <w:tc>
          <w:tcPr>
            <w:tcW w:w="1600" w:type="dxa"/>
            <w:tcBorders>
              <w:top w:val="single" w:sz="4" w:space="0" w:color="auto"/>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b/>
                <w:bCs/>
                <w:color w:val="FFFFFF"/>
                <w:sz w:val="20"/>
                <w:szCs w:val="20"/>
              </w:rPr>
            </w:pPr>
            <w:r w:rsidRPr="000B697A">
              <w:rPr>
                <w:rFonts w:cs="Calibri"/>
                <w:b/>
                <w:bCs/>
                <w:color w:val="FFFFFF"/>
                <w:sz w:val="20"/>
                <w:szCs w:val="20"/>
              </w:rPr>
              <w:t>2018</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Акции(без АДСИЦ)</w:t>
            </w:r>
          </w:p>
        </w:tc>
        <w:tc>
          <w:tcPr>
            <w:tcW w:w="1553" w:type="dxa"/>
            <w:tcBorders>
              <w:top w:val="nil"/>
              <w:left w:val="nil"/>
              <w:bottom w:val="single" w:sz="4" w:space="0" w:color="auto"/>
              <w:right w:val="single" w:sz="4" w:space="0" w:color="auto"/>
            </w:tcBorders>
            <w:shd w:val="clear" w:color="auto" w:fill="auto"/>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3</w:t>
            </w:r>
          </w:p>
        </w:tc>
        <w:tc>
          <w:tcPr>
            <w:tcW w:w="160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3</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Облигации</w:t>
            </w:r>
          </w:p>
        </w:tc>
        <w:tc>
          <w:tcPr>
            <w:tcW w:w="1553" w:type="dxa"/>
            <w:tcBorders>
              <w:top w:val="nil"/>
              <w:left w:val="nil"/>
              <w:bottom w:val="single" w:sz="4" w:space="0" w:color="auto"/>
              <w:right w:val="single" w:sz="4" w:space="0" w:color="auto"/>
            </w:tcBorders>
            <w:shd w:val="clear" w:color="auto" w:fill="auto"/>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9</w:t>
            </w:r>
          </w:p>
        </w:tc>
        <w:tc>
          <w:tcPr>
            <w:tcW w:w="160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16</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rPr>
              <w:t>Сегмент за борсово търгувани продукти</w:t>
            </w:r>
          </w:p>
        </w:tc>
        <w:tc>
          <w:tcPr>
            <w:tcW w:w="1553" w:type="dxa"/>
            <w:tcBorders>
              <w:top w:val="nil"/>
              <w:left w:val="nil"/>
              <w:bottom w:val="single" w:sz="4" w:space="0" w:color="auto"/>
              <w:right w:val="single" w:sz="4" w:space="0" w:color="auto"/>
            </w:tcBorders>
            <w:shd w:val="clear" w:color="auto" w:fill="auto"/>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0</w:t>
            </w:r>
          </w:p>
        </w:tc>
        <w:tc>
          <w:tcPr>
            <w:tcW w:w="160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11</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rPr>
              <w:t>АДСИЦ</w:t>
            </w:r>
          </w:p>
        </w:tc>
        <w:tc>
          <w:tcPr>
            <w:tcW w:w="1553" w:type="dxa"/>
            <w:tcBorders>
              <w:top w:val="nil"/>
              <w:left w:val="nil"/>
              <w:bottom w:val="single" w:sz="4" w:space="0" w:color="auto"/>
              <w:right w:val="single" w:sz="4" w:space="0" w:color="auto"/>
            </w:tcBorders>
            <w:shd w:val="clear" w:color="auto" w:fill="auto"/>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0</w:t>
            </w:r>
          </w:p>
        </w:tc>
        <w:tc>
          <w:tcPr>
            <w:tcW w:w="160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3</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Държавни ценни книжа</w:t>
            </w:r>
          </w:p>
        </w:tc>
        <w:tc>
          <w:tcPr>
            <w:tcW w:w="1553" w:type="dxa"/>
            <w:tcBorders>
              <w:top w:val="nil"/>
              <w:left w:val="nil"/>
              <w:bottom w:val="single" w:sz="4" w:space="0" w:color="auto"/>
              <w:right w:val="single" w:sz="4" w:space="0" w:color="auto"/>
            </w:tcBorders>
            <w:shd w:val="clear" w:color="auto" w:fill="auto"/>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20</w:t>
            </w:r>
          </w:p>
        </w:tc>
        <w:tc>
          <w:tcPr>
            <w:tcW w:w="160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lang w:val="en-US"/>
              </w:rPr>
            </w:pPr>
            <w:r w:rsidRPr="000B697A">
              <w:rPr>
                <w:rFonts w:cs="Calibri"/>
                <w:color w:val="000000"/>
                <w:sz w:val="20"/>
                <w:szCs w:val="20"/>
                <w:lang w:val="en-US"/>
              </w:rPr>
              <w:t>0</w:t>
            </w:r>
          </w:p>
        </w:tc>
      </w:tr>
      <w:tr w:rsidR="0034033B" w:rsidRPr="000B697A" w:rsidTr="0034033B">
        <w:trPr>
          <w:trHeight w:val="170"/>
          <w:jc w:val="center"/>
        </w:trPr>
        <w:tc>
          <w:tcPr>
            <w:tcW w:w="6120" w:type="dxa"/>
            <w:tcBorders>
              <w:top w:val="nil"/>
              <w:left w:val="nil"/>
              <w:bottom w:val="nil"/>
              <w:right w:val="nil"/>
            </w:tcBorders>
            <w:shd w:val="clear" w:color="auto" w:fill="auto"/>
            <w:noWrap/>
            <w:vAlign w:val="center"/>
            <w:hideMark/>
          </w:tcPr>
          <w:p w:rsidR="0034033B" w:rsidRPr="000B697A" w:rsidRDefault="0034033B" w:rsidP="0034033B">
            <w:pPr>
              <w:jc w:val="left"/>
              <w:rPr>
                <w:rFonts w:cs="Calibri"/>
                <w:color w:val="000000"/>
                <w:sz w:val="20"/>
                <w:szCs w:val="20"/>
              </w:rPr>
            </w:pPr>
          </w:p>
        </w:tc>
        <w:tc>
          <w:tcPr>
            <w:tcW w:w="1553" w:type="dxa"/>
            <w:tcBorders>
              <w:top w:val="nil"/>
              <w:left w:val="nil"/>
              <w:bottom w:val="nil"/>
              <w:right w:val="nil"/>
            </w:tcBorders>
            <w:shd w:val="clear" w:color="auto" w:fill="auto"/>
            <w:noWrap/>
            <w:vAlign w:val="bottom"/>
            <w:hideMark/>
          </w:tcPr>
          <w:p w:rsidR="0034033B" w:rsidRPr="000B697A" w:rsidRDefault="0034033B" w:rsidP="0034033B">
            <w:pPr>
              <w:jc w:val="right"/>
              <w:rPr>
                <w:rFonts w:cs="Calibri"/>
                <w:sz w:val="20"/>
                <w:szCs w:val="20"/>
              </w:rPr>
            </w:pPr>
          </w:p>
        </w:tc>
        <w:tc>
          <w:tcPr>
            <w:tcW w:w="1600" w:type="dxa"/>
            <w:tcBorders>
              <w:top w:val="nil"/>
              <w:left w:val="nil"/>
              <w:bottom w:val="nil"/>
              <w:right w:val="nil"/>
            </w:tcBorders>
            <w:shd w:val="clear" w:color="auto" w:fill="auto"/>
            <w:noWrap/>
            <w:vAlign w:val="bottom"/>
            <w:hideMark/>
          </w:tcPr>
          <w:p w:rsidR="0034033B" w:rsidRPr="000B697A" w:rsidRDefault="0034033B" w:rsidP="0034033B">
            <w:pPr>
              <w:jc w:val="right"/>
              <w:rPr>
                <w:rFonts w:cs="Calibri"/>
                <w:sz w:val="20"/>
                <w:szCs w:val="20"/>
              </w:rPr>
            </w:pPr>
          </w:p>
        </w:tc>
      </w:tr>
      <w:tr w:rsidR="0034033B" w:rsidRPr="000B697A" w:rsidTr="0034033B">
        <w:trPr>
          <w:trHeight w:val="170"/>
          <w:jc w:val="center"/>
        </w:trPr>
        <w:tc>
          <w:tcPr>
            <w:tcW w:w="6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b/>
                <w:bCs/>
                <w:color w:val="000000"/>
                <w:sz w:val="20"/>
                <w:szCs w:val="20"/>
              </w:rPr>
            </w:pPr>
            <w:r w:rsidRPr="000B697A">
              <w:rPr>
                <w:rFonts w:cs="Calibri"/>
                <w:b/>
                <w:bCs/>
                <w:color w:val="000000"/>
                <w:sz w:val="20"/>
                <w:szCs w:val="20"/>
                <w:lang w:eastAsia="en-US"/>
              </w:rPr>
              <w:t>Брой увеличения на капитал, регистрирани на БФБ</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val="en-US"/>
              </w:rPr>
              <w:t>15</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13</w:t>
            </w:r>
          </w:p>
        </w:tc>
      </w:tr>
      <w:tr w:rsidR="0034033B" w:rsidRPr="000B697A" w:rsidTr="0034033B">
        <w:trPr>
          <w:trHeight w:val="170"/>
          <w:jc w:val="center"/>
        </w:trPr>
        <w:tc>
          <w:tcPr>
            <w:tcW w:w="6120" w:type="dxa"/>
            <w:tcBorders>
              <w:top w:val="nil"/>
              <w:left w:val="nil"/>
              <w:bottom w:val="nil"/>
              <w:right w:val="nil"/>
            </w:tcBorders>
            <w:shd w:val="clear" w:color="auto" w:fill="auto"/>
            <w:noWrap/>
            <w:vAlign w:val="center"/>
            <w:hideMark/>
          </w:tcPr>
          <w:p w:rsidR="0034033B" w:rsidRPr="000B697A" w:rsidRDefault="0034033B" w:rsidP="0034033B">
            <w:pPr>
              <w:jc w:val="right"/>
              <w:rPr>
                <w:rFonts w:cs="Calibri"/>
                <w:color w:val="000000"/>
                <w:sz w:val="20"/>
                <w:szCs w:val="20"/>
              </w:rPr>
            </w:pPr>
          </w:p>
        </w:tc>
        <w:tc>
          <w:tcPr>
            <w:tcW w:w="1553" w:type="dxa"/>
            <w:tcBorders>
              <w:top w:val="nil"/>
              <w:left w:val="nil"/>
              <w:bottom w:val="nil"/>
              <w:right w:val="nil"/>
            </w:tcBorders>
            <w:shd w:val="clear" w:color="auto" w:fill="auto"/>
            <w:noWrap/>
            <w:vAlign w:val="bottom"/>
            <w:hideMark/>
          </w:tcPr>
          <w:p w:rsidR="0034033B" w:rsidRPr="000B697A" w:rsidRDefault="0034033B" w:rsidP="0034033B">
            <w:pPr>
              <w:jc w:val="left"/>
              <w:rPr>
                <w:rFonts w:cs="Calibri"/>
                <w:sz w:val="20"/>
                <w:szCs w:val="20"/>
              </w:rPr>
            </w:pPr>
          </w:p>
        </w:tc>
        <w:tc>
          <w:tcPr>
            <w:tcW w:w="1600" w:type="dxa"/>
            <w:tcBorders>
              <w:top w:val="nil"/>
              <w:left w:val="nil"/>
              <w:bottom w:val="nil"/>
              <w:right w:val="nil"/>
            </w:tcBorders>
            <w:shd w:val="clear" w:color="auto" w:fill="auto"/>
            <w:noWrap/>
            <w:vAlign w:val="bottom"/>
            <w:hideMark/>
          </w:tcPr>
          <w:p w:rsidR="0034033B" w:rsidRPr="000B697A" w:rsidRDefault="0034033B" w:rsidP="0034033B">
            <w:pPr>
              <w:jc w:val="left"/>
              <w:rPr>
                <w:rFonts w:cs="Calibri"/>
                <w:sz w:val="20"/>
                <w:szCs w:val="20"/>
              </w:rPr>
            </w:pPr>
          </w:p>
        </w:tc>
      </w:tr>
      <w:tr w:rsidR="0034033B" w:rsidRPr="000B697A" w:rsidTr="0034033B">
        <w:trPr>
          <w:trHeight w:val="170"/>
          <w:jc w:val="center"/>
        </w:trPr>
        <w:tc>
          <w:tcPr>
            <w:tcW w:w="6120"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34033B" w:rsidRPr="000B697A" w:rsidRDefault="0034033B" w:rsidP="0034033B">
            <w:pPr>
              <w:jc w:val="left"/>
              <w:rPr>
                <w:rFonts w:cs="Calibri"/>
                <w:b/>
                <w:bCs/>
                <w:color w:val="FFFFFF"/>
                <w:sz w:val="20"/>
                <w:szCs w:val="20"/>
              </w:rPr>
            </w:pPr>
            <w:r w:rsidRPr="000B697A">
              <w:rPr>
                <w:rFonts w:cs="Calibri"/>
                <w:b/>
                <w:bCs/>
                <w:color w:val="FFFFFF"/>
                <w:sz w:val="20"/>
                <w:szCs w:val="20"/>
                <w:lang w:eastAsia="en-US"/>
              </w:rPr>
              <w:t>Брой емисии спрени от търговия на БФБ</w:t>
            </w:r>
          </w:p>
        </w:tc>
        <w:tc>
          <w:tcPr>
            <w:tcW w:w="1553" w:type="dxa"/>
            <w:tcBorders>
              <w:top w:val="single" w:sz="4" w:space="0" w:color="auto"/>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b/>
                <w:bCs/>
                <w:color w:val="FFFFFF"/>
                <w:sz w:val="20"/>
                <w:szCs w:val="20"/>
              </w:rPr>
            </w:pPr>
            <w:r w:rsidRPr="000B697A">
              <w:rPr>
                <w:rFonts w:cs="Calibri"/>
                <w:b/>
                <w:bCs/>
                <w:color w:val="FFFFFF"/>
                <w:sz w:val="20"/>
                <w:szCs w:val="20"/>
                <w:lang w:eastAsia="en-US"/>
              </w:rPr>
              <w:t>2017</w:t>
            </w:r>
          </w:p>
        </w:tc>
        <w:tc>
          <w:tcPr>
            <w:tcW w:w="1600" w:type="dxa"/>
            <w:tcBorders>
              <w:top w:val="single" w:sz="4" w:space="0" w:color="auto"/>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b/>
                <w:bCs/>
                <w:color w:val="FFFFFF"/>
                <w:sz w:val="20"/>
                <w:szCs w:val="20"/>
              </w:rPr>
            </w:pPr>
            <w:r w:rsidRPr="000B697A">
              <w:rPr>
                <w:rFonts w:cs="Calibri"/>
                <w:b/>
                <w:bCs/>
                <w:color w:val="FFFFFF"/>
                <w:sz w:val="20"/>
                <w:szCs w:val="20"/>
              </w:rPr>
              <w:t>2018</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Акции (без АДСИЦ)</w:t>
            </w:r>
          </w:p>
        </w:tc>
        <w:tc>
          <w:tcPr>
            <w:tcW w:w="1553"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36</w:t>
            </w:r>
          </w:p>
        </w:tc>
        <w:tc>
          <w:tcPr>
            <w:tcW w:w="160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55</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rPr>
              <w:t>Сегмент за борсово търгувани продукти</w:t>
            </w:r>
          </w:p>
        </w:tc>
        <w:tc>
          <w:tcPr>
            <w:tcW w:w="1553"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lang w:val="en-US"/>
              </w:rPr>
            </w:pPr>
            <w:r w:rsidRPr="000B697A">
              <w:rPr>
                <w:rFonts w:cs="Calibri"/>
                <w:color w:val="000000"/>
                <w:sz w:val="20"/>
                <w:szCs w:val="20"/>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Облигации</w:t>
            </w:r>
          </w:p>
        </w:tc>
        <w:tc>
          <w:tcPr>
            <w:tcW w:w="1553" w:type="dxa"/>
            <w:tcBorders>
              <w:top w:val="nil"/>
              <w:left w:val="nil"/>
              <w:bottom w:val="single" w:sz="4" w:space="0" w:color="auto"/>
              <w:right w:val="single" w:sz="4" w:space="0" w:color="auto"/>
            </w:tcBorders>
            <w:shd w:val="clear" w:color="auto" w:fill="auto"/>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12</w:t>
            </w:r>
          </w:p>
        </w:tc>
        <w:tc>
          <w:tcPr>
            <w:tcW w:w="160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5</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Държавни ценни книжа</w:t>
            </w:r>
          </w:p>
        </w:tc>
        <w:tc>
          <w:tcPr>
            <w:tcW w:w="1553"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0</w:t>
            </w:r>
          </w:p>
        </w:tc>
        <w:tc>
          <w:tcPr>
            <w:tcW w:w="160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w:t>
            </w:r>
          </w:p>
        </w:tc>
      </w:tr>
    </w:tbl>
    <w:p w:rsidR="00E42B53" w:rsidRPr="000B697A" w:rsidRDefault="00C1750E" w:rsidP="0098305C">
      <w:pPr>
        <w:rPr>
          <w:rFonts w:cs="Calibri"/>
          <w:sz w:val="18"/>
        </w:rPr>
      </w:pPr>
      <w:r w:rsidRPr="000B697A">
        <w:rPr>
          <w:rFonts w:cs="Calibri"/>
          <w:i/>
          <w:sz w:val="16"/>
          <w:szCs w:val="16"/>
        </w:rPr>
        <w:t>Емисиите права и регистрираните на сегмент Първично публично предлагане не са показани в обобщената таблица, защото тяхната регистрация е временна</w:t>
      </w:r>
      <w:r w:rsidR="0098305C" w:rsidRPr="000B697A">
        <w:rPr>
          <w:rFonts w:cs="Calibri"/>
          <w:sz w:val="18"/>
        </w:rPr>
        <w:t>.</w:t>
      </w:r>
    </w:p>
    <w:p w:rsidR="00C1750E" w:rsidRPr="000B697A" w:rsidRDefault="00C1750E" w:rsidP="0098305C">
      <w:pPr>
        <w:rPr>
          <w:rFonts w:cs="Calibri"/>
          <w:sz w:val="18"/>
        </w:rPr>
      </w:pPr>
    </w:p>
    <w:p w:rsidR="0034033B" w:rsidRPr="000B697A" w:rsidRDefault="00C1750E" w:rsidP="0034033B">
      <w:pPr>
        <w:pStyle w:val="ChartHeader"/>
        <w:rPr>
          <w:rFonts w:cs="Calibri"/>
        </w:rPr>
      </w:pPr>
      <w:r w:rsidRPr="000B697A">
        <w:rPr>
          <w:rFonts w:cs="Calibri"/>
        </w:rPr>
        <w:t>Таблица 5.б Сравнение на допуснатите до търговия емисии по пазари и сегменти:</w:t>
      </w:r>
    </w:p>
    <w:tbl>
      <w:tblPr>
        <w:tblW w:w="8040" w:type="dxa"/>
        <w:jc w:val="center"/>
        <w:tblCellMar>
          <w:left w:w="70" w:type="dxa"/>
          <w:right w:w="70" w:type="dxa"/>
        </w:tblCellMar>
        <w:tblLook w:val="04A0" w:firstRow="1" w:lastRow="0" w:firstColumn="1" w:lastColumn="0" w:noHBand="0" w:noVBand="1"/>
      </w:tblPr>
      <w:tblGrid>
        <w:gridCol w:w="6120"/>
        <w:gridCol w:w="960"/>
        <w:gridCol w:w="960"/>
      </w:tblGrid>
      <w:tr w:rsidR="0034033B" w:rsidRPr="000B697A" w:rsidTr="0034033B">
        <w:trPr>
          <w:trHeight w:val="170"/>
          <w:jc w:val="center"/>
        </w:trPr>
        <w:tc>
          <w:tcPr>
            <w:tcW w:w="6120"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rPr>
              <w:t> </w:t>
            </w:r>
          </w:p>
        </w:tc>
        <w:tc>
          <w:tcPr>
            <w:tcW w:w="1920"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color w:val="FFFFFF"/>
                <w:sz w:val="20"/>
                <w:szCs w:val="20"/>
              </w:rPr>
            </w:pPr>
            <w:r w:rsidRPr="000B697A">
              <w:rPr>
                <w:rFonts w:cs="Calibri"/>
                <w:color w:val="FFFFFF"/>
                <w:sz w:val="20"/>
                <w:szCs w:val="20"/>
                <w:lang w:eastAsia="en-US"/>
              </w:rPr>
              <w:t>емисии</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000000" w:fill="4F81BD"/>
            <w:noWrap/>
            <w:vAlign w:val="center"/>
            <w:hideMark/>
          </w:tcPr>
          <w:p w:rsidR="0034033B" w:rsidRPr="000B697A" w:rsidRDefault="0034033B" w:rsidP="0034033B">
            <w:pPr>
              <w:jc w:val="left"/>
              <w:rPr>
                <w:rFonts w:cs="Calibri"/>
                <w:color w:val="FFFFFF"/>
                <w:sz w:val="20"/>
                <w:szCs w:val="20"/>
              </w:rPr>
            </w:pPr>
            <w:r w:rsidRPr="000B697A">
              <w:rPr>
                <w:rFonts w:cs="Calibri"/>
                <w:color w:val="FFFFFF"/>
                <w:sz w:val="20"/>
                <w:szCs w:val="20"/>
                <w:lang w:eastAsia="en-US"/>
              </w:rPr>
              <w:t>Нови емисии по сегмент</w:t>
            </w:r>
          </w:p>
        </w:tc>
        <w:tc>
          <w:tcPr>
            <w:tcW w:w="960" w:type="dxa"/>
            <w:tcBorders>
              <w:top w:val="nil"/>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color w:val="FFFFFF"/>
                <w:sz w:val="20"/>
                <w:szCs w:val="20"/>
              </w:rPr>
            </w:pPr>
            <w:r w:rsidRPr="000B697A">
              <w:rPr>
                <w:rFonts w:cs="Calibri"/>
                <w:color w:val="FFFFFF"/>
                <w:sz w:val="20"/>
                <w:szCs w:val="20"/>
                <w:lang w:eastAsia="en-US"/>
              </w:rPr>
              <w:t>2017</w:t>
            </w:r>
          </w:p>
        </w:tc>
        <w:tc>
          <w:tcPr>
            <w:tcW w:w="960" w:type="dxa"/>
            <w:tcBorders>
              <w:top w:val="nil"/>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color w:val="FFFFFF"/>
                <w:sz w:val="20"/>
                <w:szCs w:val="20"/>
              </w:rPr>
            </w:pPr>
            <w:r w:rsidRPr="000B697A">
              <w:rPr>
                <w:rFonts w:cs="Calibri"/>
                <w:color w:val="FFFFFF"/>
                <w:sz w:val="20"/>
                <w:szCs w:val="20"/>
              </w:rPr>
              <w:t>2018</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акции Premium, пазар BSE</w:t>
            </w:r>
          </w:p>
        </w:tc>
        <w:tc>
          <w:tcPr>
            <w:tcW w:w="9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0</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акции Standard, пазар BSE</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3</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3</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борсово търгувани продукти, пазар BSE</w:t>
            </w:r>
          </w:p>
        </w:tc>
        <w:tc>
          <w:tcPr>
            <w:tcW w:w="9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11</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дружества със специална инвестиционна цел, пазар BSE</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държавни ценни книжа, пазар BSE</w:t>
            </w:r>
          </w:p>
        </w:tc>
        <w:tc>
          <w:tcPr>
            <w:tcW w:w="9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20</w:t>
            </w:r>
          </w:p>
        </w:tc>
        <w:tc>
          <w:tcPr>
            <w:tcW w:w="96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0</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компенсаторни инструменти, пазар BSE</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0</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облигации, пазар BSE</w:t>
            </w:r>
          </w:p>
        </w:tc>
        <w:tc>
          <w:tcPr>
            <w:tcW w:w="9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9</w:t>
            </w:r>
          </w:p>
        </w:tc>
        <w:tc>
          <w:tcPr>
            <w:tcW w:w="96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16</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права, пазар BSE</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13</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17</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първично публично предлагане, пазар BSE</w:t>
            </w:r>
          </w:p>
        </w:tc>
        <w:tc>
          <w:tcPr>
            <w:tcW w:w="9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 xml:space="preserve">Сегмент акции, пазар </w:t>
            </w:r>
            <w:proofErr w:type="spellStart"/>
            <w:r w:rsidRPr="000B697A">
              <w:rPr>
                <w:rFonts w:cs="Calibri"/>
                <w:color w:val="000000"/>
                <w:sz w:val="20"/>
                <w:szCs w:val="20"/>
                <w:lang w:eastAsia="en-US"/>
              </w:rPr>
              <w:t>BaSE</w:t>
            </w:r>
            <w:proofErr w:type="spellEnd"/>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0</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 xml:space="preserve">Сегмент за дружества със специална инвестиционна цел, пазар </w:t>
            </w:r>
            <w:proofErr w:type="spellStart"/>
            <w:r w:rsidRPr="000B697A">
              <w:rPr>
                <w:rFonts w:cs="Calibri"/>
                <w:color w:val="000000"/>
                <w:sz w:val="20"/>
                <w:szCs w:val="20"/>
                <w:lang w:eastAsia="en-US"/>
              </w:rPr>
              <w:t>BaSE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2</w:t>
            </w:r>
          </w:p>
        </w:tc>
      </w:tr>
      <w:tr w:rsidR="0034033B" w:rsidRPr="000B697A" w:rsidTr="0034033B">
        <w:trPr>
          <w:trHeight w:val="170"/>
          <w:jc w:val="center"/>
        </w:trPr>
        <w:tc>
          <w:tcPr>
            <w:tcW w:w="6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left"/>
              <w:rPr>
                <w:rFonts w:cs="Calibri"/>
                <w:b/>
                <w:color w:val="000000"/>
                <w:sz w:val="20"/>
                <w:szCs w:val="20"/>
              </w:rPr>
            </w:pPr>
            <w:r w:rsidRPr="000B697A">
              <w:rPr>
                <w:rFonts w:cs="Calibri"/>
                <w:b/>
                <w:color w:val="000000"/>
                <w:sz w:val="20"/>
                <w:szCs w:val="20"/>
                <w:lang w:eastAsia="en-US"/>
              </w:rPr>
              <w:t>Общо</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right"/>
              <w:rPr>
                <w:rFonts w:cs="Calibri"/>
                <w:b/>
                <w:bCs/>
                <w:color w:val="000000"/>
                <w:sz w:val="20"/>
                <w:szCs w:val="20"/>
              </w:rPr>
            </w:pPr>
            <w:r w:rsidRPr="000B697A">
              <w:rPr>
                <w:rFonts w:cs="Calibri"/>
                <w:b/>
                <w:bCs/>
                <w:color w:val="000000"/>
                <w:sz w:val="20"/>
                <w:szCs w:val="20"/>
                <w:lang w:eastAsia="en-US"/>
              </w:rPr>
              <w:t>45</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rsidR="0034033B" w:rsidRPr="000B697A" w:rsidRDefault="0034033B" w:rsidP="0034033B">
            <w:pPr>
              <w:jc w:val="right"/>
              <w:rPr>
                <w:rFonts w:cs="Calibri"/>
                <w:b/>
                <w:color w:val="000000"/>
                <w:sz w:val="20"/>
                <w:szCs w:val="20"/>
              </w:rPr>
            </w:pPr>
            <w:r w:rsidRPr="000B697A">
              <w:rPr>
                <w:rFonts w:cs="Calibri"/>
                <w:b/>
                <w:color w:val="000000"/>
                <w:sz w:val="20"/>
                <w:szCs w:val="20"/>
              </w:rPr>
              <w:t>51</w:t>
            </w:r>
          </w:p>
        </w:tc>
      </w:tr>
    </w:tbl>
    <w:p w:rsidR="0034033B" w:rsidRPr="000B697A" w:rsidRDefault="0034033B" w:rsidP="0034033B">
      <w:pPr>
        <w:pStyle w:val="ChartHeader"/>
        <w:rPr>
          <w:rFonts w:cs="Calibri"/>
        </w:rPr>
      </w:pPr>
    </w:p>
    <w:p w:rsidR="0034033B" w:rsidRPr="000B697A" w:rsidRDefault="0034033B">
      <w:pPr>
        <w:spacing w:line="240" w:lineRule="auto"/>
        <w:jc w:val="left"/>
        <w:rPr>
          <w:rFonts w:cs="Calibri"/>
          <w:b/>
          <w:sz w:val="22"/>
        </w:rPr>
      </w:pPr>
      <w:r w:rsidRPr="000B697A">
        <w:rPr>
          <w:rFonts w:cs="Calibri"/>
        </w:rPr>
        <w:br w:type="page"/>
      </w:r>
    </w:p>
    <w:p w:rsidR="00811C9D" w:rsidRPr="000B697A" w:rsidRDefault="00C1750E" w:rsidP="0034033B">
      <w:pPr>
        <w:pStyle w:val="ChartHeader"/>
        <w:rPr>
          <w:rFonts w:cs="Calibri"/>
        </w:rPr>
      </w:pPr>
      <w:r w:rsidRPr="000B697A">
        <w:rPr>
          <w:rFonts w:cs="Calibri"/>
        </w:rPr>
        <w:lastRenderedPageBreak/>
        <w:t>Таблица 5.в Сравнение на прекратените емисии по пазари и сегменти:</w:t>
      </w:r>
    </w:p>
    <w:tbl>
      <w:tblPr>
        <w:tblW w:w="8040" w:type="dxa"/>
        <w:jc w:val="center"/>
        <w:tblCellMar>
          <w:left w:w="70" w:type="dxa"/>
          <w:right w:w="70" w:type="dxa"/>
        </w:tblCellMar>
        <w:tblLook w:val="04A0" w:firstRow="1" w:lastRow="0" w:firstColumn="1" w:lastColumn="0" w:noHBand="0" w:noVBand="1"/>
      </w:tblPr>
      <w:tblGrid>
        <w:gridCol w:w="6120"/>
        <w:gridCol w:w="960"/>
        <w:gridCol w:w="960"/>
      </w:tblGrid>
      <w:tr w:rsidR="0034033B" w:rsidRPr="000B697A" w:rsidTr="0034033B">
        <w:trPr>
          <w:trHeight w:val="255"/>
          <w:jc w:val="center"/>
        </w:trPr>
        <w:tc>
          <w:tcPr>
            <w:tcW w:w="6120"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rPr>
              <w:t> </w:t>
            </w:r>
          </w:p>
        </w:tc>
        <w:tc>
          <w:tcPr>
            <w:tcW w:w="1920"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color w:val="FFFFFF"/>
                <w:sz w:val="20"/>
                <w:szCs w:val="20"/>
              </w:rPr>
            </w:pPr>
            <w:r w:rsidRPr="000B697A">
              <w:rPr>
                <w:rFonts w:cs="Calibri"/>
                <w:color w:val="FFFFFF"/>
                <w:sz w:val="20"/>
                <w:szCs w:val="20"/>
                <w:lang w:eastAsia="en-US"/>
              </w:rPr>
              <w:t>емисии</w:t>
            </w:r>
          </w:p>
        </w:tc>
      </w:tr>
      <w:tr w:rsidR="0034033B" w:rsidRPr="000B697A" w:rsidTr="0034033B">
        <w:trPr>
          <w:trHeight w:val="255"/>
          <w:jc w:val="center"/>
        </w:trPr>
        <w:tc>
          <w:tcPr>
            <w:tcW w:w="6120" w:type="dxa"/>
            <w:tcBorders>
              <w:top w:val="nil"/>
              <w:left w:val="single" w:sz="4" w:space="0" w:color="auto"/>
              <w:bottom w:val="single" w:sz="4" w:space="0" w:color="auto"/>
              <w:right w:val="single" w:sz="4" w:space="0" w:color="auto"/>
            </w:tcBorders>
            <w:shd w:val="clear" w:color="000000" w:fill="4F81BD"/>
            <w:noWrap/>
            <w:vAlign w:val="center"/>
            <w:hideMark/>
          </w:tcPr>
          <w:p w:rsidR="0034033B" w:rsidRPr="000B697A" w:rsidRDefault="0034033B" w:rsidP="0034033B">
            <w:pPr>
              <w:jc w:val="left"/>
              <w:rPr>
                <w:rFonts w:cs="Calibri"/>
                <w:color w:val="FFFFFF"/>
                <w:sz w:val="20"/>
                <w:szCs w:val="20"/>
              </w:rPr>
            </w:pPr>
            <w:r w:rsidRPr="000B697A">
              <w:rPr>
                <w:rFonts w:cs="Calibri"/>
                <w:color w:val="FFFFFF"/>
                <w:sz w:val="20"/>
                <w:szCs w:val="20"/>
                <w:lang w:eastAsia="en-US"/>
              </w:rPr>
              <w:t>Прекратени емисии по сегмент</w:t>
            </w:r>
          </w:p>
        </w:tc>
        <w:tc>
          <w:tcPr>
            <w:tcW w:w="960" w:type="dxa"/>
            <w:tcBorders>
              <w:top w:val="nil"/>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color w:val="FFFFFF"/>
                <w:sz w:val="20"/>
                <w:szCs w:val="20"/>
              </w:rPr>
            </w:pPr>
            <w:r w:rsidRPr="000B697A">
              <w:rPr>
                <w:rFonts w:cs="Calibri"/>
                <w:color w:val="FFFFFF"/>
                <w:sz w:val="20"/>
                <w:szCs w:val="20"/>
                <w:lang w:eastAsia="en-US"/>
              </w:rPr>
              <w:t>2017</w:t>
            </w:r>
          </w:p>
        </w:tc>
        <w:tc>
          <w:tcPr>
            <w:tcW w:w="960" w:type="dxa"/>
            <w:tcBorders>
              <w:top w:val="nil"/>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color w:val="FFFFFF"/>
                <w:sz w:val="20"/>
                <w:szCs w:val="20"/>
              </w:rPr>
            </w:pPr>
            <w:r w:rsidRPr="000B697A">
              <w:rPr>
                <w:rFonts w:cs="Calibri"/>
                <w:color w:val="FFFFFF"/>
                <w:sz w:val="20"/>
                <w:szCs w:val="20"/>
              </w:rPr>
              <w:t>2018</w:t>
            </w:r>
          </w:p>
        </w:tc>
      </w:tr>
      <w:tr w:rsidR="0034033B" w:rsidRPr="000B697A" w:rsidTr="0034033B">
        <w:trPr>
          <w:trHeight w:val="255"/>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акции Premium, пазар BSE</w:t>
            </w:r>
          </w:p>
        </w:tc>
        <w:tc>
          <w:tcPr>
            <w:tcW w:w="9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0</w:t>
            </w:r>
          </w:p>
        </w:tc>
      </w:tr>
      <w:tr w:rsidR="0034033B" w:rsidRPr="000B697A" w:rsidTr="0034033B">
        <w:trPr>
          <w:trHeight w:val="255"/>
          <w:jc w:val="center"/>
        </w:trPr>
        <w:tc>
          <w:tcPr>
            <w:tcW w:w="6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акции Standard, пазар BSE</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5</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4</w:t>
            </w:r>
          </w:p>
        </w:tc>
      </w:tr>
      <w:tr w:rsidR="0034033B" w:rsidRPr="000B697A" w:rsidTr="0034033B">
        <w:trPr>
          <w:trHeight w:val="255"/>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борсово търгувани продукти, пазар BSE</w:t>
            </w:r>
          </w:p>
        </w:tc>
        <w:tc>
          <w:tcPr>
            <w:tcW w:w="9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w:t>
            </w:r>
          </w:p>
        </w:tc>
      </w:tr>
      <w:tr w:rsidR="0034033B" w:rsidRPr="000B697A" w:rsidTr="0034033B">
        <w:trPr>
          <w:trHeight w:val="255"/>
          <w:jc w:val="center"/>
        </w:trPr>
        <w:tc>
          <w:tcPr>
            <w:tcW w:w="6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дружества със специална инвестиционна цел, пазар BSE</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0</w:t>
            </w:r>
          </w:p>
        </w:tc>
      </w:tr>
      <w:tr w:rsidR="0034033B" w:rsidRPr="000B697A" w:rsidTr="0034033B">
        <w:trPr>
          <w:trHeight w:val="255"/>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държавни ценни книжа, пазар BSE</w:t>
            </w:r>
          </w:p>
        </w:tc>
        <w:tc>
          <w:tcPr>
            <w:tcW w:w="9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w:t>
            </w:r>
          </w:p>
        </w:tc>
      </w:tr>
      <w:tr w:rsidR="0034033B" w:rsidRPr="000B697A" w:rsidTr="0034033B">
        <w:trPr>
          <w:trHeight w:val="255"/>
          <w:jc w:val="center"/>
        </w:trPr>
        <w:tc>
          <w:tcPr>
            <w:tcW w:w="6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компенсаторни инструменти, пазар BSE</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0</w:t>
            </w:r>
          </w:p>
        </w:tc>
      </w:tr>
      <w:tr w:rsidR="0034033B" w:rsidRPr="000B697A" w:rsidTr="0034033B">
        <w:trPr>
          <w:trHeight w:val="255"/>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облигации, пазар BSE</w:t>
            </w:r>
          </w:p>
        </w:tc>
        <w:tc>
          <w:tcPr>
            <w:tcW w:w="9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5</w:t>
            </w:r>
          </w:p>
        </w:tc>
      </w:tr>
      <w:tr w:rsidR="0034033B" w:rsidRPr="000B697A" w:rsidTr="0034033B">
        <w:trPr>
          <w:trHeight w:val="255"/>
          <w:jc w:val="center"/>
        </w:trPr>
        <w:tc>
          <w:tcPr>
            <w:tcW w:w="6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права, пазар BSE</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14</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17</w:t>
            </w:r>
          </w:p>
        </w:tc>
      </w:tr>
      <w:tr w:rsidR="0034033B" w:rsidRPr="000B697A" w:rsidTr="0034033B">
        <w:trPr>
          <w:trHeight w:val="255"/>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Сегмент за първично публично предлагане, пазар BSE</w:t>
            </w:r>
          </w:p>
        </w:tc>
        <w:tc>
          <w:tcPr>
            <w:tcW w:w="9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1</w:t>
            </w:r>
          </w:p>
        </w:tc>
      </w:tr>
      <w:tr w:rsidR="0034033B" w:rsidRPr="000B697A" w:rsidTr="0034033B">
        <w:trPr>
          <w:trHeight w:val="255"/>
          <w:jc w:val="center"/>
        </w:trPr>
        <w:tc>
          <w:tcPr>
            <w:tcW w:w="6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 xml:space="preserve">Сегмент акции, пазар </w:t>
            </w:r>
            <w:proofErr w:type="spellStart"/>
            <w:r w:rsidRPr="000B697A">
              <w:rPr>
                <w:rFonts w:cs="Calibri"/>
                <w:color w:val="000000"/>
                <w:sz w:val="20"/>
                <w:szCs w:val="20"/>
                <w:lang w:eastAsia="en-US"/>
              </w:rPr>
              <w:t>BaSE</w:t>
            </w:r>
            <w:proofErr w:type="spellEnd"/>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31</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51</w:t>
            </w:r>
          </w:p>
        </w:tc>
      </w:tr>
      <w:tr w:rsidR="0034033B" w:rsidRPr="000B697A" w:rsidTr="0034033B">
        <w:trPr>
          <w:trHeight w:val="255"/>
          <w:jc w:val="center"/>
        </w:trPr>
        <w:tc>
          <w:tcPr>
            <w:tcW w:w="612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 xml:space="preserve">Сегмент за дружества със специална инвестиционна цел, пазар </w:t>
            </w:r>
            <w:proofErr w:type="spellStart"/>
            <w:r w:rsidRPr="000B697A">
              <w:rPr>
                <w:rFonts w:cs="Calibri"/>
                <w:color w:val="000000"/>
                <w:sz w:val="20"/>
                <w:szCs w:val="20"/>
                <w:lang w:eastAsia="en-US"/>
              </w:rPr>
              <w:t>BaSE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eastAsia="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sz w:val="20"/>
                <w:szCs w:val="20"/>
              </w:rPr>
            </w:pPr>
            <w:r w:rsidRPr="000B697A">
              <w:rPr>
                <w:rFonts w:cs="Calibri"/>
                <w:color w:val="000000"/>
                <w:sz w:val="20"/>
                <w:szCs w:val="20"/>
              </w:rPr>
              <w:t>0</w:t>
            </w:r>
          </w:p>
        </w:tc>
      </w:tr>
      <w:tr w:rsidR="0034033B" w:rsidRPr="000B697A" w:rsidTr="0034033B">
        <w:trPr>
          <w:trHeight w:val="255"/>
          <w:jc w:val="center"/>
        </w:trPr>
        <w:tc>
          <w:tcPr>
            <w:tcW w:w="6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lang w:eastAsia="en-US"/>
              </w:rPr>
              <w:t>Общо</w:t>
            </w:r>
          </w:p>
        </w:tc>
        <w:tc>
          <w:tcPr>
            <w:tcW w:w="960" w:type="dxa"/>
            <w:tcBorders>
              <w:top w:val="nil"/>
              <w:left w:val="nil"/>
              <w:bottom w:val="single" w:sz="4" w:space="0" w:color="auto"/>
              <w:right w:val="single" w:sz="4" w:space="0" w:color="auto"/>
            </w:tcBorders>
            <w:shd w:val="clear" w:color="auto" w:fill="F2F2F2" w:themeFill="background1" w:themeFillShade="F2"/>
            <w:noWrap/>
            <w:vAlign w:val="center"/>
            <w:hideMark/>
          </w:tcPr>
          <w:p w:rsidR="0034033B" w:rsidRPr="000B697A" w:rsidRDefault="0034033B" w:rsidP="0034033B">
            <w:pPr>
              <w:jc w:val="right"/>
              <w:rPr>
                <w:rFonts w:cs="Calibri"/>
                <w:b/>
                <w:bCs/>
                <w:color w:val="000000"/>
                <w:sz w:val="20"/>
                <w:szCs w:val="20"/>
              </w:rPr>
            </w:pPr>
            <w:r w:rsidRPr="000B697A">
              <w:rPr>
                <w:rFonts w:cs="Calibri"/>
                <w:b/>
                <w:bCs/>
                <w:color w:val="000000"/>
                <w:sz w:val="20"/>
                <w:szCs w:val="20"/>
                <w:lang w:eastAsia="en-US"/>
              </w:rPr>
              <w:t>62</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rsidR="0034033B" w:rsidRPr="000B697A" w:rsidRDefault="0034033B" w:rsidP="0034033B">
            <w:pPr>
              <w:jc w:val="right"/>
              <w:rPr>
                <w:rFonts w:cs="Calibri"/>
                <w:b/>
                <w:bCs/>
                <w:color w:val="000000"/>
                <w:sz w:val="20"/>
                <w:szCs w:val="20"/>
              </w:rPr>
            </w:pPr>
            <w:r w:rsidRPr="000B697A">
              <w:rPr>
                <w:rFonts w:cs="Calibri"/>
                <w:b/>
                <w:bCs/>
                <w:color w:val="000000"/>
                <w:sz w:val="20"/>
                <w:szCs w:val="20"/>
              </w:rPr>
              <w:t>80</w:t>
            </w:r>
          </w:p>
        </w:tc>
      </w:tr>
    </w:tbl>
    <w:p w:rsidR="007D0D26" w:rsidRPr="000B697A" w:rsidRDefault="00D95C21" w:rsidP="0016443B">
      <w:pPr>
        <w:pStyle w:val="SubNumbers"/>
        <w:rPr>
          <w:rFonts w:cs="Calibri"/>
        </w:rPr>
      </w:pPr>
      <w:bookmarkStart w:id="25" w:name="_Toc6923243"/>
      <w:r w:rsidRPr="000B697A">
        <w:rPr>
          <w:rFonts w:cs="Calibri"/>
        </w:rPr>
        <w:t>Пазарна капитализация на Борсата</w:t>
      </w:r>
      <w:bookmarkEnd w:id="23"/>
      <w:bookmarkEnd w:id="24"/>
      <w:bookmarkEnd w:id="25"/>
    </w:p>
    <w:p w:rsidR="006D43F1" w:rsidRPr="000B697A" w:rsidRDefault="0034033B" w:rsidP="00281505">
      <w:pPr>
        <w:rPr>
          <w:rFonts w:cs="Calibri"/>
          <w:b/>
        </w:rPr>
      </w:pPr>
      <w:r w:rsidRPr="000B697A">
        <w:rPr>
          <w:rFonts w:cs="Calibri"/>
        </w:rPr>
        <w:t xml:space="preserve">Пазарната капитализация на пазарите, организирани от Българска фондова борса АД нарасна със </w:t>
      </w:r>
      <w:r w:rsidRPr="000B697A">
        <w:rPr>
          <w:rFonts w:cs="Calibri"/>
          <w:lang w:val="en-US"/>
        </w:rPr>
        <w:t>13</w:t>
      </w:r>
      <w:r w:rsidRPr="000B697A">
        <w:rPr>
          <w:rFonts w:cs="Calibri"/>
        </w:rPr>
        <w:t>% в сравнение с тази в края на 201</w:t>
      </w:r>
      <w:r w:rsidRPr="000B697A">
        <w:rPr>
          <w:rFonts w:cs="Calibri"/>
          <w:lang w:val="en-US"/>
        </w:rPr>
        <w:t>7</w:t>
      </w:r>
      <w:r w:rsidRPr="000B697A">
        <w:rPr>
          <w:rFonts w:cs="Calibri"/>
        </w:rPr>
        <w:t xml:space="preserve"> година. Капитализацията на сегмент акции Premium отбеляза спад от над 364,5 милиона лева или 15,83% въпреки листването на ново дружество на този сегмент. Най-голям спад в относителен и абсолютен размер имаше в капитализацията на сегмента акции Standard на основния пазар, която отбеляза намаление от близо 68% или 13,2 милиарда лева след преместване на емисия </w:t>
      </w:r>
      <w:proofErr w:type="spellStart"/>
      <w:r w:rsidRPr="000B697A">
        <w:rPr>
          <w:rFonts w:cs="Calibri"/>
        </w:rPr>
        <w:t>варанти</w:t>
      </w:r>
      <w:proofErr w:type="spellEnd"/>
      <w:r w:rsidRPr="000B697A">
        <w:rPr>
          <w:rFonts w:cs="Calibri"/>
        </w:rPr>
        <w:t xml:space="preserve"> с над 12 милиарда лева пазарна капитализация на Алтернативен пазар. Съответно се </w:t>
      </w:r>
      <w:r w:rsidR="00BB2D4B">
        <w:rPr>
          <w:rFonts w:cs="Calibri"/>
        </w:rPr>
        <w:t>п</w:t>
      </w:r>
      <w:r w:rsidRPr="000B697A">
        <w:rPr>
          <w:rFonts w:cs="Calibri"/>
        </w:rPr>
        <w:t>овиши капитализацият</w:t>
      </w:r>
      <w:r w:rsidR="00BF024A">
        <w:rPr>
          <w:rFonts w:cs="Calibri"/>
        </w:rPr>
        <w:t>а</w:t>
      </w:r>
      <w:r w:rsidRPr="000B697A">
        <w:rPr>
          <w:rFonts w:cs="Calibri"/>
        </w:rPr>
        <w:t xml:space="preserve"> на сегмент за акции на Алтернати</w:t>
      </w:r>
      <w:r w:rsidR="00033520">
        <w:rPr>
          <w:rFonts w:cs="Calibri"/>
        </w:rPr>
        <w:t>в</w:t>
      </w:r>
      <w:r w:rsidRPr="000B697A">
        <w:rPr>
          <w:rFonts w:cs="Calibri"/>
        </w:rPr>
        <w:t xml:space="preserve">ния пазар </w:t>
      </w:r>
      <w:proofErr w:type="spellStart"/>
      <w:r w:rsidRPr="000B697A">
        <w:rPr>
          <w:rFonts w:cs="Calibri"/>
          <w:lang w:val="en-US"/>
        </w:rPr>
        <w:t>BaSE</w:t>
      </w:r>
      <w:proofErr w:type="spellEnd"/>
      <w:r w:rsidRPr="000B697A">
        <w:rPr>
          <w:rFonts w:cs="Calibri"/>
        </w:rPr>
        <w:t>. При капитализацията на сегментите за акции на АДСИЦ имаше незначителна отрицателна промяна на Основния пазар и сходно нарастване на капитализацията на сегмента на Алтернативен пазар</w:t>
      </w:r>
      <w:r w:rsidR="00C1750E" w:rsidRPr="000B697A">
        <w:rPr>
          <w:rFonts w:cs="Calibri"/>
        </w:rPr>
        <w:t>.</w:t>
      </w:r>
    </w:p>
    <w:p w:rsidR="0034033B" w:rsidRPr="000B697A" w:rsidRDefault="007D0D26" w:rsidP="0034033B">
      <w:pPr>
        <w:pStyle w:val="ChartHeader"/>
        <w:rPr>
          <w:rFonts w:cs="Calibri"/>
        </w:rPr>
      </w:pPr>
      <w:r w:rsidRPr="000B697A">
        <w:rPr>
          <w:rFonts w:cs="Calibri"/>
        </w:rPr>
        <w:t>Таблица 6</w:t>
      </w:r>
      <w:r w:rsidR="0034033B" w:rsidRPr="000B697A">
        <w:rPr>
          <w:rFonts w:cs="Calibri"/>
          <w:lang w:val="en-US"/>
        </w:rPr>
        <w:t>.1.</w:t>
      </w:r>
      <w:r w:rsidRPr="000B697A">
        <w:rPr>
          <w:rFonts w:cs="Calibri"/>
        </w:rPr>
        <w:t xml:space="preserve"> Пазарна капитализация (BGN)</w:t>
      </w:r>
    </w:p>
    <w:tbl>
      <w:tblPr>
        <w:tblW w:w="10460" w:type="dxa"/>
        <w:jc w:val="center"/>
        <w:tblCellMar>
          <w:left w:w="70" w:type="dxa"/>
          <w:right w:w="70" w:type="dxa"/>
        </w:tblCellMar>
        <w:tblLook w:val="04A0" w:firstRow="1" w:lastRow="0" w:firstColumn="1" w:lastColumn="0" w:noHBand="0" w:noVBand="1"/>
      </w:tblPr>
      <w:tblGrid>
        <w:gridCol w:w="3880"/>
        <w:gridCol w:w="1760"/>
        <w:gridCol w:w="1660"/>
        <w:gridCol w:w="1101"/>
        <w:gridCol w:w="2059"/>
      </w:tblGrid>
      <w:tr w:rsidR="0034033B" w:rsidRPr="000B697A" w:rsidTr="0034033B">
        <w:trPr>
          <w:trHeight w:val="170"/>
          <w:jc w:val="center"/>
        </w:trPr>
        <w:tc>
          <w:tcPr>
            <w:tcW w:w="3880"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34033B" w:rsidRPr="000B697A" w:rsidRDefault="0034033B" w:rsidP="0034033B">
            <w:pPr>
              <w:jc w:val="left"/>
              <w:rPr>
                <w:rFonts w:cs="Calibri"/>
                <w:color w:val="FFFFFF"/>
                <w:sz w:val="20"/>
                <w:szCs w:val="20"/>
              </w:rPr>
            </w:pPr>
            <w:bookmarkStart w:id="26" w:name="_Hlk4667047"/>
            <w:r w:rsidRPr="000B697A">
              <w:rPr>
                <w:rFonts w:cs="Calibri"/>
                <w:color w:val="FFFFFF"/>
                <w:sz w:val="20"/>
                <w:szCs w:val="20"/>
              </w:rPr>
              <w:t> </w:t>
            </w:r>
          </w:p>
        </w:tc>
        <w:tc>
          <w:tcPr>
            <w:tcW w:w="1760" w:type="dxa"/>
            <w:tcBorders>
              <w:top w:val="single" w:sz="4" w:space="0" w:color="auto"/>
              <w:left w:val="nil"/>
              <w:bottom w:val="single" w:sz="4" w:space="0" w:color="auto"/>
              <w:right w:val="single" w:sz="4" w:space="0" w:color="auto"/>
            </w:tcBorders>
            <w:shd w:val="clear" w:color="000000" w:fill="4F81BD"/>
            <w:noWrap/>
            <w:vAlign w:val="center"/>
            <w:hideMark/>
          </w:tcPr>
          <w:p w:rsidR="0034033B" w:rsidRPr="000B697A" w:rsidRDefault="0034033B" w:rsidP="0034033B">
            <w:pPr>
              <w:jc w:val="right"/>
              <w:rPr>
                <w:rFonts w:cs="Calibri"/>
                <w:color w:val="FFFFFF"/>
                <w:sz w:val="20"/>
                <w:szCs w:val="20"/>
              </w:rPr>
            </w:pPr>
            <w:r w:rsidRPr="000B697A">
              <w:rPr>
                <w:rFonts w:cs="Calibri"/>
                <w:color w:val="FFFFFF"/>
                <w:sz w:val="20"/>
                <w:szCs w:val="20"/>
              </w:rPr>
              <w:t>Капитализация</w:t>
            </w:r>
          </w:p>
        </w:tc>
        <w:tc>
          <w:tcPr>
            <w:tcW w:w="1660" w:type="dxa"/>
            <w:tcBorders>
              <w:top w:val="single" w:sz="4" w:space="0" w:color="auto"/>
              <w:left w:val="nil"/>
              <w:bottom w:val="single" w:sz="4" w:space="0" w:color="auto"/>
              <w:right w:val="single" w:sz="4" w:space="0" w:color="auto"/>
            </w:tcBorders>
            <w:shd w:val="clear" w:color="000000" w:fill="4F81BD"/>
            <w:noWrap/>
            <w:vAlign w:val="center"/>
            <w:hideMark/>
          </w:tcPr>
          <w:p w:rsidR="0034033B" w:rsidRPr="000B697A" w:rsidRDefault="0034033B" w:rsidP="0034033B">
            <w:pPr>
              <w:jc w:val="left"/>
              <w:rPr>
                <w:rFonts w:cs="Calibri"/>
                <w:color w:val="FFFFFF"/>
                <w:sz w:val="20"/>
                <w:szCs w:val="20"/>
              </w:rPr>
            </w:pPr>
            <w:r w:rsidRPr="000B697A">
              <w:rPr>
                <w:rFonts w:cs="Calibri"/>
                <w:color w:val="FFFFFF"/>
                <w:sz w:val="20"/>
                <w:szCs w:val="20"/>
              </w:rPr>
              <w:t xml:space="preserve"> (BGN)</w:t>
            </w:r>
          </w:p>
        </w:tc>
        <w:tc>
          <w:tcPr>
            <w:tcW w:w="3160"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color w:val="FFFFFF"/>
                <w:sz w:val="20"/>
                <w:szCs w:val="20"/>
              </w:rPr>
            </w:pPr>
            <w:r w:rsidRPr="000B697A">
              <w:rPr>
                <w:rFonts w:cs="Calibri"/>
                <w:color w:val="FFFFFF"/>
                <w:sz w:val="20"/>
                <w:szCs w:val="20"/>
              </w:rPr>
              <w:t>Промяна</w:t>
            </w:r>
          </w:p>
        </w:tc>
      </w:tr>
      <w:tr w:rsidR="0034033B" w:rsidRPr="000B697A" w:rsidTr="0034033B">
        <w:trPr>
          <w:trHeight w:val="170"/>
          <w:jc w:val="center"/>
        </w:trPr>
        <w:tc>
          <w:tcPr>
            <w:tcW w:w="3880" w:type="dxa"/>
            <w:tcBorders>
              <w:top w:val="nil"/>
              <w:left w:val="single" w:sz="4" w:space="0" w:color="auto"/>
              <w:bottom w:val="single" w:sz="4" w:space="0" w:color="auto"/>
              <w:right w:val="single" w:sz="4" w:space="0" w:color="auto"/>
            </w:tcBorders>
            <w:shd w:val="clear" w:color="000000" w:fill="4F81BD"/>
            <w:noWrap/>
            <w:vAlign w:val="center"/>
            <w:hideMark/>
          </w:tcPr>
          <w:p w:rsidR="0034033B" w:rsidRPr="000B697A" w:rsidRDefault="0034033B" w:rsidP="0034033B">
            <w:pPr>
              <w:jc w:val="left"/>
              <w:rPr>
                <w:rFonts w:cs="Calibri"/>
                <w:color w:val="FFFFFF"/>
                <w:sz w:val="20"/>
                <w:szCs w:val="20"/>
              </w:rPr>
            </w:pPr>
            <w:r w:rsidRPr="000B697A">
              <w:rPr>
                <w:rFonts w:cs="Calibri"/>
                <w:color w:val="FFFFFF"/>
                <w:sz w:val="20"/>
                <w:szCs w:val="20"/>
              </w:rPr>
              <w:t>Сегмент/пазар</w:t>
            </w:r>
          </w:p>
        </w:tc>
        <w:tc>
          <w:tcPr>
            <w:tcW w:w="1760" w:type="dxa"/>
            <w:tcBorders>
              <w:top w:val="nil"/>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color w:val="FFFFFF"/>
                <w:sz w:val="20"/>
                <w:szCs w:val="20"/>
              </w:rPr>
            </w:pPr>
            <w:r w:rsidRPr="000B697A">
              <w:rPr>
                <w:rFonts w:cs="Calibri"/>
                <w:color w:val="FFFFFF"/>
                <w:sz w:val="20"/>
                <w:szCs w:val="20"/>
                <w:lang w:val="en-US"/>
              </w:rPr>
              <w:t>31.12.2017</w:t>
            </w:r>
          </w:p>
        </w:tc>
        <w:tc>
          <w:tcPr>
            <w:tcW w:w="1660" w:type="dxa"/>
            <w:tcBorders>
              <w:top w:val="nil"/>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color w:val="FFFFFF"/>
                <w:sz w:val="20"/>
                <w:szCs w:val="20"/>
              </w:rPr>
            </w:pPr>
            <w:r w:rsidRPr="000B697A">
              <w:rPr>
                <w:rFonts w:cs="Calibri"/>
                <w:color w:val="FFFFFF"/>
                <w:sz w:val="20"/>
                <w:szCs w:val="20"/>
              </w:rPr>
              <w:t>31.12.2018 г.</w:t>
            </w:r>
          </w:p>
        </w:tc>
        <w:tc>
          <w:tcPr>
            <w:tcW w:w="1101" w:type="dxa"/>
            <w:tcBorders>
              <w:top w:val="nil"/>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color w:val="FFFFFF"/>
                <w:sz w:val="20"/>
                <w:szCs w:val="20"/>
              </w:rPr>
            </w:pPr>
            <w:r w:rsidRPr="000B697A">
              <w:rPr>
                <w:rFonts w:cs="Calibri"/>
                <w:color w:val="FFFFFF"/>
                <w:sz w:val="20"/>
                <w:szCs w:val="20"/>
              </w:rPr>
              <w:t>%</w:t>
            </w:r>
          </w:p>
        </w:tc>
        <w:tc>
          <w:tcPr>
            <w:tcW w:w="2059" w:type="dxa"/>
            <w:tcBorders>
              <w:top w:val="nil"/>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color w:val="FFFFFF"/>
                <w:sz w:val="20"/>
                <w:szCs w:val="20"/>
              </w:rPr>
            </w:pPr>
            <w:proofErr w:type="spellStart"/>
            <w:r w:rsidRPr="000B697A">
              <w:rPr>
                <w:rFonts w:cs="Calibri"/>
                <w:color w:val="FFFFFF"/>
                <w:sz w:val="20"/>
                <w:szCs w:val="20"/>
              </w:rPr>
              <w:t>абсол</w:t>
            </w:r>
            <w:proofErr w:type="spellEnd"/>
            <w:r w:rsidRPr="000B697A">
              <w:rPr>
                <w:rFonts w:cs="Calibri"/>
                <w:color w:val="FFFFFF"/>
                <w:sz w:val="20"/>
                <w:szCs w:val="20"/>
              </w:rPr>
              <w:t xml:space="preserve">. </w:t>
            </w:r>
            <w:proofErr w:type="spellStart"/>
            <w:r w:rsidRPr="000B697A">
              <w:rPr>
                <w:rFonts w:cs="Calibri"/>
                <w:color w:val="FFFFFF"/>
                <w:sz w:val="20"/>
                <w:szCs w:val="20"/>
              </w:rPr>
              <w:t>ст-ст</w:t>
            </w:r>
            <w:proofErr w:type="spellEnd"/>
            <w:r w:rsidRPr="000B697A">
              <w:rPr>
                <w:rFonts w:cs="Calibri"/>
                <w:color w:val="FFFFFF"/>
                <w:sz w:val="20"/>
                <w:szCs w:val="20"/>
              </w:rPr>
              <w:t xml:space="preserve"> (</w:t>
            </w:r>
            <w:r w:rsidRPr="000B697A">
              <w:rPr>
                <w:rFonts w:cs="Calibri"/>
                <w:color w:val="FFFFFF"/>
                <w:sz w:val="20"/>
                <w:szCs w:val="20"/>
                <w:lang w:val="en-US"/>
              </w:rPr>
              <w:t>BGN</w:t>
            </w:r>
            <w:r w:rsidRPr="000B697A">
              <w:rPr>
                <w:rFonts w:cs="Calibri"/>
                <w:color w:val="FFFFFF"/>
                <w:sz w:val="20"/>
                <w:szCs w:val="20"/>
              </w:rPr>
              <w:t>)</w:t>
            </w:r>
          </w:p>
        </w:tc>
      </w:tr>
      <w:tr w:rsidR="0034033B" w:rsidRPr="000B697A" w:rsidTr="0034033B">
        <w:trPr>
          <w:trHeight w:val="17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rPr>
              <w:t>Пазари на акции без АДСИЦ</w:t>
            </w:r>
          </w:p>
        </w:tc>
        <w:tc>
          <w:tcPr>
            <w:tcW w:w="17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val="en-US"/>
              </w:rPr>
              <w:t>22 549 216 107</w:t>
            </w:r>
          </w:p>
        </w:tc>
        <w:tc>
          <w:tcPr>
            <w:tcW w:w="16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25 667 443 504</w:t>
            </w:r>
          </w:p>
        </w:tc>
        <w:tc>
          <w:tcPr>
            <w:tcW w:w="1101"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13,83%</w:t>
            </w:r>
          </w:p>
        </w:tc>
        <w:tc>
          <w:tcPr>
            <w:tcW w:w="2059"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3 118 227 397</w:t>
            </w:r>
          </w:p>
        </w:tc>
      </w:tr>
      <w:tr w:rsidR="0034033B" w:rsidRPr="000B697A" w:rsidTr="0034033B">
        <w:trPr>
          <w:trHeight w:val="17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rPr>
              <w:t>Пазар на АДСИЦ</w:t>
            </w:r>
          </w:p>
        </w:tc>
        <w:tc>
          <w:tcPr>
            <w:tcW w:w="17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val="en-US"/>
              </w:rPr>
              <w:t>1 071 752 037</w:t>
            </w:r>
          </w:p>
        </w:tc>
        <w:tc>
          <w:tcPr>
            <w:tcW w:w="16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1 097 901 779</w:t>
            </w:r>
          </w:p>
        </w:tc>
        <w:tc>
          <w:tcPr>
            <w:tcW w:w="1101"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2,44%</w:t>
            </w:r>
          </w:p>
        </w:tc>
        <w:tc>
          <w:tcPr>
            <w:tcW w:w="2059"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26 149 742</w:t>
            </w:r>
          </w:p>
        </w:tc>
      </w:tr>
      <w:tr w:rsidR="0034033B" w:rsidRPr="000B697A" w:rsidTr="0034033B">
        <w:trPr>
          <w:trHeight w:val="17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b/>
                <w:bCs/>
                <w:color w:val="000000"/>
                <w:sz w:val="20"/>
                <w:szCs w:val="20"/>
              </w:rPr>
            </w:pPr>
            <w:r w:rsidRPr="000B697A">
              <w:rPr>
                <w:rFonts w:cs="Calibri"/>
                <w:b/>
                <w:bCs/>
                <w:color w:val="000000"/>
                <w:sz w:val="20"/>
                <w:szCs w:val="20"/>
              </w:rPr>
              <w:t>Обща пазарна капитализация</w:t>
            </w:r>
          </w:p>
        </w:tc>
        <w:tc>
          <w:tcPr>
            <w:tcW w:w="17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b/>
                <w:bCs/>
                <w:color w:val="000000"/>
                <w:sz w:val="20"/>
                <w:szCs w:val="20"/>
              </w:rPr>
            </w:pPr>
            <w:r w:rsidRPr="000B697A">
              <w:rPr>
                <w:rFonts w:cs="Calibri"/>
                <w:b/>
                <w:bCs/>
                <w:color w:val="000000"/>
                <w:sz w:val="20"/>
                <w:szCs w:val="20"/>
              </w:rPr>
              <w:t>23 620 968 144</w:t>
            </w:r>
          </w:p>
        </w:tc>
        <w:tc>
          <w:tcPr>
            <w:tcW w:w="16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b/>
                <w:bCs/>
                <w:color w:val="000000"/>
                <w:sz w:val="20"/>
                <w:szCs w:val="20"/>
              </w:rPr>
            </w:pPr>
            <w:r w:rsidRPr="000B697A">
              <w:rPr>
                <w:rFonts w:cs="Calibri"/>
                <w:b/>
                <w:bCs/>
                <w:color w:val="000000"/>
                <w:sz w:val="20"/>
                <w:szCs w:val="20"/>
              </w:rPr>
              <w:t>26 765 345 283</w:t>
            </w:r>
          </w:p>
        </w:tc>
        <w:tc>
          <w:tcPr>
            <w:tcW w:w="1101"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b/>
                <w:bCs/>
                <w:color w:val="000000"/>
                <w:sz w:val="20"/>
                <w:szCs w:val="20"/>
              </w:rPr>
            </w:pPr>
            <w:r w:rsidRPr="000B697A">
              <w:rPr>
                <w:rFonts w:cs="Calibri"/>
                <w:b/>
                <w:bCs/>
                <w:color w:val="000000"/>
                <w:sz w:val="20"/>
                <w:szCs w:val="20"/>
              </w:rPr>
              <w:t>13,31%</w:t>
            </w:r>
          </w:p>
        </w:tc>
        <w:tc>
          <w:tcPr>
            <w:tcW w:w="2059"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b/>
                <w:bCs/>
                <w:color w:val="000000"/>
                <w:sz w:val="20"/>
                <w:szCs w:val="20"/>
              </w:rPr>
            </w:pPr>
            <w:r w:rsidRPr="000B697A">
              <w:rPr>
                <w:rFonts w:cs="Calibri"/>
                <w:b/>
                <w:bCs/>
                <w:color w:val="000000"/>
                <w:sz w:val="20"/>
                <w:szCs w:val="20"/>
              </w:rPr>
              <w:t>3 144 377 139</w:t>
            </w:r>
          </w:p>
        </w:tc>
      </w:tr>
    </w:tbl>
    <w:bookmarkEnd w:id="26"/>
    <w:p w:rsidR="0034033B" w:rsidRPr="000B697A" w:rsidRDefault="0034033B" w:rsidP="0034033B">
      <w:pPr>
        <w:pStyle w:val="ChartHeader"/>
        <w:spacing w:before="240"/>
        <w:rPr>
          <w:rFonts w:cs="Calibri"/>
        </w:rPr>
      </w:pPr>
      <w:r w:rsidRPr="000B697A">
        <w:rPr>
          <w:rFonts w:cs="Calibri"/>
        </w:rPr>
        <w:t>Таблица 6.2. Пазарна капитализация (BGN)</w:t>
      </w:r>
    </w:p>
    <w:tbl>
      <w:tblPr>
        <w:tblW w:w="10464" w:type="dxa"/>
        <w:jc w:val="center"/>
        <w:tblCellMar>
          <w:left w:w="70" w:type="dxa"/>
          <w:right w:w="70" w:type="dxa"/>
        </w:tblCellMar>
        <w:tblLook w:val="04A0" w:firstRow="1" w:lastRow="0" w:firstColumn="1" w:lastColumn="0" w:noHBand="0" w:noVBand="1"/>
      </w:tblPr>
      <w:tblGrid>
        <w:gridCol w:w="2843"/>
        <w:gridCol w:w="900"/>
        <w:gridCol w:w="1829"/>
        <w:gridCol w:w="1829"/>
        <w:gridCol w:w="1102"/>
        <w:gridCol w:w="1961"/>
      </w:tblGrid>
      <w:tr w:rsidR="0034033B" w:rsidRPr="000B697A" w:rsidTr="0034033B">
        <w:trPr>
          <w:trHeight w:val="315"/>
          <w:jc w:val="center"/>
        </w:trPr>
        <w:tc>
          <w:tcPr>
            <w:tcW w:w="2843"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34033B" w:rsidRPr="000B697A" w:rsidRDefault="0034033B" w:rsidP="0034033B">
            <w:pPr>
              <w:jc w:val="left"/>
              <w:rPr>
                <w:rFonts w:cs="Calibri"/>
                <w:color w:val="FFFFFF"/>
                <w:sz w:val="20"/>
                <w:szCs w:val="20"/>
              </w:rPr>
            </w:pPr>
            <w:bookmarkStart w:id="27" w:name="_Hlk4667218"/>
            <w:r w:rsidRPr="000B697A">
              <w:rPr>
                <w:rFonts w:cs="Calibri"/>
                <w:color w:val="FFFFFF"/>
                <w:sz w:val="20"/>
                <w:szCs w:val="20"/>
              </w:rPr>
              <w:t> </w:t>
            </w:r>
          </w:p>
        </w:tc>
        <w:tc>
          <w:tcPr>
            <w:tcW w:w="900" w:type="dxa"/>
            <w:tcBorders>
              <w:top w:val="single" w:sz="4" w:space="0" w:color="auto"/>
              <w:left w:val="nil"/>
              <w:bottom w:val="single" w:sz="4" w:space="0" w:color="auto"/>
              <w:right w:val="single" w:sz="4" w:space="0" w:color="auto"/>
            </w:tcBorders>
            <w:shd w:val="clear" w:color="000000" w:fill="4F81BD"/>
            <w:noWrap/>
            <w:vAlign w:val="center"/>
            <w:hideMark/>
          </w:tcPr>
          <w:p w:rsidR="0034033B" w:rsidRPr="000B697A" w:rsidRDefault="0034033B" w:rsidP="0034033B">
            <w:pPr>
              <w:jc w:val="left"/>
              <w:rPr>
                <w:rFonts w:cs="Calibri"/>
                <w:color w:val="FFFFFF"/>
                <w:sz w:val="20"/>
                <w:szCs w:val="20"/>
              </w:rPr>
            </w:pPr>
            <w:r w:rsidRPr="000B697A">
              <w:rPr>
                <w:rFonts w:cs="Calibri"/>
                <w:color w:val="FFFFFF"/>
                <w:sz w:val="20"/>
                <w:szCs w:val="20"/>
              </w:rPr>
              <w:t> </w:t>
            </w:r>
          </w:p>
        </w:tc>
        <w:tc>
          <w:tcPr>
            <w:tcW w:w="3658"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color w:val="FFFFFF"/>
                <w:sz w:val="20"/>
                <w:szCs w:val="20"/>
              </w:rPr>
            </w:pPr>
            <w:r w:rsidRPr="000B697A">
              <w:rPr>
                <w:rFonts w:cs="Calibri"/>
                <w:color w:val="FFFFFF"/>
                <w:sz w:val="20"/>
                <w:szCs w:val="20"/>
              </w:rPr>
              <w:t>Капитализация (BGN)</w:t>
            </w:r>
          </w:p>
        </w:tc>
        <w:tc>
          <w:tcPr>
            <w:tcW w:w="3063"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color w:val="FFFFFF"/>
                <w:sz w:val="20"/>
                <w:szCs w:val="20"/>
              </w:rPr>
            </w:pPr>
            <w:r w:rsidRPr="000B697A">
              <w:rPr>
                <w:rFonts w:cs="Calibri"/>
                <w:color w:val="FFFFFF"/>
                <w:sz w:val="20"/>
                <w:szCs w:val="20"/>
              </w:rPr>
              <w:t>Промяна</w:t>
            </w:r>
          </w:p>
        </w:tc>
      </w:tr>
      <w:tr w:rsidR="0034033B" w:rsidRPr="000B697A" w:rsidTr="0034033B">
        <w:trPr>
          <w:trHeight w:val="315"/>
          <w:jc w:val="center"/>
        </w:trPr>
        <w:tc>
          <w:tcPr>
            <w:tcW w:w="2843" w:type="dxa"/>
            <w:tcBorders>
              <w:top w:val="nil"/>
              <w:left w:val="single" w:sz="4" w:space="0" w:color="auto"/>
              <w:bottom w:val="single" w:sz="4" w:space="0" w:color="auto"/>
              <w:right w:val="single" w:sz="4" w:space="0" w:color="auto"/>
            </w:tcBorders>
            <w:shd w:val="clear" w:color="000000" w:fill="4F81BD"/>
            <w:noWrap/>
            <w:vAlign w:val="center"/>
            <w:hideMark/>
          </w:tcPr>
          <w:p w:rsidR="0034033B" w:rsidRPr="000B697A" w:rsidRDefault="0034033B" w:rsidP="0034033B">
            <w:pPr>
              <w:jc w:val="left"/>
              <w:rPr>
                <w:rFonts w:cs="Calibri"/>
                <w:color w:val="FFFFFF"/>
                <w:sz w:val="20"/>
                <w:szCs w:val="20"/>
              </w:rPr>
            </w:pPr>
            <w:r w:rsidRPr="000B697A">
              <w:rPr>
                <w:rFonts w:cs="Calibri"/>
                <w:color w:val="FFFFFF"/>
                <w:sz w:val="20"/>
                <w:szCs w:val="20"/>
              </w:rPr>
              <w:t>Пазарен сегмент</w:t>
            </w:r>
          </w:p>
        </w:tc>
        <w:tc>
          <w:tcPr>
            <w:tcW w:w="900" w:type="dxa"/>
            <w:tcBorders>
              <w:top w:val="nil"/>
              <w:left w:val="nil"/>
              <w:bottom w:val="single" w:sz="4" w:space="0" w:color="auto"/>
              <w:right w:val="single" w:sz="4" w:space="0" w:color="auto"/>
            </w:tcBorders>
            <w:shd w:val="clear" w:color="000000" w:fill="4F81BD"/>
            <w:noWrap/>
            <w:vAlign w:val="center"/>
            <w:hideMark/>
          </w:tcPr>
          <w:p w:rsidR="0034033B" w:rsidRPr="000B697A" w:rsidRDefault="0034033B" w:rsidP="0034033B">
            <w:pPr>
              <w:jc w:val="left"/>
              <w:rPr>
                <w:rFonts w:cs="Calibri"/>
                <w:color w:val="FFFFFF"/>
                <w:sz w:val="20"/>
                <w:szCs w:val="20"/>
              </w:rPr>
            </w:pPr>
            <w:r w:rsidRPr="000B697A">
              <w:rPr>
                <w:rFonts w:cs="Calibri"/>
                <w:color w:val="FFFFFF"/>
                <w:sz w:val="20"/>
                <w:szCs w:val="20"/>
              </w:rPr>
              <w:t>пазар</w:t>
            </w:r>
          </w:p>
        </w:tc>
        <w:tc>
          <w:tcPr>
            <w:tcW w:w="1829" w:type="dxa"/>
            <w:tcBorders>
              <w:top w:val="nil"/>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bCs/>
                <w:color w:val="FFFFFF"/>
                <w:sz w:val="20"/>
                <w:szCs w:val="20"/>
              </w:rPr>
            </w:pPr>
            <w:r w:rsidRPr="000B697A">
              <w:rPr>
                <w:rFonts w:cs="Calibri"/>
                <w:bCs/>
                <w:color w:val="FFFFFF"/>
                <w:sz w:val="20"/>
                <w:szCs w:val="20"/>
                <w:lang w:val="en-US"/>
              </w:rPr>
              <w:t>31.12.2017</w:t>
            </w:r>
          </w:p>
        </w:tc>
        <w:tc>
          <w:tcPr>
            <w:tcW w:w="1829" w:type="dxa"/>
            <w:tcBorders>
              <w:top w:val="nil"/>
              <w:left w:val="nil"/>
              <w:bottom w:val="single" w:sz="4" w:space="0" w:color="auto"/>
              <w:right w:val="single" w:sz="4" w:space="0" w:color="auto"/>
            </w:tcBorders>
            <w:shd w:val="clear" w:color="000000" w:fill="4F81BD"/>
            <w:noWrap/>
            <w:vAlign w:val="center"/>
            <w:hideMark/>
          </w:tcPr>
          <w:p w:rsidR="0034033B" w:rsidRPr="000B697A" w:rsidRDefault="0034033B" w:rsidP="0034033B">
            <w:pPr>
              <w:jc w:val="right"/>
              <w:rPr>
                <w:rFonts w:cs="Calibri"/>
                <w:color w:val="FFFFFF"/>
                <w:sz w:val="20"/>
                <w:szCs w:val="20"/>
              </w:rPr>
            </w:pPr>
            <w:r w:rsidRPr="000B697A">
              <w:rPr>
                <w:rFonts w:cs="Calibri"/>
                <w:color w:val="FFFFFF"/>
                <w:sz w:val="20"/>
                <w:szCs w:val="20"/>
              </w:rPr>
              <w:t>31.12.2018 г.</w:t>
            </w:r>
          </w:p>
        </w:tc>
        <w:tc>
          <w:tcPr>
            <w:tcW w:w="1102" w:type="dxa"/>
            <w:tcBorders>
              <w:top w:val="nil"/>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color w:val="FFFFFF"/>
                <w:sz w:val="20"/>
                <w:szCs w:val="20"/>
              </w:rPr>
            </w:pPr>
            <w:r w:rsidRPr="000B697A">
              <w:rPr>
                <w:rFonts w:cs="Calibri"/>
                <w:color w:val="FFFFFF"/>
                <w:sz w:val="20"/>
                <w:szCs w:val="20"/>
              </w:rPr>
              <w:t>%</w:t>
            </w:r>
          </w:p>
        </w:tc>
        <w:tc>
          <w:tcPr>
            <w:tcW w:w="1961" w:type="dxa"/>
            <w:tcBorders>
              <w:top w:val="nil"/>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color w:val="FFFFFF"/>
                <w:sz w:val="20"/>
                <w:szCs w:val="20"/>
              </w:rPr>
            </w:pPr>
            <w:proofErr w:type="spellStart"/>
            <w:r w:rsidRPr="000B697A">
              <w:rPr>
                <w:rFonts w:cs="Calibri"/>
                <w:color w:val="FFFFFF"/>
                <w:sz w:val="20"/>
                <w:szCs w:val="20"/>
              </w:rPr>
              <w:t>абсол</w:t>
            </w:r>
            <w:proofErr w:type="spellEnd"/>
            <w:r w:rsidRPr="000B697A">
              <w:rPr>
                <w:rFonts w:cs="Calibri"/>
                <w:color w:val="FFFFFF"/>
                <w:sz w:val="20"/>
                <w:szCs w:val="20"/>
              </w:rPr>
              <w:t xml:space="preserve">. </w:t>
            </w:r>
            <w:proofErr w:type="spellStart"/>
            <w:r w:rsidRPr="000B697A">
              <w:rPr>
                <w:rFonts w:cs="Calibri"/>
                <w:color w:val="FFFFFF"/>
                <w:sz w:val="20"/>
                <w:szCs w:val="20"/>
              </w:rPr>
              <w:t>ст-ст</w:t>
            </w:r>
            <w:proofErr w:type="spellEnd"/>
            <w:r w:rsidRPr="000B697A">
              <w:rPr>
                <w:rFonts w:cs="Calibri"/>
                <w:color w:val="FFFFFF"/>
                <w:sz w:val="20"/>
                <w:szCs w:val="20"/>
              </w:rPr>
              <w:t xml:space="preserve"> (BGN)</w:t>
            </w:r>
          </w:p>
        </w:tc>
      </w:tr>
      <w:tr w:rsidR="0034033B" w:rsidRPr="000B697A" w:rsidTr="0034033B">
        <w:trPr>
          <w:trHeight w:val="315"/>
          <w:jc w:val="center"/>
        </w:trPr>
        <w:tc>
          <w:tcPr>
            <w:tcW w:w="2843"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rPr>
              <w:t>Сегмент акции Premium</w:t>
            </w:r>
          </w:p>
        </w:tc>
        <w:tc>
          <w:tcPr>
            <w:tcW w:w="90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rPr>
              <w:t>BSE</w:t>
            </w:r>
          </w:p>
        </w:tc>
        <w:tc>
          <w:tcPr>
            <w:tcW w:w="1829"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val="en-US"/>
              </w:rPr>
              <w:t>2 303 340 654</w:t>
            </w:r>
          </w:p>
        </w:tc>
        <w:tc>
          <w:tcPr>
            <w:tcW w:w="1829"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1 938 747 956</w:t>
            </w:r>
          </w:p>
        </w:tc>
        <w:tc>
          <w:tcPr>
            <w:tcW w:w="1102"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-15,83%</w:t>
            </w:r>
          </w:p>
        </w:tc>
        <w:tc>
          <w:tcPr>
            <w:tcW w:w="1961"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-364 592 698</w:t>
            </w:r>
          </w:p>
        </w:tc>
      </w:tr>
      <w:tr w:rsidR="0034033B" w:rsidRPr="000B697A" w:rsidTr="0034033B">
        <w:trPr>
          <w:trHeight w:val="315"/>
          <w:jc w:val="center"/>
        </w:trPr>
        <w:tc>
          <w:tcPr>
            <w:tcW w:w="2843"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rPr>
              <w:t>Сегмент акции Standard</w:t>
            </w:r>
          </w:p>
        </w:tc>
        <w:tc>
          <w:tcPr>
            <w:tcW w:w="90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rPr>
              <w:t>BSE</w:t>
            </w:r>
          </w:p>
        </w:tc>
        <w:tc>
          <w:tcPr>
            <w:tcW w:w="1829"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val="en-US"/>
              </w:rPr>
              <w:t>19 350 222 494</w:t>
            </w:r>
          </w:p>
        </w:tc>
        <w:tc>
          <w:tcPr>
            <w:tcW w:w="1829"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6 138 336 636</w:t>
            </w:r>
          </w:p>
        </w:tc>
        <w:tc>
          <w:tcPr>
            <w:tcW w:w="1102"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-68,28%</w:t>
            </w:r>
          </w:p>
        </w:tc>
        <w:tc>
          <w:tcPr>
            <w:tcW w:w="1961"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-13 211 885 858</w:t>
            </w:r>
          </w:p>
        </w:tc>
      </w:tr>
      <w:tr w:rsidR="0034033B" w:rsidRPr="000B697A" w:rsidTr="0034033B">
        <w:trPr>
          <w:trHeight w:val="315"/>
          <w:jc w:val="center"/>
        </w:trPr>
        <w:tc>
          <w:tcPr>
            <w:tcW w:w="2843"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rPr>
              <w:t>Сегмент АДСИЦ</w:t>
            </w:r>
          </w:p>
        </w:tc>
        <w:tc>
          <w:tcPr>
            <w:tcW w:w="90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rPr>
              <w:t>BSE</w:t>
            </w:r>
          </w:p>
        </w:tc>
        <w:tc>
          <w:tcPr>
            <w:tcW w:w="1829"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val="en-US"/>
              </w:rPr>
              <w:t>700 049 870</w:t>
            </w:r>
          </w:p>
        </w:tc>
        <w:tc>
          <w:tcPr>
            <w:tcW w:w="1829"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611 182 747</w:t>
            </w:r>
          </w:p>
        </w:tc>
        <w:tc>
          <w:tcPr>
            <w:tcW w:w="1102"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-12,69%</w:t>
            </w:r>
          </w:p>
        </w:tc>
        <w:tc>
          <w:tcPr>
            <w:tcW w:w="1961"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-88 867 123</w:t>
            </w:r>
          </w:p>
        </w:tc>
      </w:tr>
      <w:tr w:rsidR="0034033B" w:rsidRPr="000B697A" w:rsidTr="0034033B">
        <w:trPr>
          <w:trHeight w:val="315"/>
          <w:jc w:val="center"/>
        </w:trPr>
        <w:tc>
          <w:tcPr>
            <w:tcW w:w="2843"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rPr>
              <w:t xml:space="preserve">Сегмент акции </w:t>
            </w:r>
          </w:p>
        </w:tc>
        <w:tc>
          <w:tcPr>
            <w:tcW w:w="90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proofErr w:type="spellStart"/>
            <w:r w:rsidRPr="000B697A">
              <w:rPr>
                <w:rFonts w:cs="Calibri"/>
                <w:color w:val="000000"/>
                <w:sz w:val="20"/>
                <w:szCs w:val="20"/>
              </w:rPr>
              <w:t>BaSE</w:t>
            </w:r>
            <w:proofErr w:type="spellEnd"/>
          </w:p>
        </w:tc>
        <w:tc>
          <w:tcPr>
            <w:tcW w:w="1829"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val="en-US"/>
              </w:rPr>
              <w:t>895 652 959</w:t>
            </w:r>
          </w:p>
        </w:tc>
        <w:tc>
          <w:tcPr>
            <w:tcW w:w="1829"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17 590 358 912</w:t>
            </w:r>
          </w:p>
        </w:tc>
        <w:tc>
          <w:tcPr>
            <w:tcW w:w="1102"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1863,97%</w:t>
            </w:r>
          </w:p>
        </w:tc>
        <w:tc>
          <w:tcPr>
            <w:tcW w:w="1961"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16 694 705 953</w:t>
            </w:r>
          </w:p>
        </w:tc>
      </w:tr>
      <w:tr w:rsidR="0034033B" w:rsidRPr="000B697A" w:rsidTr="0034033B">
        <w:trPr>
          <w:trHeight w:val="315"/>
          <w:jc w:val="center"/>
        </w:trPr>
        <w:tc>
          <w:tcPr>
            <w:tcW w:w="2843"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r w:rsidRPr="000B697A">
              <w:rPr>
                <w:rFonts w:cs="Calibri"/>
                <w:color w:val="000000"/>
                <w:sz w:val="20"/>
                <w:szCs w:val="20"/>
              </w:rPr>
              <w:t>Сегмент АДСИЦ</w:t>
            </w:r>
          </w:p>
        </w:tc>
        <w:tc>
          <w:tcPr>
            <w:tcW w:w="90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sz w:val="20"/>
                <w:szCs w:val="20"/>
              </w:rPr>
            </w:pPr>
            <w:proofErr w:type="spellStart"/>
            <w:r w:rsidRPr="000B697A">
              <w:rPr>
                <w:rFonts w:cs="Calibri"/>
                <w:color w:val="000000"/>
                <w:sz w:val="20"/>
                <w:szCs w:val="20"/>
              </w:rPr>
              <w:t>BaSE</w:t>
            </w:r>
            <w:proofErr w:type="spellEnd"/>
          </w:p>
        </w:tc>
        <w:tc>
          <w:tcPr>
            <w:tcW w:w="1829"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lang w:val="en-US"/>
              </w:rPr>
              <w:t>371 702 166</w:t>
            </w:r>
          </w:p>
        </w:tc>
        <w:tc>
          <w:tcPr>
            <w:tcW w:w="1829"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486 719 032</w:t>
            </w:r>
          </w:p>
        </w:tc>
        <w:tc>
          <w:tcPr>
            <w:tcW w:w="1102"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30,94%</w:t>
            </w:r>
          </w:p>
        </w:tc>
        <w:tc>
          <w:tcPr>
            <w:tcW w:w="1961"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sz w:val="20"/>
                <w:szCs w:val="20"/>
              </w:rPr>
            </w:pPr>
            <w:r w:rsidRPr="000B697A">
              <w:rPr>
                <w:rFonts w:cs="Calibri"/>
                <w:color w:val="000000"/>
                <w:sz w:val="20"/>
                <w:szCs w:val="20"/>
              </w:rPr>
              <w:t>115 016 866</w:t>
            </w:r>
          </w:p>
        </w:tc>
      </w:tr>
      <w:tr w:rsidR="0034033B" w:rsidRPr="000B697A" w:rsidTr="0034033B">
        <w:trPr>
          <w:trHeight w:val="315"/>
          <w:jc w:val="center"/>
        </w:trPr>
        <w:tc>
          <w:tcPr>
            <w:tcW w:w="2843" w:type="dxa"/>
            <w:tcBorders>
              <w:top w:val="nil"/>
              <w:left w:val="nil"/>
              <w:bottom w:val="nil"/>
              <w:right w:val="nil"/>
            </w:tcBorders>
            <w:shd w:val="clear" w:color="auto" w:fill="auto"/>
            <w:noWrap/>
            <w:vAlign w:val="bottom"/>
            <w:hideMark/>
          </w:tcPr>
          <w:p w:rsidR="0034033B" w:rsidRPr="000B697A" w:rsidRDefault="0034033B" w:rsidP="0034033B">
            <w:pPr>
              <w:jc w:val="left"/>
              <w:rPr>
                <w:rFonts w:cs="Calibri"/>
                <w:color w:val="000000"/>
                <w:sz w:val="20"/>
                <w:szCs w:val="20"/>
              </w:rPr>
            </w:pPr>
          </w:p>
        </w:tc>
        <w:tc>
          <w:tcPr>
            <w:tcW w:w="900" w:type="dxa"/>
            <w:tcBorders>
              <w:top w:val="nil"/>
              <w:left w:val="nil"/>
              <w:bottom w:val="nil"/>
              <w:right w:val="nil"/>
            </w:tcBorders>
            <w:shd w:val="clear" w:color="auto" w:fill="auto"/>
            <w:noWrap/>
            <w:vAlign w:val="bottom"/>
            <w:hideMark/>
          </w:tcPr>
          <w:p w:rsidR="0034033B" w:rsidRPr="000B697A" w:rsidRDefault="0034033B" w:rsidP="0034033B">
            <w:pPr>
              <w:jc w:val="left"/>
              <w:rPr>
                <w:rFonts w:cs="Calibri"/>
                <w:color w:val="000000"/>
                <w:sz w:val="20"/>
                <w:szCs w:val="20"/>
              </w:rPr>
            </w:pPr>
          </w:p>
        </w:tc>
        <w:tc>
          <w:tcPr>
            <w:tcW w:w="1829"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b/>
                <w:bCs/>
                <w:color w:val="000000"/>
                <w:sz w:val="20"/>
                <w:szCs w:val="20"/>
              </w:rPr>
            </w:pPr>
            <w:r w:rsidRPr="000B697A">
              <w:rPr>
                <w:rFonts w:cs="Calibri"/>
                <w:b/>
                <w:bCs/>
                <w:color w:val="000000"/>
                <w:sz w:val="20"/>
                <w:szCs w:val="20"/>
              </w:rPr>
              <w:t>23 620 968 143</w:t>
            </w:r>
          </w:p>
        </w:tc>
        <w:tc>
          <w:tcPr>
            <w:tcW w:w="1829"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b/>
                <w:bCs/>
                <w:color w:val="000000"/>
                <w:sz w:val="20"/>
                <w:szCs w:val="20"/>
              </w:rPr>
            </w:pPr>
            <w:r w:rsidRPr="000B697A">
              <w:rPr>
                <w:rFonts w:cs="Calibri"/>
                <w:b/>
                <w:bCs/>
                <w:color w:val="000000"/>
                <w:sz w:val="20"/>
                <w:szCs w:val="20"/>
              </w:rPr>
              <w:t>26 765 345 283</w:t>
            </w:r>
          </w:p>
        </w:tc>
        <w:tc>
          <w:tcPr>
            <w:tcW w:w="1102"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b/>
                <w:color w:val="000000"/>
                <w:sz w:val="20"/>
                <w:szCs w:val="20"/>
              </w:rPr>
            </w:pPr>
            <w:r w:rsidRPr="000B697A">
              <w:rPr>
                <w:rFonts w:cs="Calibri"/>
                <w:b/>
                <w:color w:val="000000"/>
                <w:sz w:val="20"/>
                <w:szCs w:val="20"/>
              </w:rPr>
              <w:t>13,31%</w:t>
            </w:r>
          </w:p>
        </w:tc>
        <w:tc>
          <w:tcPr>
            <w:tcW w:w="1961"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b/>
                <w:color w:val="000000"/>
                <w:sz w:val="20"/>
                <w:szCs w:val="20"/>
              </w:rPr>
            </w:pPr>
            <w:r w:rsidRPr="000B697A">
              <w:rPr>
                <w:rFonts w:cs="Calibri"/>
                <w:b/>
                <w:color w:val="000000"/>
                <w:sz w:val="20"/>
                <w:szCs w:val="20"/>
              </w:rPr>
              <w:t>3 144 377 140</w:t>
            </w:r>
          </w:p>
        </w:tc>
      </w:tr>
      <w:bookmarkEnd w:id="27"/>
    </w:tbl>
    <w:p w:rsidR="00D118F9" w:rsidRPr="000B697A" w:rsidRDefault="00D118F9" w:rsidP="00281505">
      <w:pPr>
        <w:rPr>
          <w:rFonts w:cs="Calibri"/>
          <w:sz w:val="8"/>
          <w:szCs w:val="8"/>
          <w:lang w:val="en-US"/>
        </w:rPr>
      </w:pPr>
    </w:p>
    <w:p w:rsidR="0034033B" w:rsidRPr="000B697A" w:rsidRDefault="007D0D26" w:rsidP="0034033B">
      <w:pPr>
        <w:pStyle w:val="ChartHeader"/>
        <w:rPr>
          <w:rFonts w:cs="Calibri"/>
        </w:rPr>
      </w:pPr>
      <w:r w:rsidRPr="000B697A">
        <w:rPr>
          <w:rFonts w:cs="Calibri"/>
        </w:rPr>
        <w:t>Таблица 7. Пазарна капитализация / Брутен вътрешен продукт</w:t>
      </w:r>
    </w:p>
    <w:tbl>
      <w:tblPr>
        <w:tblW w:w="10062" w:type="dxa"/>
        <w:jc w:val="center"/>
        <w:tblCellMar>
          <w:left w:w="70" w:type="dxa"/>
          <w:right w:w="70" w:type="dxa"/>
        </w:tblCellMar>
        <w:tblLook w:val="04A0" w:firstRow="1" w:lastRow="0" w:firstColumn="1" w:lastColumn="0" w:noHBand="0" w:noVBand="1"/>
      </w:tblPr>
      <w:tblGrid>
        <w:gridCol w:w="3880"/>
        <w:gridCol w:w="1660"/>
        <w:gridCol w:w="1453"/>
        <w:gridCol w:w="1467"/>
        <w:gridCol w:w="1602"/>
      </w:tblGrid>
      <w:tr w:rsidR="0034033B" w:rsidRPr="000B697A" w:rsidTr="0034033B">
        <w:trPr>
          <w:trHeight w:val="170"/>
          <w:jc w:val="center"/>
        </w:trPr>
        <w:tc>
          <w:tcPr>
            <w:tcW w:w="3880"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34033B" w:rsidRPr="000B697A" w:rsidRDefault="0034033B" w:rsidP="0034033B">
            <w:pPr>
              <w:jc w:val="left"/>
              <w:rPr>
                <w:rFonts w:cs="Calibri"/>
                <w:color w:val="FFFFFF"/>
              </w:rPr>
            </w:pPr>
            <w:r w:rsidRPr="000B697A">
              <w:rPr>
                <w:rFonts w:cs="Calibri"/>
                <w:color w:val="FFFFFF"/>
                <w:lang w:eastAsia="en-US"/>
              </w:rPr>
              <w:t> </w:t>
            </w:r>
          </w:p>
        </w:tc>
        <w:tc>
          <w:tcPr>
            <w:tcW w:w="1660" w:type="dxa"/>
            <w:tcBorders>
              <w:top w:val="single" w:sz="4" w:space="0" w:color="auto"/>
              <w:left w:val="nil"/>
              <w:bottom w:val="single" w:sz="4" w:space="0" w:color="auto"/>
              <w:right w:val="single" w:sz="4" w:space="0" w:color="auto"/>
            </w:tcBorders>
            <w:shd w:val="clear" w:color="000000" w:fill="4F81BD"/>
            <w:noWrap/>
            <w:vAlign w:val="center"/>
            <w:hideMark/>
          </w:tcPr>
          <w:p w:rsidR="0034033B" w:rsidRPr="000B697A" w:rsidRDefault="0034033B" w:rsidP="0034033B">
            <w:pPr>
              <w:jc w:val="center"/>
              <w:rPr>
                <w:rFonts w:cs="Calibri"/>
                <w:color w:val="FFFFFF"/>
              </w:rPr>
            </w:pPr>
            <w:r w:rsidRPr="000B697A">
              <w:rPr>
                <w:rFonts w:cs="Calibri"/>
                <w:color w:val="FFFFFF"/>
                <w:lang w:eastAsia="en-US"/>
              </w:rPr>
              <w:t>31.12.2015</w:t>
            </w:r>
          </w:p>
        </w:tc>
        <w:tc>
          <w:tcPr>
            <w:tcW w:w="1453" w:type="dxa"/>
            <w:tcBorders>
              <w:top w:val="single" w:sz="4" w:space="0" w:color="auto"/>
              <w:left w:val="nil"/>
              <w:bottom w:val="single" w:sz="4" w:space="0" w:color="auto"/>
              <w:right w:val="single" w:sz="4" w:space="0" w:color="auto"/>
            </w:tcBorders>
            <w:shd w:val="clear" w:color="000000" w:fill="4F81BD"/>
            <w:noWrap/>
            <w:vAlign w:val="center"/>
            <w:hideMark/>
          </w:tcPr>
          <w:p w:rsidR="0034033B" w:rsidRPr="000B697A" w:rsidRDefault="0034033B" w:rsidP="0034033B">
            <w:pPr>
              <w:jc w:val="right"/>
              <w:rPr>
                <w:rFonts w:cs="Calibri"/>
                <w:color w:val="FFFFFF"/>
              </w:rPr>
            </w:pPr>
            <w:r w:rsidRPr="000B697A">
              <w:rPr>
                <w:rFonts w:cs="Calibri"/>
                <w:color w:val="FFFFFF"/>
                <w:lang w:eastAsia="en-US"/>
              </w:rPr>
              <w:t>31.12.2016</w:t>
            </w:r>
          </w:p>
        </w:tc>
        <w:tc>
          <w:tcPr>
            <w:tcW w:w="1467" w:type="dxa"/>
            <w:tcBorders>
              <w:top w:val="single" w:sz="4" w:space="0" w:color="auto"/>
              <w:left w:val="nil"/>
              <w:bottom w:val="single" w:sz="4" w:space="0" w:color="auto"/>
              <w:right w:val="single" w:sz="4" w:space="0" w:color="auto"/>
            </w:tcBorders>
            <w:shd w:val="clear" w:color="000000" w:fill="4F81BD"/>
            <w:noWrap/>
            <w:vAlign w:val="center"/>
            <w:hideMark/>
          </w:tcPr>
          <w:p w:rsidR="0034033B" w:rsidRPr="000B697A" w:rsidRDefault="0034033B" w:rsidP="0034033B">
            <w:pPr>
              <w:jc w:val="right"/>
              <w:rPr>
                <w:rFonts w:cs="Calibri"/>
                <w:color w:val="FFFFFF"/>
              </w:rPr>
            </w:pPr>
            <w:r w:rsidRPr="000B697A">
              <w:rPr>
                <w:rFonts w:cs="Calibri"/>
                <w:color w:val="FFFFFF"/>
                <w:lang w:eastAsia="en-US"/>
              </w:rPr>
              <w:t>31.12.2017</w:t>
            </w:r>
          </w:p>
        </w:tc>
        <w:tc>
          <w:tcPr>
            <w:tcW w:w="1602" w:type="dxa"/>
            <w:tcBorders>
              <w:top w:val="single" w:sz="4" w:space="0" w:color="auto"/>
              <w:left w:val="nil"/>
              <w:bottom w:val="single" w:sz="4" w:space="0" w:color="auto"/>
              <w:right w:val="single" w:sz="4" w:space="0" w:color="auto"/>
            </w:tcBorders>
            <w:shd w:val="clear" w:color="000000" w:fill="4F81BD"/>
            <w:noWrap/>
            <w:vAlign w:val="center"/>
            <w:hideMark/>
          </w:tcPr>
          <w:p w:rsidR="0034033B" w:rsidRPr="000B697A" w:rsidRDefault="0034033B" w:rsidP="0034033B">
            <w:pPr>
              <w:jc w:val="right"/>
              <w:rPr>
                <w:rFonts w:cs="Calibri"/>
                <w:color w:val="FFFFFF"/>
              </w:rPr>
            </w:pPr>
            <w:r w:rsidRPr="000B697A">
              <w:rPr>
                <w:rFonts w:cs="Calibri"/>
                <w:color w:val="FFFFFF"/>
              </w:rPr>
              <w:t>31.12.2018 г.</w:t>
            </w:r>
          </w:p>
        </w:tc>
      </w:tr>
      <w:tr w:rsidR="0034033B" w:rsidRPr="000B697A" w:rsidTr="0034033B">
        <w:trPr>
          <w:trHeight w:val="17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rPr>
            </w:pPr>
            <w:r w:rsidRPr="000B697A">
              <w:rPr>
                <w:rFonts w:cs="Calibri"/>
                <w:color w:val="000000"/>
                <w:lang w:eastAsia="en-US"/>
              </w:rPr>
              <w:t>Пазарна капитализация (млн. лв.)</w:t>
            </w:r>
          </w:p>
        </w:tc>
        <w:tc>
          <w:tcPr>
            <w:tcW w:w="16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rPr>
            </w:pPr>
            <w:r w:rsidRPr="000B697A">
              <w:rPr>
                <w:rFonts w:cs="Calibri"/>
                <w:color w:val="000000"/>
                <w:lang w:eastAsia="en-US"/>
              </w:rPr>
              <w:t>8 587,42</w:t>
            </w:r>
          </w:p>
        </w:tc>
        <w:tc>
          <w:tcPr>
            <w:tcW w:w="1453"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rPr>
            </w:pPr>
            <w:r w:rsidRPr="000B697A">
              <w:rPr>
                <w:rFonts w:cs="Calibri"/>
                <w:color w:val="000000"/>
                <w:lang w:eastAsia="en-US"/>
              </w:rPr>
              <w:t>9 682,52</w:t>
            </w:r>
          </w:p>
        </w:tc>
        <w:tc>
          <w:tcPr>
            <w:tcW w:w="1467"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rPr>
            </w:pPr>
            <w:r w:rsidRPr="000B697A">
              <w:rPr>
                <w:rFonts w:cs="Calibri"/>
                <w:color w:val="000000"/>
                <w:lang w:eastAsia="en-US"/>
              </w:rPr>
              <w:t>23 620,97</w:t>
            </w:r>
          </w:p>
        </w:tc>
        <w:tc>
          <w:tcPr>
            <w:tcW w:w="1602"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rPr>
            </w:pPr>
            <w:r w:rsidRPr="000B697A">
              <w:rPr>
                <w:rFonts w:cs="Calibri"/>
                <w:color w:val="000000"/>
              </w:rPr>
              <w:t>26 765,34</w:t>
            </w:r>
          </w:p>
        </w:tc>
      </w:tr>
      <w:tr w:rsidR="0034033B" w:rsidRPr="000B697A" w:rsidTr="0034033B">
        <w:trPr>
          <w:trHeight w:val="17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rPr>
            </w:pPr>
            <w:r w:rsidRPr="000B697A">
              <w:rPr>
                <w:rFonts w:cs="Calibri"/>
                <w:color w:val="000000"/>
                <w:lang w:eastAsia="en-US"/>
              </w:rPr>
              <w:t xml:space="preserve">БВП (млн. лв.) </w:t>
            </w:r>
          </w:p>
        </w:tc>
        <w:tc>
          <w:tcPr>
            <w:tcW w:w="16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rPr>
            </w:pPr>
            <w:r w:rsidRPr="000B697A">
              <w:rPr>
                <w:rFonts w:cs="Calibri"/>
                <w:color w:val="000000"/>
                <w:lang w:eastAsia="en-US"/>
              </w:rPr>
              <w:t>86 373</w:t>
            </w:r>
          </w:p>
        </w:tc>
        <w:tc>
          <w:tcPr>
            <w:tcW w:w="1453"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rPr>
            </w:pPr>
            <w:r w:rsidRPr="000B697A">
              <w:rPr>
                <w:rFonts w:cs="Calibri"/>
                <w:color w:val="000000"/>
                <w:lang w:eastAsia="en-US"/>
              </w:rPr>
              <w:t>92 635</w:t>
            </w:r>
          </w:p>
        </w:tc>
        <w:tc>
          <w:tcPr>
            <w:tcW w:w="1467"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rPr>
            </w:pPr>
            <w:r w:rsidRPr="000B697A">
              <w:rPr>
                <w:rFonts w:cs="Calibri"/>
                <w:color w:val="000000"/>
                <w:lang w:eastAsia="en-US"/>
              </w:rPr>
              <w:t>98 631</w:t>
            </w:r>
          </w:p>
        </w:tc>
        <w:tc>
          <w:tcPr>
            <w:tcW w:w="1602"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rPr>
            </w:pPr>
            <w:r w:rsidRPr="000B697A">
              <w:rPr>
                <w:rFonts w:cs="Calibri"/>
                <w:color w:val="000000"/>
              </w:rPr>
              <w:t>107 925</w:t>
            </w:r>
          </w:p>
        </w:tc>
      </w:tr>
      <w:tr w:rsidR="0034033B" w:rsidRPr="000B697A" w:rsidTr="0034033B">
        <w:trPr>
          <w:trHeight w:val="17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34033B" w:rsidRPr="000B697A" w:rsidRDefault="0034033B" w:rsidP="0034033B">
            <w:pPr>
              <w:jc w:val="left"/>
              <w:rPr>
                <w:rFonts w:cs="Calibri"/>
                <w:color w:val="000000"/>
              </w:rPr>
            </w:pPr>
            <w:r w:rsidRPr="000B697A">
              <w:rPr>
                <w:rFonts w:cs="Calibri"/>
                <w:color w:val="000000"/>
                <w:lang w:eastAsia="en-US"/>
              </w:rPr>
              <w:t xml:space="preserve">Пазарна капитализация/ БВП </w:t>
            </w:r>
          </w:p>
        </w:tc>
        <w:tc>
          <w:tcPr>
            <w:tcW w:w="1660"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rPr>
            </w:pPr>
            <w:r w:rsidRPr="000B697A">
              <w:rPr>
                <w:rFonts w:cs="Calibri"/>
                <w:color w:val="000000"/>
                <w:lang w:eastAsia="en-US"/>
              </w:rPr>
              <w:t>9.94%</w:t>
            </w:r>
          </w:p>
        </w:tc>
        <w:tc>
          <w:tcPr>
            <w:tcW w:w="1453"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rPr>
            </w:pPr>
            <w:r w:rsidRPr="000B697A">
              <w:rPr>
                <w:rFonts w:cs="Calibri"/>
                <w:color w:val="000000"/>
                <w:lang w:eastAsia="en-US"/>
              </w:rPr>
              <w:t>10.45%</w:t>
            </w:r>
          </w:p>
        </w:tc>
        <w:tc>
          <w:tcPr>
            <w:tcW w:w="1467" w:type="dxa"/>
            <w:tcBorders>
              <w:top w:val="nil"/>
              <w:left w:val="nil"/>
              <w:bottom w:val="single" w:sz="4" w:space="0" w:color="auto"/>
              <w:right w:val="single" w:sz="4" w:space="0" w:color="auto"/>
            </w:tcBorders>
            <w:shd w:val="clear" w:color="auto" w:fill="auto"/>
            <w:noWrap/>
            <w:vAlign w:val="center"/>
            <w:hideMark/>
          </w:tcPr>
          <w:p w:rsidR="0034033B" w:rsidRPr="000B697A" w:rsidRDefault="0034033B" w:rsidP="0034033B">
            <w:pPr>
              <w:jc w:val="right"/>
              <w:rPr>
                <w:rFonts w:cs="Calibri"/>
                <w:color w:val="000000"/>
              </w:rPr>
            </w:pPr>
            <w:r w:rsidRPr="000B697A">
              <w:rPr>
                <w:rFonts w:cs="Calibri"/>
                <w:color w:val="000000"/>
                <w:lang w:eastAsia="en-US"/>
              </w:rPr>
              <w:t>23.95%</w:t>
            </w:r>
          </w:p>
        </w:tc>
        <w:tc>
          <w:tcPr>
            <w:tcW w:w="1602" w:type="dxa"/>
            <w:tcBorders>
              <w:top w:val="nil"/>
              <w:left w:val="nil"/>
              <w:bottom w:val="single" w:sz="4" w:space="0" w:color="auto"/>
              <w:right w:val="single" w:sz="4" w:space="0" w:color="auto"/>
            </w:tcBorders>
            <w:shd w:val="clear" w:color="auto" w:fill="auto"/>
            <w:noWrap/>
            <w:vAlign w:val="bottom"/>
            <w:hideMark/>
          </w:tcPr>
          <w:p w:rsidR="0034033B" w:rsidRPr="000B697A" w:rsidRDefault="0034033B" w:rsidP="0034033B">
            <w:pPr>
              <w:jc w:val="right"/>
              <w:rPr>
                <w:rFonts w:cs="Calibri"/>
                <w:color w:val="000000"/>
              </w:rPr>
            </w:pPr>
            <w:r w:rsidRPr="000B697A">
              <w:rPr>
                <w:rFonts w:cs="Calibri"/>
                <w:color w:val="000000"/>
              </w:rPr>
              <w:t>24,80%</w:t>
            </w:r>
          </w:p>
        </w:tc>
      </w:tr>
    </w:tbl>
    <w:p w:rsidR="007D0731" w:rsidRPr="000B697A" w:rsidRDefault="00D95C21" w:rsidP="0016443B">
      <w:pPr>
        <w:pStyle w:val="SubNumbers"/>
        <w:rPr>
          <w:rFonts w:cs="Calibri"/>
        </w:rPr>
      </w:pPr>
      <w:bookmarkStart w:id="28" w:name="_Toc283112105"/>
      <w:bookmarkStart w:id="29" w:name="_Toc6923244"/>
      <w:r w:rsidRPr="000B697A">
        <w:rPr>
          <w:rFonts w:cs="Calibri"/>
        </w:rPr>
        <w:t>Индекси на БФБ-София</w:t>
      </w:r>
      <w:bookmarkEnd w:id="28"/>
      <w:bookmarkEnd w:id="29"/>
    </w:p>
    <w:p w:rsidR="0034033B" w:rsidRPr="000B697A" w:rsidRDefault="0034033B" w:rsidP="0034033B">
      <w:pPr>
        <w:rPr>
          <w:rFonts w:cs="Calibri"/>
        </w:rPr>
      </w:pPr>
      <w:r w:rsidRPr="000B697A">
        <w:rPr>
          <w:rFonts w:cs="Calibri"/>
        </w:rPr>
        <w:t xml:space="preserve">2018 година започна със спад във всички индекси през първото и второто тримесечие. Спадът бе започнал още пред втората половина на миналата 2017 година. През първата половина на третото тримесечие на 2018 г. започна възходящо движение, което продължи до средата му. Впоследствие посоката отново се обърна и спадът в индексите продължи през четвъртото тримесечие до края на годината. За сравнение 2017 година </w:t>
      </w:r>
      <w:proofErr w:type="spellStart"/>
      <w:r w:rsidRPr="000B697A">
        <w:rPr>
          <w:rFonts w:cs="Calibri"/>
        </w:rPr>
        <w:t>излеждаше</w:t>
      </w:r>
      <w:proofErr w:type="spellEnd"/>
      <w:r w:rsidRPr="000B697A">
        <w:rPr>
          <w:rFonts w:cs="Calibri"/>
        </w:rPr>
        <w:t xml:space="preserve"> различно: тя започна с повишение във всички индекси през първото, второто и първата половина на третото тримесечие. През втората половина на третото тримесечие започна низходящо движение, което продължи до края на 2017 година. Индексите се движеха сходно през 2018, с изключение на BGREIT, който принципно прави изключение от общата тенденция заради вида дружества, въз основа на чиито цени се изчислява. BGREIT започна 2018 със спад през първото тримесечие, но през второто, третото и четвъртото тримесечие имаше повишения в стойността му.</w:t>
      </w:r>
    </w:p>
    <w:p w:rsidR="0034033B" w:rsidRPr="000B697A" w:rsidRDefault="0034033B" w:rsidP="0034033B">
      <w:pPr>
        <w:rPr>
          <w:rFonts w:cs="Calibri"/>
        </w:rPr>
      </w:pPr>
      <w:r w:rsidRPr="000B697A">
        <w:rPr>
          <w:rFonts w:cs="Calibri"/>
        </w:rPr>
        <w:t>През 2018 г. стойността на SOFIX спадна с 12,25 % до 594,46 пункта, стойността на BGBX40 отбеляза намаление от 12,19% до 115,91 пункта, стойността на BGREIT нарасна с 4,28% до 121,07 пункта, а тази на BGTR30 спадна с 10,76% до 496,14 пункта</w:t>
      </w:r>
      <w:r w:rsidR="00D118F9" w:rsidRPr="000B697A">
        <w:rPr>
          <w:rFonts w:cs="Calibri"/>
        </w:rPr>
        <w:t>.</w:t>
      </w:r>
    </w:p>
    <w:tbl>
      <w:tblPr>
        <w:tblStyle w:val="TableGrid"/>
        <w:tblW w:w="11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5671"/>
      </w:tblGrid>
      <w:tr w:rsidR="0034033B" w:rsidRPr="000B697A" w:rsidTr="0034033B">
        <w:trPr>
          <w:trHeight w:val="170"/>
          <w:jc w:val="center"/>
        </w:trPr>
        <w:tc>
          <w:tcPr>
            <w:tcW w:w="11205" w:type="dxa"/>
            <w:gridSpan w:val="2"/>
          </w:tcPr>
          <w:p w:rsidR="0034033B" w:rsidRPr="000B697A" w:rsidRDefault="0034033B" w:rsidP="0034033B">
            <w:pPr>
              <w:pStyle w:val="ChartHeader"/>
              <w:rPr>
                <w:rFonts w:cs="Calibri"/>
              </w:rPr>
            </w:pPr>
            <w:r w:rsidRPr="000B697A">
              <w:rPr>
                <w:rFonts w:cs="Calibri"/>
              </w:rPr>
              <w:t>Графика 6: Движение на индексите на Българска фондова борса през 201</w:t>
            </w:r>
            <w:r w:rsidRPr="000B697A">
              <w:rPr>
                <w:rFonts w:cs="Calibri"/>
                <w:lang w:val="en-US"/>
              </w:rPr>
              <w:t>8</w:t>
            </w:r>
            <w:r w:rsidRPr="000B697A">
              <w:rPr>
                <w:rFonts w:cs="Calibri"/>
              </w:rPr>
              <w:t xml:space="preserve"> година</w:t>
            </w:r>
          </w:p>
        </w:tc>
      </w:tr>
      <w:tr w:rsidR="0034033B" w:rsidRPr="000B697A" w:rsidTr="0034033B">
        <w:trPr>
          <w:trHeight w:val="170"/>
          <w:jc w:val="center"/>
        </w:trPr>
        <w:tc>
          <w:tcPr>
            <w:tcW w:w="5534" w:type="dxa"/>
          </w:tcPr>
          <w:p w:rsidR="0034033B" w:rsidRPr="000B697A" w:rsidRDefault="0034033B" w:rsidP="0034033B">
            <w:pPr>
              <w:pStyle w:val="ChartHeader"/>
              <w:rPr>
                <w:rFonts w:cs="Calibri"/>
              </w:rPr>
            </w:pPr>
            <w:r w:rsidRPr="000B697A">
              <w:rPr>
                <w:rFonts w:cs="Calibri"/>
              </w:rPr>
              <w:t>SOFIX</w:t>
            </w:r>
          </w:p>
        </w:tc>
        <w:tc>
          <w:tcPr>
            <w:tcW w:w="5671" w:type="dxa"/>
          </w:tcPr>
          <w:p w:rsidR="0034033B" w:rsidRPr="000B697A" w:rsidRDefault="0034033B" w:rsidP="0034033B">
            <w:pPr>
              <w:pStyle w:val="ChartHeader"/>
              <w:rPr>
                <w:rFonts w:cs="Calibri"/>
              </w:rPr>
            </w:pPr>
            <w:r w:rsidRPr="000B697A">
              <w:rPr>
                <w:rFonts w:cs="Calibri"/>
              </w:rPr>
              <w:t>BGTR30</w:t>
            </w:r>
          </w:p>
        </w:tc>
      </w:tr>
      <w:tr w:rsidR="0034033B" w:rsidRPr="000B697A" w:rsidTr="0034033B">
        <w:tblPrEx>
          <w:tblCellMar>
            <w:left w:w="70" w:type="dxa"/>
            <w:right w:w="70" w:type="dxa"/>
          </w:tblCellMar>
        </w:tblPrEx>
        <w:trPr>
          <w:trHeight w:val="170"/>
          <w:jc w:val="center"/>
        </w:trPr>
        <w:tc>
          <w:tcPr>
            <w:tcW w:w="5534" w:type="dxa"/>
          </w:tcPr>
          <w:p w:rsidR="0034033B" w:rsidRPr="000B697A" w:rsidRDefault="0034033B" w:rsidP="0034033B">
            <w:pPr>
              <w:tabs>
                <w:tab w:val="left" w:pos="360"/>
              </w:tabs>
              <w:rPr>
                <w:rFonts w:cs="Calibri"/>
              </w:rPr>
            </w:pPr>
            <w:r w:rsidRPr="000B697A">
              <w:rPr>
                <w:rFonts w:cs="Calibri"/>
                <w:noProof/>
                <w:lang w:val="en-US" w:eastAsia="en-US"/>
              </w:rPr>
              <w:drawing>
                <wp:inline distT="0" distB="0" distL="0" distR="0">
                  <wp:extent cx="3357245" cy="2268747"/>
                  <wp:effectExtent l="0" t="0" r="14605" b="17780"/>
                  <wp:docPr id="22" name="Chart 22">
                    <a:extLst xmlns:a="http://schemas.openxmlformats.org/drawingml/2006/main">
                      <a:ext uri="{FF2B5EF4-FFF2-40B4-BE49-F238E27FC236}">
                        <a16:creationId xmlns:a16="http://schemas.microsoft.com/office/drawing/2014/main" id="{44258CEC-8239-41BD-8A13-DEB5C6A80F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5671" w:type="dxa"/>
          </w:tcPr>
          <w:p w:rsidR="0034033B" w:rsidRPr="000B697A" w:rsidRDefault="0034033B" w:rsidP="0034033B">
            <w:pPr>
              <w:tabs>
                <w:tab w:val="left" w:pos="360"/>
              </w:tabs>
              <w:rPr>
                <w:rFonts w:cs="Calibri"/>
              </w:rPr>
            </w:pPr>
            <w:r w:rsidRPr="000B697A">
              <w:rPr>
                <w:rFonts w:cs="Calibri"/>
                <w:noProof/>
                <w:lang w:val="en-US" w:eastAsia="en-US"/>
              </w:rPr>
              <w:drawing>
                <wp:inline distT="0" distB="0" distL="0" distR="0">
                  <wp:extent cx="3404870" cy="2242868"/>
                  <wp:effectExtent l="0" t="0" r="5080" b="5080"/>
                  <wp:docPr id="23" name="Chart 23">
                    <a:extLst xmlns:a="http://schemas.openxmlformats.org/drawingml/2006/main">
                      <a:ext uri="{FF2B5EF4-FFF2-40B4-BE49-F238E27FC236}">
                        <a16:creationId xmlns:a16="http://schemas.microsoft.com/office/drawing/2014/main" id="{820E3EC1-A3F1-4155-94A3-2230496AB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D866FF" w:rsidRPr="000B697A" w:rsidRDefault="000B5BF1" w:rsidP="000B5BF1">
      <w:pPr>
        <w:jc w:val="left"/>
        <w:rPr>
          <w:rFonts w:cs="Calibri"/>
        </w:rPr>
      </w:pPr>
      <w:r w:rsidRPr="000B697A">
        <w:rPr>
          <w:rFonts w:cs="Calibri"/>
        </w:rPr>
        <w:br w:type="page"/>
      </w:r>
    </w:p>
    <w:tbl>
      <w:tblPr>
        <w:tblStyle w:val="TableGrid"/>
        <w:tblW w:w="11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5671"/>
      </w:tblGrid>
      <w:tr w:rsidR="0034033B" w:rsidRPr="000B697A" w:rsidTr="0034033B">
        <w:trPr>
          <w:trHeight w:val="170"/>
          <w:jc w:val="center"/>
        </w:trPr>
        <w:tc>
          <w:tcPr>
            <w:tcW w:w="5534" w:type="dxa"/>
          </w:tcPr>
          <w:p w:rsidR="0034033B" w:rsidRPr="000B697A" w:rsidRDefault="0034033B" w:rsidP="0034033B">
            <w:pPr>
              <w:pStyle w:val="ChartHeader"/>
              <w:rPr>
                <w:rFonts w:cs="Calibri"/>
              </w:rPr>
            </w:pPr>
            <w:r w:rsidRPr="000B697A">
              <w:rPr>
                <w:rFonts w:cs="Calibri"/>
              </w:rPr>
              <w:lastRenderedPageBreak/>
              <w:t>BGBX40</w:t>
            </w:r>
          </w:p>
        </w:tc>
        <w:tc>
          <w:tcPr>
            <w:tcW w:w="5671" w:type="dxa"/>
          </w:tcPr>
          <w:p w:rsidR="0034033B" w:rsidRPr="000B697A" w:rsidRDefault="0034033B" w:rsidP="0034033B">
            <w:pPr>
              <w:pStyle w:val="ChartHeader"/>
              <w:rPr>
                <w:rFonts w:cs="Calibri"/>
              </w:rPr>
            </w:pPr>
            <w:r w:rsidRPr="000B697A">
              <w:rPr>
                <w:rFonts w:cs="Calibri"/>
              </w:rPr>
              <w:t>BGREIT</w:t>
            </w:r>
          </w:p>
        </w:tc>
      </w:tr>
      <w:tr w:rsidR="0034033B" w:rsidRPr="000B697A" w:rsidTr="0034033B">
        <w:tblPrEx>
          <w:tblCellMar>
            <w:left w:w="70" w:type="dxa"/>
            <w:right w:w="70" w:type="dxa"/>
          </w:tblCellMar>
        </w:tblPrEx>
        <w:trPr>
          <w:trHeight w:val="170"/>
          <w:jc w:val="center"/>
        </w:trPr>
        <w:tc>
          <w:tcPr>
            <w:tcW w:w="5534" w:type="dxa"/>
          </w:tcPr>
          <w:p w:rsidR="0034033B" w:rsidRPr="000B697A" w:rsidRDefault="0034033B" w:rsidP="0034033B">
            <w:pPr>
              <w:tabs>
                <w:tab w:val="left" w:pos="360"/>
              </w:tabs>
              <w:rPr>
                <w:rFonts w:cs="Calibri"/>
              </w:rPr>
            </w:pPr>
            <w:r w:rsidRPr="000B697A">
              <w:rPr>
                <w:rFonts w:cs="Calibri"/>
                <w:noProof/>
                <w:lang w:val="en-US" w:eastAsia="en-US"/>
              </w:rPr>
              <w:drawing>
                <wp:inline distT="0" distB="0" distL="0" distR="0">
                  <wp:extent cx="3308985" cy="2389517"/>
                  <wp:effectExtent l="0" t="0" r="5715" b="10795"/>
                  <wp:docPr id="26" name="Chart 26">
                    <a:extLst xmlns:a="http://schemas.openxmlformats.org/drawingml/2006/main">
                      <a:ext uri="{FF2B5EF4-FFF2-40B4-BE49-F238E27FC236}">
                        <a16:creationId xmlns:a16="http://schemas.microsoft.com/office/drawing/2014/main" id="{EF9E6A38-725F-485A-94EE-3CE969713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671" w:type="dxa"/>
          </w:tcPr>
          <w:p w:rsidR="0034033B" w:rsidRPr="000B697A" w:rsidRDefault="0034033B" w:rsidP="0034033B">
            <w:pPr>
              <w:tabs>
                <w:tab w:val="left" w:pos="360"/>
              </w:tabs>
              <w:rPr>
                <w:rFonts w:cs="Calibri"/>
              </w:rPr>
            </w:pPr>
            <w:r w:rsidRPr="000B697A">
              <w:rPr>
                <w:rFonts w:cs="Calibri"/>
                <w:noProof/>
                <w:lang w:val="en-US" w:eastAsia="en-US"/>
              </w:rPr>
              <w:drawing>
                <wp:inline distT="0" distB="0" distL="0" distR="0">
                  <wp:extent cx="3486785" cy="2424023"/>
                  <wp:effectExtent l="0" t="0" r="18415" b="14605"/>
                  <wp:docPr id="25" name="Chart 25">
                    <a:extLst xmlns:a="http://schemas.openxmlformats.org/drawingml/2006/main">
                      <a:ext uri="{FF2B5EF4-FFF2-40B4-BE49-F238E27FC236}">
                        <a16:creationId xmlns:a16="http://schemas.microsoft.com/office/drawing/2014/main" id="{DEC84DB7-8384-4C29-AE26-7A17E50043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7D0731" w:rsidRPr="000B697A" w:rsidRDefault="00D95C21" w:rsidP="0016443B">
      <w:pPr>
        <w:pStyle w:val="SubNumbers"/>
        <w:rPr>
          <w:rFonts w:cs="Calibri"/>
        </w:rPr>
      </w:pPr>
      <w:bookmarkStart w:id="30" w:name="_Toc323038179"/>
      <w:bookmarkStart w:id="31" w:name="_Toc283112107"/>
      <w:bookmarkStart w:id="32" w:name="_Toc6923245"/>
      <w:bookmarkEnd w:id="30"/>
      <w:r w:rsidRPr="000B697A">
        <w:rPr>
          <w:rFonts w:cs="Calibri"/>
        </w:rPr>
        <w:t>Приватизация през Борсата</w:t>
      </w:r>
      <w:bookmarkEnd w:id="31"/>
      <w:bookmarkEnd w:id="32"/>
    </w:p>
    <w:p w:rsidR="001E7917" w:rsidRPr="000B697A" w:rsidRDefault="000B5C4C" w:rsidP="00661FDD">
      <w:pPr>
        <w:rPr>
          <w:rFonts w:cs="Calibri"/>
        </w:rPr>
      </w:pPr>
      <w:bookmarkStart w:id="33" w:name="_Toc283112110"/>
      <w:r w:rsidRPr="000B697A">
        <w:rPr>
          <w:rFonts w:cs="Calibri"/>
        </w:rPr>
        <w:t>През</w:t>
      </w:r>
      <w:r w:rsidR="00811C9D" w:rsidRPr="000B697A">
        <w:rPr>
          <w:rFonts w:cs="Calibri"/>
        </w:rPr>
        <w:t xml:space="preserve"> 201</w:t>
      </w:r>
      <w:r w:rsidR="0034033B" w:rsidRPr="000B697A">
        <w:rPr>
          <w:rFonts w:cs="Calibri"/>
          <w:lang w:val="en-US"/>
        </w:rPr>
        <w:t>8</w:t>
      </w:r>
      <w:r w:rsidR="00C1750E" w:rsidRPr="000B697A">
        <w:rPr>
          <w:rFonts w:cs="Calibri"/>
        </w:rPr>
        <w:t xml:space="preserve"> г. няма емисии, регистрирани на Приватизационен сегмент</w:t>
      </w:r>
      <w:r w:rsidR="00D118F9" w:rsidRPr="000B697A">
        <w:rPr>
          <w:rFonts w:cs="Calibri"/>
        </w:rPr>
        <w:t>.</w:t>
      </w:r>
    </w:p>
    <w:p w:rsidR="00EA301D" w:rsidRPr="000B697A" w:rsidRDefault="00D95C21" w:rsidP="0016443B">
      <w:pPr>
        <w:pStyle w:val="SubNumbers"/>
        <w:rPr>
          <w:rFonts w:cs="Calibri"/>
        </w:rPr>
      </w:pPr>
      <w:bookmarkStart w:id="34" w:name="_Toc6923246"/>
      <w:r w:rsidRPr="000B697A">
        <w:rPr>
          <w:rFonts w:cs="Calibri"/>
        </w:rPr>
        <w:t xml:space="preserve">Основни дейности и </w:t>
      </w:r>
      <w:r w:rsidR="00F10FE6" w:rsidRPr="000B697A">
        <w:rPr>
          <w:rFonts w:cs="Calibri"/>
        </w:rPr>
        <w:t>събития през 201</w:t>
      </w:r>
      <w:r w:rsidR="0034033B" w:rsidRPr="000B697A">
        <w:rPr>
          <w:rFonts w:cs="Calibri"/>
          <w:lang w:val="en-US"/>
        </w:rPr>
        <w:t>8</w:t>
      </w:r>
      <w:r w:rsidRPr="000B697A">
        <w:rPr>
          <w:rFonts w:cs="Calibri"/>
        </w:rPr>
        <w:t xml:space="preserve"> г.</w:t>
      </w:r>
      <w:bookmarkEnd w:id="33"/>
      <w:bookmarkEnd w:id="34"/>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35" w:name="_Toc512868513"/>
      <w:bookmarkStart w:id="36" w:name="_Toc515284913"/>
      <w:bookmarkStart w:id="37" w:name="_Toc520473872"/>
      <w:bookmarkStart w:id="38" w:name="_Toc481069699"/>
      <w:bookmarkStart w:id="39" w:name="_Toc402281934"/>
      <w:bookmarkStart w:id="40" w:name="_Toc283112115"/>
      <w:r w:rsidRPr="000B697A">
        <w:rPr>
          <w:rFonts w:cs="Calibri"/>
        </w:rPr>
        <w:t>Награждаване на инвестиционните посредници с най-добри резултати през 2017 година</w:t>
      </w:r>
      <w:bookmarkEnd w:id="35"/>
      <w:bookmarkEnd w:id="36"/>
      <w:bookmarkEnd w:id="37"/>
    </w:p>
    <w:p w:rsidR="0034033B" w:rsidRPr="000B697A" w:rsidRDefault="0034033B" w:rsidP="0034033B">
      <w:pPr>
        <w:rPr>
          <w:rFonts w:cs="Calibri"/>
        </w:rPr>
      </w:pPr>
      <w:r w:rsidRPr="000B697A">
        <w:rPr>
          <w:rFonts w:cs="Calibri"/>
        </w:rPr>
        <w:t>Българска фондова борса връчи годишните награди на инвестиционните посредници, постигнали най-високи резултати през 2017 г. Броят на сделките на регулиран пазар за изминалата година нарасна с 36% до 79 629 спрямо предишната 2016 г. Оборотът на БФБ отбеляза ръст от близо 70% в сравнение с 2016 г, достигайки 706 милиона лева.</w:t>
      </w:r>
    </w:p>
    <w:p w:rsidR="0034033B" w:rsidRPr="000B697A" w:rsidRDefault="0034033B" w:rsidP="0034033B">
      <w:pPr>
        <w:rPr>
          <w:rFonts w:cs="Calibri"/>
        </w:rPr>
      </w:pPr>
      <w:r w:rsidRPr="000B697A">
        <w:rPr>
          <w:rFonts w:cs="Calibri"/>
        </w:rPr>
        <w:t>На церемонията, която се проведе за 17-ти път в историята на Борсата, бяха присъдени следните награди:</w:t>
      </w:r>
    </w:p>
    <w:p w:rsidR="0034033B" w:rsidRPr="000B697A" w:rsidRDefault="0034033B" w:rsidP="0034033B">
      <w:pPr>
        <w:rPr>
          <w:rFonts w:cs="Calibri"/>
        </w:rPr>
      </w:pPr>
      <w:r w:rsidRPr="000B697A">
        <w:rPr>
          <w:rFonts w:cs="Calibri"/>
        </w:rPr>
        <w:t>За инвестиционен посредник, сключил най-много сделки на БФБ през 2017 г.:</w:t>
      </w:r>
    </w:p>
    <w:p w:rsidR="0034033B" w:rsidRPr="000B697A" w:rsidRDefault="0034033B" w:rsidP="0034033B">
      <w:pPr>
        <w:ind w:left="706"/>
        <w:rPr>
          <w:rFonts w:cs="Calibri"/>
        </w:rPr>
      </w:pPr>
      <w:r w:rsidRPr="000B697A">
        <w:rPr>
          <w:rFonts w:cs="Calibri"/>
        </w:rPr>
        <w:t>1-во място: Карол АД</w:t>
      </w:r>
    </w:p>
    <w:p w:rsidR="0034033B" w:rsidRPr="000B697A" w:rsidRDefault="0034033B" w:rsidP="0034033B">
      <w:pPr>
        <w:ind w:left="706"/>
        <w:rPr>
          <w:rFonts w:cs="Calibri"/>
        </w:rPr>
      </w:pPr>
      <w:r w:rsidRPr="000B697A">
        <w:rPr>
          <w:rFonts w:cs="Calibri"/>
        </w:rPr>
        <w:t>2-ро място: Елана Трейдинг АД</w:t>
      </w:r>
    </w:p>
    <w:p w:rsidR="0034033B" w:rsidRPr="000B697A" w:rsidRDefault="0034033B" w:rsidP="0034033B">
      <w:pPr>
        <w:ind w:left="706"/>
        <w:rPr>
          <w:rFonts w:cs="Calibri"/>
        </w:rPr>
      </w:pPr>
      <w:r w:rsidRPr="000B697A">
        <w:rPr>
          <w:rFonts w:cs="Calibri"/>
        </w:rPr>
        <w:t xml:space="preserve">3-то място: </w:t>
      </w:r>
      <w:proofErr w:type="spellStart"/>
      <w:r w:rsidRPr="000B697A">
        <w:rPr>
          <w:rFonts w:cs="Calibri"/>
        </w:rPr>
        <w:t>БенчМарк</w:t>
      </w:r>
      <w:proofErr w:type="spellEnd"/>
      <w:r w:rsidRPr="000B697A">
        <w:rPr>
          <w:rFonts w:cs="Calibri"/>
        </w:rPr>
        <w:t xml:space="preserve"> Финанс АД</w:t>
      </w:r>
    </w:p>
    <w:p w:rsidR="0034033B" w:rsidRPr="000B697A" w:rsidRDefault="0034033B" w:rsidP="0034033B">
      <w:pPr>
        <w:rPr>
          <w:rFonts w:cs="Calibri"/>
        </w:rPr>
      </w:pPr>
      <w:r w:rsidRPr="000B697A">
        <w:rPr>
          <w:rFonts w:cs="Calibri"/>
        </w:rPr>
        <w:t>За инвестиционен посредник, реализирал най-висок оборот на БФБ през 2017 г.:</w:t>
      </w:r>
    </w:p>
    <w:p w:rsidR="0034033B" w:rsidRPr="000B697A" w:rsidRDefault="0034033B" w:rsidP="0034033B">
      <w:pPr>
        <w:ind w:left="706"/>
        <w:rPr>
          <w:rFonts w:cs="Calibri"/>
        </w:rPr>
      </w:pPr>
      <w:r w:rsidRPr="000B697A">
        <w:rPr>
          <w:rFonts w:cs="Calibri"/>
        </w:rPr>
        <w:t>1-во място: Реал Финанс АД</w:t>
      </w:r>
    </w:p>
    <w:p w:rsidR="0034033B" w:rsidRPr="000B697A" w:rsidRDefault="0034033B" w:rsidP="0034033B">
      <w:pPr>
        <w:ind w:left="706"/>
        <w:rPr>
          <w:rFonts w:cs="Calibri"/>
        </w:rPr>
      </w:pPr>
      <w:r w:rsidRPr="000B697A">
        <w:rPr>
          <w:rFonts w:cs="Calibri"/>
        </w:rPr>
        <w:t>2-ро място: Първа Финансова Брокерска Къща ООД</w:t>
      </w:r>
    </w:p>
    <w:p w:rsidR="0034033B" w:rsidRPr="000B697A" w:rsidRDefault="0034033B" w:rsidP="0034033B">
      <w:pPr>
        <w:ind w:left="706"/>
        <w:rPr>
          <w:rFonts w:cs="Calibri"/>
        </w:rPr>
      </w:pPr>
      <w:r w:rsidRPr="000B697A">
        <w:rPr>
          <w:rFonts w:cs="Calibri"/>
        </w:rPr>
        <w:t>3-то място: Евро - Финанс АД</w:t>
      </w:r>
    </w:p>
    <w:p w:rsidR="0034033B" w:rsidRPr="000B697A" w:rsidRDefault="0034033B" w:rsidP="0034033B">
      <w:pPr>
        <w:rPr>
          <w:rFonts w:cs="Calibri"/>
        </w:rPr>
      </w:pPr>
      <w:r w:rsidRPr="000B697A">
        <w:rPr>
          <w:rFonts w:cs="Calibri"/>
        </w:rPr>
        <w:t xml:space="preserve">УД </w:t>
      </w:r>
      <w:proofErr w:type="spellStart"/>
      <w:r w:rsidRPr="000B697A">
        <w:rPr>
          <w:rFonts w:cs="Calibri"/>
        </w:rPr>
        <w:t>Експат</w:t>
      </w:r>
      <w:proofErr w:type="spellEnd"/>
      <w:r w:rsidRPr="000B697A">
        <w:rPr>
          <w:rFonts w:cs="Calibri"/>
        </w:rPr>
        <w:t xml:space="preserve"> Асет Мениджмънт ЕАД получи наградата за емитент с най-голям принос за развитието на капиталовия пазар през изминалата година.</w:t>
      </w:r>
    </w:p>
    <w:p w:rsidR="0034033B" w:rsidRPr="000B697A" w:rsidRDefault="0034033B" w:rsidP="0034033B">
      <w:pPr>
        <w:rPr>
          <w:rFonts w:cs="Calibri"/>
        </w:rPr>
      </w:pPr>
      <w:r w:rsidRPr="000B697A">
        <w:rPr>
          <w:rFonts w:cs="Calibri"/>
        </w:rPr>
        <w:t xml:space="preserve">Отличието за медия с най-голям принос при популяризирането на капиталовия пазар през 2017 г. беше присъдено на </w:t>
      </w:r>
      <w:proofErr w:type="spellStart"/>
      <w:r w:rsidRPr="000B697A">
        <w:rPr>
          <w:rFonts w:cs="Calibri"/>
        </w:rPr>
        <w:t>Bloomberg</w:t>
      </w:r>
      <w:proofErr w:type="spellEnd"/>
      <w:r w:rsidRPr="000B697A">
        <w:rPr>
          <w:rFonts w:cs="Calibri"/>
        </w:rPr>
        <w:t xml:space="preserve"> TV </w:t>
      </w:r>
      <w:proofErr w:type="spellStart"/>
      <w:r w:rsidRPr="000B697A">
        <w:rPr>
          <w:rFonts w:cs="Calibri"/>
        </w:rPr>
        <w:t>Bulgaria</w:t>
      </w:r>
      <w:proofErr w:type="spellEnd"/>
      <w:r w:rsidRPr="000B697A">
        <w:rPr>
          <w:rFonts w:cs="Calibri"/>
        </w:rPr>
        <w:t>.</w:t>
      </w:r>
    </w:p>
    <w:p w:rsidR="0034033B" w:rsidRPr="000B697A" w:rsidRDefault="0034033B" w:rsidP="0034033B">
      <w:pPr>
        <w:rPr>
          <w:rFonts w:cs="Calibri"/>
        </w:rPr>
      </w:pPr>
      <w:r w:rsidRPr="000B697A">
        <w:rPr>
          <w:rFonts w:cs="Calibri"/>
        </w:rPr>
        <w:lastRenderedPageBreak/>
        <w:t>Народният представител Делян Добрев беше отличен за личност с най-голям принос за развитието на капиталовия пазар през изминалата година.</w:t>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41" w:name="_Toc512868514"/>
      <w:bookmarkStart w:id="42" w:name="_Toc515284914"/>
      <w:bookmarkStart w:id="43" w:name="_Toc520473873"/>
      <w:r w:rsidRPr="000B697A">
        <w:rPr>
          <w:rFonts w:cs="Calibri"/>
        </w:rPr>
        <w:t>Стартира търговията с осем борсово търгувани фонда върху европейски индекси</w:t>
      </w:r>
      <w:bookmarkEnd w:id="41"/>
      <w:bookmarkEnd w:id="42"/>
      <w:bookmarkEnd w:id="43"/>
    </w:p>
    <w:p w:rsidR="0034033B" w:rsidRPr="000B697A" w:rsidRDefault="0034033B" w:rsidP="0034033B">
      <w:pPr>
        <w:rPr>
          <w:rFonts w:cs="Calibri"/>
        </w:rPr>
      </w:pPr>
      <w:r w:rsidRPr="000B697A">
        <w:rPr>
          <w:rFonts w:cs="Calibri"/>
        </w:rPr>
        <w:t xml:space="preserve">На 17.01.2018 стартира борсовата търговия с дяловете на четири борсово търгувани фонда, базирани на индекси. Те са </w:t>
      </w:r>
      <w:proofErr w:type="spellStart"/>
      <w:r w:rsidRPr="000B697A">
        <w:rPr>
          <w:rFonts w:cs="Calibri"/>
        </w:rPr>
        <w:t>Expat</w:t>
      </w:r>
      <w:proofErr w:type="spellEnd"/>
      <w:r w:rsidRPr="000B697A">
        <w:rPr>
          <w:rFonts w:cs="Calibri"/>
        </w:rPr>
        <w:t xml:space="preserve"> </w:t>
      </w:r>
      <w:proofErr w:type="spellStart"/>
      <w:r w:rsidRPr="000B697A">
        <w:rPr>
          <w:rFonts w:cs="Calibri"/>
        </w:rPr>
        <w:t>Greece</w:t>
      </w:r>
      <w:proofErr w:type="spellEnd"/>
      <w:r w:rsidRPr="000B697A">
        <w:rPr>
          <w:rFonts w:cs="Calibri"/>
        </w:rPr>
        <w:t xml:space="preserve"> ASE UCITS ETF (борсов код GRX), </w:t>
      </w:r>
      <w:proofErr w:type="spellStart"/>
      <w:r w:rsidRPr="000B697A">
        <w:rPr>
          <w:rFonts w:cs="Calibri"/>
        </w:rPr>
        <w:t>Еxpat</w:t>
      </w:r>
      <w:proofErr w:type="spellEnd"/>
      <w:r w:rsidRPr="000B697A">
        <w:rPr>
          <w:rFonts w:cs="Calibri"/>
        </w:rPr>
        <w:t xml:space="preserve"> </w:t>
      </w:r>
      <w:proofErr w:type="spellStart"/>
      <w:r w:rsidRPr="000B697A">
        <w:rPr>
          <w:rFonts w:cs="Calibri"/>
        </w:rPr>
        <w:t>Romania</w:t>
      </w:r>
      <w:proofErr w:type="spellEnd"/>
      <w:r w:rsidRPr="000B697A">
        <w:rPr>
          <w:rFonts w:cs="Calibri"/>
        </w:rPr>
        <w:t xml:space="preserve"> BET-BK UCITS ETF (ROX), </w:t>
      </w:r>
      <w:proofErr w:type="spellStart"/>
      <w:r w:rsidRPr="000B697A">
        <w:rPr>
          <w:rFonts w:cs="Calibri"/>
        </w:rPr>
        <w:t>Expat</w:t>
      </w:r>
      <w:proofErr w:type="spellEnd"/>
      <w:r w:rsidRPr="000B697A">
        <w:rPr>
          <w:rFonts w:cs="Calibri"/>
        </w:rPr>
        <w:t xml:space="preserve"> </w:t>
      </w:r>
      <w:proofErr w:type="spellStart"/>
      <w:r w:rsidRPr="000B697A">
        <w:rPr>
          <w:rFonts w:cs="Calibri"/>
        </w:rPr>
        <w:t>Poland</w:t>
      </w:r>
      <w:proofErr w:type="spellEnd"/>
      <w:r w:rsidRPr="000B697A">
        <w:rPr>
          <w:rFonts w:cs="Calibri"/>
        </w:rPr>
        <w:t xml:space="preserve"> WIG20 UCITS ETF (PLX) и </w:t>
      </w:r>
      <w:proofErr w:type="spellStart"/>
      <w:r w:rsidRPr="000B697A">
        <w:rPr>
          <w:rFonts w:cs="Calibri"/>
        </w:rPr>
        <w:t>Expat</w:t>
      </w:r>
      <w:proofErr w:type="spellEnd"/>
      <w:r w:rsidRPr="000B697A">
        <w:rPr>
          <w:rFonts w:cs="Calibri"/>
        </w:rPr>
        <w:t xml:space="preserve"> </w:t>
      </w:r>
      <w:proofErr w:type="spellStart"/>
      <w:r w:rsidRPr="000B697A">
        <w:rPr>
          <w:rFonts w:cs="Calibri"/>
        </w:rPr>
        <w:t>Czech</w:t>
      </w:r>
      <w:proofErr w:type="spellEnd"/>
      <w:r w:rsidRPr="000B697A">
        <w:rPr>
          <w:rFonts w:cs="Calibri"/>
        </w:rPr>
        <w:t xml:space="preserve"> PX UCITS ETF (CZX). Фондовете са създадени от управляващото дружество </w:t>
      </w:r>
      <w:proofErr w:type="spellStart"/>
      <w:r w:rsidRPr="000B697A">
        <w:rPr>
          <w:rFonts w:cs="Calibri"/>
        </w:rPr>
        <w:t>Експат</w:t>
      </w:r>
      <w:proofErr w:type="spellEnd"/>
      <w:r w:rsidRPr="000B697A">
        <w:rPr>
          <w:rFonts w:cs="Calibri"/>
        </w:rPr>
        <w:t xml:space="preserve"> Асет Мениджмънт ЕАД, като следват движението на основните индекси на борсите в Гърция, Румъния, Полша и Чехия. На 13 февруари стартира търговията с още четири борсово търгувани фонда, базирани на индекси: </w:t>
      </w:r>
      <w:proofErr w:type="spellStart"/>
      <w:r w:rsidRPr="000B697A">
        <w:rPr>
          <w:rFonts w:cs="Calibri"/>
        </w:rPr>
        <w:t>Expat</w:t>
      </w:r>
      <w:proofErr w:type="spellEnd"/>
      <w:r w:rsidRPr="000B697A">
        <w:rPr>
          <w:rFonts w:cs="Calibri"/>
        </w:rPr>
        <w:t xml:space="preserve"> </w:t>
      </w:r>
      <w:proofErr w:type="spellStart"/>
      <w:r w:rsidRPr="000B697A">
        <w:rPr>
          <w:rFonts w:cs="Calibri"/>
        </w:rPr>
        <w:t>Slovakia</w:t>
      </w:r>
      <w:proofErr w:type="spellEnd"/>
      <w:r w:rsidRPr="000B697A">
        <w:rPr>
          <w:rFonts w:cs="Calibri"/>
        </w:rPr>
        <w:t xml:space="preserve"> SAX UCITS ETF (SK9A), </w:t>
      </w:r>
      <w:proofErr w:type="spellStart"/>
      <w:r w:rsidRPr="000B697A">
        <w:rPr>
          <w:rFonts w:cs="Calibri"/>
        </w:rPr>
        <w:t>Expat</w:t>
      </w:r>
      <w:proofErr w:type="spellEnd"/>
      <w:r w:rsidRPr="000B697A">
        <w:rPr>
          <w:rFonts w:cs="Calibri"/>
        </w:rPr>
        <w:t xml:space="preserve"> </w:t>
      </w:r>
      <w:proofErr w:type="spellStart"/>
      <w:r w:rsidRPr="000B697A">
        <w:rPr>
          <w:rFonts w:cs="Calibri"/>
        </w:rPr>
        <w:t>Croatia</w:t>
      </w:r>
      <w:proofErr w:type="spellEnd"/>
      <w:r w:rsidRPr="000B697A">
        <w:rPr>
          <w:rFonts w:cs="Calibri"/>
        </w:rPr>
        <w:t xml:space="preserve"> CROBEX UCITS ETF (ECDC), </w:t>
      </w:r>
      <w:proofErr w:type="spellStart"/>
      <w:r w:rsidRPr="000B697A">
        <w:rPr>
          <w:rFonts w:cs="Calibri"/>
        </w:rPr>
        <w:t>Expat</w:t>
      </w:r>
      <w:proofErr w:type="spellEnd"/>
      <w:r w:rsidRPr="000B697A">
        <w:rPr>
          <w:rFonts w:cs="Calibri"/>
        </w:rPr>
        <w:t xml:space="preserve"> </w:t>
      </w:r>
      <w:proofErr w:type="spellStart"/>
      <w:r w:rsidRPr="000B697A">
        <w:rPr>
          <w:rFonts w:cs="Calibri"/>
        </w:rPr>
        <w:t>Slovenia</w:t>
      </w:r>
      <w:proofErr w:type="spellEnd"/>
      <w:r w:rsidRPr="000B697A">
        <w:rPr>
          <w:rFonts w:cs="Calibri"/>
        </w:rPr>
        <w:t xml:space="preserve"> SBI TOP UCITS ETF (SLQX) и </w:t>
      </w:r>
      <w:proofErr w:type="spellStart"/>
      <w:r w:rsidRPr="000B697A">
        <w:rPr>
          <w:rFonts w:cs="Calibri"/>
        </w:rPr>
        <w:t>Expat</w:t>
      </w:r>
      <w:proofErr w:type="spellEnd"/>
      <w:r w:rsidRPr="000B697A">
        <w:rPr>
          <w:rFonts w:cs="Calibri"/>
        </w:rPr>
        <w:t xml:space="preserve"> </w:t>
      </w:r>
      <w:proofErr w:type="spellStart"/>
      <w:r w:rsidRPr="000B697A">
        <w:rPr>
          <w:rFonts w:cs="Calibri"/>
        </w:rPr>
        <w:t>Hungary</w:t>
      </w:r>
      <w:proofErr w:type="spellEnd"/>
      <w:r w:rsidRPr="000B697A">
        <w:rPr>
          <w:rFonts w:cs="Calibri"/>
        </w:rPr>
        <w:t xml:space="preserve"> BUX UCITS ETF (HUBE).</w:t>
      </w:r>
    </w:p>
    <w:p w:rsidR="0034033B" w:rsidRPr="000B697A" w:rsidRDefault="0034033B" w:rsidP="0034033B">
      <w:pPr>
        <w:rPr>
          <w:rFonts w:cs="Calibri"/>
        </w:rPr>
      </w:pPr>
      <w:r w:rsidRPr="000B697A">
        <w:rPr>
          <w:rFonts w:cs="Calibri"/>
        </w:rPr>
        <w:t>Номиналната стойност на един дял за всеки от фондовете е 1 евро. Дяловете са безналични, поименни и свободно прехвърляеми. Маркет-</w:t>
      </w:r>
      <w:proofErr w:type="spellStart"/>
      <w:r w:rsidRPr="000B697A">
        <w:rPr>
          <w:rFonts w:cs="Calibri"/>
        </w:rPr>
        <w:t>мейкър</w:t>
      </w:r>
      <w:proofErr w:type="spellEnd"/>
      <w:r w:rsidRPr="000B697A">
        <w:rPr>
          <w:rFonts w:cs="Calibri"/>
        </w:rPr>
        <w:t xml:space="preserve"> на емисиите е инвестиционен посредник </w:t>
      </w:r>
      <w:proofErr w:type="spellStart"/>
      <w:r w:rsidRPr="000B697A">
        <w:rPr>
          <w:rFonts w:cs="Calibri"/>
        </w:rPr>
        <w:t>БенчМарк</w:t>
      </w:r>
      <w:proofErr w:type="spellEnd"/>
      <w:r w:rsidRPr="000B697A">
        <w:rPr>
          <w:rFonts w:cs="Calibri"/>
        </w:rPr>
        <w:t xml:space="preserve"> Финанс АД. Максималният размер на отклонението между котировките “купува“ и „продава“ (</w:t>
      </w:r>
      <w:proofErr w:type="spellStart"/>
      <w:r w:rsidRPr="000B697A">
        <w:rPr>
          <w:rFonts w:cs="Calibri"/>
        </w:rPr>
        <w:t>спред</w:t>
      </w:r>
      <w:proofErr w:type="spellEnd"/>
      <w:r w:rsidRPr="000B697A">
        <w:rPr>
          <w:rFonts w:cs="Calibri"/>
        </w:rPr>
        <w:t>) е 5%. Минимална стойност на котировката в парично изражение към момента на въвеждането й е равностойността на 2 500 лв. в евро.</w:t>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44" w:name="_Toc512868516"/>
      <w:bookmarkStart w:id="45" w:name="_Toc515284915"/>
      <w:bookmarkStart w:id="46" w:name="_Toc520473874"/>
      <w:bookmarkStart w:id="47" w:name="_Ref4363657"/>
      <w:bookmarkStart w:id="48" w:name="_Ref6522509"/>
      <w:bookmarkStart w:id="49" w:name="_Ref6838380"/>
      <w:r w:rsidRPr="000B697A">
        <w:rPr>
          <w:rFonts w:cs="Calibri"/>
        </w:rPr>
        <w:t>Договорът за придобиване на капитала на Българската независима енергийна борса влезе в сила</w:t>
      </w:r>
      <w:bookmarkEnd w:id="44"/>
      <w:bookmarkEnd w:id="45"/>
      <w:bookmarkEnd w:id="46"/>
      <w:bookmarkEnd w:id="47"/>
      <w:bookmarkEnd w:id="48"/>
      <w:bookmarkEnd w:id="49"/>
    </w:p>
    <w:p w:rsidR="0034033B" w:rsidRPr="000B697A" w:rsidRDefault="0034033B" w:rsidP="0034033B">
      <w:pPr>
        <w:rPr>
          <w:rFonts w:cs="Calibri"/>
        </w:rPr>
      </w:pPr>
      <w:r w:rsidRPr="000B697A">
        <w:rPr>
          <w:rFonts w:cs="Calibri"/>
        </w:rPr>
        <w:t>На 31 януари Борсата получи писмо от „Български енергиен холдинг“ ЕАД (БЕХ), с което бе уведомена за официална нотификация от Европейската комисия (ЕК, Комисията). С Решение С(2018)527 Окончателно от 26 януари 2018 година, Комисията изрази мнение, че „Българска фондова борса“ АД е подходящ купувач за „Българска независима енергийна борса“ ЕАД (БНЕБ), защото:</w:t>
      </w:r>
    </w:p>
    <w:p w:rsidR="0034033B" w:rsidRPr="000B697A" w:rsidRDefault="0034033B" w:rsidP="0034033B">
      <w:pPr>
        <w:pStyle w:val="ListParagraph"/>
        <w:widowControl w:val="0"/>
        <w:numPr>
          <w:ilvl w:val="0"/>
          <w:numId w:val="37"/>
        </w:numPr>
        <w:contextualSpacing/>
        <w:rPr>
          <w:rFonts w:cs="Calibri"/>
        </w:rPr>
      </w:pPr>
      <w:proofErr w:type="spellStart"/>
      <w:r w:rsidRPr="000B697A">
        <w:rPr>
          <w:rFonts w:cs="Calibri"/>
        </w:rPr>
        <w:t>разполага</w:t>
      </w:r>
      <w:proofErr w:type="spellEnd"/>
      <w:r w:rsidRPr="000B697A">
        <w:rPr>
          <w:rFonts w:cs="Calibri"/>
        </w:rPr>
        <w:t xml:space="preserve"> с </w:t>
      </w:r>
      <w:proofErr w:type="spellStart"/>
      <w:r w:rsidRPr="000B697A">
        <w:rPr>
          <w:rFonts w:cs="Calibri"/>
        </w:rPr>
        <w:t>финансовите</w:t>
      </w:r>
      <w:proofErr w:type="spellEnd"/>
      <w:r w:rsidRPr="000B697A">
        <w:rPr>
          <w:rFonts w:cs="Calibri"/>
        </w:rPr>
        <w:t xml:space="preserve"> </w:t>
      </w:r>
      <w:proofErr w:type="spellStart"/>
      <w:r w:rsidRPr="000B697A">
        <w:rPr>
          <w:rFonts w:cs="Calibri"/>
        </w:rPr>
        <w:t>средства</w:t>
      </w:r>
      <w:proofErr w:type="spellEnd"/>
      <w:r w:rsidRPr="000B697A">
        <w:rPr>
          <w:rFonts w:cs="Calibri"/>
        </w:rPr>
        <w:t xml:space="preserve">, </w:t>
      </w:r>
      <w:proofErr w:type="spellStart"/>
      <w:r w:rsidRPr="000B697A">
        <w:rPr>
          <w:rFonts w:cs="Calibri"/>
        </w:rPr>
        <w:t>експертните</w:t>
      </w:r>
      <w:proofErr w:type="spellEnd"/>
      <w:r w:rsidRPr="000B697A">
        <w:rPr>
          <w:rFonts w:cs="Calibri"/>
        </w:rPr>
        <w:t xml:space="preserve"> </w:t>
      </w:r>
      <w:proofErr w:type="spellStart"/>
      <w:r w:rsidRPr="000B697A">
        <w:rPr>
          <w:rFonts w:cs="Calibri"/>
        </w:rPr>
        <w:t>способности</w:t>
      </w:r>
      <w:proofErr w:type="spellEnd"/>
      <w:r w:rsidRPr="000B697A">
        <w:rPr>
          <w:rFonts w:cs="Calibri"/>
        </w:rPr>
        <w:t xml:space="preserve"> и </w:t>
      </w:r>
      <w:proofErr w:type="spellStart"/>
      <w:r w:rsidRPr="000B697A">
        <w:rPr>
          <w:rFonts w:cs="Calibri"/>
        </w:rPr>
        <w:t>мотивация</w:t>
      </w:r>
      <w:proofErr w:type="spellEnd"/>
      <w:r w:rsidRPr="000B697A">
        <w:rPr>
          <w:rFonts w:cs="Calibri"/>
        </w:rPr>
        <w:t xml:space="preserve"> </w:t>
      </w:r>
      <w:proofErr w:type="spellStart"/>
      <w:r w:rsidRPr="000B697A">
        <w:rPr>
          <w:rFonts w:cs="Calibri"/>
        </w:rPr>
        <w:t>да</w:t>
      </w:r>
      <w:proofErr w:type="spellEnd"/>
      <w:r w:rsidRPr="000B697A">
        <w:rPr>
          <w:rFonts w:cs="Calibri"/>
        </w:rPr>
        <w:t xml:space="preserve"> </w:t>
      </w:r>
      <w:proofErr w:type="spellStart"/>
      <w:r w:rsidRPr="000B697A">
        <w:rPr>
          <w:rFonts w:cs="Calibri"/>
        </w:rPr>
        <w:t>развива</w:t>
      </w:r>
      <w:proofErr w:type="spellEnd"/>
      <w:r w:rsidRPr="000B697A">
        <w:rPr>
          <w:rFonts w:cs="Calibri"/>
        </w:rPr>
        <w:t xml:space="preserve"> БНЕБ </w:t>
      </w:r>
      <w:proofErr w:type="spellStart"/>
      <w:r w:rsidRPr="000B697A">
        <w:rPr>
          <w:rFonts w:cs="Calibri"/>
        </w:rPr>
        <w:t>като</w:t>
      </w:r>
      <w:proofErr w:type="spellEnd"/>
      <w:r w:rsidRPr="000B697A">
        <w:rPr>
          <w:rFonts w:cs="Calibri"/>
        </w:rPr>
        <w:t xml:space="preserve"> </w:t>
      </w:r>
      <w:proofErr w:type="spellStart"/>
      <w:r w:rsidRPr="000B697A">
        <w:rPr>
          <w:rFonts w:cs="Calibri"/>
        </w:rPr>
        <w:t>независим</w:t>
      </w:r>
      <w:proofErr w:type="spellEnd"/>
      <w:r w:rsidRPr="000B697A">
        <w:rPr>
          <w:rFonts w:cs="Calibri"/>
        </w:rPr>
        <w:t xml:space="preserve"> и </w:t>
      </w:r>
      <w:proofErr w:type="spellStart"/>
      <w:r w:rsidRPr="000B697A">
        <w:rPr>
          <w:rFonts w:cs="Calibri"/>
        </w:rPr>
        <w:t>конкурентен</w:t>
      </w:r>
      <w:proofErr w:type="spellEnd"/>
      <w:r w:rsidRPr="000B697A">
        <w:rPr>
          <w:rFonts w:cs="Calibri"/>
        </w:rPr>
        <w:t xml:space="preserve"> </w:t>
      </w:r>
      <w:proofErr w:type="spellStart"/>
      <w:r w:rsidRPr="000B697A">
        <w:rPr>
          <w:rFonts w:cs="Calibri"/>
        </w:rPr>
        <w:t>енергиен</w:t>
      </w:r>
      <w:proofErr w:type="spellEnd"/>
      <w:r w:rsidRPr="000B697A">
        <w:rPr>
          <w:rFonts w:cs="Calibri"/>
        </w:rPr>
        <w:t xml:space="preserve"> </w:t>
      </w:r>
      <w:proofErr w:type="spellStart"/>
      <w:r w:rsidRPr="000B697A">
        <w:rPr>
          <w:rFonts w:cs="Calibri"/>
        </w:rPr>
        <w:t>пазар</w:t>
      </w:r>
      <w:proofErr w:type="spellEnd"/>
      <w:r w:rsidRPr="000B697A">
        <w:rPr>
          <w:rFonts w:cs="Calibri"/>
        </w:rPr>
        <w:t>;</w:t>
      </w:r>
    </w:p>
    <w:p w:rsidR="0034033B" w:rsidRPr="000B697A" w:rsidRDefault="0034033B" w:rsidP="0034033B">
      <w:pPr>
        <w:pStyle w:val="ListParagraph"/>
        <w:widowControl w:val="0"/>
        <w:numPr>
          <w:ilvl w:val="0"/>
          <w:numId w:val="37"/>
        </w:numPr>
        <w:contextualSpacing/>
        <w:rPr>
          <w:rFonts w:cs="Calibri"/>
        </w:rPr>
      </w:pPr>
      <w:proofErr w:type="spellStart"/>
      <w:r w:rsidRPr="000B697A">
        <w:rPr>
          <w:rFonts w:cs="Calibri"/>
        </w:rPr>
        <w:t>като</w:t>
      </w:r>
      <w:proofErr w:type="spellEnd"/>
      <w:r w:rsidRPr="000B697A">
        <w:rPr>
          <w:rFonts w:cs="Calibri"/>
        </w:rPr>
        <w:t xml:space="preserve"> </w:t>
      </w:r>
      <w:proofErr w:type="spellStart"/>
      <w:r w:rsidRPr="000B697A">
        <w:rPr>
          <w:rFonts w:cs="Calibri"/>
        </w:rPr>
        <w:t>пазарен</w:t>
      </w:r>
      <w:proofErr w:type="spellEnd"/>
      <w:r w:rsidRPr="000B697A">
        <w:rPr>
          <w:rFonts w:cs="Calibri"/>
        </w:rPr>
        <w:t xml:space="preserve"> </w:t>
      </w:r>
      <w:proofErr w:type="spellStart"/>
      <w:r w:rsidRPr="000B697A">
        <w:rPr>
          <w:rFonts w:cs="Calibri"/>
        </w:rPr>
        <w:t>оператор</w:t>
      </w:r>
      <w:proofErr w:type="spellEnd"/>
      <w:r w:rsidRPr="000B697A">
        <w:rPr>
          <w:rFonts w:cs="Calibri"/>
        </w:rPr>
        <w:t xml:space="preserve"> с </w:t>
      </w:r>
      <w:proofErr w:type="spellStart"/>
      <w:r w:rsidRPr="000B697A">
        <w:rPr>
          <w:rFonts w:cs="Calibri"/>
        </w:rPr>
        <w:t>повече</w:t>
      </w:r>
      <w:proofErr w:type="spellEnd"/>
      <w:r w:rsidRPr="000B697A">
        <w:rPr>
          <w:rFonts w:cs="Calibri"/>
        </w:rPr>
        <w:t xml:space="preserve"> </w:t>
      </w:r>
      <w:proofErr w:type="spellStart"/>
      <w:r w:rsidRPr="000B697A">
        <w:rPr>
          <w:rFonts w:cs="Calibri"/>
        </w:rPr>
        <w:t>от</w:t>
      </w:r>
      <w:proofErr w:type="spellEnd"/>
      <w:r w:rsidRPr="000B697A">
        <w:rPr>
          <w:rFonts w:cs="Calibri"/>
        </w:rPr>
        <w:t xml:space="preserve"> </w:t>
      </w:r>
      <w:proofErr w:type="spellStart"/>
      <w:r w:rsidRPr="000B697A">
        <w:rPr>
          <w:rFonts w:cs="Calibri"/>
        </w:rPr>
        <w:t>двадесетгодишна</w:t>
      </w:r>
      <w:proofErr w:type="spellEnd"/>
      <w:r w:rsidRPr="000B697A">
        <w:rPr>
          <w:rFonts w:cs="Calibri"/>
        </w:rPr>
        <w:t xml:space="preserve"> </w:t>
      </w:r>
      <w:proofErr w:type="spellStart"/>
      <w:r w:rsidRPr="000B697A">
        <w:rPr>
          <w:rFonts w:cs="Calibri"/>
        </w:rPr>
        <w:t>история</w:t>
      </w:r>
      <w:proofErr w:type="spellEnd"/>
      <w:r w:rsidRPr="000B697A">
        <w:rPr>
          <w:rFonts w:cs="Calibri"/>
        </w:rPr>
        <w:t xml:space="preserve"> в </w:t>
      </w:r>
      <w:proofErr w:type="spellStart"/>
      <w:r w:rsidRPr="000B697A">
        <w:rPr>
          <w:rFonts w:cs="Calibri"/>
        </w:rPr>
        <w:t>поддържането</w:t>
      </w:r>
      <w:proofErr w:type="spellEnd"/>
      <w:r w:rsidRPr="000B697A">
        <w:rPr>
          <w:rFonts w:cs="Calibri"/>
        </w:rPr>
        <w:t xml:space="preserve"> и </w:t>
      </w:r>
      <w:proofErr w:type="spellStart"/>
      <w:r w:rsidRPr="000B697A">
        <w:rPr>
          <w:rFonts w:cs="Calibri"/>
        </w:rPr>
        <w:t>експлоатацията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пазарна</w:t>
      </w:r>
      <w:proofErr w:type="spellEnd"/>
      <w:r w:rsidRPr="000B697A">
        <w:rPr>
          <w:rFonts w:cs="Calibri"/>
        </w:rPr>
        <w:t xml:space="preserve"> </w:t>
      </w:r>
      <w:proofErr w:type="spellStart"/>
      <w:r w:rsidRPr="000B697A">
        <w:rPr>
          <w:rFonts w:cs="Calibri"/>
        </w:rPr>
        <w:t>инфраструктура</w:t>
      </w:r>
      <w:proofErr w:type="spellEnd"/>
      <w:r w:rsidRPr="000B697A">
        <w:rPr>
          <w:rFonts w:cs="Calibri"/>
        </w:rPr>
        <w:t xml:space="preserve">, БФБ </w:t>
      </w:r>
      <w:proofErr w:type="spellStart"/>
      <w:r w:rsidRPr="000B697A">
        <w:rPr>
          <w:rFonts w:cs="Calibri"/>
        </w:rPr>
        <w:t>разполага</w:t>
      </w:r>
      <w:proofErr w:type="spellEnd"/>
      <w:r w:rsidRPr="000B697A">
        <w:rPr>
          <w:rFonts w:cs="Calibri"/>
        </w:rPr>
        <w:t xml:space="preserve"> с </w:t>
      </w:r>
      <w:proofErr w:type="spellStart"/>
      <w:r w:rsidRPr="000B697A">
        <w:rPr>
          <w:rFonts w:cs="Calibri"/>
        </w:rPr>
        <w:t>опит</w:t>
      </w:r>
      <w:proofErr w:type="spellEnd"/>
      <w:r w:rsidRPr="000B697A">
        <w:rPr>
          <w:rFonts w:cs="Calibri"/>
        </w:rPr>
        <w:t xml:space="preserve"> </w:t>
      </w:r>
      <w:proofErr w:type="spellStart"/>
      <w:r w:rsidRPr="000B697A">
        <w:rPr>
          <w:rFonts w:cs="Calibri"/>
        </w:rPr>
        <w:t>по</w:t>
      </w:r>
      <w:proofErr w:type="spellEnd"/>
      <w:r w:rsidRPr="000B697A">
        <w:rPr>
          <w:rFonts w:cs="Calibri"/>
        </w:rPr>
        <w:t xml:space="preserve"> </w:t>
      </w:r>
      <w:proofErr w:type="spellStart"/>
      <w:r w:rsidRPr="000B697A">
        <w:rPr>
          <w:rFonts w:cs="Calibri"/>
        </w:rPr>
        <w:t>отношение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търговска</w:t>
      </w:r>
      <w:proofErr w:type="spellEnd"/>
      <w:r w:rsidRPr="000B697A">
        <w:rPr>
          <w:rFonts w:cs="Calibri"/>
        </w:rPr>
        <w:t xml:space="preserve"> </w:t>
      </w:r>
      <w:proofErr w:type="spellStart"/>
      <w:r w:rsidRPr="000B697A">
        <w:rPr>
          <w:rFonts w:cs="Calibri"/>
        </w:rPr>
        <w:t>платформа</w:t>
      </w:r>
      <w:proofErr w:type="spellEnd"/>
      <w:r w:rsidRPr="000B697A">
        <w:rPr>
          <w:rFonts w:cs="Calibri"/>
        </w:rPr>
        <w:t xml:space="preserve"> и IT </w:t>
      </w:r>
      <w:proofErr w:type="spellStart"/>
      <w:r w:rsidRPr="000B697A">
        <w:rPr>
          <w:rFonts w:cs="Calibri"/>
        </w:rPr>
        <w:t>услуги</w:t>
      </w:r>
      <w:proofErr w:type="spellEnd"/>
      <w:r w:rsidRPr="000B697A">
        <w:rPr>
          <w:rFonts w:cs="Calibri"/>
        </w:rPr>
        <w:t xml:space="preserve"> и </w:t>
      </w:r>
      <w:proofErr w:type="spellStart"/>
      <w:r w:rsidRPr="000B697A">
        <w:rPr>
          <w:rFonts w:cs="Calibri"/>
        </w:rPr>
        <w:t>има</w:t>
      </w:r>
      <w:proofErr w:type="spellEnd"/>
      <w:r w:rsidRPr="000B697A">
        <w:rPr>
          <w:rFonts w:cs="Calibri"/>
        </w:rPr>
        <w:t xml:space="preserve"> </w:t>
      </w:r>
      <w:proofErr w:type="spellStart"/>
      <w:r w:rsidRPr="000B697A">
        <w:rPr>
          <w:rFonts w:cs="Calibri"/>
        </w:rPr>
        <w:t>визия</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разширяването</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предлаганите</w:t>
      </w:r>
      <w:proofErr w:type="spellEnd"/>
      <w:r w:rsidRPr="000B697A">
        <w:rPr>
          <w:rFonts w:cs="Calibri"/>
        </w:rPr>
        <w:t xml:space="preserve"> </w:t>
      </w:r>
      <w:proofErr w:type="spellStart"/>
      <w:r w:rsidRPr="000B697A">
        <w:rPr>
          <w:rFonts w:cs="Calibri"/>
        </w:rPr>
        <w:t>продукти</w:t>
      </w:r>
      <w:proofErr w:type="spellEnd"/>
      <w:r w:rsidRPr="000B697A">
        <w:rPr>
          <w:rFonts w:cs="Calibri"/>
        </w:rPr>
        <w:t>;</w:t>
      </w:r>
    </w:p>
    <w:p w:rsidR="0034033B" w:rsidRPr="000B697A" w:rsidRDefault="0034033B" w:rsidP="0034033B">
      <w:pPr>
        <w:pStyle w:val="ListParagraph"/>
        <w:widowControl w:val="0"/>
        <w:numPr>
          <w:ilvl w:val="0"/>
          <w:numId w:val="37"/>
        </w:numPr>
        <w:contextualSpacing/>
        <w:rPr>
          <w:rFonts w:cs="Calibri"/>
        </w:rPr>
      </w:pPr>
      <w:proofErr w:type="spellStart"/>
      <w:r w:rsidRPr="000B697A">
        <w:rPr>
          <w:rFonts w:cs="Calibri"/>
        </w:rPr>
        <w:t>Борсата</w:t>
      </w:r>
      <w:proofErr w:type="spellEnd"/>
      <w:r w:rsidRPr="000B697A">
        <w:rPr>
          <w:rFonts w:cs="Calibri"/>
        </w:rPr>
        <w:t xml:space="preserve"> е </w:t>
      </w:r>
      <w:proofErr w:type="spellStart"/>
      <w:r w:rsidRPr="000B697A">
        <w:rPr>
          <w:rFonts w:cs="Calibri"/>
        </w:rPr>
        <w:t>лицензирана</w:t>
      </w:r>
      <w:proofErr w:type="spellEnd"/>
      <w:r w:rsidRPr="000B697A">
        <w:rPr>
          <w:rFonts w:cs="Calibri"/>
        </w:rPr>
        <w:t xml:space="preserve"> </w:t>
      </w:r>
      <w:proofErr w:type="spellStart"/>
      <w:r w:rsidRPr="000B697A">
        <w:rPr>
          <w:rFonts w:cs="Calibri"/>
        </w:rPr>
        <w:t>от</w:t>
      </w:r>
      <w:proofErr w:type="spellEnd"/>
      <w:r w:rsidRPr="000B697A">
        <w:rPr>
          <w:rFonts w:cs="Calibri"/>
        </w:rPr>
        <w:t xml:space="preserve"> </w:t>
      </w:r>
      <w:proofErr w:type="spellStart"/>
      <w:r w:rsidRPr="000B697A">
        <w:rPr>
          <w:rFonts w:cs="Calibri"/>
        </w:rPr>
        <w:t>Комисията</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финансов</w:t>
      </w:r>
      <w:proofErr w:type="spellEnd"/>
      <w:r w:rsidRPr="000B697A">
        <w:rPr>
          <w:rFonts w:cs="Calibri"/>
        </w:rPr>
        <w:t xml:space="preserve"> </w:t>
      </w:r>
      <w:proofErr w:type="spellStart"/>
      <w:r w:rsidRPr="000B697A">
        <w:rPr>
          <w:rFonts w:cs="Calibri"/>
        </w:rPr>
        <w:t>надзор</w:t>
      </w:r>
      <w:proofErr w:type="spellEnd"/>
      <w:r w:rsidRPr="000B697A">
        <w:rPr>
          <w:rFonts w:cs="Calibri"/>
        </w:rPr>
        <w:t xml:space="preserve"> и </w:t>
      </w:r>
      <w:proofErr w:type="spellStart"/>
      <w:r w:rsidRPr="000B697A">
        <w:rPr>
          <w:rFonts w:cs="Calibri"/>
        </w:rPr>
        <w:t>се</w:t>
      </w:r>
      <w:proofErr w:type="spellEnd"/>
      <w:r w:rsidRPr="000B697A">
        <w:rPr>
          <w:rFonts w:cs="Calibri"/>
        </w:rPr>
        <w:t xml:space="preserve"> </w:t>
      </w:r>
      <w:proofErr w:type="spellStart"/>
      <w:r w:rsidRPr="000B697A">
        <w:rPr>
          <w:rFonts w:cs="Calibri"/>
        </w:rPr>
        <w:t>подчинява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Европейското</w:t>
      </w:r>
      <w:proofErr w:type="spellEnd"/>
      <w:r w:rsidRPr="000B697A">
        <w:rPr>
          <w:rFonts w:cs="Calibri"/>
        </w:rPr>
        <w:t xml:space="preserve"> и </w:t>
      </w:r>
      <w:proofErr w:type="spellStart"/>
      <w:r w:rsidRPr="000B697A">
        <w:rPr>
          <w:rFonts w:cs="Calibri"/>
        </w:rPr>
        <w:t>националното</w:t>
      </w:r>
      <w:proofErr w:type="spellEnd"/>
      <w:r w:rsidRPr="000B697A">
        <w:rPr>
          <w:rFonts w:cs="Calibri"/>
        </w:rPr>
        <w:t xml:space="preserve"> </w:t>
      </w:r>
      <w:proofErr w:type="spellStart"/>
      <w:r w:rsidRPr="000B697A">
        <w:rPr>
          <w:rFonts w:cs="Calibri"/>
        </w:rPr>
        <w:t>законодателство</w:t>
      </w:r>
      <w:proofErr w:type="spellEnd"/>
      <w:r w:rsidRPr="000B697A">
        <w:rPr>
          <w:rFonts w:cs="Calibri"/>
        </w:rPr>
        <w:t xml:space="preserve"> в </w:t>
      </w:r>
      <w:proofErr w:type="spellStart"/>
      <w:r w:rsidRPr="000B697A">
        <w:rPr>
          <w:rFonts w:cs="Calibri"/>
        </w:rPr>
        <w:t>областта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финансовите</w:t>
      </w:r>
      <w:proofErr w:type="spellEnd"/>
      <w:r w:rsidRPr="000B697A">
        <w:rPr>
          <w:rFonts w:cs="Calibri"/>
        </w:rPr>
        <w:t xml:space="preserve"> </w:t>
      </w:r>
      <w:proofErr w:type="spellStart"/>
      <w:r w:rsidRPr="000B697A">
        <w:rPr>
          <w:rFonts w:cs="Calibri"/>
        </w:rPr>
        <w:t>пазари</w:t>
      </w:r>
      <w:proofErr w:type="spellEnd"/>
      <w:r w:rsidRPr="000B697A">
        <w:rPr>
          <w:rFonts w:cs="Calibri"/>
        </w:rPr>
        <w:t>.</w:t>
      </w:r>
    </w:p>
    <w:p w:rsidR="0034033B" w:rsidRPr="000B697A" w:rsidRDefault="0034033B" w:rsidP="0034033B">
      <w:pPr>
        <w:rPr>
          <w:rFonts w:cs="Calibri"/>
        </w:rPr>
      </w:pPr>
      <w:r w:rsidRPr="000B697A">
        <w:rPr>
          <w:rFonts w:cs="Calibri"/>
        </w:rPr>
        <w:t>Решението на Комисията бе последното задължително изискване за влизане в сила на Договора за прехвърляне на акциите на БНЕБ между БЕХ и БФБ.</w:t>
      </w:r>
    </w:p>
    <w:p w:rsidR="0034033B" w:rsidRPr="000B697A" w:rsidRDefault="0034033B" w:rsidP="0034033B">
      <w:pPr>
        <w:rPr>
          <w:rFonts w:cs="Calibri"/>
        </w:rPr>
      </w:pPr>
      <w:r w:rsidRPr="000B697A">
        <w:rPr>
          <w:rFonts w:cs="Calibri"/>
        </w:rPr>
        <w:t xml:space="preserve">След получаване на горното одобрение, договорът за прехвърляне на акциите на Българска независима енергийна борса (БНЕБ) между Български енергиен холдинг и Българска фондова борса влезе в сила. По този начин Борсата придоби 100% от капитала на БНЕБ. Договорената </w:t>
      </w:r>
      <w:r w:rsidRPr="000B697A">
        <w:rPr>
          <w:rFonts w:cs="Calibri"/>
        </w:rPr>
        <w:lastRenderedPageBreak/>
        <w:t>цена бе 5.2 милиона лева. Четири милиона лева от цената бяха платени при придобиването на акциите, което финализира процеса по продажбата, а останалите 1.2 млн. лв. ще бъдат преведени на три равни вноски в рамките на шестия, дванадесетия и осемнадесетия месец от прехвърлянето на капитала. За разсрочената част от плащането БФБ осигури безусловна револвираща банкова гаранция.</w:t>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50" w:name="_Ref520300023"/>
      <w:bookmarkStart w:id="51" w:name="_Toc520473876"/>
      <w:bookmarkEnd w:id="38"/>
      <w:r w:rsidRPr="000B697A">
        <w:rPr>
          <w:rFonts w:cs="Calibri"/>
        </w:rPr>
        <w:t>Проведе се 22-та Европейска конференция за корпоративно управление</w:t>
      </w:r>
      <w:bookmarkEnd w:id="50"/>
      <w:bookmarkEnd w:id="51"/>
    </w:p>
    <w:p w:rsidR="0034033B" w:rsidRPr="000B697A" w:rsidRDefault="0034033B" w:rsidP="0034033B">
      <w:pPr>
        <w:rPr>
          <w:rFonts w:cs="Calibri"/>
        </w:rPr>
      </w:pPr>
      <w:r w:rsidRPr="000B697A">
        <w:rPr>
          <w:rFonts w:cs="Calibri"/>
        </w:rPr>
        <w:t>Националната комисия за корпоративно управление, председателстващата я институция -Българска фондова борса и международната консултантска компания Ernst &amp; Young бяха домакини на 22-та Европейска конференция за корпоративно управление на 19 април в София. Конференцията беше част от официалните прояви, свързани с Българското председателство на Съвета на ЕС 2018, и бе организирана в партньорство с Министерство на финансите и Министерство на правосъдието. Основната тема беше "Корпоративното управление за изграждане на нова култура за разкриване на информация, прозрачност и борба с корупцията". Във форума участваха над 200 представители на най-високо ниво от Европейската комисия, водещи международни институции и организации в областта на корпоративното управление и публични компании.</w:t>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52" w:name="_Toc520473877"/>
      <w:r w:rsidRPr="000B697A">
        <w:rPr>
          <w:rFonts w:cs="Calibri"/>
        </w:rPr>
        <w:t>Проведе се четвъртото издание на инициативата „ден за акции“</w:t>
      </w:r>
      <w:bookmarkEnd w:id="52"/>
    </w:p>
    <w:p w:rsidR="0034033B" w:rsidRPr="000B697A" w:rsidRDefault="0034033B" w:rsidP="0034033B">
      <w:pPr>
        <w:rPr>
          <w:rFonts w:cs="Calibri"/>
        </w:rPr>
      </w:pPr>
      <w:r w:rsidRPr="000B697A">
        <w:rPr>
          <w:rFonts w:cs="Calibri"/>
        </w:rPr>
        <w:t>Шестнадесет инвестиционни посредници участваха в четвъртото издание на инициативата на Българска фондова борса и Централен депозитар "Ден за акции". Инициативата има за цел да подобри инвестиционната култура и увеличи знанието за капиталовите инструменти като форма на инвестиция в страната ни. "Денят за акции" беше на 13 юни 2018 г., сряда. Всички инвестиционни посредници, които партнираха на БФБ и Централен депозитар в "Деня за акции", не таксуваха своите клиенти – физически лица, чиито сделки отговаряха на условията за участие в инициативата.</w:t>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53" w:name="_Toc520473878"/>
      <w:bookmarkStart w:id="54" w:name="_Ref4365595"/>
      <w:bookmarkStart w:id="55" w:name="_Ref6524126"/>
      <w:r w:rsidRPr="000B697A">
        <w:rPr>
          <w:rFonts w:cs="Calibri"/>
        </w:rPr>
        <w:t>Проведено бе редовното общо събрание на „Българска фондова борса“ АД</w:t>
      </w:r>
      <w:bookmarkEnd w:id="53"/>
      <w:bookmarkEnd w:id="54"/>
      <w:bookmarkEnd w:id="55"/>
    </w:p>
    <w:p w:rsidR="0034033B" w:rsidRPr="000B697A" w:rsidRDefault="0034033B" w:rsidP="0034033B">
      <w:pPr>
        <w:rPr>
          <w:rFonts w:cs="Calibri"/>
        </w:rPr>
      </w:pPr>
      <w:r w:rsidRPr="000B697A">
        <w:rPr>
          <w:rFonts w:cs="Calibri"/>
        </w:rPr>
        <w:t xml:space="preserve">На 18.06.2018 г. се проведе редовно Общо събрание на акционерите на Българска фондова борса АД. Освен приемане на докладите на управителните органи за дейността на дружеството през 2017 г., на годишните финансови отчети на дружеството за 2017 г., на докладите на специализираното одиторско предприятие за извършената проверка на годишните финансови отчети на дружеството за 2017 г., на доклада на Одитния комитет и доклада на Директора за връзки с инвеститорите и освобождаването от отговорност членовете на управителните органи за дейността им през 2017 г., бе избран регистриран одитор за 2018 г., одобрени бяха промени в наименованието на дружеството и устава му, освободена беше Маринела </w:t>
      </w:r>
      <w:proofErr w:type="spellStart"/>
      <w:r w:rsidRPr="000B697A">
        <w:rPr>
          <w:rFonts w:cs="Calibri"/>
        </w:rPr>
        <w:t>Пиринова</w:t>
      </w:r>
      <w:proofErr w:type="spellEnd"/>
      <w:r w:rsidRPr="000B697A">
        <w:rPr>
          <w:rFonts w:cs="Calibri"/>
        </w:rPr>
        <w:t xml:space="preserve"> Петрова като член на Съвета на директорите и бе избрана Христина Стефанова </w:t>
      </w:r>
      <w:proofErr w:type="spellStart"/>
      <w:r w:rsidRPr="000B697A">
        <w:rPr>
          <w:rFonts w:cs="Calibri"/>
        </w:rPr>
        <w:t>Пендичева</w:t>
      </w:r>
      <w:proofErr w:type="spellEnd"/>
      <w:r w:rsidRPr="000B697A">
        <w:rPr>
          <w:rFonts w:cs="Calibri"/>
        </w:rPr>
        <w:t xml:space="preserve"> за член на Съвета на директорите до края на текущия мандат.</w:t>
      </w:r>
    </w:p>
    <w:p w:rsidR="0034033B" w:rsidRPr="000B697A" w:rsidRDefault="0034033B" w:rsidP="0034033B">
      <w:pPr>
        <w:rPr>
          <w:rFonts w:cs="Calibri"/>
        </w:rPr>
      </w:pPr>
      <w:r w:rsidRPr="000B697A">
        <w:rPr>
          <w:rFonts w:cs="Calibri"/>
        </w:rPr>
        <w:lastRenderedPageBreak/>
        <w:t xml:space="preserve">Прието бе решение 50% от печалбата за 2017 г., в размер на </w:t>
      </w:r>
      <w:r w:rsidRPr="0014603C">
        <w:rPr>
          <w:rFonts w:cs="Calibri"/>
        </w:rPr>
        <w:t>103 116.57</w:t>
      </w:r>
      <w:r w:rsidRPr="000B697A">
        <w:rPr>
          <w:rFonts w:cs="Calibri"/>
        </w:rPr>
        <w:t xml:space="preserve"> лева, да бъде разпредена като дивидент на акционерите, или по 0.01566 лева на всяка акция. Останалите 50 % от печалбата, в размер на 103 116.57 лева, бяха отнесени към Допълнителните резерви.</w:t>
      </w:r>
    </w:p>
    <w:p w:rsidR="0034033B" w:rsidRPr="000B697A" w:rsidRDefault="0034033B" w:rsidP="0034033B">
      <w:pPr>
        <w:rPr>
          <w:rFonts w:cs="Calibri"/>
        </w:rPr>
      </w:pPr>
      <w:r w:rsidRPr="000B697A">
        <w:rPr>
          <w:rFonts w:cs="Calibri"/>
        </w:rPr>
        <w:t>Право да получат дивидент имаха лицата, вписани в регистрите на Централен депозитар като акционери на 14-ия ден след деня на ОСА, или към 02.07.2018 г.</w:t>
      </w:r>
    </w:p>
    <w:p w:rsidR="0034033B" w:rsidRPr="000B697A" w:rsidRDefault="0034033B" w:rsidP="0034033B">
      <w:pPr>
        <w:rPr>
          <w:rFonts w:cs="Calibri"/>
        </w:rPr>
      </w:pPr>
      <w:r w:rsidRPr="000B697A">
        <w:rPr>
          <w:rFonts w:cs="Calibri"/>
        </w:rPr>
        <w:t>Акционерите имаха възможност да участват в общото събрание чрез електронни средства. Акционери на дружеството можеха да се регистрират за участие в общото събрание чрез системата за електронно провеждане на общи събрания на "Централен депозитар" АД ЕПОС, посредством квалифициран електронен подпис (КЕП) по смисъла на Закона за електронния документ и електронните удостоверителни услуги. Системата ЕПОС осигурява следните възможности на акционерите:</w:t>
      </w:r>
    </w:p>
    <w:p w:rsidR="0034033B" w:rsidRPr="000B697A" w:rsidRDefault="0034033B" w:rsidP="0034033B">
      <w:pPr>
        <w:pStyle w:val="ListParagraph"/>
        <w:widowControl w:val="0"/>
        <w:numPr>
          <w:ilvl w:val="0"/>
          <w:numId w:val="37"/>
        </w:numPr>
        <w:contextualSpacing/>
        <w:rPr>
          <w:rFonts w:cs="Calibri"/>
        </w:rPr>
      </w:pPr>
      <w:proofErr w:type="spellStart"/>
      <w:r w:rsidRPr="000B697A">
        <w:rPr>
          <w:rFonts w:cs="Calibri"/>
        </w:rPr>
        <w:t>да</w:t>
      </w:r>
      <w:proofErr w:type="spellEnd"/>
      <w:r w:rsidRPr="000B697A">
        <w:rPr>
          <w:rFonts w:cs="Calibri"/>
        </w:rPr>
        <w:t xml:space="preserve"> </w:t>
      </w:r>
      <w:proofErr w:type="spellStart"/>
      <w:r w:rsidRPr="000B697A">
        <w:rPr>
          <w:rFonts w:cs="Calibri"/>
        </w:rPr>
        <w:t>следят</w:t>
      </w:r>
      <w:proofErr w:type="spellEnd"/>
      <w:r w:rsidRPr="000B697A">
        <w:rPr>
          <w:rFonts w:cs="Calibri"/>
        </w:rPr>
        <w:t xml:space="preserve"> </w:t>
      </w:r>
      <w:proofErr w:type="spellStart"/>
      <w:r w:rsidRPr="000B697A">
        <w:rPr>
          <w:rFonts w:cs="Calibri"/>
        </w:rPr>
        <w:t>общото</w:t>
      </w:r>
      <w:proofErr w:type="spellEnd"/>
      <w:r w:rsidRPr="000B697A">
        <w:rPr>
          <w:rFonts w:cs="Calibri"/>
        </w:rPr>
        <w:t xml:space="preserve"> </w:t>
      </w:r>
      <w:proofErr w:type="spellStart"/>
      <w:r w:rsidRPr="000B697A">
        <w:rPr>
          <w:rFonts w:cs="Calibri"/>
        </w:rPr>
        <w:t>събрание</w:t>
      </w:r>
      <w:proofErr w:type="spellEnd"/>
      <w:r w:rsidRPr="000B697A">
        <w:rPr>
          <w:rFonts w:cs="Calibri"/>
        </w:rPr>
        <w:t xml:space="preserve"> в </w:t>
      </w:r>
      <w:proofErr w:type="spellStart"/>
      <w:r w:rsidRPr="000B697A">
        <w:rPr>
          <w:rFonts w:cs="Calibri"/>
        </w:rPr>
        <w:t>реално</w:t>
      </w:r>
      <w:proofErr w:type="spellEnd"/>
      <w:r w:rsidRPr="000B697A">
        <w:rPr>
          <w:rFonts w:cs="Calibri"/>
        </w:rPr>
        <w:t xml:space="preserve"> </w:t>
      </w:r>
      <w:proofErr w:type="spellStart"/>
      <w:r w:rsidRPr="000B697A">
        <w:rPr>
          <w:rFonts w:cs="Calibri"/>
        </w:rPr>
        <w:t>време</w:t>
      </w:r>
      <w:proofErr w:type="spellEnd"/>
      <w:r w:rsidRPr="000B697A">
        <w:rPr>
          <w:rFonts w:cs="Calibri"/>
        </w:rPr>
        <w:t>;</w:t>
      </w:r>
    </w:p>
    <w:p w:rsidR="0034033B" w:rsidRPr="000B697A" w:rsidRDefault="0034033B" w:rsidP="0034033B">
      <w:pPr>
        <w:pStyle w:val="ListParagraph"/>
        <w:widowControl w:val="0"/>
        <w:numPr>
          <w:ilvl w:val="0"/>
          <w:numId w:val="37"/>
        </w:numPr>
        <w:contextualSpacing/>
        <w:rPr>
          <w:rFonts w:cs="Calibri"/>
        </w:rPr>
      </w:pPr>
      <w:proofErr w:type="spellStart"/>
      <w:r w:rsidRPr="000B697A">
        <w:rPr>
          <w:rFonts w:cs="Calibri"/>
        </w:rPr>
        <w:t>да</w:t>
      </w:r>
      <w:proofErr w:type="spellEnd"/>
      <w:r w:rsidRPr="000B697A">
        <w:rPr>
          <w:rFonts w:cs="Calibri"/>
        </w:rPr>
        <w:t xml:space="preserve"> </w:t>
      </w:r>
      <w:proofErr w:type="spellStart"/>
      <w:r w:rsidRPr="000B697A">
        <w:rPr>
          <w:rFonts w:cs="Calibri"/>
        </w:rPr>
        <w:t>гласуват</w:t>
      </w:r>
      <w:proofErr w:type="spellEnd"/>
      <w:r w:rsidRPr="000B697A">
        <w:rPr>
          <w:rFonts w:cs="Calibri"/>
        </w:rPr>
        <w:t xml:space="preserve"> </w:t>
      </w:r>
      <w:proofErr w:type="spellStart"/>
      <w:r w:rsidRPr="000B697A">
        <w:rPr>
          <w:rFonts w:cs="Calibri"/>
        </w:rPr>
        <w:t>чрез</w:t>
      </w:r>
      <w:proofErr w:type="spellEnd"/>
      <w:r w:rsidRPr="000B697A">
        <w:rPr>
          <w:rFonts w:cs="Calibri"/>
        </w:rPr>
        <w:t xml:space="preserve"> </w:t>
      </w:r>
      <w:proofErr w:type="spellStart"/>
      <w:r w:rsidRPr="000B697A">
        <w:rPr>
          <w:rFonts w:cs="Calibri"/>
        </w:rPr>
        <w:t>дистанционно</w:t>
      </w:r>
      <w:proofErr w:type="spellEnd"/>
      <w:r w:rsidRPr="000B697A">
        <w:rPr>
          <w:rFonts w:cs="Calibri"/>
        </w:rPr>
        <w:t xml:space="preserve"> </w:t>
      </w:r>
      <w:proofErr w:type="spellStart"/>
      <w:r w:rsidRPr="000B697A">
        <w:rPr>
          <w:rFonts w:cs="Calibri"/>
        </w:rPr>
        <w:t>попълване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съответните</w:t>
      </w:r>
      <w:proofErr w:type="spellEnd"/>
      <w:r w:rsidRPr="000B697A">
        <w:rPr>
          <w:rFonts w:cs="Calibri"/>
        </w:rPr>
        <w:t xml:space="preserve"> </w:t>
      </w:r>
      <w:proofErr w:type="spellStart"/>
      <w:r w:rsidRPr="000B697A">
        <w:rPr>
          <w:rFonts w:cs="Calibri"/>
        </w:rPr>
        <w:t>електронни</w:t>
      </w:r>
      <w:proofErr w:type="spellEnd"/>
      <w:r w:rsidRPr="000B697A">
        <w:rPr>
          <w:rFonts w:cs="Calibri"/>
        </w:rPr>
        <w:t xml:space="preserve"> </w:t>
      </w:r>
      <w:proofErr w:type="spellStart"/>
      <w:r w:rsidRPr="000B697A">
        <w:rPr>
          <w:rFonts w:cs="Calibri"/>
        </w:rPr>
        <w:t>форми</w:t>
      </w:r>
      <w:proofErr w:type="spellEnd"/>
      <w:r w:rsidRPr="000B697A">
        <w:rPr>
          <w:rFonts w:cs="Calibri"/>
        </w:rPr>
        <w:t xml:space="preserve">, </w:t>
      </w:r>
      <w:proofErr w:type="spellStart"/>
      <w:r w:rsidRPr="000B697A">
        <w:rPr>
          <w:rFonts w:cs="Calibri"/>
        </w:rPr>
        <w:t>когато</w:t>
      </w:r>
      <w:proofErr w:type="spellEnd"/>
      <w:r w:rsidRPr="000B697A">
        <w:rPr>
          <w:rFonts w:cs="Calibri"/>
        </w:rPr>
        <w:t xml:space="preserve"> </w:t>
      </w:r>
      <w:proofErr w:type="spellStart"/>
      <w:r w:rsidRPr="000B697A">
        <w:rPr>
          <w:rFonts w:cs="Calibri"/>
        </w:rPr>
        <w:t>се</w:t>
      </w:r>
      <w:proofErr w:type="spellEnd"/>
      <w:r w:rsidRPr="000B697A">
        <w:rPr>
          <w:rFonts w:cs="Calibri"/>
        </w:rPr>
        <w:t xml:space="preserve"> </w:t>
      </w:r>
      <w:proofErr w:type="spellStart"/>
      <w:r w:rsidRPr="000B697A">
        <w:rPr>
          <w:rFonts w:cs="Calibri"/>
        </w:rPr>
        <w:t>провежда</w:t>
      </w:r>
      <w:proofErr w:type="spellEnd"/>
      <w:r w:rsidRPr="000B697A">
        <w:rPr>
          <w:rFonts w:cs="Calibri"/>
        </w:rPr>
        <w:t xml:space="preserve"> </w:t>
      </w:r>
      <w:proofErr w:type="spellStart"/>
      <w:r w:rsidRPr="000B697A">
        <w:rPr>
          <w:rFonts w:cs="Calibri"/>
        </w:rPr>
        <w:t>гласуване</w:t>
      </w:r>
      <w:proofErr w:type="spellEnd"/>
      <w:r w:rsidRPr="000B697A">
        <w:rPr>
          <w:rFonts w:cs="Calibri"/>
        </w:rPr>
        <w:t xml:space="preserve"> </w:t>
      </w:r>
      <w:proofErr w:type="spellStart"/>
      <w:r w:rsidRPr="000B697A">
        <w:rPr>
          <w:rFonts w:cs="Calibri"/>
        </w:rPr>
        <w:t>по</w:t>
      </w:r>
      <w:proofErr w:type="spellEnd"/>
      <w:r w:rsidRPr="000B697A">
        <w:rPr>
          <w:rFonts w:cs="Calibri"/>
        </w:rPr>
        <w:t xml:space="preserve"> </w:t>
      </w:r>
      <w:proofErr w:type="spellStart"/>
      <w:r w:rsidRPr="000B697A">
        <w:rPr>
          <w:rFonts w:cs="Calibri"/>
        </w:rPr>
        <w:t>съответната</w:t>
      </w:r>
      <w:proofErr w:type="spellEnd"/>
      <w:r w:rsidRPr="000B697A">
        <w:rPr>
          <w:rFonts w:cs="Calibri"/>
        </w:rPr>
        <w:t xml:space="preserve"> </w:t>
      </w:r>
      <w:proofErr w:type="spellStart"/>
      <w:r w:rsidRPr="000B697A">
        <w:rPr>
          <w:rFonts w:cs="Calibri"/>
        </w:rPr>
        <w:t>точка</w:t>
      </w:r>
      <w:proofErr w:type="spellEnd"/>
      <w:r w:rsidRPr="000B697A">
        <w:rPr>
          <w:rFonts w:cs="Calibri"/>
        </w:rPr>
        <w:t>;</w:t>
      </w:r>
    </w:p>
    <w:p w:rsidR="0034033B" w:rsidRPr="000B697A" w:rsidRDefault="0034033B" w:rsidP="0034033B">
      <w:pPr>
        <w:pStyle w:val="ListParagraph"/>
        <w:widowControl w:val="0"/>
        <w:numPr>
          <w:ilvl w:val="0"/>
          <w:numId w:val="37"/>
        </w:numPr>
        <w:contextualSpacing/>
        <w:rPr>
          <w:rFonts w:cs="Calibri"/>
        </w:rPr>
      </w:pPr>
      <w:proofErr w:type="spellStart"/>
      <w:r w:rsidRPr="000B697A">
        <w:rPr>
          <w:rFonts w:cs="Calibri"/>
        </w:rPr>
        <w:t>да</w:t>
      </w:r>
      <w:proofErr w:type="spellEnd"/>
      <w:r w:rsidRPr="000B697A">
        <w:rPr>
          <w:rFonts w:cs="Calibri"/>
        </w:rPr>
        <w:t xml:space="preserve"> </w:t>
      </w:r>
      <w:proofErr w:type="spellStart"/>
      <w:r w:rsidRPr="000B697A">
        <w:rPr>
          <w:rFonts w:cs="Calibri"/>
        </w:rPr>
        <w:t>гласуват</w:t>
      </w:r>
      <w:proofErr w:type="spellEnd"/>
      <w:r w:rsidRPr="000B697A">
        <w:rPr>
          <w:rFonts w:cs="Calibri"/>
        </w:rPr>
        <w:t xml:space="preserve"> </w:t>
      </w:r>
      <w:proofErr w:type="spellStart"/>
      <w:r w:rsidRPr="000B697A">
        <w:rPr>
          <w:rFonts w:cs="Calibri"/>
        </w:rPr>
        <w:t>предварително</w:t>
      </w:r>
      <w:proofErr w:type="spellEnd"/>
      <w:r w:rsidRPr="000B697A">
        <w:rPr>
          <w:rFonts w:cs="Calibri"/>
        </w:rPr>
        <w:t xml:space="preserve"> </w:t>
      </w:r>
      <w:proofErr w:type="spellStart"/>
      <w:r w:rsidRPr="000B697A">
        <w:rPr>
          <w:rFonts w:cs="Calibri"/>
        </w:rPr>
        <w:t>по</w:t>
      </w:r>
      <w:proofErr w:type="spellEnd"/>
      <w:r w:rsidRPr="000B697A">
        <w:rPr>
          <w:rFonts w:cs="Calibri"/>
        </w:rPr>
        <w:t xml:space="preserve"> </w:t>
      </w:r>
      <w:proofErr w:type="spellStart"/>
      <w:r w:rsidRPr="000B697A">
        <w:rPr>
          <w:rFonts w:cs="Calibri"/>
        </w:rPr>
        <w:t>определения</w:t>
      </w:r>
      <w:proofErr w:type="spellEnd"/>
      <w:r w:rsidRPr="000B697A">
        <w:rPr>
          <w:rFonts w:cs="Calibri"/>
        </w:rPr>
        <w:t xml:space="preserve"> </w:t>
      </w:r>
      <w:proofErr w:type="spellStart"/>
      <w:r w:rsidRPr="000B697A">
        <w:rPr>
          <w:rFonts w:cs="Calibri"/>
        </w:rPr>
        <w:t>дневен</w:t>
      </w:r>
      <w:proofErr w:type="spellEnd"/>
      <w:r w:rsidRPr="000B697A">
        <w:rPr>
          <w:rFonts w:cs="Calibri"/>
        </w:rPr>
        <w:t xml:space="preserve"> </w:t>
      </w:r>
      <w:proofErr w:type="spellStart"/>
      <w:r w:rsidRPr="000B697A">
        <w:rPr>
          <w:rFonts w:cs="Calibri"/>
        </w:rPr>
        <w:t>ред</w:t>
      </w:r>
      <w:proofErr w:type="spellEnd"/>
      <w:r w:rsidRPr="000B697A">
        <w:rPr>
          <w:rFonts w:cs="Calibri"/>
        </w:rPr>
        <w:t xml:space="preserve"> </w:t>
      </w:r>
      <w:proofErr w:type="spellStart"/>
      <w:r w:rsidRPr="000B697A">
        <w:rPr>
          <w:rFonts w:cs="Calibri"/>
        </w:rPr>
        <w:t>чрез</w:t>
      </w:r>
      <w:proofErr w:type="spellEnd"/>
      <w:r w:rsidRPr="000B697A">
        <w:rPr>
          <w:rFonts w:cs="Calibri"/>
        </w:rPr>
        <w:t xml:space="preserve"> </w:t>
      </w:r>
      <w:proofErr w:type="spellStart"/>
      <w:r w:rsidRPr="000B697A">
        <w:rPr>
          <w:rFonts w:cs="Calibri"/>
        </w:rPr>
        <w:t>запис</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вота</w:t>
      </w:r>
      <w:proofErr w:type="spellEnd"/>
      <w:r w:rsidRPr="000B697A">
        <w:rPr>
          <w:rFonts w:cs="Calibri"/>
        </w:rPr>
        <w:t xml:space="preserve"> </w:t>
      </w:r>
      <w:proofErr w:type="spellStart"/>
      <w:r w:rsidRPr="000B697A">
        <w:rPr>
          <w:rFonts w:cs="Calibri"/>
        </w:rPr>
        <w:t>най-късно</w:t>
      </w:r>
      <w:proofErr w:type="spellEnd"/>
      <w:r w:rsidRPr="000B697A">
        <w:rPr>
          <w:rFonts w:cs="Calibri"/>
        </w:rPr>
        <w:t xml:space="preserve"> </w:t>
      </w:r>
      <w:proofErr w:type="spellStart"/>
      <w:r w:rsidRPr="000B697A">
        <w:rPr>
          <w:rFonts w:cs="Calibri"/>
        </w:rPr>
        <w:t>до</w:t>
      </w:r>
      <w:proofErr w:type="spellEnd"/>
      <w:r w:rsidRPr="000B697A">
        <w:rPr>
          <w:rFonts w:cs="Calibri"/>
        </w:rPr>
        <w:t xml:space="preserve"> </w:t>
      </w:r>
      <w:proofErr w:type="spellStart"/>
      <w:r w:rsidRPr="000B697A">
        <w:rPr>
          <w:rFonts w:cs="Calibri"/>
        </w:rPr>
        <w:t>края</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деня</w:t>
      </w:r>
      <w:proofErr w:type="spellEnd"/>
      <w:r w:rsidRPr="000B697A">
        <w:rPr>
          <w:rFonts w:cs="Calibri"/>
        </w:rPr>
        <w:t xml:space="preserve">, </w:t>
      </w:r>
      <w:proofErr w:type="spellStart"/>
      <w:r w:rsidRPr="000B697A">
        <w:rPr>
          <w:rFonts w:cs="Calibri"/>
        </w:rPr>
        <w:t>предхождащ</w:t>
      </w:r>
      <w:proofErr w:type="spellEnd"/>
      <w:r w:rsidRPr="000B697A">
        <w:rPr>
          <w:rFonts w:cs="Calibri"/>
        </w:rPr>
        <w:t xml:space="preserve"> </w:t>
      </w:r>
      <w:proofErr w:type="spellStart"/>
      <w:r w:rsidRPr="000B697A">
        <w:rPr>
          <w:rFonts w:cs="Calibri"/>
        </w:rPr>
        <w:t>деня</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провеждане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Общото</w:t>
      </w:r>
      <w:proofErr w:type="spellEnd"/>
      <w:r w:rsidRPr="000B697A">
        <w:rPr>
          <w:rFonts w:cs="Calibri"/>
        </w:rPr>
        <w:t xml:space="preserve"> </w:t>
      </w:r>
      <w:proofErr w:type="spellStart"/>
      <w:r w:rsidRPr="000B697A">
        <w:rPr>
          <w:rFonts w:cs="Calibri"/>
        </w:rPr>
        <w:t>събрание</w:t>
      </w:r>
      <w:proofErr w:type="spellEnd"/>
      <w:r w:rsidRPr="000B697A">
        <w:rPr>
          <w:rFonts w:cs="Calibri"/>
        </w:rPr>
        <w:t xml:space="preserve">, а </w:t>
      </w:r>
      <w:proofErr w:type="spellStart"/>
      <w:r w:rsidRPr="000B697A">
        <w:rPr>
          <w:rFonts w:cs="Calibri"/>
        </w:rPr>
        <w:t>именно</w:t>
      </w:r>
      <w:proofErr w:type="spellEnd"/>
      <w:r w:rsidRPr="000B697A">
        <w:rPr>
          <w:rFonts w:cs="Calibri"/>
        </w:rPr>
        <w:t xml:space="preserve"> </w:t>
      </w:r>
      <w:proofErr w:type="spellStart"/>
      <w:r w:rsidRPr="000B697A">
        <w:rPr>
          <w:rFonts w:cs="Calibri"/>
        </w:rPr>
        <w:t>до</w:t>
      </w:r>
      <w:proofErr w:type="spellEnd"/>
      <w:r w:rsidRPr="000B697A">
        <w:rPr>
          <w:rFonts w:cs="Calibri"/>
        </w:rPr>
        <w:t xml:space="preserve"> 17.06.2018 г., </w:t>
      </w:r>
      <w:proofErr w:type="spellStart"/>
      <w:r w:rsidRPr="000B697A">
        <w:rPr>
          <w:rFonts w:cs="Calibri"/>
        </w:rPr>
        <w:t>включително</w:t>
      </w:r>
      <w:proofErr w:type="spellEnd"/>
      <w:r w:rsidRPr="000B697A">
        <w:rPr>
          <w:rFonts w:cs="Calibri"/>
        </w:rPr>
        <w:t>;</w:t>
      </w:r>
    </w:p>
    <w:p w:rsidR="0034033B" w:rsidRPr="000B697A" w:rsidRDefault="0034033B" w:rsidP="0034033B">
      <w:pPr>
        <w:pStyle w:val="ListParagraph"/>
        <w:widowControl w:val="0"/>
        <w:numPr>
          <w:ilvl w:val="0"/>
          <w:numId w:val="37"/>
        </w:numPr>
        <w:contextualSpacing/>
        <w:rPr>
          <w:rFonts w:cs="Calibri"/>
        </w:rPr>
      </w:pPr>
      <w:proofErr w:type="spellStart"/>
      <w:r w:rsidRPr="000B697A">
        <w:rPr>
          <w:rFonts w:cs="Calibri"/>
        </w:rPr>
        <w:t>да</w:t>
      </w:r>
      <w:proofErr w:type="spellEnd"/>
      <w:r w:rsidRPr="000B697A">
        <w:rPr>
          <w:rFonts w:cs="Calibri"/>
        </w:rPr>
        <w:t xml:space="preserve"> </w:t>
      </w:r>
      <w:proofErr w:type="spellStart"/>
      <w:r w:rsidRPr="000B697A">
        <w:rPr>
          <w:rFonts w:cs="Calibri"/>
        </w:rPr>
        <w:t>упълномощят</w:t>
      </w:r>
      <w:proofErr w:type="spellEnd"/>
      <w:r w:rsidRPr="000B697A">
        <w:rPr>
          <w:rFonts w:cs="Calibri"/>
        </w:rPr>
        <w:t xml:space="preserve"> </w:t>
      </w:r>
      <w:proofErr w:type="spellStart"/>
      <w:r w:rsidRPr="000B697A">
        <w:rPr>
          <w:rFonts w:cs="Calibri"/>
        </w:rPr>
        <w:t>трето</w:t>
      </w:r>
      <w:proofErr w:type="spellEnd"/>
      <w:r w:rsidRPr="000B697A">
        <w:rPr>
          <w:rFonts w:cs="Calibri"/>
        </w:rPr>
        <w:t xml:space="preserve"> </w:t>
      </w:r>
      <w:proofErr w:type="spellStart"/>
      <w:r w:rsidRPr="000B697A">
        <w:rPr>
          <w:rFonts w:cs="Calibri"/>
        </w:rPr>
        <w:t>лице</w:t>
      </w:r>
      <w:proofErr w:type="spellEnd"/>
      <w:r w:rsidRPr="000B697A">
        <w:rPr>
          <w:rFonts w:cs="Calibri"/>
        </w:rPr>
        <w:t xml:space="preserve">, </w:t>
      </w:r>
      <w:proofErr w:type="spellStart"/>
      <w:r w:rsidRPr="000B697A">
        <w:rPr>
          <w:rFonts w:cs="Calibri"/>
        </w:rPr>
        <w:t>което</w:t>
      </w:r>
      <w:proofErr w:type="spellEnd"/>
      <w:r w:rsidRPr="000B697A">
        <w:rPr>
          <w:rFonts w:cs="Calibri"/>
        </w:rPr>
        <w:t xml:space="preserve"> </w:t>
      </w:r>
      <w:proofErr w:type="spellStart"/>
      <w:r w:rsidRPr="000B697A">
        <w:rPr>
          <w:rFonts w:cs="Calibri"/>
        </w:rPr>
        <w:t>разполага</w:t>
      </w:r>
      <w:proofErr w:type="spellEnd"/>
      <w:r w:rsidRPr="000B697A">
        <w:rPr>
          <w:rFonts w:cs="Calibri"/>
        </w:rPr>
        <w:t xml:space="preserve"> с КЕП, </w:t>
      </w:r>
      <w:proofErr w:type="spellStart"/>
      <w:r w:rsidRPr="000B697A">
        <w:rPr>
          <w:rFonts w:cs="Calibri"/>
        </w:rPr>
        <w:t>да</w:t>
      </w:r>
      <w:proofErr w:type="spellEnd"/>
      <w:r w:rsidRPr="000B697A">
        <w:rPr>
          <w:rFonts w:cs="Calibri"/>
        </w:rPr>
        <w:t xml:space="preserve"> </w:t>
      </w:r>
      <w:proofErr w:type="spellStart"/>
      <w:r w:rsidRPr="000B697A">
        <w:rPr>
          <w:rFonts w:cs="Calibri"/>
        </w:rPr>
        <w:t>гласува</w:t>
      </w:r>
      <w:proofErr w:type="spellEnd"/>
      <w:r w:rsidRPr="000B697A">
        <w:rPr>
          <w:rFonts w:cs="Calibri"/>
        </w:rPr>
        <w:t xml:space="preserve"> </w:t>
      </w:r>
      <w:proofErr w:type="spellStart"/>
      <w:r w:rsidRPr="000B697A">
        <w:rPr>
          <w:rFonts w:cs="Calibri"/>
        </w:rPr>
        <w:t>от</w:t>
      </w:r>
      <w:proofErr w:type="spellEnd"/>
      <w:r w:rsidRPr="000B697A">
        <w:rPr>
          <w:rFonts w:cs="Calibri"/>
        </w:rPr>
        <w:t xml:space="preserve"> </w:t>
      </w:r>
      <w:proofErr w:type="spellStart"/>
      <w:r w:rsidRPr="000B697A">
        <w:rPr>
          <w:rFonts w:cs="Calibri"/>
        </w:rPr>
        <w:t>тяхно</w:t>
      </w:r>
      <w:proofErr w:type="spellEnd"/>
      <w:r w:rsidRPr="000B697A">
        <w:rPr>
          <w:rFonts w:cs="Calibri"/>
        </w:rPr>
        <w:t xml:space="preserve"> </w:t>
      </w:r>
      <w:proofErr w:type="spellStart"/>
      <w:r w:rsidRPr="000B697A">
        <w:rPr>
          <w:rFonts w:cs="Calibri"/>
        </w:rPr>
        <w:t>име</w:t>
      </w:r>
      <w:proofErr w:type="spellEnd"/>
      <w:r w:rsidRPr="000B697A">
        <w:rPr>
          <w:rFonts w:cs="Calibri"/>
        </w:rPr>
        <w:t>.</w:t>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56" w:name="_Toc520473879"/>
      <w:bookmarkEnd w:id="39"/>
      <w:r w:rsidRPr="000B697A">
        <w:rPr>
          <w:rFonts w:cs="Calibri"/>
        </w:rPr>
        <w:t xml:space="preserve">Договор за трансграничен клиринг и </w:t>
      </w:r>
      <w:proofErr w:type="spellStart"/>
      <w:r w:rsidRPr="000B697A">
        <w:rPr>
          <w:rFonts w:cs="Calibri"/>
        </w:rPr>
        <w:t>сетълмент</w:t>
      </w:r>
      <w:proofErr w:type="spellEnd"/>
      <w:r w:rsidRPr="000B697A">
        <w:rPr>
          <w:rFonts w:cs="Calibri"/>
        </w:rPr>
        <w:t xml:space="preserve"> бе подписан между </w:t>
      </w:r>
      <w:proofErr w:type="spellStart"/>
      <w:r w:rsidRPr="000B697A">
        <w:rPr>
          <w:rFonts w:cs="Calibri"/>
          <w:lang w:val="en-US"/>
        </w:rPr>
        <w:t>SEELink</w:t>
      </w:r>
      <w:proofErr w:type="spellEnd"/>
      <w:r w:rsidRPr="000B697A">
        <w:rPr>
          <w:rFonts w:cs="Calibri"/>
          <w:lang w:val="en-US"/>
        </w:rPr>
        <w:t xml:space="preserve"> </w:t>
      </w:r>
      <w:r w:rsidRPr="000B697A">
        <w:rPr>
          <w:rFonts w:cs="Calibri"/>
        </w:rPr>
        <w:t xml:space="preserve">и </w:t>
      </w:r>
      <w:proofErr w:type="spellStart"/>
      <w:r w:rsidRPr="000B697A">
        <w:rPr>
          <w:rFonts w:cs="Calibri"/>
        </w:rPr>
        <w:t>Raiffeisen</w:t>
      </w:r>
      <w:proofErr w:type="spellEnd"/>
      <w:r w:rsidRPr="000B697A">
        <w:rPr>
          <w:rFonts w:cs="Calibri"/>
        </w:rPr>
        <w:t xml:space="preserve"> </w:t>
      </w:r>
      <w:proofErr w:type="spellStart"/>
      <w:r w:rsidRPr="000B697A">
        <w:rPr>
          <w:rFonts w:cs="Calibri"/>
        </w:rPr>
        <w:t>Bank</w:t>
      </w:r>
      <w:proofErr w:type="spellEnd"/>
      <w:r w:rsidRPr="000B697A">
        <w:rPr>
          <w:rFonts w:cs="Calibri"/>
        </w:rPr>
        <w:t xml:space="preserve"> International</w:t>
      </w:r>
      <w:bookmarkEnd w:id="56"/>
    </w:p>
    <w:p w:rsidR="0034033B" w:rsidRPr="000B697A" w:rsidRDefault="0034033B" w:rsidP="0034033B">
      <w:pPr>
        <w:rPr>
          <w:rFonts w:cs="Calibri"/>
        </w:rPr>
      </w:pPr>
      <w:r w:rsidRPr="000B697A">
        <w:rPr>
          <w:rFonts w:cs="Calibri"/>
        </w:rPr>
        <w:t xml:space="preserve">Ръководствата на трите фондови борси-учредителки на SEE </w:t>
      </w:r>
      <w:proofErr w:type="spellStart"/>
      <w:r w:rsidRPr="000B697A">
        <w:rPr>
          <w:rFonts w:cs="Calibri"/>
        </w:rPr>
        <w:t>Link</w:t>
      </w:r>
      <w:proofErr w:type="spellEnd"/>
      <w:r w:rsidRPr="000B697A">
        <w:rPr>
          <w:rFonts w:cs="Calibri"/>
        </w:rPr>
        <w:t xml:space="preserve"> и </w:t>
      </w:r>
      <w:proofErr w:type="spellStart"/>
      <w:r w:rsidRPr="000B697A">
        <w:rPr>
          <w:rFonts w:cs="Calibri"/>
        </w:rPr>
        <w:t>Raiffeisen</w:t>
      </w:r>
      <w:proofErr w:type="spellEnd"/>
      <w:r w:rsidRPr="000B697A">
        <w:rPr>
          <w:rFonts w:cs="Calibri"/>
        </w:rPr>
        <w:t xml:space="preserve"> </w:t>
      </w:r>
      <w:proofErr w:type="spellStart"/>
      <w:r w:rsidRPr="000B697A">
        <w:rPr>
          <w:rFonts w:cs="Calibri"/>
        </w:rPr>
        <w:t>Bank</w:t>
      </w:r>
      <w:proofErr w:type="spellEnd"/>
      <w:r w:rsidRPr="000B697A">
        <w:rPr>
          <w:rFonts w:cs="Calibri"/>
        </w:rPr>
        <w:t xml:space="preserve"> International (RBI) подписаха меморандум за разбирателство днес във Виена, Австрия. В резултат на договореностите RBI поетапно ще улесни процесите по трансграничен клиринг и </w:t>
      </w:r>
      <w:proofErr w:type="spellStart"/>
      <w:r w:rsidRPr="000B697A">
        <w:rPr>
          <w:rFonts w:cs="Calibri"/>
        </w:rPr>
        <w:t>сетълмент</w:t>
      </w:r>
      <w:proofErr w:type="spellEnd"/>
      <w:r w:rsidRPr="000B697A">
        <w:rPr>
          <w:rFonts w:cs="Calibri"/>
        </w:rPr>
        <w:t xml:space="preserve"> на регионалната платформа за търговия на ценни книжа в страните, в които оперира.</w:t>
      </w:r>
    </w:p>
    <w:p w:rsidR="0034033B" w:rsidRPr="000B697A" w:rsidRDefault="0034033B" w:rsidP="0034033B">
      <w:pPr>
        <w:rPr>
          <w:rFonts w:cs="Calibri"/>
        </w:rPr>
      </w:pPr>
      <w:r w:rsidRPr="000B697A">
        <w:rPr>
          <w:rFonts w:cs="Calibri"/>
        </w:rPr>
        <w:t xml:space="preserve">Според меморандума RBI ще опосредства процесите за клиринг и </w:t>
      </w:r>
      <w:proofErr w:type="spellStart"/>
      <w:r w:rsidRPr="000B697A">
        <w:rPr>
          <w:rFonts w:cs="Calibri"/>
        </w:rPr>
        <w:t>сетълмент</w:t>
      </w:r>
      <w:proofErr w:type="spellEnd"/>
      <w:r w:rsidRPr="000B697A">
        <w:rPr>
          <w:rFonts w:cs="Calibri"/>
        </w:rPr>
        <w:t xml:space="preserve"> за сделки, сключени на SEE </w:t>
      </w:r>
      <w:proofErr w:type="spellStart"/>
      <w:r w:rsidRPr="000B697A">
        <w:rPr>
          <w:rFonts w:cs="Calibri"/>
        </w:rPr>
        <w:t>Link</w:t>
      </w:r>
      <w:proofErr w:type="spellEnd"/>
      <w:r w:rsidRPr="000B697A">
        <w:rPr>
          <w:rFonts w:cs="Calibri"/>
        </w:rPr>
        <w:t>, като осъществява връзката с местните централни депозитари. Това ще става чрез Центъра за услуги свързани с ценни книжа на банката, базиран във Виена. Решението ще свърже централните депозитари на ценни книжа от 9 страни и по този начин ще преодолее ограничения като различни валути или законодателни различия. Така ще се реализира изначалната идея на платформата да интегрира регионалните пазари на акции без сливане или корпоративна интеграция, като използва само технологии, които ще позволят на участващите фондови борси да останат независими, но да се допълват и да позволят на инвеститорите по-лесен и по-ефективен достъп до тях чрез местен брокер.</w:t>
      </w:r>
    </w:p>
    <w:p w:rsidR="0034033B" w:rsidRPr="000B697A" w:rsidRDefault="0034033B">
      <w:pPr>
        <w:spacing w:line="240" w:lineRule="auto"/>
        <w:jc w:val="left"/>
        <w:rPr>
          <w:rFonts w:cs="Calibri"/>
        </w:rPr>
      </w:pPr>
      <w:r w:rsidRPr="000B697A">
        <w:rPr>
          <w:rFonts w:cs="Calibri"/>
        </w:rPr>
        <w:br w:type="page"/>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57" w:name="_Toc520473880"/>
      <w:r w:rsidRPr="000B697A">
        <w:rPr>
          <w:rFonts w:cs="Calibri"/>
        </w:rPr>
        <w:lastRenderedPageBreak/>
        <w:t xml:space="preserve">Българска фондова борса и </w:t>
      </w:r>
      <w:proofErr w:type="spellStart"/>
      <w:r w:rsidRPr="000B697A">
        <w:rPr>
          <w:rFonts w:cs="Calibri"/>
        </w:rPr>
        <w:t>UniCredit</w:t>
      </w:r>
      <w:proofErr w:type="spellEnd"/>
      <w:r w:rsidRPr="000B697A">
        <w:rPr>
          <w:rFonts w:cs="Calibri"/>
        </w:rPr>
        <w:t xml:space="preserve"> </w:t>
      </w:r>
      <w:proofErr w:type="spellStart"/>
      <w:r w:rsidRPr="000B697A">
        <w:rPr>
          <w:rFonts w:cs="Calibri"/>
        </w:rPr>
        <w:t>Bulbank</w:t>
      </w:r>
      <w:proofErr w:type="spellEnd"/>
      <w:r w:rsidRPr="000B697A">
        <w:rPr>
          <w:rFonts w:cs="Calibri"/>
        </w:rPr>
        <w:t xml:space="preserve"> организираха обучителен семинар по програмата </w:t>
      </w:r>
      <w:r w:rsidRPr="000B697A">
        <w:rPr>
          <w:rFonts w:cs="Calibri"/>
          <w:lang w:val="en-US"/>
        </w:rPr>
        <w:t xml:space="preserve">ELITE </w:t>
      </w:r>
      <w:r w:rsidRPr="000B697A">
        <w:rPr>
          <w:rFonts w:cs="Calibri"/>
        </w:rPr>
        <w:t xml:space="preserve">на </w:t>
      </w:r>
      <w:r w:rsidRPr="000B697A">
        <w:rPr>
          <w:rFonts w:cs="Calibri"/>
          <w:lang w:val="en-US"/>
        </w:rPr>
        <w:t>London Stock Exchange</w:t>
      </w:r>
      <w:bookmarkEnd w:id="57"/>
    </w:p>
    <w:p w:rsidR="0034033B" w:rsidRPr="000B697A" w:rsidRDefault="0034033B" w:rsidP="0034033B">
      <w:pPr>
        <w:rPr>
          <w:rFonts w:cs="Calibri"/>
        </w:rPr>
      </w:pPr>
      <w:r w:rsidRPr="000B697A">
        <w:rPr>
          <w:rFonts w:cs="Calibri"/>
        </w:rPr>
        <w:t xml:space="preserve">Представители на над 20 от най-динамичните български компании участваха в първия по рода си семинар организиран по програма ELITE на </w:t>
      </w:r>
      <w:proofErr w:type="spellStart"/>
      <w:r w:rsidRPr="000B697A">
        <w:rPr>
          <w:rFonts w:cs="Calibri"/>
        </w:rPr>
        <w:t>London</w:t>
      </w:r>
      <w:proofErr w:type="spellEnd"/>
      <w:r w:rsidRPr="000B697A">
        <w:rPr>
          <w:rFonts w:cs="Calibri"/>
        </w:rPr>
        <w:t xml:space="preserve"> </w:t>
      </w:r>
      <w:proofErr w:type="spellStart"/>
      <w:r w:rsidRPr="000B697A">
        <w:rPr>
          <w:rFonts w:cs="Calibri"/>
        </w:rPr>
        <w:t>Stock</w:t>
      </w:r>
      <w:proofErr w:type="spellEnd"/>
      <w:r w:rsidRPr="000B697A">
        <w:rPr>
          <w:rFonts w:cs="Calibri"/>
        </w:rPr>
        <w:t xml:space="preserve"> Exchange Group (LSEG). По време на събитието фирмите получиха ценна информация за това как могат да се възползват от възможностите на капиталовите пазари, както и по какъв начин дигиталните инструменти могат да стимулират бъдещия им растеж.</w:t>
      </w:r>
    </w:p>
    <w:p w:rsidR="0034033B" w:rsidRPr="000B697A" w:rsidRDefault="0034033B" w:rsidP="0034033B">
      <w:pPr>
        <w:rPr>
          <w:rFonts w:cs="Calibri"/>
        </w:rPr>
      </w:pPr>
      <w:r w:rsidRPr="000B697A">
        <w:rPr>
          <w:rFonts w:cs="Calibri"/>
        </w:rPr>
        <w:t xml:space="preserve">Семинарът се проведе в партньорството на Българска фондова борса и </w:t>
      </w:r>
      <w:proofErr w:type="spellStart"/>
      <w:r w:rsidRPr="000B697A">
        <w:rPr>
          <w:rFonts w:cs="Calibri"/>
        </w:rPr>
        <w:t>UniCredit</w:t>
      </w:r>
      <w:proofErr w:type="spellEnd"/>
      <w:r w:rsidRPr="000B697A">
        <w:rPr>
          <w:rFonts w:cs="Calibri"/>
        </w:rPr>
        <w:t xml:space="preserve"> </w:t>
      </w:r>
      <w:proofErr w:type="spellStart"/>
      <w:r w:rsidRPr="000B697A">
        <w:rPr>
          <w:rFonts w:cs="Calibri"/>
        </w:rPr>
        <w:t>Bulbank</w:t>
      </w:r>
      <w:proofErr w:type="spellEnd"/>
      <w:r w:rsidRPr="000B697A">
        <w:rPr>
          <w:rFonts w:cs="Calibri"/>
        </w:rPr>
        <w:t>. Негов фокус бяха изграждането на експертни познания и административни умения за набиране на капитал.</w:t>
      </w:r>
      <w:r w:rsidRPr="000B697A">
        <w:rPr>
          <w:rFonts w:cs="Calibri"/>
          <w:lang w:val="en-US"/>
        </w:rPr>
        <w:t xml:space="preserve"> </w:t>
      </w:r>
      <w:r w:rsidRPr="000B697A">
        <w:rPr>
          <w:rFonts w:cs="Calibri"/>
        </w:rPr>
        <w:t>Сред основните теми на семинара бяха: подготовка за набиране на капитал; предварителни договорености; основни принципи и фирмена структура и водещи практики за добро корпоративно управление и интерактивна дигитална самооценка.</w:t>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58" w:name="_Toc528419784"/>
      <w:r w:rsidRPr="000B697A">
        <w:rPr>
          <w:rFonts w:cs="Calibri"/>
        </w:rPr>
        <w:t>Стартира ваучерната схема за подкрепа на малки и средни предприятия за листване на Българска фондова борса</w:t>
      </w:r>
      <w:bookmarkEnd w:id="58"/>
    </w:p>
    <w:p w:rsidR="0034033B" w:rsidRPr="000B697A" w:rsidRDefault="0034033B" w:rsidP="0034033B">
      <w:pPr>
        <w:rPr>
          <w:rFonts w:cs="Calibri"/>
        </w:rPr>
      </w:pPr>
      <w:r w:rsidRPr="000B697A">
        <w:rPr>
          <w:rFonts w:cs="Calibri"/>
        </w:rPr>
        <w:t xml:space="preserve">На 13.07.2018 година Министерство на икономиката и Българска фондова борса дадоха официален старт на ваучерната схема за подкрепа на малки и средни предприятия за излизане на фондовата борса. Народният представител Делян Добрев, заместник-министърът на икономиката Александър Манолев и заместник-председателят на СД на БФБ Васил </w:t>
      </w:r>
      <w:proofErr w:type="spellStart"/>
      <w:r w:rsidRPr="000B697A">
        <w:rPr>
          <w:rFonts w:cs="Calibri"/>
        </w:rPr>
        <w:t>Големански</w:t>
      </w:r>
      <w:proofErr w:type="spellEnd"/>
      <w:r w:rsidRPr="000B697A">
        <w:rPr>
          <w:rFonts w:cs="Calibri"/>
        </w:rPr>
        <w:t xml:space="preserve"> представиха програмата и дадоха началото й с официално откриване на борсовата сесия.</w:t>
      </w:r>
    </w:p>
    <w:p w:rsidR="0034033B" w:rsidRPr="000B697A" w:rsidRDefault="0034033B" w:rsidP="0034033B">
      <w:pPr>
        <w:rPr>
          <w:rFonts w:cs="Calibri"/>
        </w:rPr>
      </w:pPr>
      <w:r w:rsidRPr="000B697A">
        <w:rPr>
          <w:rFonts w:cs="Calibri"/>
        </w:rPr>
        <w:t>Общият индикативен бюджет на ваучерната схема за предоставяне на услуги за емитиране на ценни книжа на капиталовите пазари възлиза на 3 911 660 лева (2 000 000 евро), като с днешното събитие стартира изпълнението на проект на стойност 1,6 млн. лв. На този етап целта е да се започне с първите предприятия, които да емитират финансови инструменти и съответно ваучерите им да бъдат изплатени. Впоследствие ще бъде подписан втори договор за използването на цялата предвидена сума. Бюджетът е осигурен по Оперативна програма „Иновации и конкурентоспособност“.</w:t>
      </w:r>
    </w:p>
    <w:p w:rsidR="0034033B" w:rsidRPr="000B697A" w:rsidRDefault="0034033B" w:rsidP="0034033B">
      <w:pPr>
        <w:rPr>
          <w:rFonts w:cs="Calibri"/>
        </w:rPr>
      </w:pPr>
      <w:r w:rsidRPr="000B697A">
        <w:rPr>
          <w:rFonts w:cs="Calibri"/>
        </w:rPr>
        <w:t xml:space="preserve">Финансирането по схемата ще се осъществява посредством предоставянето на ваучери на стойност 50 хил. лева, като бенефициент ще бъде Изпълнителната агенция за насърчаване на малките и средни предприятия (ИАНМСП). Тя ще администрира процеса и ще набира заявления за получаване на ваучер. Ваучерът ще е с валидност 9 месеца, като през този период компаниите трябва да получат одобрение на проспект за издаване на финансови инструменти от КФН и да осъществят успешна емисия за набиране на капитал (първично публично предлагане) чрез фондовата борса или чрез метода </w:t>
      </w:r>
      <w:proofErr w:type="spellStart"/>
      <w:r w:rsidRPr="000B697A">
        <w:rPr>
          <w:rFonts w:cs="Calibri"/>
        </w:rPr>
        <w:t>букбилдинг</w:t>
      </w:r>
      <w:proofErr w:type="spellEnd"/>
      <w:r w:rsidRPr="000B697A">
        <w:rPr>
          <w:rFonts w:cs="Calibri"/>
        </w:rPr>
        <w:t xml:space="preserve">. Ваучерът ще се изплаща на инвестиционния посредник при осъществена успешна емисия, което означава набран капитал на стойност минимум 500 000 лв. Общите условия по процедурата са публикувани на сайта на агенцията, а през септември ще започне и физическото приемане на проектните предложения. </w:t>
      </w:r>
    </w:p>
    <w:p w:rsidR="0034033B" w:rsidRPr="000B697A" w:rsidRDefault="0034033B" w:rsidP="0034033B">
      <w:pPr>
        <w:rPr>
          <w:rFonts w:cs="Calibri"/>
        </w:rPr>
      </w:pPr>
      <w:r w:rsidRPr="000B697A">
        <w:rPr>
          <w:rFonts w:cs="Calibri"/>
        </w:rPr>
        <w:t xml:space="preserve">Чрез новата схема ще може да се покриват разходи за услуги по подготовката на компаниите за емитиране на ценни книжа и първичното им предлагане на фондовата борса. Целта на </w:t>
      </w:r>
      <w:r w:rsidRPr="000B697A">
        <w:rPr>
          <w:rFonts w:cs="Calibri"/>
        </w:rPr>
        <w:lastRenderedPageBreak/>
        <w:t>мярката е да се осигури още една алтернатива на механизми за стимулиране на конкурентоспособността на българските предприятия чрез европейски средства. Чрез тази процедура компаниите ще имат възможност да наберат допълнителен частен капитал на базата на реалния си потенциал за развитие, оценен от независими инвеститори, който те ще могат да използват за инвестиции в разширяване на дейността си.</w:t>
      </w:r>
    </w:p>
    <w:p w:rsidR="0034033B" w:rsidRPr="000B697A" w:rsidRDefault="0034033B" w:rsidP="0034033B">
      <w:pPr>
        <w:rPr>
          <w:rFonts w:cs="Calibri"/>
        </w:rPr>
      </w:pPr>
      <w:r w:rsidRPr="000B697A">
        <w:rPr>
          <w:rFonts w:cs="Calibri"/>
        </w:rPr>
        <w:t>Мярката е част от Стратегията за развитие на капиталовия пазар.</w:t>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59" w:name="_Toc528419785"/>
      <w:bookmarkStart w:id="60" w:name="_Ref528491330"/>
      <w:r w:rsidRPr="000B697A">
        <w:rPr>
          <w:rFonts w:cs="Calibri"/>
        </w:rPr>
        <w:t>Преместване на емисии на друг пазар или сегмент</w:t>
      </w:r>
      <w:bookmarkEnd w:id="59"/>
      <w:bookmarkEnd w:id="60"/>
    </w:p>
    <w:p w:rsidR="0034033B" w:rsidRPr="000B697A" w:rsidRDefault="0034033B" w:rsidP="0034033B">
      <w:pPr>
        <w:rPr>
          <w:rFonts w:cs="Calibri"/>
        </w:rPr>
      </w:pPr>
      <w:r w:rsidRPr="000B697A">
        <w:rPr>
          <w:rFonts w:cs="Calibri"/>
        </w:rPr>
        <w:t xml:space="preserve">На заседание на Съвета на директорите на БФБ АД от 27.07.2018 г. бе взето решение емисии регистрирани на Основен пазар BSE, които бяха поставени под наблюдение за срок от 3 месеца и които не отговарят на изискванията на чл. 41, ал. 2 от част III Правила за допускане до търговия от Правилника за дейността на БФБ АД, считано от 01.08.2018 г. да бъдат преместени на съответния сегмент на Алтернативен пазар, а именно: </w:t>
      </w:r>
    </w:p>
    <w:p w:rsidR="0034033B" w:rsidRPr="000B697A" w:rsidRDefault="0034033B" w:rsidP="0034033B">
      <w:pPr>
        <w:pStyle w:val="ListParagraph"/>
        <w:widowControl w:val="0"/>
        <w:numPr>
          <w:ilvl w:val="0"/>
          <w:numId w:val="38"/>
        </w:numPr>
        <w:contextualSpacing/>
        <w:rPr>
          <w:rFonts w:cs="Calibri"/>
        </w:rPr>
      </w:pPr>
      <w:proofErr w:type="spellStart"/>
      <w:r w:rsidRPr="000B697A">
        <w:rPr>
          <w:rFonts w:cs="Calibri"/>
        </w:rPr>
        <w:t>Двадесет</w:t>
      </w:r>
      <w:proofErr w:type="spellEnd"/>
      <w:r w:rsidRPr="000B697A">
        <w:rPr>
          <w:rFonts w:cs="Calibri"/>
        </w:rPr>
        <w:t xml:space="preserve"> и </w:t>
      </w:r>
      <w:proofErr w:type="spellStart"/>
      <w:r w:rsidRPr="000B697A">
        <w:rPr>
          <w:rFonts w:cs="Calibri"/>
        </w:rPr>
        <w:t>осем</w:t>
      </w:r>
      <w:proofErr w:type="spellEnd"/>
      <w:r w:rsidRPr="000B697A">
        <w:rPr>
          <w:rFonts w:cs="Calibri"/>
        </w:rPr>
        <w:t xml:space="preserve"> </w:t>
      </w:r>
      <w:proofErr w:type="spellStart"/>
      <w:r w:rsidRPr="000B697A">
        <w:rPr>
          <w:rFonts w:cs="Calibri"/>
        </w:rPr>
        <w:t>емисии</w:t>
      </w:r>
      <w:proofErr w:type="spellEnd"/>
      <w:r w:rsidRPr="000B697A">
        <w:rPr>
          <w:rFonts w:cs="Calibri"/>
        </w:rPr>
        <w:t xml:space="preserve"> </w:t>
      </w:r>
      <w:proofErr w:type="spellStart"/>
      <w:r w:rsidRPr="000B697A">
        <w:rPr>
          <w:rFonts w:cs="Calibri"/>
        </w:rPr>
        <w:t>акции</w:t>
      </w:r>
      <w:proofErr w:type="spellEnd"/>
      <w:r w:rsidRPr="000B697A">
        <w:rPr>
          <w:rFonts w:cs="Calibri"/>
        </w:rPr>
        <w:t xml:space="preserve"> </w:t>
      </w:r>
      <w:proofErr w:type="spellStart"/>
      <w:r w:rsidRPr="000B697A">
        <w:rPr>
          <w:rFonts w:cs="Calibri"/>
        </w:rPr>
        <w:t>от</w:t>
      </w:r>
      <w:proofErr w:type="spellEnd"/>
      <w:r w:rsidRPr="000B697A">
        <w:rPr>
          <w:rFonts w:cs="Calibri"/>
        </w:rPr>
        <w:t xml:space="preserve"> </w:t>
      </w:r>
      <w:proofErr w:type="spellStart"/>
      <w:r w:rsidRPr="000B697A">
        <w:rPr>
          <w:rFonts w:cs="Calibri"/>
        </w:rPr>
        <w:t>сегмент</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акции</w:t>
      </w:r>
      <w:proofErr w:type="spellEnd"/>
      <w:r w:rsidRPr="000B697A">
        <w:rPr>
          <w:rFonts w:cs="Calibri"/>
        </w:rPr>
        <w:t xml:space="preserve"> Standard </w:t>
      </w:r>
      <w:proofErr w:type="spellStart"/>
      <w:r w:rsidRPr="000B697A">
        <w:rPr>
          <w:rFonts w:cs="Calibri"/>
        </w:rPr>
        <w:t>на</w:t>
      </w:r>
      <w:proofErr w:type="spellEnd"/>
      <w:r w:rsidRPr="000B697A">
        <w:rPr>
          <w:rFonts w:cs="Calibri"/>
        </w:rPr>
        <w:t xml:space="preserve"> </w:t>
      </w:r>
      <w:proofErr w:type="spellStart"/>
      <w:r w:rsidRPr="000B697A">
        <w:rPr>
          <w:rFonts w:cs="Calibri"/>
        </w:rPr>
        <w:t>основния</w:t>
      </w:r>
      <w:proofErr w:type="spellEnd"/>
      <w:r w:rsidRPr="000B697A">
        <w:rPr>
          <w:rFonts w:cs="Calibri"/>
        </w:rPr>
        <w:t xml:space="preserve"> </w:t>
      </w:r>
      <w:proofErr w:type="spellStart"/>
      <w:r w:rsidRPr="000B697A">
        <w:rPr>
          <w:rFonts w:cs="Calibri"/>
        </w:rPr>
        <w:t>пазар</w:t>
      </w:r>
      <w:proofErr w:type="spellEnd"/>
    </w:p>
    <w:p w:rsidR="0034033B" w:rsidRPr="000B697A" w:rsidRDefault="0034033B" w:rsidP="0034033B">
      <w:pPr>
        <w:pStyle w:val="ListParagraph"/>
        <w:widowControl w:val="0"/>
        <w:numPr>
          <w:ilvl w:val="0"/>
          <w:numId w:val="38"/>
        </w:numPr>
        <w:contextualSpacing/>
        <w:rPr>
          <w:rFonts w:cs="Calibri"/>
        </w:rPr>
      </w:pPr>
      <w:proofErr w:type="spellStart"/>
      <w:r w:rsidRPr="000B697A">
        <w:rPr>
          <w:rFonts w:cs="Calibri"/>
        </w:rPr>
        <w:t>Седем</w:t>
      </w:r>
      <w:proofErr w:type="spellEnd"/>
      <w:r w:rsidRPr="000B697A">
        <w:rPr>
          <w:rFonts w:cs="Calibri"/>
        </w:rPr>
        <w:t xml:space="preserve"> </w:t>
      </w:r>
      <w:proofErr w:type="spellStart"/>
      <w:r w:rsidRPr="000B697A">
        <w:rPr>
          <w:rFonts w:cs="Calibri"/>
        </w:rPr>
        <w:t>емисии</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дружества</w:t>
      </w:r>
      <w:proofErr w:type="spellEnd"/>
      <w:r w:rsidRPr="000B697A">
        <w:rPr>
          <w:rFonts w:cs="Calibri"/>
        </w:rPr>
        <w:t xml:space="preserve"> </w:t>
      </w:r>
      <w:proofErr w:type="spellStart"/>
      <w:r w:rsidRPr="000B697A">
        <w:rPr>
          <w:rFonts w:cs="Calibri"/>
        </w:rPr>
        <w:t>със</w:t>
      </w:r>
      <w:proofErr w:type="spellEnd"/>
      <w:r w:rsidRPr="000B697A">
        <w:rPr>
          <w:rFonts w:cs="Calibri"/>
        </w:rPr>
        <w:t xml:space="preserve"> </w:t>
      </w:r>
      <w:proofErr w:type="spellStart"/>
      <w:r w:rsidRPr="000B697A">
        <w:rPr>
          <w:rFonts w:cs="Calibri"/>
        </w:rPr>
        <w:t>специална</w:t>
      </w:r>
      <w:proofErr w:type="spellEnd"/>
      <w:r w:rsidRPr="000B697A">
        <w:rPr>
          <w:rFonts w:cs="Calibri"/>
        </w:rPr>
        <w:t xml:space="preserve"> </w:t>
      </w:r>
      <w:proofErr w:type="spellStart"/>
      <w:r w:rsidRPr="000B697A">
        <w:rPr>
          <w:rFonts w:cs="Calibri"/>
        </w:rPr>
        <w:t>инвестиционна</w:t>
      </w:r>
      <w:proofErr w:type="spellEnd"/>
      <w:r w:rsidRPr="000B697A">
        <w:rPr>
          <w:rFonts w:cs="Calibri"/>
        </w:rPr>
        <w:t xml:space="preserve"> </w:t>
      </w:r>
      <w:proofErr w:type="spellStart"/>
      <w:r w:rsidRPr="000B697A">
        <w:rPr>
          <w:rFonts w:cs="Calibri"/>
        </w:rPr>
        <w:t>цел</w:t>
      </w:r>
      <w:proofErr w:type="spellEnd"/>
    </w:p>
    <w:p w:rsidR="0034033B" w:rsidRPr="000B697A" w:rsidRDefault="0034033B" w:rsidP="0034033B">
      <w:pPr>
        <w:rPr>
          <w:rFonts w:cs="Calibri"/>
        </w:rPr>
      </w:pPr>
      <w:r w:rsidRPr="000B697A">
        <w:rPr>
          <w:rFonts w:cs="Calibri"/>
        </w:rPr>
        <w:t xml:space="preserve">На основание чл. 43, ал. 4 от част III Правила за допускане до търговия от Правилника за дейността на БФБ АД, считано от 01.08.2018 г същите емисии бяха допуснати до търговия на съответния сегмент на Алтернативен пазар </w:t>
      </w:r>
      <w:proofErr w:type="spellStart"/>
      <w:r w:rsidRPr="000B697A">
        <w:rPr>
          <w:rFonts w:cs="Calibri"/>
        </w:rPr>
        <w:t>BaSE</w:t>
      </w:r>
      <w:proofErr w:type="spellEnd"/>
      <w:r w:rsidRPr="000B697A">
        <w:rPr>
          <w:rFonts w:cs="Calibri"/>
        </w:rPr>
        <w:t>.</w:t>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61" w:name="_Toc528419786"/>
      <w:r w:rsidRPr="000B697A">
        <w:rPr>
          <w:rFonts w:cs="Calibri"/>
        </w:rPr>
        <w:t>Стартира вторичната търговия с акциите на Градус АД – Стара Загора</w:t>
      </w:r>
      <w:bookmarkEnd w:id="61"/>
    </w:p>
    <w:p w:rsidR="0034033B" w:rsidRPr="000B697A" w:rsidRDefault="0034033B" w:rsidP="0034033B">
      <w:pPr>
        <w:rPr>
          <w:rFonts w:cs="Calibri"/>
        </w:rPr>
      </w:pPr>
      <w:r w:rsidRPr="000B697A">
        <w:rPr>
          <w:rFonts w:cs="Calibri"/>
        </w:rPr>
        <w:t>На 6 август 2018 г., на официална церемония в Борсата беше даден старт на вторичната търговия с акциите на производителя на птиче месо. След успешно проведено първично публично предлагане (IPO), в резултат на което "Градус" АД - Стара Загора набра близо 81.4 милиона лева, компанията дебютира на БФБ. Тя се търгува на сегмент "Standard" на основния пазар с борсов код "GR6", а цената от IPO-то от 1.8 лв. за акция я оцени на над 438 милиона лева. Фрий-</w:t>
      </w:r>
      <w:proofErr w:type="spellStart"/>
      <w:r w:rsidRPr="000B697A">
        <w:rPr>
          <w:rFonts w:cs="Calibri"/>
        </w:rPr>
        <w:t>флоут</w:t>
      </w:r>
      <w:proofErr w:type="spellEnd"/>
      <w:r w:rsidRPr="000B697A">
        <w:rPr>
          <w:rFonts w:cs="Calibri"/>
        </w:rPr>
        <w:t xml:space="preserve"> пазарната капитализация на Градус е близо 83 милиона лева, която я поставя също сред водещите компании на БФБ.</w:t>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62" w:name="_Toc528419787"/>
      <w:r w:rsidRPr="000B697A">
        <w:rPr>
          <w:rFonts w:cs="Calibri"/>
        </w:rPr>
        <w:t>Промяна в индексите, изчислявани от Българска фондова борса</w:t>
      </w:r>
      <w:bookmarkEnd w:id="62"/>
    </w:p>
    <w:p w:rsidR="0034033B" w:rsidRPr="000B697A" w:rsidRDefault="0034033B" w:rsidP="0034033B">
      <w:pPr>
        <w:rPr>
          <w:rFonts w:cs="Calibri"/>
        </w:rPr>
      </w:pPr>
      <w:r w:rsidRPr="000B697A">
        <w:rPr>
          <w:rFonts w:cs="Calibri"/>
        </w:rPr>
        <w:t>На проведено заседание на Съвета на директорите на Българска фондова борса АД по Протокол № 55 от 11.09.2018 г. бяха взети следните решения:</w:t>
      </w:r>
    </w:p>
    <w:p w:rsidR="0034033B" w:rsidRPr="000B697A" w:rsidRDefault="0034033B" w:rsidP="0034033B">
      <w:pPr>
        <w:pStyle w:val="ListParagraph"/>
        <w:widowControl w:val="0"/>
        <w:numPr>
          <w:ilvl w:val="0"/>
          <w:numId w:val="39"/>
        </w:numPr>
        <w:contextualSpacing/>
        <w:rPr>
          <w:rFonts w:cs="Calibri"/>
        </w:rPr>
      </w:pPr>
      <w:proofErr w:type="spellStart"/>
      <w:r w:rsidRPr="000B697A">
        <w:rPr>
          <w:rFonts w:cs="Calibri"/>
        </w:rPr>
        <w:t>от</w:t>
      </w:r>
      <w:proofErr w:type="spellEnd"/>
      <w:r w:rsidRPr="000B697A">
        <w:rPr>
          <w:rFonts w:cs="Calibri"/>
        </w:rPr>
        <w:t xml:space="preserve"> </w:t>
      </w:r>
      <w:proofErr w:type="spellStart"/>
      <w:r w:rsidRPr="000B697A">
        <w:rPr>
          <w:rFonts w:cs="Calibri"/>
        </w:rPr>
        <w:t>базата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BGBX40 </w:t>
      </w:r>
      <w:proofErr w:type="spellStart"/>
      <w:r w:rsidRPr="000B697A">
        <w:rPr>
          <w:rFonts w:cs="Calibri"/>
        </w:rPr>
        <w:t>бяха</w:t>
      </w:r>
      <w:proofErr w:type="spellEnd"/>
      <w:r w:rsidRPr="000B697A">
        <w:rPr>
          <w:rFonts w:cs="Calibri"/>
        </w:rPr>
        <w:t xml:space="preserve"> </w:t>
      </w:r>
      <w:proofErr w:type="spellStart"/>
      <w:r w:rsidRPr="000B697A">
        <w:rPr>
          <w:rFonts w:cs="Calibri"/>
        </w:rPr>
        <w:t>извадени</w:t>
      </w:r>
      <w:proofErr w:type="spellEnd"/>
      <w:r w:rsidRPr="000B697A">
        <w:rPr>
          <w:rFonts w:cs="Calibri"/>
        </w:rPr>
        <w:t xml:space="preserve"> </w:t>
      </w:r>
      <w:proofErr w:type="spellStart"/>
      <w:r w:rsidRPr="000B697A">
        <w:rPr>
          <w:rFonts w:cs="Calibri"/>
        </w:rPr>
        <w:t>следните</w:t>
      </w:r>
      <w:proofErr w:type="spellEnd"/>
      <w:r w:rsidRPr="000B697A">
        <w:rPr>
          <w:rFonts w:cs="Calibri"/>
        </w:rPr>
        <w:t xml:space="preserve"> </w:t>
      </w:r>
      <w:proofErr w:type="spellStart"/>
      <w:r w:rsidRPr="000B697A">
        <w:rPr>
          <w:rFonts w:cs="Calibri"/>
        </w:rPr>
        <w:t>емисии</w:t>
      </w:r>
      <w:proofErr w:type="spellEnd"/>
      <w:r w:rsidRPr="000B697A">
        <w:rPr>
          <w:rFonts w:cs="Calibri"/>
        </w:rPr>
        <w:t>:</w:t>
      </w:r>
    </w:p>
    <w:p w:rsidR="0034033B" w:rsidRPr="000B697A" w:rsidRDefault="0034033B" w:rsidP="0034033B">
      <w:pPr>
        <w:ind w:left="851"/>
        <w:rPr>
          <w:rFonts w:cs="Calibri"/>
        </w:rPr>
      </w:pPr>
      <w:r w:rsidRPr="000B697A">
        <w:rPr>
          <w:rFonts w:cs="Calibri"/>
        </w:rPr>
        <w:t>3TV Топливо АД - София</w:t>
      </w:r>
    </w:p>
    <w:p w:rsidR="0034033B" w:rsidRPr="000B697A" w:rsidRDefault="0034033B" w:rsidP="0034033B">
      <w:pPr>
        <w:ind w:left="851"/>
        <w:rPr>
          <w:rFonts w:cs="Calibri"/>
        </w:rPr>
      </w:pPr>
      <w:r w:rsidRPr="000B697A">
        <w:rPr>
          <w:rFonts w:cs="Calibri"/>
        </w:rPr>
        <w:t>4O1 Проучване и добив на нефт и газ АД-София</w:t>
      </w:r>
    </w:p>
    <w:p w:rsidR="0034033B" w:rsidRPr="000B697A" w:rsidRDefault="0034033B" w:rsidP="0034033B">
      <w:pPr>
        <w:ind w:left="851"/>
        <w:rPr>
          <w:rFonts w:cs="Calibri"/>
        </w:rPr>
      </w:pPr>
      <w:r w:rsidRPr="000B697A">
        <w:rPr>
          <w:rFonts w:cs="Calibri"/>
        </w:rPr>
        <w:t>57B Булгартабак Холдинг АД - София</w:t>
      </w:r>
    </w:p>
    <w:p w:rsidR="0034033B" w:rsidRPr="000B697A" w:rsidRDefault="0034033B" w:rsidP="0034033B">
      <w:pPr>
        <w:ind w:left="851"/>
        <w:rPr>
          <w:rFonts w:cs="Calibri"/>
        </w:rPr>
      </w:pPr>
      <w:r w:rsidRPr="000B697A">
        <w:rPr>
          <w:rFonts w:cs="Calibri"/>
        </w:rPr>
        <w:t>5AX Актив Пропъртис АДСИЦ - Пловдив</w:t>
      </w:r>
    </w:p>
    <w:p w:rsidR="0034033B" w:rsidRPr="000B697A" w:rsidRDefault="0034033B" w:rsidP="0034033B">
      <w:pPr>
        <w:ind w:left="851"/>
        <w:rPr>
          <w:rFonts w:cs="Calibri"/>
        </w:rPr>
      </w:pPr>
      <w:r w:rsidRPr="000B697A">
        <w:rPr>
          <w:rFonts w:cs="Calibri"/>
        </w:rPr>
        <w:t xml:space="preserve">6S4 </w:t>
      </w:r>
      <w:proofErr w:type="spellStart"/>
      <w:r w:rsidRPr="000B697A">
        <w:rPr>
          <w:rFonts w:cs="Calibri"/>
        </w:rPr>
        <w:t>Северкооп</w:t>
      </w:r>
      <w:proofErr w:type="spellEnd"/>
      <w:r w:rsidRPr="000B697A">
        <w:rPr>
          <w:rFonts w:cs="Calibri"/>
        </w:rPr>
        <w:t xml:space="preserve"> Гъмза Холдинг АД-София</w:t>
      </w:r>
    </w:p>
    <w:p w:rsidR="0034033B" w:rsidRPr="000B697A" w:rsidRDefault="0034033B" w:rsidP="0034033B">
      <w:pPr>
        <w:ind w:left="706"/>
        <w:rPr>
          <w:rFonts w:cs="Calibri"/>
        </w:rPr>
      </w:pPr>
      <w:r w:rsidRPr="000B697A">
        <w:rPr>
          <w:rFonts w:cs="Calibri"/>
        </w:rPr>
        <w:t>и на тяхно място бяха добавени следните:</w:t>
      </w:r>
    </w:p>
    <w:p w:rsidR="0034033B" w:rsidRPr="000B697A" w:rsidRDefault="0034033B" w:rsidP="0034033B">
      <w:pPr>
        <w:ind w:left="851"/>
        <w:rPr>
          <w:rFonts w:cs="Calibri"/>
        </w:rPr>
      </w:pPr>
      <w:r w:rsidRPr="000B697A">
        <w:rPr>
          <w:rFonts w:cs="Calibri"/>
        </w:rPr>
        <w:lastRenderedPageBreak/>
        <w:t>6SOA София Комерс-Заложни къщи АД-София</w:t>
      </w:r>
    </w:p>
    <w:p w:rsidR="0034033B" w:rsidRPr="000B697A" w:rsidRDefault="0034033B" w:rsidP="0034033B">
      <w:pPr>
        <w:ind w:left="851"/>
        <w:rPr>
          <w:rFonts w:cs="Calibri"/>
        </w:rPr>
      </w:pPr>
      <w:r w:rsidRPr="000B697A">
        <w:rPr>
          <w:rFonts w:cs="Calibri"/>
        </w:rPr>
        <w:t>5BR Параходство Българско речно плаване АД-Русе</w:t>
      </w:r>
    </w:p>
    <w:p w:rsidR="0034033B" w:rsidRPr="000B697A" w:rsidRDefault="0034033B" w:rsidP="0034033B">
      <w:pPr>
        <w:ind w:left="851"/>
        <w:rPr>
          <w:rFonts w:cs="Calibri"/>
        </w:rPr>
      </w:pPr>
      <w:r w:rsidRPr="000B697A">
        <w:rPr>
          <w:rFonts w:cs="Calibri"/>
        </w:rPr>
        <w:t xml:space="preserve">52E </w:t>
      </w:r>
      <w:proofErr w:type="spellStart"/>
      <w:r w:rsidRPr="000B697A">
        <w:rPr>
          <w:rFonts w:cs="Calibri"/>
        </w:rPr>
        <w:t>Елхим</w:t>
      </w:r>
      <w:proofErr w:type="spellEnd"/>
      <w:r w:rsidRPr="000B697A">
        <w:rPr>
          <w:rFonts w:cs="Calibri"/>
        </w:rPr>
        <w:t xml:space="preserve"> Искра АД-Пазарджик</w:t>
      </w:r>
    </w:p>
    <w:p w:rsidR="0034033B" w:rsidRPr="000B697A" w:rsidRDefault="0034033B" w:rsidP="0034033B">
      <w:pPr>
        <w:ind w:left="851"/>
        <w:rPr>
          <w:rFonts w:cs="Calibri"/>
        </w:rPr>
      </w:pPr>
      <w:r w:rsidRPr="000B697A">
        <w:rPr>
          <w:rFonts w:cs="Calibri"/>
        </w:rPr>
        <w:t xml:space="preserve">4L4 </w:t>
      </w:r>
      <w:proofErr w:type="spellStart"/>
      <w:r w:rsidRPr="000B697A">
        <w:rPr>
          <w:rFonts w:cs="Calibri"/>
        </w:rPr>
        <w:t>Лавена</w:t>
      </w:r>
      <w:proofErr w:type="spellEnd"/>
      <w:r w:rsidRPr="000B697A">
        <w:rPr>
          <w:rFonts w:cs="Calibri"/>
        </w:rPr>
        <w:t xml:space="preserve"> АД-Шумен</w:t>
      </w:r>
    </w:p>
    <w:p w:rsidR="0034033B" w:rsidRPr="000B697A" w:rsidRDefault="0034033B" w:rsidP="0034033B">
      <w:pPr>
        <w:ind w:left="851"/>
        <w:rPr>
          <w:rFonts w:cs="Calibri"/>
        </w:rPr>
      </w:pPr>
      <w:r w:rsidRPr="000B697A">
        <w:rPr>
          <w:rFonts w:cs="Calibri"/>
        </w:rPr>
        <w:t xml:space="preserve">7TH </w:t>
      </w:r>
      <w:proofErr w:type="spellStart"/>
      <w:r w:rsidRPr="000B697A">
        <w:rPr>
          <w:rFonts w:cs="Calibri"/>
        </w:rPr>
        <w:t>Чайкафарма</w:t>
      </w:r>
      <w:proofErr w:type="spellEnd"/>
      <w:r w:rsidRPr="000B697A">
        <w:rPr>
          <w:rFonts w:cs="Calibri"/>
        </w:rPr>
        <w:t xml:space="preserve"> Висококачествените лекарства АД-София</w:t>
      </w:r>
    </w:p>
    <w:p w:rsidR="0034033B" w:rsidRPr="000B697A" w:rsidRDefault="0034033B" w:rsidP="0034033B">
      <w:pPr>
        <w:pStyle w:val="ListParagraph"/>
        <w:widowControl w:val="0"/>
        <w:numPr>
          <w:ilvl w:val="0"/>
          <w:numId w:val="39"/>
        </w:numPr>
        <w:spacing w:before="240"/>
        <w:contextualSpacing/>
        <w:rPr>
          <w:rFonts w:cs="Calibri"/>
        </w:rPr>
      </w:pPr>
      <w:proofErr w:type="spellStart"/>
      <w:r w:rsidRPr="000B697A">
        <w:rPr>
          <w:rFonts w:cs="Calibri"/>
        </w:rPr>
        <w:t>От</w:t>
      </w:r>
      <w:proofErr w:type="spellEnd"/>
      <w:r w:rsidRPr="000B697A">
        <w:rPr>
          <w:rFonts w:cs="Calibri"/>
        </w:rPr>
        <w:t xml:space="preserve"> </w:t>
      </w:r>
      <w:proofErr w:type="spellStart"/>
      <w:r w:rsidRPr="000B697A">
        <w:rPr>
          <w:rFonts w:cs="Calibri"/>
        </w:rPr>
        <w:t>базата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индекса</w:t>
      </w:r>
      <w:proofErr w:type="spellEnd"/>
      <w:r w:rsidRPr="000B697A">
        <w:rPr>
          <w:rFonts w:cs="Calibri"/>
        </w:rPr>
        <w:t xml:space="preserve"> BGTR30 </w:t>
      </w:r>
      <w:proofErr w:type="spellStart"/>
      <w:r w:rsidRPr="000B697A">
        <w:rPr>
          <w:rFonts w:cs="Calibri"/>
        </w:rPr>
        <w:t>бяха</w:t>
      </w:r>
      <w:proofErr w:type="spellEnd"/>
      <w:r w:rsidRPr="000B697A">
        <w:rPr>
          <w:rFonts w:cs="Calibri"/>
        </w:rPr>
        <w:t xml:space="preserve"> </w:t>
      </w:r>
      <w:proofErr w:type="spellStart"/>
      <w:r w:rsidRPr="000B697A">
        <w:rPr>
          <w:rFonts w:cs="Calibri"/>
        </w:rPr>
        <w:t>извадени</w:t>
      </w:r>
      <w:proofErr w:type="spellEnd"/>
      <w:r w:rsidRPr="000B697A">
        <w:rPr>
          <w:rFonts w:cs="Calibri"/>
        </w:rPr>
        <w:t xml:space="preserve"> </w:t>
      </w:r>
      <w:proofErr w:type="spellStart"/>
      <w:r w:rsidRPr="000B697A">
        <w:rPr>
          <w:rFonts w:cs="Calibri"/>
        </w:rPr>
        <w:t>следните</w:t>
      </w:r>
      <w:proofErr w:type="spellEnd"/>
      <w:r w:rsidRPr="000B697A">
        <w:rPr>
          <w:rFonts w:cs="Calibri"/>
        </w:rPr>
        <w:t xml:space="preserve"> </w:t>
      </w:r>
      <w:proofErr w:type="spellStart"/>
      <w:r w:rsidRPr="000B697A">
        <w:rPr>
          <w:rFonts w:cs="Calibri"/>
        </w:rPr>
        <w:t>емисии</w:t>
      </w:r>
      <w:proofErr w:type="spellEnd"/>
      <w:r w:rsidRPr="000B697A">
        <w:rPr>
          <w:rFonts w:cs="Calibri"/>
        </w:rPr>
        <w:t>:</w:t>
      </w:r>
    </w:p>
    <w:p w:rsidR="0034033B" w:rsidRPr="000B697A" w:rsidRDefault="0034033B" w:rsidP="0034033B">
      <w:pPr>
        <w:ind w:left="851"/>
        <w:rPr>
          <w:rFonts w:cs="Calibri"/>
        </w:rPr>
      </w:pPr>
      <w:r w:rsidRPr="000B697A">
        <w:rPr>
          <w:rFonts w:cs="Calibri"/>
        </w:rPr>
        <w:t xml:space="preserve">1VX </w:t>
      </w:r>
      <w:proofErr w:type="spellStart"/>
      <w:r w:rsidRPr="000B697A">
        <w:rPr>
          <w:rFonts w:cs="Calibri"/>
        </w:rPr>
        <w:t>Велграф</w:t>
      </w:r>
      <w:proofErr w:type="spellEnd"/>
      <w:r w:rsidRPr="000B697A">
        <w:rPr>
          <w:rFonts w:cs="Calibri"/>
        </w:rPr>
        <w:t xml:space="preserve"> Асет Мениджмънт АД-София</w:t>
      </w:r>
    </w:p>
    <w:p w:rsidR="0034033B" w:rsidRPr="000B697A" w:rsidRDefault="0034033B" w:rsidP="0034033B">
      <w:pPr>
        <w:ind w:left="851"/>
        <w:rPr>
          <w:rFonts w:cs="Calibri"/>
        </w:rPr>
      </w:pPr>
      <w:r w:rsidRPr="000B697A">
        <w:rPr>
          <w:rFonts w:cs="Calibri"/>
        </w:rPr>
        <w:t xml:space="preserve">58E </w:t>
      </w:r>
      <w:proofErr w:type="spellStart"/>
      <w:r w:rsidRPr="000B697A">
        <w:rPr>
          <w:rFonts w:cs="Calibri"/>
        </w:rPr>
        <w:t>Химснаб</w:t>
      </w:r>
      <w:proofErr w:type="spellEnd"/>
      <w:r w:rsidRPr="000B697A">
        <w:rPr>
          <w:rFonts w:cs="Calibri"/>
        </w:rPr>
        <w:t xml:space="preserve"> България АД-София</w:t>
      </w:r>
    </w:p>
    <w:p w:rsidR="0034033B" w:rsidRPr="000B697A" w:rsidRDefault="0034033B" w:rsidP="0034033B">
      <w:pPr>
        <w:ind w:left="851"/>
        <w:rPr>
          <w:rFonts w:cs="Calibri"/>
        </w:rPr>
      </w:pPr>
      <w:r w:rsidRPr="000B697A">
        <w:rPr>
          <w:rFonts w:cs="Calibri"/>
        </w:rPr>
        <w:t>5H4 Болкан енд Сий Пропъртис АДСИЦ-Варна</w:t>
      </w:r>
    </w:p>
    <w:p w:rsidR="0034033B" w:rsidRPr="000B697A" w:rsidRDefault="0034033B" w:rsidP="0034033B">
      <w:pPr>
        <w:ind w:left="851"/>
        <w:rPr>
          <w:rFonts w:cs="Calibri"/>
        </w:rPr>
      </w:pPr>
      <w:r w:rsidRPr="000B697A">
        <w:rPr>
          <w:rFonts w:cs="Calibri"/>
        </w:rPr>
        <w:t>GTH Инвестиционна Компания Галата АД-Варна</w:t>
      </w:r>
    </w:p>
    <w:p w:rsidR="0034033B" w:rsidRPr="000B697A" w:rsidRDefault="0034033B" w:rsidP="0034033B">
      <w:pPr>
        <w:ind w:left="706"/>
        <w:rPr>
          <w:rFonts w:cs="Calibri"/>
        </w:rPr>
      </w:pPr>
      <w:r w:rsidRPr="000B697A">
        <w:rPr>
          <w:rFonts w:cs="Calibri"/>
        </w:rPr>
        <w:t>и на тяхно място бяха добавени следните:</w:t>
      </w:r>
    </w:p>
    <w:p w:rsidR="0034033B" w:rsidRPr="000B697A" w:rsidRDefault="0034033B" w:rsidP="0034033B">
      <w:pPr>
        <w:ind w:left="851"/>
        <w:rPr>
          <w:rFonts w:cs="Calibri"/>
        </w:rPr>
      </w:pPr>
      <w:r w:rsidRPr="000B697A">
        <w:rPr>
          <w:rFonts w:cs="Calibri"/>
        </w:rPr>
        <w:t>3NJ Св. Св. Константин и Елена Холдинг АД-Варна</w:t>
      </w:r>
    </w:p>
    <w:p w:rsidR="0034033B" w:rsidRPr="000B697A" w:rsidRDefault="0034033B" w:rsidP="0034033B">
      <w:pPr>
        <w:ind w:left="851"/>
        <w:rPr>
          <w:rFonts w:cs="Calibri"/>
        </w:rPr>
      </w:pPr>
      <w:r w:rsidRPr="000B697A">
        <w:rPr>
          <w:rFonts w:cs="Calibri"/>
        </w:rPr>
        <w:t>EHN Синтетика АД-София</w:t>
      </w:r>
    </w:p>
    <w:p w:rsidR="0034033B" w:rsidRPr="000B697A" w:rsidRDefault="0034033B" w:rsidP="0034033B">
      <w:pPr>
        <w:ind w:left="851"/>
        <w:rPr>
          <w:rFonts w:cs="Calibri"/>
        </w:rPr>
      </w:pPr>
      <w:r w:rsidRPr="000B697A">
        <w:rPr>
          <w:rFonts w:cs="Calibri"/>
        </w:rPr>
        <w:t>4HE Хидравлични елементи и системи АД-Ямбол</w:t>
      </w:r>
    </w:p>
    <w:p w:rsidR="0034033B" w:rsidRPr="000B697A" w:rsidRDefault="0034033B" w:rsidP="0034033B">
      <w:pPr>
        <w:ind w:left="851"/>
        <w:rPr>
          <w:rFonts w:cs="Calibri"/>
        </w:rPr>
      </w:pPr>
      <w:r w:rsidRPr="000B697A">
        <w:rPr>
          <w:rFonts w:cs="Calibri"/>
        </w:rPr>
        <w:t>A72 Агрия Груп Холдинг АД-Варна</w:t>
      </w:r>
    </w:p>
    <w:p w:rsidR="0034033B" w:rsidRPr="000B697A" w:rsidRDefault="0034033B" w:rsidP="0034033B">
      <w:pPr>
        <w:pStyle w:val="ListParagraph"/>
        <w:widowControl w:val="0"/>
        <w:numPr>
          <w:ilvl w:val="0"/>
          <w:numId w:val="39"/>
        </w:numPr>
        <w:spacing w:before="240"/>
        <w:contextualSpacing/>
        <w:rPr>
          <w:rFonts w:cs="Calibri"/>
        </w:rPr>
      </w:pPr>
      <w:proofErr w:type="spellStart"/>
      <w:r w:rsidRPr="000B697A">
        <w:rPr>
          <w:rFonts w:cs="Calibri"/>
        </w:rPr>
        <w:t>От</w:t>
      </w:r>
      <w:proofErr w:type="spellEnd"/>
      <w:r w:rsidRPr="000B697A">
        <w:rPr>
          <w:rFonts w:cs="Calibri"/>
        </w:rPr>
        <w:t xml:space="preserve"> </w:t>
      </w:r>
      <w:proofErr w:type="spellStart"/>
      <w:r w:rsidRPr="000B697A">
        <w:rPr>
          <w:rFonts w:cs="Calibri"/>
        </w:rPr>
        <w:t>базата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индекса</w:t>
      </w:r>
      <w:proofErr w:type="spellEnd"/>
      <w:r w:rsidRPr="000B697A">
        <w:rPr>
          <w:rFonts w:cs="Calibri"/>
        </w:rPr>
        <w:t xml:space="preserve"> SOFIX </w:t>
      </w:r>
      <w:proofErr w:type="spellStart"/>
      <w:r w:rsidRPr="000B697A">
        <w:rPr>
          <w:rFonts w:cs="Calibri"/>
        </w:rPr>
        <w:t>се</w:t>
      </w:r>
      <w:proofErr w:type="spellEnd"/>
      <w:r w:rsidRPr="000B697A">
        <w:rPr>
          <w:rFonts w:cs="Calibri"/>
        </w:rPr>
        <w:t xml:space="preserve"> </w:t>
      </w:r>
      <w:proofErr w:type="spellStart"/>
      <w:r w:rsidRPr="000B697A">
        <w:rPr>
          <w:rFonts w:cs="Calibri"/>
        </w:rPr>
        <w:t>изключват</w:t>
      </w:r>
      <w:proofErr w:type="spellEnd"/>
      <w:r w:rsidRPr="000B697A">
        <w:rPr>
          <w:rFonts w:cs="Calibri"/>
        </w:rPr>
        <w:t xml:space="preserve"> </w:t>
      </w:r>
      <w:proofErr w:type="spellStart"/>
      <w:r w:rsidRPr="000B697A">
        <w:rPr>
          <w:rFonts w:cs="Calibri"/>
        </w:rPr>
        <w:t>следните</w:t>
      </w:r>
      <w:proofErr w:type="spellEnd"/>
      <w:r w:rsidRPr="000B697A">
        <w:rPr>
          <w:rFonts w:cs="Calibri"/>
        </w:rPr>
        <w:t xml:space="preserve"> </w:t>
      </w:r>
      <w:proofErr w:type="spellStart"/>
      <w:r w:rsidRPr="000B697A">
        <w:rPr>
          <w:rFonts w:cs="Calibri"/>
        </w:rPr>
        <w:t>емисии</w:t>
      </w:r>
      <w:proofErr w:type="spellEnd"/>
      <w:r w:rsidRPr="000B697A">
        <w:rPr>
          <w:rFonts w:cs="Calibri"/>
        </w:rPr>
        <w:t>:</w:t>
      </w:r>
    </w:p>
    <w:p w:rsidR="0034033B" w:rsidRPr="000B697A" w:rsidRDefault="0034033B" w:rsidP="0034033B">
      <w:pPr>
        <w:ind w:left="851"/>
        <w:rPr>
          <w:rFonts w:cs="Calibri"/>
        </w:rPr>
      </w:pPr>
      <w:r w:rsidRPr="000B697A">
        <w:rPr>
          <w:rFonts w:cs="Calibri"/>
        </w:rPr>
        <w:t>4ID Индустриален Холдинг България АД-София</w:t>
      </w:r>
    </w:p>
    <w:p w:rsidR="0034033B" w:rsidRPr="000B697A" w:rsidRDefault="0034033B" w:rsidP="0034033B">
      <w:pPr>
        <w:ind w:left="851"/>
        <w:rPr>
          <w:rFonts w:cs="Calibri"/>
        </w:rPr>
      </w:pPr>
      <w:r w:rsidRPr="000B697A">
        <w:rPr>
          <w:rFonts w:cs="Calibri"/>
        </w:rPr>
        <w:t>5DOV Доверие Обединен Холдинг АД-София</w:t>
      </w:r>
    </w:p>
    <w:p w:rsidR="0034033B" w:rsidRPr="000B697A" w:rsidRDefault="0034033B" w:rsidP="0034033B">
      <w:pPr>
        <w:ind w:left="706"/>
        <w:rPr>
          <w:rFonts w:cs="Calibri"/>
        </w:rPr>
      </w:pPr>
      <w:r w:rsidRPr="000B697A">
        <w:rPr>
          <w:rFonts w:cs="Calibri"/>
        </w:rPr>
        <w:t>и на тяхно място се добавят следните:</w:t>
      </w:r>
    </w:p>
    <w:p w:rsidR="0034033B" w:rsidRPr="000B697A" w:rsidRDefault="0034033B" w:rsidP="0034033B">
      <w:pPr>
        <w:ind w:left="851"/>
        <w:rPr>
          <w:rFonts w:cs="Calibri"/>
        </w:rPr>
      </w:pPr>
      <w:r w:rsidRPr="000B697A">
        <w:rPr>
          <w:rFonts w:cs="Calibri"/>
        </w:rPr>
        <w:t xml:space="preserve">5MH М+С </w:t>
      </w:r>
      <w:proofErr w:type="spellStart"/>
      <w:r w:rsidRPr="000B697A">
        <w:rPr>
          <w:rFonts w:cs="Calibri"/>
        </w:rPr>
        <w:t>хидравлик</w:t>
      </w:r>
      <w:proofErr w:type="spellEnd"/>
      <w:r w:rsidRPr="000B697A">
        <w:rPr>
          <w:rFonts w:cs="Calibri"/>
        </w:rPr>
        <w:t xml:space="preserve"> АД-Казанлък</w:t>
      </w:r>
    </w:p>
    <w:p w:rsidR="0034033B" w:rsidRPr="000B697A" w:rsidRDefault="0034033B" w:rsidP="0034033B">
      <w:pPr>
        <w:ind w:left="851"/>
        <w:rPr>
          <w:rFonts w:cs="Calibri"/>
        </w:rPr>
      </w:pPr>
      <w:r w:rsidRPr="000B697A">
        <w:rPr>
          <w:rFonts w:cs="Calibri"/>
        </w:rPr>
        <w:t>0EA Елана Агрокредит АД-София</w:t>
      </w:r>
    </w:p>
    <w:p w:rsidR="0034033B" w:rsidRPr="000B697A" w:rsidRDefault="0034033B" w:rsidP="0034033B">
      <w:pPr>
        <w:rPr>
          <w:rFonts w:cs="Calibri"/>
        </w:rPr>
      </w:pPr>
      <w:r w:rsidRPr="000B697A">
        <w:rPr>
          <w:rFonts w:cs="Calibri"/>
        </w:rPr>
        <w:t>Решенията за промяна в базата на индексите влязоха в сила, считано от 25.09.2018г.</w:t>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63" w:name="_Ref528415380"/>
      <w:bookmarkStart w:id="64" w:name="_Toc528419788"/>
      <w:r w:rsidRPr="000B697A">
        <w:rPr>
          <w:rFonts w:cs="Calibri"/>
        </w:rPr>
        <w:t>Прекратяване на членство</w:t>
      </w:r>
      <w:bookmarkEnd w:id="63"/>
      <w:bookmarkEnd w:id="64"/>
    </w:p>
    <w:p w:rsidR="0034033B" w:rsidRPr="000B697A" w:rsidRDefault="0034033B" w:rsidP="0034033B">
      <w:pPr>
        <w:rPr>
          <w:rFonts w:cs="Calibri"/>
        </w:rPr>
      </w:pPr>
      <w:r w:rsidRPr="000B697A">
        <w:rPr>
          <w:rFonts w:cs="Calibri"/>
        </w:rPr>
        <w:t>На проведено заседание на Съвета на директорите на Българска фондова борса АД по Протокол № 45/10.07.2018 г. бе взето решение, на основание чл. 24, ал. 1, т. 2 от Част II Правила за членство от Правилника за дейността на Борсата, да бъде прекратено членството на ИП Бета Корп АД, считано от 11.07.2018 г.</w:t>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65" w:name="_Toc536282641"/>
      <w:r w:rsidRPr="000B697A">
        <w:rPr>
          <w:rFonts w:cs="Calibri"/>
        </w:rPr>
        <w:t>Стартира приемът на документи по ваучерната схема за подпомагане на МСП</w:t>
      </w:r>
      <w:bookmarkEnd w:id="65"/>
    </w:p>
    <w:p w:rsidR="0034033B" w:rsidRPr="000B697A" w:rsidRDefault="0034033B" w:rsidP="0034033B">
      <w:pPr>
        <w:rPr>
          <w:rFonts w:cs="Calibri"/>
        </w:rPr>
      </w:pPr>
      <w:r w:rsidRPr="000B697A">
        <w:rPr>
          <w:rFonts w:cs="Calibri"/>
        </w:rPr>
        <w:t>На 15 октомври 2018 стартира приемът на проектни предложения по ваучерната схема за подпомагане на малки и средни компании за листването им на БФБ. Повече информация е налична на сайта на Изпълнителна агенция за насърчаване на малките и средни предприятия.</w:t>
      </w:r>
    </w:p>
    <w:p w:rsidR="0034033B" w:rsidRPr="000B697A" w:rsidRDefault="0034033B">
      <w:pPr>
        <w:spacing w:line="240" w:lineRule="auto"/>
        <w:jc w:val="left"/>
        <w:rPr>
          <w:rFonts w:cs="Calibri"/>
        </w:rPr>
      </w:pPr>
      <w:r w:rsidRPr="000B697A">
        <w:rPr>
          <w:rFonts w:cs="Calibri"/>
        </w:rPr>
        <w:br w:type="page"/>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66" w:name="_Toc536282643"/>
      <w:r w:rsidRPr="000B697A">
        <w:rPr>
          <w:rFonts w:cs="Calibri"/>
        </w:rPr>
        <w:lastRenderedPageBreak/>
        <w:t>БФБ получи лиценз от КФН за оператор на Одобрен механизъм за публикуване</w:t>
      </w:r>
      <w:bookmarkEnd w:id="66"/>
    </w:p>
    <w:p w:rsidR="0034033B" w:rsidRPr="000B697A" w:rsidRDefault="0034033B" w:rsidP="0034033B">
      <w:pPr>
        <w:rPr>
          <w:rFonts w:cs="Calibri"/>
        </w:rPr>
      </w:pPr>
      <w:r w:rsidRPr="000B697A">
        <w:rPr>
          <w:rFonts w:cs="Calibri"/>
        </w:rPr>
        <w:t>Българска фондова борса ще публикува информация и за сделки извън регулиран пазар от името на инвестиционни посредници. Това стана възможно след решение на Комисия за финансов надзор (КФН), с което лицензира Борсата за оператор на механизъм за публикуване по чл. 205, ал. 2 от Закона за пазарите на финансови инструменти съгласно Регламент (ЕС) 600/2014.</w:t>
      </w:r>
    </w:p>
    <w:p w:rsidR="0034033B" w:rsidRPr="000B697A" w:rsidRDefault="0034033B" w:rsidP="0034033B">
      <w:pPr>
        <w:rPr>
          <w:rFonts w:cs="Calibri"/>
        </w:rPr>
      </w:pPr>
      <w:r w:rsidRPr="000B697A">
        <w:rPr>
          <w:rFonts w:cs="Calibri"/>
        </w:rPr>
        <w:t>Така БФБ става една от седемнайсетте компании, по данни на Европейския орган за ценни книжа и пазари ESMA, които са оторизирани да оповестяват доклади за търговия в Европейския съюз</w:t>
      </w:r>
    </w:p>
    <w:p w:rsidR="0034033B" w:rsidRPr="000B697A" w:rsidRDefault="0034033B" w:rsidP="0034033B">
      <w:pPr>
        <w:rPr>
          <w:rFonts w:cs="Calibri"/>
        </w:rPr>
      </w:pPr>
      <w:r w:rsidRPr="000B697A">
        <w:rPr>
          <w:rFonts w:cs="Calibri"/>
        </w:rPr>
        <w:t>На практика БФБ предоставя услугата от средата на ноември, когато стартира и новият интернет сайт на институцията.</w:t>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67" w:name="_Toc536282644"/>
      <w:r w:rsidRPr="000B697A">
        <w:rPr>
          <w:rFonts w:cs="Calibri"/>
        </w:rPr>
        <w:t>БФБ обяви конкурс за две стипендии за първо ниво на CFA</w:t>
      </w:r>
      <w:bookmarkEnd w:id="67"/>
    </w:p>
    <w:p w:rsidR="0034033B" w:rsidRPr="000B697A" w:rsidRDefault="0034033B" w:rsidP="0034033B">
      <w:pPr>
        <w:rPr>
          <w:rFonts w:cs="Calibri"/>
        </w:rPr>
      </w:pPr>
      <w:r w:rsidRPr="000B697A">
        <w:rPr>
          <w:rFonts w:cs="Calibri"/>
        </w:rPr>
        <w:t xml:space="preserve">Българска фондова борса обяви ежегодния си конкурс за две стипендии за подпомагане явяването на изпит за първо ниво на професионалната акредитация </w:t>
      </w:r>
      <w:proofErr w:type="spellStart"/>
      <w:r w:rsidRPr="000B697A">
        <w:rPr>
          <w:rFonts w:cs="Calibri"/>
        </w:rPr>
        <w:t>Chartered</w:t>
      </w:r>
      <w:proofErr w:type="spellEnd"/>
      <w:r w:rsidRPr="000B697A">
        <w:rPr>
          <w:rFonts w:cs="Calibri"/>
        </w:rPr>
        <w:t xml:space="preserve"> </w:t>
      </w:r>
      <w:proofErr w:type="spellStart"/>
      <w:r w:rsidRPr="000B697A">
        <w:rPr>
          <w:rFonts w:cs="Calibri"/>
        </w:rPr>
        <w:t>Financial</w:t>
      </w:r>
      <w:proofErr w:type="spellEnd"/>
      <w:r w:rsidRPr="000B697A">
        <w:rPr>
          <w:rFonts w:cs="Calibri"/>
        </w:rPr>
        <w:t xml:space="preserve"> </w:t>
      </w:r>
      <w:proofErr w:type="spellStart"/>
      <w:r w:rsidRPr="000B697A">
        <w:rPr>
          <w:rFonts w:cs="Calibri"/>
        </w:rPr>
        <w:t>Analyst</w:t>
      </w:r>
      <w:proofErr w:type="spellEnd"/>
      <w:r w:rsidRPr="000B697A">
        <w:rPr>
          <w:rFonts w:cs="Calibri"/>
        </w:rPr>
        <w:t xml:space="preserve"> (CFA). Отпускането на стипендиите е част от инициативите на БФБ за по-добро финансово образование в България и се провежда за пета поредна година.</w:t>
      </w:r>
    </w:p>
    <w:p w:rsidR="0034033B" w:rsidRPr="000B697A" w:rsidRDefault="0034033B" w:rsidP="0034033B">
      <w:pPr>
        <w:rPr>
          <w:rFonts w:cs="Calibri"/>
        </w:rPr>
      </w:pPr>
      <w:r w:rsidRPr="000B697A">
        <w:rPr>
          <w:rFonts w:cs="Calibri"/>
        </w:rPr>
        <w:t xml:space="preserve">Стипендиите покриват стандартната такса за регистрация и ще бъдат предоставени на кандидати, които се явяват на изпита за първи път. За да бъдат допуснати до конкурса, кандидатите трябва да имат завършена или да са последна година бакалавърска степен, или да имат четиригодишен професионален опит. Конкурсът е отворен и за кандидати, които отговарят на условията и като комбинация от образование и професионален опит, който е натрупан в последните четири години. </w:t>
      </w:r>
      <w:bookmarkStart w:id="68" w:name="_Toc536282645"/>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r w:rsidRPr="000B697A">
        <w:rPr>
          <w:rFonts w:cs="Calibri"/>
        </w:rPr>
        <w:t>Работна среща-дискусия на тема „БФБ - източник на бизнес растеж“</w:t>
      </w:r>
      <w:bookmarkEnd w:id="68"/>
    </w:p>
    <w:p w:rsidR="0034033B" w:rsidRPr="000B697A" w:rsidRDefault="0034033B" w:rsidP="0034033B">
      <w:pPr>
        <w:rPr>
          <w:rFonts w:cs="Calibri"/>
        </w:rPr>
      </w:pPr>
      <w:r w:rsidRPr="000B697A">
        <w:rPr>
          <w:rFonts w:cs="Calibri"/>
        </w:rPr>
        <w:t xml:space="preserve">Представители на над 20 динамично развиващи се български компании, заедно с инвестиционни посредници, пенсионни и управляващи дружества, фондове за рисков и дялов капитал, банки и адвокатски кантори участваха в работна среща-дискусия „Българска фондова борса - източник на бизнес растеж“. Срещата беше организирана от БФБ с активното участие на технологичния </w:t>
      </w:r>
      <w:proofErr w:type="spellStart"/>
      <w:r w:rsidRPr="000B697A">
        <w:rPr>
          <w:rFonts w:cs="Calibri"/>
        </w:rPr>
        <w:t>стартап</w:t>
      </w:r>
      <w:proofErr w:type="spellEnd"/>
      <w:r w:rsidRPr="000B697A">
        <w:rPr>
          <w:rFonts w:cs="Calibri"/>
        </w:rPr>
        <w:t xml:space="preserve"> BIODIT и на един от водещите инвестиционни посредници – компанията Карол. Целта на форума беше да представи възможностите, които капиталовия пазар и БФБ дават като алтернативен източник на финансиране за растежа и развитието на амбициозни и </w:t>
      </w:r>
      <w:proofErr w:type="spellStart"/>
      <w:r w:rsidRPr="000B697A">
        <w:rPr>
          <w:rFonts w:cs="Calibri"/>
        </w:rPr>
        <w:t>иновиращи</w:t>
      </w:r>
      <w:proofErr w:type="spellEnd"/>
      <w:r w:rsidRPr="000B697A">
        <w:rPr>
          <w:rFonts w:cs="Calibri"/>
        </w:rPr>
        <w:t xml:space="preserve"> фирми в страната ни. Сред акцентите в представянето на БФБ бяха: благоприятната данъчна политика и най-вече 0% данък върху капиталовата печалба, както и ниската ставка от 5% данък върху </w:t>
      </w:r>
      <w:proofErr w:type="spellStart"/>
      <w:r w:rsidRPr="000B697A">
        <w:rPr>
          <w:rFonts w:cs="Calibri"/>
        </w:rPr>
        <w:t>дивидентa</w:t>
      </w:r>
      <w:proofErr w:type="spellEnd"/>
      <w:r w:rsidRPr="000B697A">
        <w:rPr>
          <w:rFonts w:cs="Calibri"/>
        </w:rPr>
        <w:t xml:space="preserve"> при източника; ваучерната програма за подкрепа на МСП за листването им на фондовата борса и предстоящия старт на пазара за растеж на БФБ, който дава възможност за набирането на капитал до 1 млн. евро без проспект.</w:t>
      </w:r>
    </w:p>
    <w:p w:rsidR="0034033B" w:rsidRPr="000B697A" w:rsidRDefault="0034033B" w:rsidP="0034033B">
      <w:pPr>
        <w:rPr>
          <w:rFonts w:cs="Calibri"/>
        </w:rPr>
      </w:pPr>
      <w:r w:rsidRPr="000B697A">
        <w:rPr>
          <w:rFonts w:cs="Calibri"/>
        </w:rPr>
        <w:lastRenderedPageBreak/>
        <w:t>Основните моменти, които се откроиха в дебата бяха недостатъчното знание у компаниите за възможностите, които капиталовия пазар предоставя; необходимостта от изграждането на експертен капацитет във фирмите, който да адресира наличните възможности за набиране на капитал чрез БФБ; съществуващите предразсъдъци относно евентуален публичен статут на една компания и особено свързаните с това административни ангажименти.</w:t>
      </w:r>
    </w:p>
    <w:p w:rsidR="0034033B" w:rsidRPr="000B697A" w:rsidRDefault="0034033B" w:rsidP="0034033B">
      <w:pPr>
        <w:rPr>
          <w:rFonts w:cs="Calibri"/>
        </w:rPr>
      </w:pPr>
      <w:r w:rsidRPr="000B697A">
        <w:rPr>
          <w:rFonts w:cs="Calibri"/>
        </w:rPr>
        <w:t xml:space="preserve">Сред компаниите, които се включиха, имаше представители на различни сектори на икономиката като: </w:t>
      </w:r>
      <w:proofErr w:type="spellStart"/>
      <w:r w:rsidRPr="000B697A">
        <w:rPr>
          <w:rFonts w:cs="Calibri"/>
        </w:rPr>
        <w:t>Solid</w:t>
      </w:r>
      <w:proofErr w:type="spellEnd"/>
      <w:r w:rsidRPr="000B697A">
        <w:rPr>
          <w:rFonts w:cs="Calibri"/>
        </w:rPr>
        <w:t xml:space="preserve"> 55, </w:t>
      </w:r>
      <w:proofErr w:type="spellStart"/>
      <w:r w:rsidRPr="000B697A">
        <w:rPr>
          <w:rFonts w:cs="Calibri"/>
        </w:rPr>
        <w:t>Secdoor</w:t>
      </w:r>
      <w:proofErr w:type="spellEnd"/>
      <w:r w:rsidRPr="000B697A">
        <w:rPr>
          <w:rFonts w:cs="Calibri"/>
        </w:rPr>
        <w:t xml:space="preserve">, </w:t>
      </w:r>
      <w:proofErr w:type="spellStart"/>
      <w:r w:rsidRPr="000B697A">
        <w:rPr>
          <w:rFonts w:cs="Calibri"/>
        </w:rPr>
        <w:t>Domestina</w:t>
      </w:r>
      <w:proofErr w:type="spellEnd"/>
      <w:r w:rsidRPr="000B697A">
        <w:rPr>
          <w:rFonts w:cs="Calibri"/>
        </w:rPr>
        <w:t xml:space="preserve">, Ucha.se, Net 1, </w:t>
      </w:r>
      <w:proofErr w:type="spellStart"/>
      <w:r w:rsidRPr="000B697A">
        <w:rPr>
          <w:rFonts w:cs="Calibri"/>
        </w:rPr>
        <w:t>Superhosting</w:t>
      </w:r>
      <w:proofErr w:type="spellEnd"/>
      <w:r w:rsidRPr="000B697A">
        <w:rPr>
          <w:rFonts w:cs="Calibri"/>
        </w:rPr>
        <w:t xml:space="preserve">, Биологичен и здравен клъстер България, </w:t>
      </w:r>
      <w:proofErr w:type="spellStart"/>
      <w:r w:rsidRPr="000B697A">
        <w:rPr>
          <w:rFonts w:cs="Calibri"/>
        </w:rPr>
        <w:t>Farmhopping</w:t>
      </w:r>
      <w:proofErr w:type="spellEnd"/>
      <w:r w:rsidRPr="000B697A">
        <w:rPr>
          <w:rFonts w:cs="Calibri"/>
        </w:rPr>
        <w:t xml:space="preserve">, </w:t>
      </w:r>
      <w:proofErr w:type="spellStart"/>
      <w:r w:rsidRPr="000B697A">
        <w:rPr>
          <w:rFonts w:cs="Calibri"/>
        </w:rPr>
        <w:t>BGMenu</w:t>
      </w:r>
      <w:proofErr w:type="spellEnd"/>
      <w:r w:rsidRPr="000B697A">
        <w:rPr>
          <w:rFonts w:cs="Calibri"/>
        </w:rPr>
        <w:t xml:space="preserve">, </w:t>
      </w:r>
      <w:proofErr w:type="spellStart"/>
      <w:r w:rsidRPr="000B697A">
        <w:rPr>
          <w:rFonts w:cs="Calibri"/>
        </w:rPr>
        <w:t>Claim</w:t>
      </w:r>
      <w:proofErr w:type="spellEnd"/>
      <w:r w:rsidRPr="000B697A">
        <w:rPr>
          <w:rFonts w:cs="Calibri"/>
        </w:rPr>
        <w:t xml:space="preserve"> </w:t>
      </w:r>
      <w:proofErr w:type="spellStart"/>
      <w:r w:rsidRPr="000B697A">
        <w:rPr>
          <w:rFonts w:cs="Calibri"/>
        </w:rPr>
        <w:t>Compass</w:t>
      </w:r>
      <w:proofErr w:type="spellEnd"/>
      <w:r w:rsidRPr="000B697A">
        <w:rPr>
          <w:rFonts w:cs="Calibri"/>
        </w:rPr>
        <w:t xml:space="preserve"> и др.</w:t>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69" w:name="_Toc536282646"/>
      <w:r w:rsidRPr="000B697A">
        <w:rPr>
          <w:rFonts w:cs="Calibri"/>
        </w:rPr>
        <w:t>БФБ получи одобрение от КФН за създаването на нов Пазар за растеж на МСП</w:t>
      </w:r>
      <w:bookmarkEnd w:id="69"/>
    </w:p>
    <w:p w:rsidR="0034033B" w:rsidRPr="000B697A" w:rsidRDefault="0034033B" w:rsidP="0034033B">
      <w:pPr>
        <w:rPr>
          <w:rFonts w:cs="Calibri"/>
        </w:rPr>
      </w:pPr>
      <w:r w:rsidRPr="000B697A">
        <w:rPr>
          <w:rFonts w:cs="Calibri"/>
        </w:rPr>
        <w:t>На 27.12 Българска фондова борса получи одобрение от КФН за създаването на нов Пазар за растеж на МСП, наречен BEAM (</w:t>
      </w:r>
      <w:proofErr w:type="spellStart"/>
      <w:r w:rsidRPr="000B697A">
        <w:rPr>
          <w:rFonts w:cs="Calibri"/>
        </w:rPr>
        <w:t>Bulgarian</w:t>
      </w:r>
      <w:proofErr w:type="spellEnd"/>
      <w:r w:rsidRPr="000B697A">
        <w:rPr>
          <w:rFonts w:cs="Calibri"/>
        </w:rPr>
        <w:t xml:space="preserve"> Enterprise </w:t>
      </w:r>
      <w:proofErr w:type="spellStart"/>
      <w:r w:rsidRPr="000B697A">
        <w:rPr>
          <w:rFonts w:cs="Calibri"/>
        </w:rPr>
        <w:t>Accelerator</w:t>
      </w:r>
      <w:proofErr w:type="spellEnd"/>
      <w:r w:rsidRPr="000B697A">
        <w:rPr>
          <w:rFonts w:cs="Calibri"/>
        </w:rPr>
        <w:t xml:space="preserve"> Market). Така малките и средни компании вече ще могат да набират капитал при по-облекчени условия относно обхвата и периодичността на разкриваната от тях информация и въз основа на публикуването на облекчен по форма и съдържание проспект. Също така, ще е възможно и набирането на капитал до 1 милион евро без проспект.</w:t>
      </w:r>
    </w:p>
    <w:p w:rsidR="0034033B" w:rsidRPr="000B697A" w:rsidRDefault="0034033B" w:rsidP="0034033B">
      <w:pPr>
        <w:rPr>
          <w:rFonts w:cs="Calibri"/>
        </w:rPr>
      </w:pPr>
      <w:r w:rsidRPr="000B697A">
        <w:rPr>
          <w:rFonts w:cs="Calibri"/>
        </w:rPr>
        <w:t>Целта на Пазара за растеж на МСП е да се намали административната тежест за малките и средните компании, които се стремят да се регистрират за търговия на фондова борса и да емитират ценни книжа. Този пазар се явява и междинно звено по пътя на една компания към регулирания пазар.</w:t>
      </w:r>
    </w:p>
    <w:p w:rsidR="0034033B" w:rsidRPr="000B697A" w:rsidRDefault="0034033B" w:rsidP="0034033B">
      <w:pPr>
        <w:rPr>
          <w:rFonts w:cs="Calibri"/>
        </w:rPr>
      </w:pPr>
      <w:r w:rsidRPr="000B697A">
        <w:rPr>
          <w:rFonts w:cs="Calibri"/>
        </w:rPr>
        <w:t xml:space="preserve">Инвеститорите в компании от Пазара за растеж на МСП разполагат с адекватна защита осигурена чрез прилагането на правилата на ЕС и по-специално Регламента относно пазарните злоупотреби, Регламента относно проспектите или </w:t>
      </w:r>
      <w:proofErr w:type="spellStart"/>
      <w:r w:rsidRPr="000B697A">
        <w:rPr>
          <w:rFonts w:cs="Calibri"/>
        </w:rPr>
        <w:t>MiFID</w:t>
      </w:r>
      <w:proofErr w:type="spellEnd"/>
      <w:r w:rsidRPr="000B697A">
        <w:rPr>
          <w:rFonts w:cs="Calibri"/>
        </w:rPr>
        <w:t xml:space="preserve"> II.</w:t>
      </w:r>
    </w:p>
    <w:p w:rsidR="0034033B" w:rsidRPr="000B697A" w:rsidRDefault="0034033B" w:rsidP="0034033B">
      <w:pPr>
        <w:pStyle w:val="SubSubNumber"/>
        <w:widowControl w:val="0"/>
        <w:tabs>
          <w:tab w:val="clear" w:pos="1276"/>
          <w:tab w:val="clear" w:pos="2127"/>
        </w:tabs>
        <w:spacing w:after="240" w:line="240" w:lineRule="auto"/>
        <w:ind w:left="1843" w:hanging="992"/>
        <w:outlineLvl w:val="9"/>
        <w:rPr>
          <w:rFonts w:cs="Calibri"/>
        </w:rPr>
      </w:pPr>
      <w:bookmarkStart w:id="70" w:name="_Ref536265624"/>
      <w:bookmarkStart w:id="71" w:name="_Toc536282647"/>
      <w:r w:rsidRPr="000B697A">
        <w:rPr>
          <w:rFonts w:cs="Calibri"/>
        </w:rPr>
        <w:t>Прекратяване на членство</w:t>
      </w:r>
      <w:bookmarkEnd w:id="70"/>
      <w:bookmarkEnd w:id="71"/>
      <w:r w:rsidRPr="000B697A">
        <w:rPr>
          <w:rFonts w:cs="Calibri"/>
        </w:rPr>
        <w:t xml:space="preserve"> </w:t>
      </w:r>
    </w:p>
    <w:p w:rsidR="0034033B" w:rsidRPr="000B697A" w:rsidRDefault="0034033B" w:rsidP="0034033B">
      <w:pPr>
        <w:rPr>
          <w:rFonts w:cs="Calibri"/>
        </w:rPr>
      </w:pPr>
      <w:r w:rsidRPr="000B697A">
        <w:rPr>
          <w:rFonts w:cs="Calibri"/>
        </w:rPr>
        <w:t>На проведено заседание на Съвета на директорите на БФБ АД по Протокол № 72/28.11.2018 г. бе взето решение, на основание чл. 24, ал. 1, т. 1 от Част II Правила за членство от Правилника за дейността на Борсата, Съветът на директорите на БФБ АД да бъде прекратено членството на ТБ Виктория ЕАД, считано от 03.12.2018 г. (понеделник)</w:t>
      </w:r>
    </w:p>
    <w:p w:rsidR="00811C9D" w:rsidRPr="000B697A" w:rsidRDefault="00811C9D" w:rsidP="0016443B">
      <w:pPr>
        <w:pStyle w:val="SubNumbers"/>
        <w:widowControl w:val="0"/>
        <w:ind w:left="1134" w:hanging="774"/>
        <w:rPr>
          <w:rFonts w:cs="Calibri"/>
        </w:rPr>
      </w:pPr>
      <w:bookmarkStart w:id="72" w:name="_Toc347154297"/>
      <w:bookmarkStart w:id="73" w:name="_Toc509822007"/>
      <w:bookmarkStart w:id="74" w:name="_Toc6923247"/>
      <w:r w:rsidRPr="000B697A">
        <w:rPr>
          <w:rFonts w:cs="Calibri"/>
        </w:rPr>
        <w:t>Корпоративно управление</w:t>
      </w:r>
      <w:bookmarkEnd w:id="72"/>
      <w:bookmarkEnd w:id="73"/>
      <w:bookmarkEnd w:id="74"/>
    </w:p>
    <w:p w:rsidR="00811C9D" w:rsidRPr="000B697A" w:rsidRDefault="00811C9D" w:rsidP="00811C9D">
      <w:pPr>
        <w:ind w:firstLine="709"/>
        <w:rPr>
          <w:rFonts w:cs="Calibri"/>
        </w:rPr>
      </w:pPr>
      <w:r w:rsidRPr="000B697A">
        <w:rPr>
          <w:rFonts w:cs="Calibri"/>
        </w:rPr>
        <w:t>Във връзка със законовите задължения на БФБ-София в качеството й на публич</w:t>
      </w:r>
      <w:r w:rsidR="00541757" w:rsidRPr="000B697A">
        <w:rPr>
          <w:rFonts w:cs="Calibri"/>
        </w:rPr>
        <w:t xml:space="preserve">но дружество, през </w:t>
      </w:r>
      <w:r w:rsidR="007A3B82" w:rsidRPr="000B697A">
        <w:rPr>
          <w:rFonts w:cs="Calibri"/>
        </w:rPr>
        <w:t>201</w:t>
      </w:r>
      <w:r w:rsidR="007A3B82">
        <w:rPr>
          <w:rFonts w:cs="Calibri"/>
        </w:rPr>
        <w:t>8</w:t>
      </w:r>
      <w:r w:rsidR="007A3B82" w:rsidRPr="000B697A">
        <w:rPr>
          <w:rFonts w:cs="Calibri"/>
        </w:rPr>
        <w:t xml:space="preserve"> </w:t>
      </w:r>
      <w:r w:rsidR="00541757" w:rsidRPr="000B697A">
        <w:rPr>
          <w:rFonts w:cs="Calibri"/>
        </w:rPr>
        <w:t>година Б</w:t>
      </w:r>
      <w:r w:rsidRPr="000B697A">
        <w:rPr>
          <w:rFonts w:cs="Calibri"/>
        </w:rPr>
        <w:t>орсата оповести пред публичността и изпрати в Комисията за финансов надзор следната информация:</w:t>
      </w:r>
    </w:p>
    <w:p w:rsidR="00152ED4" w:rsidRPr="000B697A" w:rsidRDefault="00152ED4" w:rsidP="00152ED4">
      <w:pPr>
        <w:pStyle w:val="ListParagraph"/>
        <w:widowControl w:val="0"/>
        <w:numPr>
          <w:ilvl w:val="0"/>
          <w:numId w:val="35"/>
        </w:numPr>
        <w:contextualSpacing/>
        <w:rPr>
          <w:rFonts w:cs="Calibri"/>
        </w:rPr>
      </w:pPr>
      <w:r w:rsidRPr="000B697A">
        <w:rPr>
          <w:rFonts w:cs="Calibri"/>
        </w:rPr>
        <w:t xml:space="preserve">29.01.2018 - </w:t>
      </w:r>
      <w:proofErr w:type="spellStart"/>
      <w:r w:rsidRPr="000B697A">
        <w:rPr>
          <w:rFonts w:cs="Calibri"/>
        </w:rPr>
        <w:t>Тримесечен</w:t>
      </w:r>
      <w:proofErr w:type="spellEnd"/>
      <w:r w:rsidRPr="000B697A">
        <w:rPr>
          <w:rFonts w:cs="Calibri"/>
        </w:rPr>
        <w:t xml:space="preserve"> </w:t>
      </w:r>
      <w:proofErr w:type="spellStart"/>
      <w:r w:rsidRPr="000B697A">
        <w:rPr>
          <w:rFonts w:cs="Calibri"/>
        </w:rPr>
        <w:t>отчет</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четвърто</w:t>
      </w:r>
      <w:proofErr w:type="spellEnd"/>
      <w:r w:rsidRPr="000B697A">
        <w:rPr>
          <w:rFonts w:cs="Calibri"/>
        </w:rPr>
        <w:t xml:space="preserve"> </w:t>
      </w:r>
      <w:proofErr w:type="spellStart"/>
      <w:r w:rsidRPr="000B697A">
        <w:rPr>
          <w:rFonts w:cs="Calibri"/>
        </w:rPr>
        <w:t>тримесечие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2017 г.;</w:t>
      </w:r>
    </w:p>
    <w:p w:rsidR="00152ED4" w:rsidRPr="000B697A" w:rsidRDefault="00152ED4" w:rsidP="00152ED4">
      <w:pPr>
        <w:pStyle w:val="ListParagraph"/>
        <w:widowControl w:val="0"/>
        <w:numPr>
          <w:ilvl w:val="0"/>
          <w:numId w:val="35"/>
        </w:numPr>
        <w:contextualSpacing/>
        <w:rPr>
          <w:rFonts w:cs="Calibri"/>
        </w:rPr>
      </w:pPr>
      <w:r w:rsidRPr="000B697A">
        <w:rPr>
          <w:rFonts w:cs="Calibri"/>
        </w:rPr>
        <w:t xml:space="preserve">29.01.2018 - </w:t>
      </w:r>
      <w:proofErr w:type="spellStart"/>
      <w:r w:rsidRPr="000B697A">
        <w:rPr>
          <w:rFonts w:cs="Calibri"/>
        </w:rPr>
        <w:t>Вътрешна</w:t>
      </w:r>
      <w:proofErr w:type="spellEnd"/>
      <w:r w:rsidRPr="000B697A">
        <w:rPr>
          <w:rFonts w:cs="Calibri"/>
        </w:rPr>
        <w:t xml:space="preserve"> </w:t>
      </w:r>
      <w:proofErr w:type="spellStart"/>
      <w:r w:rsidRPr="000B697A">
        <w:rPr>
          <w:rFonts w:cs="Calibri"/>
        </w:rPr>
        <w:t>информация</w:t>
      </w:r>
      <w:proofErr w:type="spellEnd"/>
      <w:r w:rsidRPr="000B697A">
        <w:rPr>
          <w:rFonts w:cs="Calibri"/>
        </w:rPr>
        <w:t xml:space="preserve"> </w:t>
      </w:r>
      <w:proofErr w:type="spellStart"/>
      <w:r w:rsidRPr="000B697A">
        <w:rPr>
          <w:rFonts w:cs="Calibri"/>
        </w:rPr>
        <w:t>по</w:t>
      </w:r>
      <w:proofErr w:type="spellEnd"/>
      <w:r w:rsidRPr="000B697A">
        <w:rPr>
          <w:rFonts w:cs="Calibri"/>
        </w:rPr>
        <w:t xml:space="preserve"> </w:t>
      </w:r>
      <w:proofErr w:type="spellStart"/>
      <w:r w:rsidRPr="000B697A">
        <w:rPr>
          <w:rFonts w:cs="Calibri"/>
        </w:rPr>
        <w:t>чл</w:t>
      </w:r>
      <w:proofErr w:type="spellEnd"/>
      <w:r w:rsidRPr="000B697A">
        <w:rPr>
          <w:rFonts w:cs="Calibri"/>
        </w:rPr>
        <w:t xml:space="preserve">. 17, §1, </w:t>
      </w:r>
      <w:proofErr w:type="spellStart"/>
      <w:r w:rsidRPr="000B697A">
        <w:rPr>
          <w:rFonts w:cs="Calibri"/>
        </w:rPr>
        <w:t>във</w:t>
      </w:r>
      <w:proofErr w:type="spellEnd"/>
      <w:r w:rsidRPr="000B697A">
        <w:rPr>
          <w:rFonts w:cs="Calibri"/>
        </w:rPr>
        <w:t xml:space="preserve"> </w:t>
      </w:r>
      <w:proofErr w:type="spellStart"/>
      <w:r w:rsidRPr="000B697A">
        <w:rPr>
          <w:rFonts w:cs="Calibri"/>
        </w:rPr>
        <w:t>вр</w:t>
      </w:r>
      <w:proofErr w:type="spellEnd"/>
      <w:r w:rsidRPr="000B697A">
        <w:rPr>
          <w:rFonts w:cs="Calibri"/>
        </w:rPr>
        <w:t xml:space="preserve">. с </w:t>
      </w:r>
      <w:proofErr w:type="spellStart"/>
      <w:r w:rsidRPr="000B697A">
        <w:rPr>
          <w:rFonts w:cs="Calibri"/>
        </w:rPr>
        <w:t>чл</w:t>
      </w:r>
      <w:proofErr w:type="spellEnd"/>
      <w:r w:rsidRPr="000B697A">
        <w:rPr>
          <w:rFonts w:cs="Calibri"/>
        </w:rPr>
        <w:t xml:space="preserve">. 7 </w:t>
      </w:r>
      <w:proofErr w:type="spellStart"/>
      <w:r w:rsidRPr="000B697A">
        <w:rPr>
          <w:rFonts w:cs="Calibri"/>
        </w:rPr>
        <w:t>от</w:t>
      </w:r>
      <w:proofErr w:type="spellEnd"/>
      <w:r w:rsidRPr="000B697A">
        <w:rPr>
          <w:rFonts w:cs="Calibri"/>
        </w:rPr>
        <w:t xml:space="preserve"> </w:t>
      </w:r>
      <w:proofErr w:type="spellStart"/>
      <w:r w:rsidRPr="000B697A">
        <w:rPr>
          <w:rFonts w:cs="Calibri"/>
        </w:rPr>
        <w:t>Регламент</w:t>
      </w:r>
      <w:proofErr w:type="spellEnd"/>
      <w:r w:rsidRPr="000B697A">
        <w:rPr>
          <w:rFonts w:cs="Calibri"/>
        </w:rPr>
        <w:t xml:space="preserve"> №596/2014 </w:t>
      </w:r>
      <w:proofErr w:type="spellStart"/>
      <w:r w:rsidRPr="000B697A">
        <w:rPr>
          <w:rFonts w:cs="Calibri"/>
        </w:rPr>
        <w:t>на</w:t>
      </w:r>
      <w:proofErr w:type="spellEnd"/>
      <w:r w:rsidRPr="000B697A">
        <w:rPr>
          <w:rFonts w:cs="Calibri"/>
        </w:rPr>
        <w:t xml:space="preserve"> ЕП и </w:t>
      </w:r>
      <w:proofErr w:type="spellStart"/>
      <w:r w:rsidRPr="000B697A">
        <w:rPr>
          <w:rFonts w:cs="Calibri"/>
        </w:rPr>
        <w:t>на</w:t>
      </w:r>
      <w:proofErr w:type="spellEnd"/>
      <w:r w:rsidRPr="000B697A">
        <w:rPr>
          <w:rFonts w:cs="Calibri"/>
        </w:rPr>
        <w:t xml:space="preserve"> </w:t>
      </w:r>
      <w:proofErr w:type="spellStart"/>
      <w:r w:rsidRPr="000B697A">
        <w:rPr>
          <w:rFonts w:cs="Calibri"/>
        </w:rPr>
        <w:t>Съвета</w:t>
      </w:r>
      <w:proofErr w:type="spellEnd"/>
      <w:r w:rsidRPr="000B697A">
        <w:rPr>
          <w:rFonts w:cs="Calibri"/>
        </w:rPr>
        <w:t>;</w:t>
      </w:r>
    </w:p>
    <w:p w:rsidR="00152ED4" w:rsidRPr="000B697A" w:rsidRDefault="00152ED4" w:rsidP="00152ED4">
      <w:pPr>
        <w:pStyle w:val="ListParagraph"/>
        <w:widowControl w:val="0"/>
        <w:numPr>
          <w:ilvl w:val="0"/>
          <w:numId w:val="35"/>
        </w:numPr>
        <w:contextualSpacing/>
        <w:rPr>
          <w:rFonts w:cs="Calibri"/>
        </w:rPr>
      </w:pPr>
      <w:r w:rsidRPr="000B697A">
        <w:rPr>
          <w:rFonts w:cs="Calibri"/>
        </w:rPr>
        <w:t xml:space="preserve">31.01.2018 - </w:t>
      </w:r>
      <w:proofErr w:type="spellStart"/>
      <w:r w:rsidRPr="000B697A">
        <w:rPr>
          <w:rFonts w:cs="Calibri"/>
        </w:rPr>
        <w:t>Вътрешна</w:t>
      </w:r>
      <w:proofErr w:type="spellEnd"/>
      <w:r w:rsidRPr="000B697A">
        <w:rPr>
          <w:rFonts w:cs="Calibri"/>
        </w:rPr>
        <w:t xml:space="preserve"> </w:t>
      </w:r>
      <w:proofErr w:type="spellStart"/>
      <w:r w:rsidRPr="000B697A">
        <w:rPr>
          <w:rFonts w:cs="Calibri"/>
        </w:rPr>
        <w:t>информация</w:t>
      </w:r>
      <w:proofErr w:type="spellEnd"/>
      <w:r w:rsidRPr="000B697A">
        <w:rPr>
          <w:rFonts w:cs="Calibri"/>
        </w:rPr>
        <w:t xml:space="preserve"> </w:t>
      </w:r>
      <w:proofErr w:type="spellStart"/>
      <w:r w:rsidRPr="000B697A">
        <w:rPr>
          <w:rFonts w:cs="Calibri"/>
        </w:rPr>
        <w:t>по</w:t>
      </w:r>
      <w:proofErr w:type="spellEnd"/>
      <w:r w:rsidRPr="000B697A">
        <w:rPr>
          <w:rFonts w:cs="Calibri"/>
        </w:rPr>
        <w:t xml:space="preserve"> </w:t>
      </w:r>
      <w:proofErr w:type="spellStart"/>
      <w:r w:rsidRPr="000B697A">
        <w:rPr>
          <w:rFonts w:cs="Calibri"/>
        </w:rPr>
        <w:t>чл</w:t>
      </w:r>
      <w:proofErr w:type="spellEnd"/>
      <w:r w:rsidRPr="000B697A">
        <w:rPr>
          <w:rFonts w:cs="Calibri"/>
        </w:rPr>
        <w:t xml:space="preserve">. 17, §1, </w:t>
      </w:r>
      <w:proofErr w:type="spellStart"/>
      <w:r w:rsidRPr="000B697A">
        <w:rPr>
          <w:rFonts w:cs="Calibri"/>
        </w:rPr>
        <w:t>във</w:t>
      </w:r>
      <w:proofErr w:type="spellEnd"/>
      <w:r w:rsidRPr="000B697A">
        <w:rPr>
          <w:rFonts w:cs="Calibri"/>
        </w:rPr>
        <w:t xml:space="preserve"> </w:t>
      </w:r>
      <w:proofErr w:type="spellStart"/>
      <w:r w:rsidRPr="000B697A">
        <w:rPr>
          <w:rFonts w:cs="Calibri"/>
        </w:rPr>
        <w:t>вр</w:t>
      </w:r>
      <w:proofErr w:type="spellEnd"/>
      <w:r w:rsidRPr="000B697A">
        <w:rPr>
          <w:rFonts w:cs="Calibri"/>
        </w:rPr>
        <w:t xml:space="preserve">. с </w:t>
      </w:r>
      <w:proofErr w:type="spellStart"/>
      <w:r w:rsidRPr="000B697A">
        <w:rPr>
          <w:rFonts w:cs="Calibri"/>
        </w:rPr>
        <w:t>чл</w:t>
      </w:r>
      <w:proofErr w:type="spellEnd"/>
      <w:r w:rsidRPr="000B697A">
        <w:rPr>
          <w:rFonts w:cs="Calibri"/>
        </w:rPr>
        <w:t xml:space="preserve">. 7 </w:t>
      </w:r>
      <w:proofErr w:type="spellStart"/>
      <w:r w:rsidRPr="000B697A">
        <w:rPr>
          <w:rFonts w:cs="Calibri"/>
        </w:rPr>
        <w:t>от</w:t>
      </w:r>
      <w:proofErr w:type="spellEnd"/>
      <w:r w:rsidRPr="000B697A">
        <w:rPr>
          <w:rFonts w:cs="Calibri"/>
        </w:rPr>
        <w:t xml:space="preserve"> </w:t>
      </w:r>
      <w:proofErr w:type="spellStart"/>
      <w:r w:rsidRPr="000B697A">
        <w:rPr>
          <w:rFonts w:cs="Calibri"/>
        </w:rPr>
        <w:t>Регламент</w:t>
      </w:r>
      <w:proofErr w:type="spellEnd"/>
      <w:r w:rsidRPr="000B697A">
        <w:rPr>
          <w:rFonts w:cs="Calibri"/>
        </w:rPr>
        <w:t xml:space="preserve"> №596/2014 </w:t>
      </w:r>
      <w:proofErr w:type="spellStart"/>
      <w:r w:rsidRPr="000B697A">
        <w:rPr>
          <w:rFonts w:cs="Calibri"/>
        </w:rPr>
        <w:lastRenderedPageBreak/>
        <w:t>на</w:t>
      </w:r>
      <w:proofErr w:type="spellEnd"/>
      <w:r w:rsidRPr="000B697A">
        <w:rPr>
          <w:rFonts w:cs="Calibri"/>
        </w:rPr>
        <w:t xml:space="preserve"> ЕП и </w:t>
      </w:r>
      <w:proofErr w:type="spellStart"/>
      <w:r w:rsidRPr="000B697A">
        <w:rPr>
          <w:rFonts w:cs="Calibri"/>
        </w:rPr>
        <w:t>на</w:t>
      </w:r>
      <w:proofErr w:type="spellEnd"/>
      <w:r w:rsidRPr="000B697A">
        <w:rPr>
          <w:rFonts w:cs="Calibri"/>
        </w:rPr>
        <w:t xml:space="preserve"> </w:t>
      </w:r>
      <w:proofErr w:type="spellStart"/>
      <w:r w:rsidRPr="000B697A">
        <w:rPr>
          <w:rFonts w:cs="Calibri"/>
        </w:rPr>
        <w:t>Съвета</w:t>
      </w:r>
      <w:proofErr w:type="spellEnd"/>
      <w:r w:rsidRPr="000B697A">
        <w:rPr>
          <w:rFonts w:cs="Calibri"/>
        </w:rPr>
        <w:t>;</w:t>
      </w:r>
    </w:p>
    <w:p w:rsidR="00152ED4" w:rsidRPr="000B697A" w:rsidRDefault="00152ED4" w:rsidP="00152ED4">
      <w:pPr>
        <w:pStyle w:val="ListParagraph"/>
        <w:widowControl w:val="0"/>
        <w:numPr>
          <w:ilvl w:val="0"/>
          <w:numId w:val="35"/>
        </w:numPr>
        <w:contextualSpacing/>
        <w:rPr>
          <w:rFonts w:cs="Calibri"/>
        </w:rPr>
      </w:pPr>
      <w:r w:rsidRPr="000B697A">
        <w:rPr>
          <w:rFonts w:cs="Calibri"/>
        </w:rPr>
        <w:t xml:space="preserve">05.02.2018 - </w:t>
      </w:r>
      <w:proofErr w:type="spellStart"/>
      <w:r w:rsidRPr="000B697A">
        <w:rPr>
          <w:rFonts w:cs="Calibri"/>
        </w:rPr>
        <w:t>Вътрешна</w:t>
      </w:r>
      <w:proofErr w:type="spellEnd"/>
      <w:r w:rsidRPr="000B697A">
        <w:rPr>
          <w:rFonts w:cs="Calibri"/>
        </w:rPr>
        <w:t xml:space="preserve"> </w:t>
      </w:r>
      <w:proofErr w:type="spellStart"/>
      <w:r w:rsidRPr="000B697A">
        <w:rPr>
          <w:rFonts w:cs="Calibri"/>
        </w:rPr>
        <w:t>информация</w:t>
      </w:r>
      <w:proofErr w:type="spellEnd"/>
      <w:r w:rsidRPr="000B697A">
        <w:rPr>
          <w:rFonts w:cs="Calibri"/>
        </w:rPr>
        <w:t xml:space="preserve"> </w:t>
      </w:r>
      <w:proofErr w:type="spellStart"/>
      <w:r w:rsidRPr="000B697A">
        <w:rPr>
          <w:rFonts w:cs="Calibri"/>
        </w:rPr>
        <w:t>по</w:t>
      </w:r>
      <w:proofErr w:type="spellEnd"/>
      <w:r w:rsidRPr="000B697A">
        <w:rPr>
          <w:rFonts w:cs="Calibri"/>
        </w:rPr>
        <w:t xml:space="preserve"> </w:t>
      </w:r>
      <w:proofErr w:type="spellStart"/>
      <w:r w:rsidRPr="000B697A">
        <w:rPr>
          <w:rFonts w:cs="Calibri"/>
        </w:rPr>
        <w:t>чл</w:t>
      </w:r>
      <w:proofErr w:type="spellEnd"/>
      <w:r w:rsidRPr="000B697A">
        <w:rPr>
          <w:rFonts w:cs="Calibri"/>
        </w:rPr>
        <w:t xml:space="preserve">. 17, §1, </w:t>
      </w:r>
      <w:proofErr w:type="spellStart"/>
      <w:r w:rsidRPr="000B697A">
        <w:rPr>
          <w:rFonts w:cs="Calibri"/>
        </w:rPr>
        <w:t>във</w:t>
      </w:r>
      <w:proofErr w:type="spellEnd"/>
      <w:r w:rsidRPr="000B697A">
        <w:rPr>
          <w:rFonts w:cs="Calibri"/>
        </w:rPr>
        <w:t xml:space="preserve"> </w:t>
      </w:r>
      <w:proofErr w:type="spellStart"/>
      <w:r w:rsidRPr="000B697A">
        <w:rPr>
          <w:rFonts w:cs="Calibri"/>
        </w:rPr>
        <w:t>вр</w:t>
      </w:r>
      <w:proofErr w:type="spellEnd"/>
      <w:r w:rsidRPr="000B697A">
        <w:rPr>
          <w:rFonts w:cs="Calibri"/>
        </w:rPr>
        <w:t xml:space="preserve">. с </w:t>
      </w:r>
      <w:proofErr w:type="spellStart"/>
      <w:r w:rsidRPr="000B697A">
        <w:rPr>
          <w:rFonts w:cs="Calibri"/>
        </w:rPr>
        <w:t>чл</w:t>
      </w:r>
      <w:proofErr w:type="spellEnd"/>
      <w:r w:rsidRPr="000B697A">
        <w:rPr>
          <w:rFonts w:cs="Calibri"/>
        </w:rPr>
        <w:t xml:space="preserve">. 7 </w:t>
      </w:r>
      <w:proofErr w:type="spellStart"/>
      <w:r w:rsidRPr="000B697A">
        <w:rPr>
          <w:rFonts w:cs="Calibri"/>
        </w:rPr>
        <w:t>от</w:t>
      </w:r>
      <w:proofErr w:type="spellEnd"/>
      <w:r w:rsidRPr="000B697A">
        <w:rPr>
          <w:rFonts w:cs="Calibri"/>
        </w:rPr>
        <w:t xml:space="preserve"> </w:t>
      </w:r>
      <w:proofErr w:type="spellStart"/>
      <w:r w:rsidRPr="000B697A">
        <w:rPr>
          <w:rFonts w:cs="Calibri"/>
        </w:rPr>
        <w:t>Регламент</w:t>
      </w:r>
      <w:proofErr w:type="spellEnd"/>
      <w:r w:rsidRPr="000B697A">
        <w:rPr>
          <w:rFonts w:cs="Calibri"/>
        </w:rPr>
        <w:t xml:space="preserve"> №596/2014 </w:t>
      </w:r>
      <w:proofErr w:type="spellStart"/>
      <w:r w:rsidRPr="000B697A">
        <w:rPr>
          <w:rFonts w:cs="Calibri"/>
        </w:rPr>
        <w:t>на</w:t>
      </w:r>
      <w:proofErr w:type="spellEnd"/>
      <w:r w:rsidRPr="000B697A">
        <w:rPr>
          <w:rFonts w:cs="Calibri"/>
        </w:rPr>
        <w:t xml:space="preserve"> ЕП и </w:t>
      </w:r>
      <w:proofErr w:type="spellStart"/>
      <w:r w:rsidRPr="000B697A">
        <w:rPr>
          <w:rFonts w:cs="Calibri"/>
        </w:rPr>
        <w:t>на</w:t>
      </w:r>
      <w:proofErr w:type="spellEnd"/>
      <w:r w:rsidRPr="000B697A">
        <w:rPr>
          <w:rFonts w:cs="Calibri"/>
        </w:rPr>
        <w:t xml:space="preserve"> </w:t>
      </w:r>
      <w:proofErr w:type="spellStart"/>
      <w:r w:rsidRPr="000B697A">
        <w:rPr>
          <w:rFonts w:cs="Calibri"/>
        </w:rPr>
        <w:t>Съвета</w:t>
      </w:r>
      <w:proofErr w:type="spellEnd"/>
      <w:r w:rsidRPr="000B697A">
        <w:rPr>
          <w:rFonts w:cs="Calibri"/>
        </w:rPr>
        <w:t>;</w:t>
      </w:r>
    </w:p>
    <w:p w:rsidR="00152ED4" w:rsidRPr="000B697A" w:rsidRDefault="00152ED4" w:rsidP="00152ED4">
      <w:pPr>
        <w:pStyle w:val="ListParagraph"/>
        <w:widowControl w:val="0"/>
        <w:numPr>
          <w:ilvl w:val="0"/>
          <w:numId w:val="35"/>
        </w:numPr>
        <w:contextualSpacing/>
        <w:rPr>
          <w:rFonts w:cs="Calibri"/>
        </w:rPr>
      </w:pPr>
      <w:r w:rsidRPr="000B697A">
        <w:rPr>
          <w:rFonts w:cs="Calibri"/>
        </w:rPr>
        <w:t xml:space="preserve">27.02.2017 - </w:t>
      </w:r>
      <w:proofErr w:type="spellStart"/>
      <w:r w:rsidRPr="000B697A">
        <w:rPr>
          <w:rFonts w:cs="Calibri"/>
        </w:rPr>
        <w:t>Тримесечен</w:t>
      </w:r>
      <w:proofErr w:type="spellEnd"/>
      <w:r w:rsidRPr="000B697A">
        <w:rPr>
          <w:rFonts w:cs="Calibri"/>
        </w:rPr>
        <w:t xml:space="preserve"> </w:t>
      </w:r>
      <w:proofErr w:type="spellStart"/>
      <w:r w:rsidRPr="000B697A">
        <w:rPr>
          <w:rFonts w:cs="Calibri"/>
        </w:rPr>
        <w:t>консолидиран</w:t>
      </w:r>
      <w:proofErr w:type="spellEnd"/>
      <w:r w:rsidRPr="000B697A">
        <w:rPr>
          <w:rFonts w:cs="Calibri"/>
        </w:rPr>
        <w:t xml:space="preserve"> </w:t>
      </w:r>
      <w:proofErr w:type="spellStart"/>
      <w:r w:rsidRPr="000B697A">
        <w:rPr>
          <w:rFonts w:cs="Calibri"/>
        </w:rPr>
        <w:t>отчет</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четвърто</w:t>
      </w:r>
      <w:proofErr w:type="spellEnd"/>
      <w:r w:rsidRPr="000B697A">
        <w:rPr>
          <w:rFonts w:cs="Calibri"/>
        </w:rPr>
        <w:t xml:space="preserve"> </w:t>
      </w:r>
      <w:proofErr w:type="spellStart"/>
      <w:r w:rsidRPr="000B697A">
        <w:rPr>
          <w:rFonts w:cs="Calibri"/>
        </w:rPr>
        <w:t>тримесечие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2017 г.;</w:t>
      </w:r>
    </w:p>
    <w:p w:rsidR="00152ED4" w:rsidRPr="000B697A" w:rsidRDefault="00152ED4" w:rsidP="00152ED4">
      <w:pPr>
        <w:pStyle w:val="ListParagraph"/>
        <w:widowControl w:val="0"/>
        <w:numPr>
          <w:ilvl w:val="0"/>
          <w:numId w:val="35"/>
        </w:numPr>
        <w:contextualSpacing/>
        <w:rPr>
          <w:rFonts w:cs="Calibri"/>
        </w:rPr>
      </w:pPr>
      <w:r w:rsidRPr="000B697A">
        <w:rPr>
          <w:rFonts w:cs="Calibri"/>
        </w:rPr>
        <w:t xml:space="preserve">30.03.2018 - </w:t>
      </w:r>
      <w:proofErr w:type="spellStart"/>
      <w:r w:rsidRPr="000B697A">
        <w:rPr>
          <w:rFonts w:cs="Calibri"/>
        </w:rPr>
        <w:t>Годишен</w:t>
      </w:r>
      <w:proofErr w:type="spellEnd"/>
      <w:r w:rsidRPr="000B697A">
        <w:rPr>
          <w:rFonts w:cs="Calibri"/>
        </w:rPr>
        <w:t xml:space="preserve"> </w:t>
      </w:r>
      <w:proofErr w:type="spellStart"/>
      <w:r w:rsidRPr="000B697A">
        <w:rPr>
          <w:rFonts w:cs="Calibri"/>
        </w:rPr>
        <w:t>отчет</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2017 г.</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12.04.2018 - </w:t>
      </w:r>
      <w:proofErr w:type="spellStart"/>
      <w:r w:rsidRPr="000B697A">
        <w:rPr>
          <w:rFonts w:cs="Calibri"/>
        </w:rPr>
        <w:t>Вътрешна</w:t>
      </w:r>
      <w:proofErr w:type="spellEnd"/>
      <w:r w:rsidRPr="000B697A">
        <w:rPr>
          <w:rFonts w:cs="Calibri"/>
        </w:rPr>
        <w:t xml:space="preserve"> </w:t>
      </w:r>
      <w:proofErr w:type="spellStart"/>
      <w:r w:rsidRPr="000B697A">
        <w:rPr>
          <w:rFonts w:cs="Calibri"/>
        </w:rPr>
        <w:t>информация</w:t>
      </w:r>
      <w:proofErr w:type="spellEnd"/>
      <w:r w:rsidRPr="000B697A">
        <w:rPr>
          <w:rFonts w:cs="Calibri"/>
        </w:rPr>
        <w:t xml:space="preserve"> </w:t>
      </w:r>
      <w:proofErr w:type="spellStart"/>
      <w:r w:rsidRPr="000B697A">
        <w:rPr>
          <w:rFonts w:cs="Calibri"/>
        </w:rPr>
        <w:t>по</w:t>
      </w:r>
      <w:proofErr w:type="spellEnd"/>
      <w:r w:rsidRPr="000B697A">
        <w:rPr>
          <w:rFonts w:cs="Calibri"/>
        </w:rPr>
        <w:t xml:space="preserve"> </w:t>
      </w:r>
      <w:proofErr w:type="spellStart"/>
      <w:r w:rsidRPr="000B697A">
        <w:rPr>
          <w:rFonts w:cs="Calibri"/>
        </w:rPr>
        <w:t>чл</w:t>
      </w:r>
      <w:proofErr w:type="spellEnd"/>
      <w:r w:rsidRPr="000B697A">
        <w:rPr>
          <w:rFonts w:cs="Calibri"/>
        </w:rPr>
        <w:t xml:space="preserve">. 17, §1, </w:t>
      </w:r>
      <w:proofErr w:type="spellStart"/>
      <w:r w:rsidRPr="000B697A">
        <w:rPr>
          <w:rFonts w:cs="Calibri"/>
        </w:rPr>
        <w:t>във</w:t>
      </w:r>
      <w:proofErr w:type="spellEnd"/>
      <w:r w:rsidRPr="000B697A">
        <w:rPr>
          <w:rFonts w:cs="Calibri"/>
        </w:rPr>
        <w:t xml:space="preserve"> </w:t>
      </w:r>
      <w:proofErr w:type="spellStart"/>
      <w:r w:rsidRPr="000B697A">
        <w:rPr>
          <w:rFonts w:cs="Calibri"/>
        </w:rPr>
        <w:t>вр</w:t>
      </w:r>
      <w:proofErr w:type="spellEnd"/>
      <w:r w:rsidRPr="000B697A">
        <w:rPr>
          <w:rFonts w:cs="Calibri"/>
        </w:rPr>
        <w:t xml:space="preserve">. с </w:t>
      </w:r>
      <w:proofErr w:type="spellStart"/>
      <w:r w:rsidRPr="000B697A">
        <w:rPr>
          <w:rFonts w:cs="Calibri"/>
        </w:rPr>
        <w:t>чл</w:t>
      </w:r>
      <w:proofErr w:type="spellEnd"/>
      <w:r w:rsidRPr="000B697A">
        <w:rPr>
          <w:rFonts w:cs="Calibri"/>
        </w:rPr>
        <w:t xml:space="preserve">. 7 </w:t>
      </w:r>
      <w:proofErr w:type="spellStart"/>
      <w:r w:rsidRPr="000B697A">
        <w:rPr>
          <w:rFonts w:cs="Calibri"/>
        </w:rPr>
        <w:t>от</w:t>
      </w:r>
      <w:proofErr w:type="spellEnd"/>
      <w:r w:rsidRPr="000B697A">
        <w:rPr>
          <w:rFonts w:cs="Calibri"/>
        </w:rPr>
        <w:t xml:space="preserve"> </w:t>
      </w:r>
      <w:proofErr w:type="spellStart"/>
      <w:r w:rsidRPr="000B697A">
        <w:rPr>
          <w:rFonts w:cs="Calibri"/>
        </w:rPr>
        <w:t>Регламент</w:t>
      </w:r>
      <w:proofErr w:type="spellEnd"/>
      <w:r w:rsidRPr="000B697A">
        <w:rPr>
          <w:rFonts w:cs="Calibri"/>
        </w:rPr>
        <w:t xml:space="preserve"> №596/2014 </w:t>
      </w:r>
      <w:proofErr w:type="spellStart"/>
      <w:r w:rsidRPr="000B697A">
        <w:rPr>
          <w:rFonts w:cs="Calibri"/>
        </w:rPr>
        <w:t>на</w:t>
      </w:r>
      <w:proofErr w:type="spellEnd"/>
      <w:r w:rsidRPr="000B697A">
        <w:rPr>
          <w:rFonts w:cs="Calibri"/>
        </w:rPr>
        <w:t xml:space="preserve"> ЕП и </w:t>
      </w:r>
      <w:proofErr w:type="spellStart"/>
      <w:r w:rsidRPr="000B697A">
        <w:rPr>
          <w:rFonts w:cs="Calibri"/>
        </w:rPr>
        <w:t>на</w:t>
      </w:r>
      <w:proofErr w:type="spellEnd"/>
      <w:r w:rsidRPr="000B697A">
        <w:rPr>
          <w:rFonts w:cs="Calibri"/>
        </w:rPr>
        <w:t xml:space="preserve"> </w:t>
      </w:r>
      <w:proofErr w:type="spellStart"/>
      <w:r w:rsidRPr="000B697A">
        <w:rPr>
          <w:rFonts w:cs="Calibri"/>
        </w:rPr>
        <w:t>Съвета</w:t>
      </w:r>
      <w:proofErr w:type="spellEnd"/>
      <w:r w:rsidRPr="000B697A">
        <w:rPr>
          <w:rFonts w:cs="Calibri"/>
        </w:rPr>
        <w:t>;</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24.04.2018 - </w:t>
      </w:r>
      <w:proofErr w:type="spellStart"/>
      <w:r w:rsidRPr="000B697A">
        <w:rPr>
          <w:rFonts w:cs="Calibri"/>
        </w:rPr>
        <w:t>Годишен</w:t>
      </w:r>
      <w:proofErr w:type="spellEnd"/>
      <w:r w:rsidRPr="000B697A">
        <w:rPr>
          <w:rFonts w:cs="Calibri"/>
        </w:rPr>
        <w:t xml:space="preserve"> </w:t>
      </w:r>
      <w:proofErr w:type="spellStart"/>
      <w:r w:rsidRPr="000B697A">
        <w:rPr>
          <w:rFonts w:cs="Calibri"/>
        </w:rPr>
        <w:t>консолидиран</w:t>
      </w:r>
      <w:proofErr w:type="spellEnd"/>
      <w:r w:rsidRPr="000B697A">
        <w:rPr>
          <w:rFonts w:cs="Calibri"/>
        </w:rPr>
        <w:t xml:space="preserve"> </w:t>
      </w:r>
      <w:proofErr w:type="spellStart"/>
      <w:r w:rsidRPr="000B697A">
        <w:rPr>
          <w:rFonts w:cs="Calibri"/>
        </w:rPr>
        <w:t>отчет</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2017 г.;</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30.04.2018 - </w:t>
      </w:r>
      <w:proofErr w:type="spellStart"/>
      <w:r w:rsidRPr="000B697A">
        <w:rPr>
          <w:rFonts w:cs="Calibri"/>
        </w:rPr>
        <w:t>Тримесечен</w:t>
      </w:r>
      <w:proofErr w:type="spellEnd"/>
      <w:r w:rsidRPr="000B697A">
        <w:rPr>
          <w:rFonts w:cs="Calibri"/>
        </w:rPr>
        <w:t xml:space="preserve"> </w:t>
      </w:r>
      <w:proofErr w:type="spellStart"/>
      <w:r w:rsidRPr="000B697A">
        <w:rPr>
          <w:rFonts w:cs="Calibri"/>
        </w:rPr>
        <w:t>отчет</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първо</w:t>
      </w:r>
      <w:proofErr w:type="spellEnd"/>
      <w:r w:rsidRPr="000B697A">
        <w:rPr>
          <w:rFonts w:cs="Calibri"/>
        </w:rPr>
        <w:t xml:space="preserve"> </w:t>
      </w:r>
      <w:proofErr w:type="spellStart"/>
      <w:r w:rsidRPr="000B697A">
        <w:rPr>
          <w:rFonts w:cs="Calibri"/>
        </w:rPr>
        <w:t>тримесечие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2018 г.;</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04.05.2018 - </w:t>
      </w:r>
      <w:proofErr w:type="spellStart"/>
      <w:r w:rsidRPr="000B697A">
        <w:rPr>
          <w:rFonts w:cs="Calibri"/>
        </w:rPr>
        <w:t>Вътрешна</w:t>
      </w:r>
      <w:proofErr w:type="spellEnd"/>
      <w:r w:rsidRPr="000B697A">
        <w:rPr>
          <w:rFonts w:cs="Calibri"/>
        </w:rPr>
        <w:t xml:space="preserve"> </w:t>
      </w:r>
      <w:proofErr w:type="spellStart"/>
      <w:r w:rsidRPr="000B697A">
        <w:rPr>
          <w:rFonts w:cs="Calibri"/>
        </w:rPr>
        <w:t>информация</w:t>
      </w:r>
      <w:proofErr w:type="spellEnd"/>
      <w:r w:rsidRPr="000B697A">
        <w:rPr>
          <w:rFonts w:cs="Calibri"/>
        </w:rPr>
        <w:t xml:space="preserve"> </w:t>
      </w:r>
      <w:proofErr w:type="spellStart"/>
      <w:r w:rsidRPr="000B697A">
        <w:rPr>
          <w:rFonts w:cs="Calibri"/>
        </w:rPr>
        <w:t>по</w:t>
      </w:r>
      <w:proofErr w:type="spellEnd"/>
      <w:r w:rsidRPr="000B697A">
        <w:rPr>
          <w:rFonts w:cs="Calibri"/>
        </w:rPr>
        <w:t xml:space="preserve"> </w:t>
      </w:r>
      <w:proofErr w:type="spellStart"/>
      <w:r w:rsidRPr="000B697A">
        <w:rPr>
          <w:rFonts w:cs="Calibri"/>
        </w:rPr>
        <w:t>чл</w:t>
      </w:r>
      <w:proofErr w:type="spellEnd"/>
      <w:r w:rsidRPr="000B697A">
        <w:rPr>
          <w:rFonts w:cs="Calibri"/>
        </w:rPr>
        <w:t xml:space="preserve">. 17, §1, </w:t>
      </w:r>
      <w:proofErr w:type="spellStart"/>
      <w:r w:rsidRPr="000B697A">
        <w:rPr>
          <w:rFonts w:cs="Calibri"/>
        </w:rPr>
        <w:t>във</w:t>
      </w:r>
      <w:proofErr w:type="spellEnd"/>
      <w:r w:rsidRPr="000B697A">
        <w:rPr>
          <w:rFonts w:cs="Calibri"/>
        </w:rPr>
        <w:t xml:space="preserve"> </w:t>
      </w:r>
      <w:proofErr w:type="spellStart"/>
      <w:r w:rsidRPr="000B697A">
        <w:rPr>
          <w:rFonts w:cs="Calibri"/>
        </w:rPr>
        <w:t>вр</w:t>
      </w:r>
      <w:proofErr w:type="spellEnd"/>
      <w:r w:rsidRPr="000B697A">
        <w:rPr>
          <w:rFonts w:cs="Calibri"/>
        </w:rPr>
        <w:t xml:space="preserve">. с </w:t>
      </w:r>
      <w:proofErr w:type="spellStart"/>
      <w:r w:rsidRPr="000B697A">
        <w:rPr>
          <w:rFonts w:cs="Calibri"/>
        </w:rPr>
        <w:t>чл</w:t>
      </w:r>
      <w:proofErr w:type="spellEnd"/>
      <w:r w:rsidRPr="000B697A">
        <w:rPr>
          <w:rFonts w:cs="Calibri"/>
        </w:rPr>
        <w:t xml:space="preserve">. 7 </w:t>
      </w:r>
      <w:proofErr w:type="spellStart"/>
      <w:r w:rsidRPr="000B697A">
        <w:rPr>
          <w:rFonts w:cs="Calibri"/>
        </w:rPr>
        <w:t>от</w:t>
      </w:r>
      <w:proofErr w:type="spellEnd"/>
      <w:r w:rsidRPr="000B697A">
        <w:rPr>
          <w:rFonts w:cs="Calibri"/>
        </w:rPr>
        <w:t xml:space="preserve"> </w:t>
      </w:r>
      <w:proofErr w:type="spellStart"/>
      <w:r w:rsidRPr="000B697A">
        <w:rPr>
          <w:rFonts w:cs="Calibri"/>
        </w:rPr>
        <w:t>Регламент</w:t>
      </w:r>
      <w:proofErr w:type="spellEnd"/>
      <w:r w:rsidRPr="000B697A">
        <w:rPr>
          <w:rFonts w:cs="Calibri"/>
        </w:rPr>
        <w:t xml:space="preserve"> №596/2014 </w:t>
      </w:r>
      <w:proofErr w:type="spellStart"/>
      <w:r w:rsidRPr="000B697A">
        <w:rPr>
          <w:rFonts w:cs="Calibri"/>
        </w:rPr>
        <w:t>на</w:t>
      </w:r>
      <w:proofErr w:type="spellEnd"/>
      <w:r w:rsidRPr="000B697A">
        <w:rPr>
          <w:rFonts w:cs="Calibri"/>
        </w:rPr>
        <w:t xml:space="preserve"> ЕП и </w:t>
      </w:r>
      <w:proofErr w:type="spellStart"/>
      <w:r w:rsidRPr="000B697A">
        <w:rPr>
          <w:rFonts w:cs="Calibri"/>
        </w:rPr>
        <w:t>на</w:t>
      </w:r>
      <w:proofErr w:type="spellEnd"/>
      <w:r w:rsidRPr="000B697A">
        <w:rPr>
          <w:rFonts w:cs="Calibri"/>
        </w:rPr>
        <w:t xml:space="preserve"> </w:t>
      </w:r>
      <w:proofErr w:type="spellStart"/>
      <w:r w:rsidRPr="000B697A">
        <w:rPr>
          <w:rFonts w:cs="Calibri"/>
        </w:rPr>
        <w:t>Съвета</w:t>
      </w:r>
      <w:proofErr w:type="spellEnd"/>
      <w:r w:rsidRPr="000B697A">
        <w:rPr>
          <w:rFonts w:cs="Calibri"/>
        </w:rPr>
        <w:t>;</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17.05.2018 - </w:t>
      </w:r>
      <w:proofErr w:type="spellStart"/>
      <w:r w:rsidRPr="000B697A">
        <w:rPr>
          <w:rFonts w:cs="Calibri"/>
        </w:rPr>
        <w:t>Публикация</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поканата</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свикване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общо</w:t>
      </w:r>
      <w:proofErr w:type="spellEnd"/>
      <w:r w:rsidRPr="000B697A">
        <w:rPr>
          <w:rFonts w:cs="Calibri"/>
        </w:rPr>
        <w:t xml:space="preserve"> </w:t>
      </w:r>
      <w:proofErr w:type="spellStart"/>
      <w:r w:rsidRPr="000B697A">
        <w:rPr>
          <w:rFonts w:cs="Calibri"/>
        </w:rPr>
        <w:t>събрание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акционерите</w:t>
      </w:r>
      <w:proofErr w:type="spellEnd"/>
      <w:r w:rsidRPr="000B697A">
        <w:rPr>
          <w:rFonts w:cs="Calibri"/>
        </w:rPr>
        <w:t>;</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17.05.2018 - </w:t>
      </w:r>
      <w:proofErr w:type="spellStart"/>
      <w:r w:rsidRPr="000B697A">
        <w:rPr>
          <w:rFonts w:cs="Calibri"/>
        </w:rPr>
        <w:t>Представяне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покана</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свикване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общо</w:t>
      </w:r>
      <w:proofErr w:type="spellEnd"/>
      <w:r w:rsidRPr="000B697A">
        <w:rPr>
          <w:rFonts w:cs="Calibri"/>
        </w:rPr>
        <w:t xml:space="preserve"> </w:t>
      </w:r>
      <w:proofErr w:type="spellStart"/>
      <w:r w:rsidRPr="000B697A">
        <w:rPr>
          <w:rFonts w:cs="Calibri"/>
        </w:rPr>
        <w:t>събрание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акционерите</w:t>
      </w:r>
      <w:proofErr w:type="spellEnd"/>
      <w:r w:rsidRPr="000B697A">
        <w:rPr>
          <w:rFonts w:cs="Calibri"/>
        </w:rPr>
        <w:t xml:space="preserve"> и </w:t>
      </w:r>
      <w:proofErr w:type="spellStart"/>
      <w:r w:rsidRPr="000B697A">
        <w:rPr>
          <w:rFonts w:cs="Calibri"/>
        </w:rPr>
        <w:t>материали</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общо</w:t>
      </w:r>
      <w:proofErr w:type="spellEnd"/>
      <w:r w:rsidRPr="000B697A">
        <w:rPr>
          <w:rFonts w:cs="Calibri"/>
        </w:rPr>
        <w:t xml:space="preserve"> </w:t>
      </w:r>
      <w:proofErr w:type="spellStart"/>
      <w:r w:rsidRPr="000B697A">
        <w:rPr>
          <w:rFonts w:cs="Calibri"/>
        </w:rPr>
        <w:t>събрание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акционерите</w:t>
      </w:r>
      <w:proofErr w:type="spellEnd"/>
      <w:r w:rsidRPr="000B697A">
        <w:rPr>
          <w:rFonts w:cs="Calibri"/>
        </w:rPr>
        <w:t>;</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28.05.2018 - </w:t>
      </w:r>
      <w:proofErr w:type="spellStart"/>
      <w:r w:rsidRPr="000B697A">
        <w:rPr>
          <w:rFonts w:cs="Calibri"/>
        </w:rPr>
        <w:t>Вътрешна</w:t>
      </w:r>
      <w:proofErr w:type="spellEnd"/>
      <w:r w:rsidRPr="000B697A">
        <w:rPr>
          <w:rFonts w:cs="Calibri"/>
        </w:rPr>
        <w:t xml:space="preserve"> </w:t>
      </w:r>
      <w:proofErr w:type="spellStart"/>
      <w:r w:rsidRPr="000B697A">
        <w:rPr>
          <w:rFonts w:cs="Calibri"/>
        </w:rPr>
        <w:t>информация</w:t>
      </w:r>
      <w:proofErr w:type="spellEnd"/>
      <w:r w:rsidRPr="000B697A">
        <w:rPr>
          <w:rFonts w:cs="Calibri"/>
        </w:rPr>
        <w:t xml:space="preserve"> </w:t>
      </w:r>
      <w:proofErr w:type="spellStart"/>
      <w:r w:rsidRPr="000B697A">
        <w:rPr>
          <w:rFonts w:cs="Calibri"/>
        </w:rPr>
        <w:t>по</w:t>
      </w:r>
      <w:proofErr w:type="spellEnd"/>
      <w:r w:rsidRPr="000B697A">
        <w:rPr>
          <w:rFonts w:cs="Calibri"/>
        </w:rPr>
        <w:t xml:space="preserve"> </w:t>
      </w:r>
      <w:proofErr w:type="spellStart"/>
      <w:r w:rsidRPr="000B697A">
        <w:rPr>
          <w:rFonts w:cs="Calibri"/>
        </w:rPr>
        <w:t>чл</w:t>
      </w:r>
      <w:proofErr w:type="spellEnd"/>
      <w:r w:rsidRPr="000B697A">
        <w:rPr>
          <w:rFonts w:cs="Calibri"/>
        </w:rPr>
        <w:t xml:space="preserve">. 17, §1, </w:t>
      </w:r>
      <w:proofErr w:type="spellStart"/>
      <w:r w:rsidRPr="000B697A">
        <w:rPr>
          <w:rFonts w:cs="Calibri"/>
        </w:rPr>
        <w:t>във</w:t>
      </w:r>
      <w:proofErr w:type="spellEnd"/>
      <w:r w:rsidRPr="000B697A">
        <w:rPr>
          <w:rFonts w:cs="Calibri"/>
        </w:rPr>
        <w:t xml:space="preserve"> </w:t>
      </w:r>
      <w:proofErr w:type="spellStart"/>
      <w:r w:rsidRPr="000B697A">
        <w:rPr>
          <w:rFonts w:cs="Calibri"/>
        </w:rPr>
        <w:t>вр</w:t>
      </w:r>
      <w:proofErr w:type="spellEnd"/>
      <w:r w:rsidRPr="000B697A">
        <w:rPr>
          <w:rFonts w:cs="Calibri"/>
        </w:rPr>
        <w:t xml:space="preserve">. с </w:t>
      </w:r>
      <w:proofErr w:type="spellStart"/>
      <w:r w:rsidRPr="000B697A">
        <w:rPr>
          <w:rFonts w:cs="Calibri"/>
        </w:rPr>
        <w:t>чл</w:t>
      </w:r>
      <w:proofErr w:type="spellEnd"/>
      <w:r w:rsidRPr="000B697A">
        <w:rPr>
          <w:rFonts w:cs="Calibri"/>
        </w:rPr>
        <w:t xml:space="preserve">. 7 </w:t>
      </w:r>
      <w:proofErr w:type="spellStart"/>
      <w:r w:rsidRPr="000B697A">
        <w:rPr>
          <w:rFonts w:cs="Calibri"/>
        </w:rPr>
        <w:t>от</w:t>
      </w:r>
      <w:proofErr w:type="spellEnd"/>
      <w:r w:rsidRPr="000B697A">
        <w:rPr>
          <w:rFonts w:cs="Calibri"/>
        </w:rPr>
        <w:t xml:space="preserve"> </w:t>
      </w:r>
      <w:proofErr w:type="spellStart"/>
      <w:r w:rsidRPr="000B697A">
        <w:rPr>
          <w:rFonts w:cs="Calibri"/>
        </w:rPr>
        <w:t>Регламент</w:t>
      </w:r>
      <w:proofErr w:type="spellEnd"/>
      <w:r w:rsidRPr="000B697A">
        <w:rPr>
          <w:rFonts w:cs="Calibri"/>
        </w:rPr>
        <w:t xml:space="preserve"> №596/2014 </w:t>
      </w:r>
      <w:proofErr w:type="spellStart"/>
      <w:r w:rsidRPr="000B697A">
        <w:rPr>
          <w:rFonts w:cs="Calibri"/>
        </w:rPr>
        <w:t>на</w:t>
      </w:r>
      <w:proofErr w:type="spellEnd"/>
      <w:r w:rsidRPr="000B697A">
        <w:rPr>
          <w:rFonts w:cs="Calibri"/>
        </w:rPr>
        <w:t xml:space="preserve"> ЕП и </w:t>
      </w:r>
      <w:proofErr w:type="spellStart"/>
      <w:r w:rsidRPr="000B697A">
        <w:rPr>
          <w:rFonts w:cs="Calibri"/>
        </w:rPr>
        <w:t>на</w:t>
      </w:r>
      <w:proofErr w:type="spellEnd"/>
      <w:r w:rsidRPr="000B697A">
        <w:rPr>
          <w:rFonts w:cs="Calibri"/>
        </w:rPr>
        <w:t xml:space="preserve"> </w:t>
      </w:r>
      <w:proofErr w:type="spellStart"/>
      <w:r w:rsidRPr="000B697A">
        <w:rPr>
          <w:rFonts w:cs="Calibri"/>
        </w:rPr>
        <w:t>Съвета</w:t>
      </w:r>
      <w:proofErr w:type="spellEnd"/>
      <w:r w:rsidRPr="000B697A">
        <w:rPr>
          <w:rFonts w:cs="Calibri"/>
        </w:rPr>
        <w:t>;</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28.05.2018 - </w:t>
      </w:r>
      <w:proofErr w:type="spellStart"/>
      <w:r w:rsidRPr="000B697A">
        <w:rPr>
          <w:rFonts w:cs="Calibri"/>
        </w:rPr>
        <w:t>Тримесечен</w:t>
      </w:r>
      <w:proofErr w:type="spellEnd"/>
      <w:r w:rsidRPr="000B697A">
        <w:rPr>
          <w:rFonts w:cs="Calibri"/>
        </w:rPr>
        <w:t xml:space="preserve"> </w:t>
      </w:r>
      <w:proofErr w:type="spellStart"/>
      <w:r w:rsidRPr="000B697A">
        <w:rPr>
          <w:rFonts w:cs="Calibri"/>
        </w:rPr>
        <w:t>консолидиран</w:t>
      </w:r>
      <w:proofErr w:type="spellEnd"/>
      <w:r w:rsidRPr="000B697A">
        <w:rPr>
          <w:rFonts w:cs="Calibri"/>
        </w:rPr>
        <w:t xml:space="preserve"> </w:t>
      </w:r>
      <w:proofErr w:type="spellStart"/>
      <w:r w:rsidRPr="000B697A">
        <w:rPr>
          <w:rFonts w:cs="Calibri"/>
        </w:rPr>
        <w:t>отчет</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първо</w:t>
      </w:r>
      <w:proofErr w:type="spellEnd"/>
      <w:r w:rsidRPr="000B697A">
        <w:rPr>
          <w:rFonts w:cs="Calibri"/>
        </w:rPr>
        <w:t xml:space="preserve"> </w:t>
      </w:r>
      <w:proofErr w:type="spellStart"/>
      <w:r w:rsidRPr="000B697A">
        <w:rPr>
          <w:rFonts w:cs="Calibri"/>
        </w:rPr>
        <w:t>тримесечие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2018 г.;</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05.06.2018 - </w:t>
      </w:r>
      <w:proofErr w:type="spellStart"/>
      <w:r w:rsidRPr="000B697A">
        <w:rPr>
          <w:rFonts w:cs="Calibri"/>
        </w:rPr>
        <w:t>Представяне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актуализирана</w:t>
      </w:r>
      <w:proofErr w:type="spellEnd"/>
      <w:r w:rsidRPr="000B697A">
        <w:rPr>
          <w:rFonts w:cs="Calibri"/>
        </w:rPr>
        <w:t xml:space="preserve"> </w:t>
      </w:r>
      <w:proofErr w:type="spellStart"/>
      <w:r w:rsidRPr="000B697A">
        <w:rPr>
          <w:rFonts w:cs="Calibri"/>
        </w:rPr>
        <w:t>покана</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свикване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общо</w:t>
      </w:r>
      <w:proofErr w:type="spellEnd"/>
      <w:r w:rsidRPr="000B697A">
        <w:rPr>
          <w:rFonts w:cs="Calibri"/>
        </w:rPr>
        <w:t xml:space="preserve"> </w:t>
      </w:r>
      <w:proofErr w:type="spellStart"/>
      <w:r w:rsidRPr="000B697A">
        <w:rPr>
          <w:rFonts w:cs="Calibri"/>
        </w:rPr>
        <w:t>събрание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акционерите</w:t>
      </w:r>
      <w:proofErr w:type="spellEnd"/>
      <w:r w:rsidRPr="000B697A">
        <w:rPr>
          <w:rFonts w:cs="Calibri"/>
        </w:rPr>
        <w:t xml:space="preserve"> и </w:t>
      </w:r>
      <w:proofErr w:type="spellStart"/>
      <w:r w:rsidRPr="000B697A">
        <w:rPr>
          <w:rFonts w:cs="Calibri"/>
        </w:rPr>
        <w:t>материали</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общо</w:t>
      </w:r>
      <w:proofErr w:type="spellEnd"/>
      <w:r w:rsidRPr="000B697A">
        <w:rPr>
          <w:rFonts w:cs="Calibri"/>
        </w:rPr>
        <w:t xml:space="preserve"> </w:t>
      </w:r>
      <w:proofErr w:type="spellStart"/>
      <w:r w:rsidRPr="000B697A">
        <w:rPr>
          <w:rFonts w:cs="Calibri"/>
        </w:rPr>
        <w:t>събрание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акционерите</w:t>
      </w:r>
      <w:proofErr w:type="spellEnd"/>
      <w:r w:rsidRPr="000B697A">
        <w:rPr>
          <w:rFonts w:cs="Calibri"/>
        </w:rPr>
        <w:t>;</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05.06.2018 - </w:t>
      </w:r>
      <w:proofErr w:type="spellStart"/>
      <w:r w:rsidRPr="000B697A">
        <w:rPr>
          <w:rFonts w:cs="Calibri"/>
        </w:rPr>
        <w:t>Публикация</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актуализираната</w:t>
      </w:r>
      <w:proofErr w:type="spellEnd"/>
      <w:r w:rsidRPr="000B697A">
        <w:rPr>
          <w:rFonts w:cs="Calibri"/>
        </w:rPr>
        <w:t xml:space="preserve"> </w:t>
      </w:r>
      <w:proofErr w:type="spellStart"/>
      <w:r w:rsidRPr="000B697A">
        <w:rPr>
          <w:rFonts w:cs="Calibri"/>
        </w:rPr>
        <w:t>покана</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свикване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общо</w:t>
      </w:r>
      <w:proofErr w:type="spellEnd"/>
      <w:r w:rsidRPr="000B697A">
        <w:rPr>
          <w:rFonts w:cs="Calibri"/>
        </w:rPr>
        <w:t xml:space="preserve"> </w:t>
      </w:r>
      <w:proofErr w:type="spellStart"/>
      <w:r w:rsidRPr="000B697A">
        <w:rPr>
          <w:rFonts w:cs="Calibri"/>
        </w:rPr>
        <w:t>събрание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акционерите</w:t>
      </w:r>
      <w:proofErr w:type="spellEnd"/>
      <w:r w:rsidRPr="000B697A">
        <w:rPr>
          <w:rFonts w:cs="Calibri"/>
        </w:rPr>
        <w:t>;</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18.06.2018 - </w:t>
      </w:r>
      <w:proofErr w:type="spellStart"/>
      <w:r w:rsidRPr="000B697A">
        <w:rPr>
          <w:rFonts w:cs="Calibri"/>
        </w:rPr>
        <w:t>Вътрешна</w:t>
      </w:r>
      <w:proofErr w:type="spellEnd"/>
      <w:r w:rsidRPr="000B697A">
        <w:rPr>
          <w:rFonts w:cs="Calibri"/>
        </w:rPr>
        <w:t xml:space="preserve"> </w:t>
      </w:r>
      <w:proofErr w:type="spellStart"/>
      <w:r w:rsidRPr="000B697A">
        <w:rPr>
          <w:rFonts w:cs="Calibri"/>
        </w:rPr>
        <w:t>информация</w:t>
      </w:r>
      <w:proofErr w:type="spellEnd"/>
      <w:r w:rsidRPr="000B697A">
        <w:rPr>
          <w:rFonts w:cs="Calibri"/>
        </w:rPr>
        <w:t xml:space="preserve"> </w:t>
      </w:r>
      <w:proofErr w:type="spellStart"/>
      <w:r w:rsidRPr="000B697A">
        <w:rPr>
          <w:rFonts w:cs="Calibri"/>
        </w:rPr>
        <w:t>по</w:t>
      </w:r>
      <w:proofErr w:type="spellEnd"/>
      <w:r w:rsidRPr="000B697A">
        <w:rPr>
          <w:rFonts w:cs="Calibri"/>
        </w:rPr>
        <w:t xml:space="preserve"> </w:t>
      </w:r>
      <w:proofErr w:type="spellStart"/>
      <w:r w:rsidRPr="000B697A">
        <w:rPr>
          <w:rFonts w:cs="Calibri"/>
        </w:rPr>
        <w:t>чл</w:t>
      </w:r>
      <w:proofErr w:type="spellEnd"/>
      <w:r w:rsidRPr="000B697A">
        <w:rPr>
          <w:rFonts w:cs="Calibri"/>
        </w:rPr>
        <w:t xml:space="preserve">. 17, §1, </w:t>
      </w:r>
      <w:proofErr w:type="spellStart"/>
      <w:r w:rsidRPr="000B697A">
        <w:rPr>
          <w:rFonts w:cs="Calibri"/>
        </w:rPr>
        <w:t>във</w:t>
      </w:r>
      <w:proofErr w:type="spellEnd"/>
      <w:r w:rsidRPr="000B697A">
        <w:rPr>
          <w:rFonts w:cs="Calibri"/>
        </w:rPr>
        <w:t xml:space="preserve"> </w:t>
      </w:r>
      <w:proofErr w:type="spellStart"/>
      <w:r w:rsidRPr="000B697A">
        <w:rPr>
          <w:rFonts w:cs="Calibri"/>
        </w:rPr>
        <w:t>вр</w:t>
      </w:r>
      <w:proofErr w:type="spellEnd"/>
      <w:r w:rsidRPr="000B697A">
        <w:rPr>
          <w:rFonts w:cs="Calibri"/>
        </w:rPr>
        <w:t xml:space="preserve">. с </w:t>
      </w:r>
      <w:proofErr w:type="spellStart"/>
      <w:r w:rsidRPr="000B697A">
        <w:rPr>
          <w:rFonts w:cs="Calibri"/>
        </w:rPr>
        <w:t>чл</w:t>
      </w:r>
      <w:proofErr w:type="spellEnd"/>
      <w:r w:rsidRPr="000B697A">
        <w:rPr>
          <w:rFonts w:cs="Calibri"/>
        </w:rPr>
        <w:t xml:space="preserve">. 7 </w:t>
      </w:r>
      <w:proofErr w:type="spellStart"/>
      <w:r w:rsidRPr="000B697A">
        <w:rPr>
          <w:rFonts w:cs="Calibri"/>
        </w:rPr>
        <w:t>от</w:t>
      </w:r>
      <w:proofErr w:type="spellEnd"/>
      <w:r w:rsidRPr="000B697A">
        <w:rPr>
          <w:rFonts w:cs="Calibri"/>
        </w:rPr>
        <w:t xml:space="preserve"> </w:t>
      </w:r>
      <w:proofErr w:type="spellStart"/>
      <w:r w:rsidRPr="000B697A">
        <w:rPr>
          <w:rFonts w:cs="Calibri"/>
        </w:rPr>
        <w:t>Регламент</w:t>
      </w:r>
      <w:proofErr w:type="spellEnd"/>
      <w:r w:rsidRPr="000B697A">
        <w:rPr>
          <w:rFonts w:cs="Calibri"/>
        </w:rPr>
        <w:t xml:space="preserve"> №596/2014 </w:t>
      </w:r>
      <w:proofErr w:type="spellStart"/>
      <w:r w:rsidRPr="000B697A">
        <w:rPr>
          <w:rFonts w:cs="Calibri"/>
        </w:rPr>
        <w:t>на</w:t>
      </w:r>
      <w:proofErr w:type="spellEnd"/>
      <w:r w:rsidRPr="000B697A">
        <w:rPr>
          <w:rFonts w:cs="Calibri"/>
        </w:rPr>
        <w:t xml:space="preserve"> ЕП и </w:t>
      </w:r>
      <w:proofErr w:type="spellStart"/>
      <w:r w:rsidRPr="000B697A">
        <w:rPr>
          <w:rFonts w:cs="Calibri"/>
        </w:rPr>
        <w:t>на</w:t>
      </w:r>
      <w:proofErr w:type="spellEnd"/>
      <w:r w:rsidRPr="000B697A">
        <w:rPr>
          <w:rFonts w:cs="Calibri"/>
        </w:rPr>
        <w:t xml:space="preserve"> </w:t>
      </w:r>
      <w:proofErr w:type="spellStart"/>
      <w:r w:rsidRPr="000B697A">
        <w:rPr>
          <w:rFonts w:cs="Calibri"/>
        </w:rPr>
        <w:t>Съвета</w:t>
      </w:r>
      <w:proofErr w:type="spellEnd"/>
      <w:r w:rsidRPr="000B697A">
        <w:rPr>
          <w:rFonts w:cs="Calibri"/>
        </w:rPr>
        <w:t>;</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21.06.2018 - </w:t>
      </w:r>
      <w:proofErr w:type="spellStart"/>
      <w:r w:rsidRPr="000B697A">
        <w:rPr>
          <w:rFonts w:cs="Calibri"/>
        </w:rPr>
        <w:t>Протокол</w:t>
      </w:r>
      <w:proofErr w:type="spellEnd"/>
      <w:r w:rsidRPr="000B697A">
        <w:rPr>
          <w:rFonts w:cs="Calibri"/>
        </w:rPr>
        <w:t xml:space="preserve"> </w:t>
      </w:r>
      <w:proofErr w:type="spellStart"/>
      <w:r w:rsidRPr="000B697A">
        <w:rPr>
          <w:rFonts w:cs="Calibri"/>
        </w:rPr>
        <w:t>от</w:t>
      </w:r>
      <w:proofErr w:type="spellEnd"/>
      <w:r w:rsidRPr="000B697A">
        <w:rPr>
          <w:rFonts w:cs="Calibri"/>
        </w:rPr>
        <w:t xml:space="preserve"> </w:t>
      </w:r>
      <w:proofErr w:type="spellStart"/>
      <w:r w:rsidRPr="000B697A">
        <w:rPr>
          <w:rFonts w:cs="Calibri"/>
        </w:rPr>
        <w:t>общо</w:t>
      </w:r>
      <w:proofErr w:type="spellEnd"/>
      <w:r w:rsidRPr="000B697A">
        <w:rPr>
          <w:rFonts w:cs="Calibri"/>
        </w:rPr>
        <w:t xml:space="preserve"> </w:t>
      </w:r>
      <w:proofErr w:type="spellStart"/>
      <w:r w:rsidRPr="000B697A">
        <w:rPr>
          <w:rFonts w:cs="Calibri"/>
        </w:rPr>
        <w:t>събрание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акционерите</w:t>
      </w:r>
      <w:proofErr w:type="spellEnd"/>
      <w:r w:rsidRPr="000B697A">
        <w:rPr>
          <w:rFonts w:cs="Calibri"/>
        </w:rPr>
        <w:t>.</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09.07.2018 г. - </w:t>
      </w:r>
      <w:proofErr w:type="spellStart"/>
      <w:r w:rsidRPr="000B697A">
        <w:rPr>
          <w:rFonts w:cs="Calibri"/>
        </w:rPr>
        <w:t>Друга</w:t>
      </w:r>
      <w:proofErr w:type="spellEnd"/>
      <w:r w:rsidRPr="000B697A">
        <w:rPr>
          <w:rFonts w:cs="Calibri"/>
        </w:rPr>
        <w:t xml:space="preserve"> </w:t>
      </w:r>
      <w:proofErr w:type="spellStart"/>
      <w:r w:rsidRPr="000B697A">
        <w:rPr>
          <w:rFonts w:cs="Calibri"/>
        </w:rPr>
        <w:t>нерегулирана</w:t>
      </w:r>
      <w:proofErr w:type="spellEnd"/>
      <w:r w:rsidRPr="000B697A">
        <w:rPr>
          <w:rFonts w:cs="Calibri"/>
        </w:rPr>
        <w:t xml:space="preserve"> </w:t>
      </w:r>
      <w:proofErr w:type="spellStart"/>
      <w:r w:rsidRPr="000B697A">
        <w:rPr>
          <w:rFonts w:cs="Calibri"/>
        </w:rPr>
        <w:t>информация</w:t>
      </w:r>
      <w:proofErr w:type="spellEnd"/>
      <w:r w:rsidRPr="000B697A">
        <w:rPr>
          <w:rFonts w:cs="Calibri"/>
        </w:rPr>
        <w:t>;</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27.07.2018 г. - </w:t>
      </w:r>
      <w:proofErr w:type="spellStart"/>
      <w:r w:rsidRPr="000B697A">
        <w:rPr>
          <w:rFonts w:cs="Calibri"/>
        </w:rPr>
        <w:t>Тримесечен</w:t>
      </w:r>
      <w:proofErr w:type="spellEnd"/>
      <w:r w:rsidRPr="000B697A">
        <w:rPr>
          <w:rFonts w:cs="Calibri"/>
        </w:rPr>
        <w:t xml:space="preserve"> </w:t>
      </w:r>
      <w:proofErr w:type="spellStart"/>
      <w:r w:rsidRPr="000B697A">
        <w:rPr>
          <w:rFonts w:cs="Calibri"/>
        </w:rPr>
        <w:t>отчет</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второ</w:t>
      </w:r>
      <w:proofErr w:type="spellEnd"/>
      <w:r w:rsidRPr="000B697A">
        <w:rPr>
          <w:rFonts w:cs="Calibri"/>
        </w:rPr>
        <w:t xml:space="preserve"> </w:t>
      </w:r>
      <w:proofErr w:type="spellStart"/>
      <w:r w:rsidRPr="000B697A">
        <w:rPr>
          <w:rFonts w:cs="Calibri"/>
        </w:rPr>
        <w:t>тримесечие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2018 г.;</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20.08.2018 г. - </w:t>
      </w:r>
      <w:proofErr w:type="spellStart"/>
      <w:r w:rsidRPr="000B697A">
        <w:rPr>
          <w:rFonts w:cs="Calibri"/>
        </w:rPr>
        <w:t>Уведомление</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паричен</w:t>
      </w:r>
      <w:proofErr w:type="spellEnd"/>
      <w:r w:rsidRPr="000B697A">
        <w:rPr>
          <w:rFonts w:cs="Calibri"/>
        </w:rPr>
        <w:t xml:space="preserve"> </w:t>
      </w:r>
      <w:proofErr w:type="spellStart"/>
      <w:r w:rsidRPr="000B697A">
        <w:rPr>
          <w:rFonts w:cs="Calibri"/>
        </w:rPr>
        <w:t>дивидент</w:t>
      </w:r>
      <w:proofErr w:type="spellEnd"/>
      <w:r w:rsidRPr="000B697A">
        <w:rPr>
          <w:rFonts w:cs="Calibri"/>
        </w:rPr>
        <w:t>;</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27.08.2018 г. - </w:t>
      </w:r>
      <w:proofErr w:type="spellStart"/>
      <w:r w:rsidRPr="000B697A">
        <w:rPr>
          <w:rFonts w:cs="Calibri"/>
        </w:rPr>
        <w:t>Тримесечен</w:t>
      </w:r>
      <w:proofErr w:type="spellEnd"/>
      <w:r w:rsidRPr="000B697A">
        <w:rPr>
          <w:rFonts w:cs="Calibri"/>
        </w:rPr>
        <w:t xml:space="preserve"> </w:t>
      </w:r>
      <w:proofErr w:type="spellStart"/>
      <w:r w:rsidRPr="000B697A">
        <w:rPr>
          <w:rFonts w:cs="Calibri"/>
        </w:rPr>
        <w:t>консолидиран</w:t>
      </w:r>
      <w:proofErr w:type="spellEnd"/>
      <w:r w:rsidRPr="000B697A">
        <w:rPr>
          <w:rFonts w:cs="Calibri"/>
        </w:rPr>
        <w:t xml:space="preserve"> </w:t>
      </w:r>
      <w:proofErr w:type="spellStart"/>
      <w:r w:rsidRPr="000B697A">
        <w:rPr>
          <w:rFonts w:cs="Calibri"/>
        </w:rPr>
        <w:t>отчет</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второ</w:t>
      </w:r>
      <w:proofErr w:type="spellEnd"/>
      <w:r w:rsidRPr="000B697A">
        <w:rPr>
          <w:rFonts w:cs="Calibri"/>
        </w:rPr>
        <w:t xml:space="preserve"> </w:t>
      </w:r>
      <w:proofErr w:type="spellStart"/>
      <w:r w:rsidRPr="000B697A">
        <w:rPr>
          <w:rFonts w:cs="Calibri"/>
        </w:rPr>
        <w:t>тримесечие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2018 г.;</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10.09.2018 г. - </w:t>
      </w:r>
      <w:proofErr w:type="spellStart"/>
      <w:r w:rsidRPr="000B697A">
        <w:rPr>
          <w:rFonts w:cs="Calibri"/>
        </w:rPr>
        <w:t>Вътрешна</w:t>
      </w:r>
      <w:proofErr w:type="spellEnd"/>
      <w:r w:rsidRPr="000B697A">
        <w:rPr>
          <w:rFonts w:cs="Calibri"/>
        </w:rPr>
        <w:t xml:space="preserve"> </w:t>
      </w:r>
      <w:proofErr w:type="spellStart"/>
      <w:r w:rsidRPr="000B697A">
        <w:rPr>
          <w:rFonts w:cs="Calibri"/>
        </w:rPr>
        <w:t>информация</w:t>
      </w:r>
      <w:proofErr w:type="spellEnd"/>
      <w:r w:rsidRPr="000B697A">
        <w:rPr>
          <w:rFonts w:cs="Calibri"/>
        </w:rPr>
        <w:t xml:space="preserve"> </w:t>
      </w:r>
      <w:proofErr w:type="spellStart"/>
      <w:r w:rsidRPr="000B697A">
        <w:rPr>
          <w:rFonts w:cs="Calibri"/>
        </w:rPr>
        <w:t>по</w:t>
      </w:r>
      <w:proofErr w:type="spellEnd"/>
      <w:r w:rsidRPr="000B697A">
        <w:rPr>
          <w:rFonts w:cs="Calibri"/>
        </w:rPr>
        <w:t xml:space="preserve"> </w:t>
      </w:r>
      <w:proofErr w:type="spellStart"/>
      <w:r w:rsidRPr="000B697A">
        <w:rPr>
          <w:rFonts w:cs="Calibri"/>
        </w:rPr>
        <w:t>чл</w:t>
      </w:r>
      <w:proofErr w:type="spellEnd"/>
      <w:r w:rsidRPr="000B697A">
        <w:rPr>
          <w:rFonts w:cs="Calibri"/>
        </w:rPr>
        <w:t xml:space="preserve">. 17, §1, </w:t>
      </w:r>
      <w:proofErr w:type="spellStart"/>
      <w:r w:rsidRPr="000B697A">
        <w:rPr>
          <w:rFonts w:cs="Calibri"/>
        </w:rPr>
        <w:t>във</w:t>
      </w:r>
      <w:proofErr w:type="spellEnd"/>
      <w:r w:rsidRPr="000B697A">
        <w:rPr>
          <w:rFonts w:cs="Calibri"/>
        </w:rPr>
        <w:t xml:space="preserve"> </w:t>
      </w:r>
      <w:proofErr w:type="spellStart"/>
      <w:r w:rsidRPr="000B697A">
        <w:rPr>
          <w:rFonts w:cs="Calibri"/>
        </w:rPr>
        <w:t>вр</w:t>
      </w:r>
      <w:proofErr w:type="spellEnd"/>
      <w:r w:rsidRPr="000B697A">
        <w:rPr>
          <w:rFonts w:cs="Calibri"/>
        </w:rPr>
        <w:t xml:space="preserve">. с </w:t>
      </w:r>
      <w:proofErr w:type="spellStart"/>
      <w:r w:rsidRPr="000B697A">
        <w:rPr>
          <w:rFonts w:cs="Calibri"/>
        </w:rPr>
        <w:t>чл</w:t>
      </w:r>
      <w:proofErr w:type="spellEnd"/>
      <w:r w:rsidRPr="000B697A">
        <w:rPr>
          <w:rFonts w:cs="Calibri"/>
        </w:rPr>
        <w:t xml:space="preserve">. 7 </w:t>
      </w:r>
      <w:proofErr w:type="spellStart"/>
      <w:r w:rsidRPr="000B697A">
        <w:rPr>
          <w:rFonts w:cs="Calibri"/>
        </w:rPr>
        <w:t>от</w:t>
      </w:r>
      <w:proofErr w:type="spellEnd"/>
      <w:r w:rsidRPr="000B697A">
        <w:rPr>
          <w:rFonts w:cs="Calibri"/>
        </w:rPr>
        <w:t xml:space="preserve"> </w:t>
      </w:r>
      <w:proofErr w:type="spellStart"/>
      <w:r w:rsidRPr="000B697A">
        <w:rPr>
          <w:rFonts w:cs="Calibri"/>
        </w:rPr>
        <w:t>Регламент</w:t>
      </w:r>
      <w:proofErr w:type="spellEnd"/>
      <w:r w:rsidRPr="000B697A">
        <w:rPr>
          <w:rFonts w:cs="Calibri"/>
        </w:rPr>
        <w:t xml:space="preserve"> №596/2014 </w:t>
      </w:r>
      <w:proofErr w:type="spellStart"/>
      <w:r w:rsidRPr="000B697A">
        <w:rPr>
          <w:rFonts w:cs="Calibri"/>
        </w:rPr>
        <w:t>на</w:t>
      </w:r>
      <w:proofErr w:type="spellEnd"/>
      <w:r w:rsidRPr="000B697A">
        <w:rPr>
          <w:rFonts w:cs="Calibri"/>
        </w:rPr>
        <w:t xml:space="preserve"> ЕП и </w:t>
      </w:r>
      <w:proofErr w:type="spellStart"/>
      <w:r w:rsidRPr="000B697A">
        <w:rPr>
          <w:rFonts w:cs="Calibri"/>
        </w:rPr>
        <w:t>на</w:t>
      </w:r>
      <w:proofErr w:type="spellEnd"/>
      <w:r w:rsidRPr="000B697A">
        <w:rPr>
          <w:rFonts w:cs="Calibri"/>
        </w:rPr>
        <w:t xml:space="preserve"> </w:t>
      </w:r>
      <w:proofErr w:type="spellStart"/>
      <w:r w:rsidRPr="000B697A">
        <w:rPr>
          <w:rFonts w:cs="Calibri"/>
        </w:rPr>
        <w:t>Съвета</w:t>
      </w:r>
      <w:proofErr w:type="spellEnd"/>
      <w:r w:rsidRPr="000B697A">
        <w:rPr>
          <w:rFonts w:cs="Calibri"/>
        </w:rPr>
        <w:t>.</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29.10.2018 г. - </w:t>
      </w:r>
      <w:proofErr w:type="spellStart"/>
      <w:r w:rsidRPr="000B697A">
        <w:rPr>
          <w:rFonts w:cs="Calibri"/>
        </w:rPr>
        <w:t>Друга</w:t>
      </w:r>
      <w:proofErr w:type="spellEnd"/>
      <w:r w:rsidRPr="000B697A">
        <w:rPr>
          <w:rFonts w:cs="Calibri"/>
        </w:rPr>
        <w:t xml:space="preserve"> </w:t>
      </w:r>
      <w:proofErr w:type="spellStart"/>
      <w:r w:rsidRPr="000B697A">
        <w:rPr>
          <w:rFonts w:cs="Calibri"/>
        </w:rPr>
        <w:t>нерегулирана</w:t>
      </w:r>
      <w:proofErr w:type="spellEnd"/>
      <w:r w:rsidRPr="000B697A">
        <w:rPr>
          <w:rFonts w:cs="Calibri"/>
        </w:rPr>
        <w:t xml:space="preserve"> </w:t>
      </w:r>
      <w:proofErr w:type="spellStart"/>
      <w:r w:rsidRPr="000B697A">
        <w:rPr>
          <w:rFonts w:cs="Calibri"/>
        </w:rPr>
        <w:t>информация</w:t>
      </w:r>
      <w:proofErr w:type="spellEnd"/>
      <w:r w:rsidRPr="000B697A">
        <w:rPr>
          <w:rFonts w:cs="Calibri"/>
        </w:rPr>
        <w:t>;</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30.10.2018 г. – </w:t>
      </w:r>
      <w:proofErr w:type="spellStart"/>
      <w:r w:rsidRPr="000B697A">
        <w:rPr>
          <w:rFonts w:cs="Calibri"/>
        </w:rPr>
        <w:t>Тримесечен</w:t>
      </w:r>
      <w:proofErr w:type="spellEnd"/>
      <w:r w:rsidRPr="000B697A">
        <w:rPr>
          <w:rFonts w:cs="Calibri"/>
        </w:rPr>
        <w:t xml:space="preserve"> </w:t>
      </w:r>
      <w:proofErr w:type="spellStart"/>
      <w:r w:rsidRPr="000B697A">
        <w:rPr>
          <w:rFonts w:cs="Calibri"/>
        </w:rPr>
        <w:t>отчет</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Българска</w:t>
      </w:r>
      <w:proofErr w:type="spellEnd"/>
      <w:r w:rsidRPr="000B697A">
        <w:rPr>
          <w:rFonts w:cs="Calibri"/>
        </w:rPr>
        <w:t xml:space="preserve"> </w:t>
      </w:r>
      <w:proofErr w:type="spellStart"/>
      <w:r w:rsidRPr="000B697A">
        <w:rPr>
          <w:rFonts w:cs="Calibri"/>
        </w:rPr>
        <w:t>фондова</w:t>
      </w:r>
      <w:proofErr w:type="spellEnd"/>
      <w:r w:rsidRPr="000B697A">
        <w:rPr>
          <w:rFonts w:cs="Calibri"/>
        </w:rPr>
        <w:t xml:space="preserve"> </w:t>
      </w:r>
      <w:proofErr w:type="spellStart"/>
      <w:r w:rsidRPr="000B697A">
        <w:rPr>
          <w:rFonts w:cs="Calibri"/>
        </w:rPr>
        <w:t>борса</w:t>
      </w:r>
      <w:proofErr w:type="spellEnd"/>
      <w:r w:rsidRPr="000B697A">
        <w:rPr>
          <w:rFonts w:cs="Calibri"/>
        </w:rPr>
        <w:t xml:space="preserve"> АД </w:t>
      </w:r>
      <w:proofErr w:type="spellStart"/>
      <w:r w:rsidRPr="000B697A">
        <w:rPr>
          <w:rFonts w:cs="Calibri"/>
        </w:rPr>
        <w:t>за</w:t>
      </w:r>
      <w:proofErr w:type="spellEnd"/>
      <w:r w:rsidRPr="000B697A">
        <w:rPr>
          <w:rFonts w:cs="Calibri"/>
        </w:rPr>
        <w:t xml:space="preserve"> </w:t>
      </w:r>
      <w:proofErr w:type="spellStart"/>
      <w:r w:rsidRPr="000B697A">
        <w:rPr>
          <w:rFonts w:cs="Calibri"/>
        </w:rPr>
        <w:t>трето</w:t>
      </w:r>
      <w:proofErr w:type="spellEnd"/>
      <w:r w:rsidRPr="000B697A">
        <w:rPr>
          <w:rFonts w:cs="Calibri"/>
        </w:rPr>
        <w:t xml:space="preserve"> </w:t>
      </w:r>
      <w:proofErr w:type="spellStart"/>
      <w:r w:rsidRPr="000B697A">
        <w:rPr>
          <w:rFonts w:cs="Calibri"/>
        </w:rPr>
        <w:t>тримесечие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2018 г.;</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02.11.2018 г. – </w:t>
      </w:r>
      <w:proofErr w:type="spellStart"/>
      <w:r w:rsidRPr="000B697A">
        <w:rPr>
          <w:rFonts w:cs="Calibri"/>
        </w:rPr>
        <w:t>Вътрешна</w:t>
      </w:r>
      <w:proofErr w:type="spellEnd"/>
      <w:r w:rsidRPr="000B697A">
        <w:rPr>
          <w:rFonts w:cs="Calibri"/>
        </w:rPr>
        <w:t xml:space="preserve"> </w:t>
      </w:r>
      <w:proofErr w:type="spellStart"/>
      <w:r w:rsidRPr="000B697A">
        <w:rPr>
          <w:rFonts w:cs="Calibri"/>
        </w:rPr>
        <w:t>информация</w:t>
      </w:r>
      <w:proofErr w:type="spellEnd"/>
      <w:r w:rsidRPr="000B697A">
        <w:rPr>
          <w:rFonts w:cs="Calibri"/>
        </w:rPr>
        <w:t xml:space="preserve"> </w:t>
      </w:r>
      <w:proofErr w:type="spellStart"/>
      <w:r w:rsidRPr="000B697A">
        <w:rPr>
          <w:rFonts w:cs="Calibri"/>
        </w:rPr>
        <w:t>по</w:t>
      </w:r>
      <w:proofErr w:type="spellEnd"/>
      <w:r w:rsidRPr="000B697A">
        <w:rPr>
          <w:rFonts w:cs="Calibri"/>
        </w:rPr>
        <w:t xml:space="preserve"> </w:t>
      </w:r>
      <w:proofErr w:type="spellStart"/>
      <w:r w:rsidRPr="000B697A">
        <w:rPr>
          <w:rFonts w:cs="Calibri"/>
        </w:rPr>
        <w:t>чл</w:t>
      </w:r>
      <w:proofErr w:type="spellEnd"/>
      <w:r w:rsidRPr="000B697A">
        <w:rPr>
          <w:rFonts w:cs="Calibri"/>
        </w:rPr>
        <w:t xml:space="preserve">. 17, §1, </w:t>
      </w:r>
      <w:proofErr w:type="spellStart"/>
      <w:r w:rsidRPr="000B697A">
        <w:rPr>
          <w:rFonts w:cs="Calibri"/>
        </w:rPr>
        <w:t>във</w:t>
      </w:r>
      <w:proofErr w:type="spellEnd"/>
      <w:r w:rsidRPr="000B697A">
        <w:rPr>
          <w:rFonts w:cs="Calibri"/>
        </w:rPr>
        <w:t xml:space="preserve"> </w:t>
      </w:r>
      <w:proofErr w:type="spellStart"/>
      <w:r w:rsidRPr="000B697A">
        <w:rPr>
          <w:rFonts w:cs="Calibri"/>
        </w:rPr>
        <w:t>вр</w:t>
      </w:r>
      <w:proofErr w:type="spellEnd"/>
      <w:r w:rsidRPr="000B697A">
        <w:rPr>
          <w:rFonts w:cs="Calibri"/>
        </w:rPr>
        <w:t xml:space="preserve">. с </w:t>
      </w:r>
      <w:proofErr w:type="spellStart"/>
      <w:r w:rsidRPr="000B697A">
        <w:rPr>
          <w:rFonts w:cs="Calibri"/>
        </w:rPr>
        <w:t>чл</w:t>
      </w:r>
      <w:proofErr w:type="spellEnd"/>
      <w:r w:rsidRPr="000B697A">
        <w:rPr>
          <w:rFonts w:cs="Calibri"/>
        </w:rPr>
        <w:t xml:space="preserve">. 7 </w:t>
      </w:r>
      <w:proofErr w:type="spellStart"/>
      <w:r w:rsidRPr="000B697A">
        <w:rPr>
          <w:rFonts w:cs="Calibri"/>
        </w:rPr>
        <w:t>от</w:t>
      </w:r>
      <w:proofErr w:type="spellEnd"/>
      <w:r w:rsidRPr="000B697A">
        <w:rPr>
          <w:rFonts w:cs="Calibri"/>
        </w:rPr>
        <w:t xml:space="preserve"> </w:t>
      </w:r>
      <w:proofErr w:type="spellStart"/>
      <w:r w:rsidRPr="000B697A">
        <w:rPr>
          <w:rFonts w:cs="Calibri"/>
        </w:rPr>
        <w:t>Регламент</w:t>
      </w:r>
      <w:proofErr w:type="spellEnd"/>
      <w:r w:rsidRPr="000B697A">
        <w:rPr>
          <w:rFonts w:cs="Calibri"/>
        </w:rPr>
        <w:t xml:space="preserve"> №596/2014 </w:t>
      </w:r>
      <w:proofErr w:type="spellStart"/>
      <w:r w:rsidRPr="000B697A">
        <w:rPr>
          <w:rFonts w:cs="Calibri"/>
        </w:rPr>
        <w:t>на</w:t>
      </w:r>
      <w:proofErr w:type="spellEnd"/>
      <w:r w:rsidRPr="000B697A">
        <w:rPr>
          <w:rFonts w:cs="Calibri"/>
        </w:rPr>
        <w:t xml:space="preserve"> ЕП и </w:t>
      </w:r>
      <w:proofErr w:type="spellStart"/>
      <w:r w:rsidRPr="000B697A">
        <w:rPr>
          <w:rFonts w:cs="Calibri"/>
        </w:rPr>
        <w:t>на</w:t>
      </w:r>
      <w:proofErr w:type="spellEnd"/>
      <w:r w:rsidRPr="000B697A">
        <w:rPr>
          <w:rFonts w:cs="Calibri"/>
        </w:rPr>
        <w:t xml:space="preserve"> </w:t>
      </w:r>
      <w:proofErr w:type="spellStart"/>
      <w:r w:rsidRPr="000B697A">
        <w:rPr>
          <w:rFonts w:cs="Calibri"/>
        </w:rPr>
        <w:t>Съвета</w:t>
      </w:r>
      <w:proofErr w:type="spellEnd"/>
      <w:r w:rsidRPr="000B697A">
        <w:rPr>
          <w:rFonts w:cs="Calibri"/>
        </w:rPr>
        <w:t>;</w:t>
      </w:r>
    </w:p>
    <w:p w:rsidR="00152ED4" w:rsidRPr="000B697A" w:rsidRDefault="00152ED4" w:rsidP="00152ED4">
      <w:pPr>
        <w:pStyle w:val="ListParagraph"/>
        <w:widowControl w:val="0"/>
        <w:numPr>
          <w:ilvl w:val="0"/>
          <w:numId w:val="40"/>
        </w:numPr>
        <w:contextualSpacing/>
        <w:rPr>
          <w:rFonts w:cs="Calibri"/>
        </w:rPr>
      </w:pPr>
      <w:r w:rsidRPr="000B697A">
        <w:rPr>
          <w:rFonts w:cs="Calibri"/>
        </w:rPr>
        <w:t xml:space="preserve">27.11.2018 г. – </w:t>
      </w:r>
      <w:proofErr w:type="spellStart"/>
      <w:r w:rsidRPr="000B697A">
        <w:rPr>
          <w:rFonts w:cs="Calibri"/>
        </w:rPr>
        <w:t>Тримесечен</w:t>
      </w:r>
      <w:proofErr w:type="spellEnd"/>
      <w:r w:rsidRPr="000B697A">
        <w:rPr>
          <w:rFonts w:cs="Calibri"/>
        </w:rPr>
        <w:t xml:space="preserve"> </w:t>
      </w:r>
      <w:proofErr w:type="spellStart"/>
      <w:r w:rsidRPr="000B697A">
        <w:rPr>
          <w:rFonts w:cs="Calibri"/>
        </w:rPr>
        <w:t>консолидиран</w:t>
      </w:r>
      <w:proofErr w:type="spellEnd"/>
      <w:r w:rsidRPr="000B697A">
        <w:rPr>
          <w:rFonts w:cs="Calibri"/>
        </w:rPr>
        <w:t xml:space="preserve"> </w:t>
      </w:r>
      <w:proofErr w:type="spellStart"/>
      <w:r w:rsidRPr="000B697A">
        <w:rPr>
          <w:rFonts w:cs="Calibri"/>
        </w:rPr>
        <w:t>отчет</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Група</w:t>
      </w:r>
      <w:proofErr w:type="spellEnd"/>
      <w:r w:rsidRPr="000B697A">
        <w:rPr>
          <w:rFonts w:cs="Calibri"/>
        </w:rPr>
        <w:t xml:space="preserve"> </w:t>
      </w:r>
      <w:proofErr w:type="spellStart"/>
      <w:r w:rsidRPr="000B697A">
        <w:rPr>
          <w:rFonts w:cs="Calibri"/>
        </w:rPr>
        <w:t>Българска</w:t>
      </w:r>
      <w:proofErr w:type="spellEnd"/>
      <w:r w:rsidRPr="000B697A">
        <w:rPr>
          <w:rFonts w:cs="Calibri"/>
        </w:rPr>
        <w:t xml:space="preserve"> </w:t>
      </w:r>
      <w:proofErr w:type="spellStart"/>
      <w:r w:rsidRPr="000B697A">
        <w:rPr>
          <w:rFonts w:cs="Calibri"/>
        </w:rPr>
        <w:t>фондова</w:t>
      </w:r>
      <w:proofErr w:type="spellEnd"/>
      <w:r w:rsidRPr="000B697A">
        <w:rPr>
          <w:rFonts w:cs="Calibri"/>
        </w:rPr>
        <w:t xml:space="preserve"> </w:t>
      </w:r>
      <w:proofErr w:type="spellStart"/>
      <w:r w:rsidRPr="000B697A">
        <w:rPr>
          <w:rFonts w:cs="Calibri"/>
        </w:rPr>
        <w:t>борса</w:t>
      </w:r>
      <w:proofErr w:type="spellEnd"/>
      <w:r w:rsidRPr="000B697A">
        <w:rPr>
          <w:rFonts w:cs="Calibri"/>
        </w:rPr>
        <w:t xml:space="preserve"> АД </w:t>
      </w:r>
      <w:proofErr w:type="spellStart"/>
      <w:r w:rsidRPr="000B697A">
        <w:rPr>
          <w:rFonts w:cs="Calibri"/>
        </w:rPr>
        <w:t>за</w:t>
      </w:r>
      <w:proofErr w:type="spellEnd"/>
      <w:r w:rsidRPr="000B697A">
        <w:rPr>
          <w:rFonts w:cs="Calibri"/>
        </w:rPr>
        <w:t xml:space="preserve"> </w:t>
      </w:r>
      <w:proofErr w:type="spellStart"/>
      <w:r w:rsidRPr="000B697A">
        <w:rPr>
          <w:rFonts w:cs="Calibri"/>
        </w:rPr>
        <w:t>трето</w:t>
      </w:r>
      <w:proofErr w:type="spellEnd"/>
      <w:r w:rsidRPr="000B697A">
        <w:rPr>
          <w:rFonts w:cs="Calibri"/>
        </w:rPr>
        <w:t xml:space="preserve"> </w:t>
      </w:r>
      <w:proofErr w:type="spellStart"/>
      <w:r w:rsidRPr="000B697A">
        <w:rPr>
          <w:rFonts w:cs="Calibri"/>
        </w:rPr>
        <w:t>тримесечие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2018 г;</w:t>
      </w:r>
    </w:p>
    <w:p w:rsidR="00811C9D" w:rsidRPr="000B697A" w:rsidRDefault="00152ED4" w:rsidP="00152ED4">
      <w:pPr>
        <w:pStyle w:val="ListParagraph"/>
        <w:widowControl w:val="0"/>
        <w:numPr>
          <w:ilvl w:val="0"/>
          <w:numId w:val="27"/>
        </w:numPr>
        <w:contextualSpacing/>
        <w:rPr>
          <w:rFonts w:cs="Calibri"/>
          <w:lang w:val="bg-BG"/>
        </w:rPr>
      </w:pPr>
      <w:r w:rsidRPr="000B697A">
        <w:rPr>
          <w:rFonts w:cs="Calibri"/>
        </w:rPr>
        <w:t xml:space="preserve">17.12.2018 г. – </w:t>
      </w:r>
      <w:proofErr w:type="spellStart"/>
      <w:r w:rsidRPr="000B697A">
        <w:rPr>
          <w:rFonts w:cs="Calibri"/>
        </w:rPr>
        <w:t>Вътрешна</w:t>
      </w:r>
      <w:proofErr w:type="spellEnd"/>
      <w:r w:rsidRPr="000B697A">
        <w:rPr>
          <w:rFonts w:cs="Calibri"/>
        </w:rPr>
        <w:t xml:space="preserve"> </w:t>
      </w:r>
      <w:proofErr w:type="spellStart"/>
      <w:r w:rsidRPr="000B697A">
        <w:rPr>
          <w:rFonts w:cs="Calibri"/>
        </w:rPr>
        <w:t>информация</w:t>
      </w:r>
      <w:proofErr w:type="spellEnd"/>
      <w:r w:rsidRPr="000B697A">
        <w:rPr>
          <w:rFonts w:cs="Calibri"/>
        </w:rPr>
        <w:t xml:space="preserve"> </w:t>
      </w:r>
      <w:proofErr w:type="spellStart"/>
      <w:r w:rsidRPr="000B697A">
        <w:rPr>
          <w:rFonts w:cs="Calibri"/>
        </w:rPr>
        <w:t>по</w:t>
      </w:r>
      <w:proofErr w:type="spellEnd"/>
      <w:r w:rsidRPr="000B697A">
        <w:rPr>
          <w:rFonts w:cs="Calibri"/>
        </w:rPr>
        <w:t xml:space="preserve"> </w:t>
      </w:r>
      <w:proofErr w:type="spellStart"/>
      <w:r w:rsidRPr="000B697A">
        <w:rPr>
          <w:rFonts w:cs="Calibri"/>
        </w:rPr>
        <w:t>чл</w:t>
      </w:r>
      <w:proofErr w:type="spellEnd"/>
      <w:r w:rsidRPr="000B697A">
        <w:rPr>
          <w:rFonts w:cs="Calibri"/>
        </w:rPr>
        <w:t xml:space="preserve">. 17, §1, </w:t>
      </w:r>
      <w:proofErr w:type="spellStart"/>
      <w:r w:rsidRPr="000B697A">
        <w:rPr>
          <w:rFonts w:cs="Calibri"/>
        </w:rPr>
        <w:t>във</w:t>
      </w:r>
      <w:proofErr w:type="spellEnd"/>
      <w:r w:rsidRPr="000B697A">
        <w:rPr>
          <w:rFonts w:cs="Calibri"/>
        </w:rPr>
        <w:t xml:space="preserve"> </w:t>
      </w:r>
      <w:proofErr w:type="spellStart"/>
      <w:r w:rsidRPr="000B697A">
        <w:rPr>
          <w:rFonts w:cs="Calibri"/>
        </w:rPr>
        <w:t>вр</w:t>
      </w:r>
      <w:proofErr w:type="spellEnd"/>
      <w:r w:rsidRPr="000B697A">
        <w:rPr>
          <w:rFonts w:cs="Calibri"/>
        </w:rPr>
        <w:t xml:space="preserve">. с </w:t>
      </w:r>
      <w:proofErr w:type="spellStart"/>
      <w:r w:rsidRPr="000B697A">
        <w:rPr>
          <w:rFonts w:cs="Calibri"/>
        </w:rPr>
        <w:t>чл</w:t>
      </w:r>
      <w:proofErr w:type="spellEnd"/>
      <w:r w:rsidRPr="000B697A">
        <w:rPr>
          <w:rFonts w:cs="Calibri"/>
        </w:rPr>
        <w:t xml:space="preserve">. 7 </w:t>
      </w:r>
      <w:proofErr w:type="spellStart"/>
      <w:r w:rsidRPr="000B697A">
        <w:rPr>
          <w:rFonts w:cs="Calibri"/>
        </w:rPr>
        <w:t>от</w:t>
      </w:r>
      <w:proofErr w:type="spellEnd"/>
      <w:r w:rsidRPr="000B697A">
        <w:rPr>
          <w:rFonts w:cs="Calibri"/>
        </w:rPr>
        <w:t xml:space="preserve"> </w:t>
      </w:r>
      <w:proofErr w:type="spellStart"/>
      <w:r w:rsidRPr="000B697A">
        <w:rPr>
          <w:rFonts w:cs="Calibri"/>
        </w:rPr>
        <w:t>Регламент</w:t>
      </w:r>
      <w:proofErr w:type="spellEnd"/>
      <w:r w:rsidRPr="000B697A">
        <w:rPr>
          <w:rFonts w:cs="Calibri"/>
        </w:rPr>
        <w:t xml:space="preserve"> </w:t>
      </w:r>
      <w:r w:rsidRPr="000B697A">
        <w:rPr>
          <w:rFonts w:cs="Calibri"/>
        </w:rPr>
        <w:lastRenderedPageBreak/>
        <w:t xml:space="preserve">№596/2014 </w:t>
      </w:r>
      <w:proofErr w:type="spellStart"/>
      <w:r w:rsidRPr="000B697A">
        <w:rPr>
          <w:rFonts w:cs="Calibri"/>
        </w:rPr>
        <w:t>на</w:t>
      </w:r>
      <w:proofErr w:type="spellEnd"/>
      <w:r w:rsidRPr="000B697A">
        <w:rPr>
          <w:rFonts w:cs="Calibri"/>
        </w:rPr>
        <w:t xml:space="preserve"> ЕП и </w:t>
      </w:r>
      <w:proofErr w:type="spellStart"/>
      <w:r w:rsidRPr="000B697A">
        <w:rPr>
          <w:rFonts w:cs="Calibri"/>
        </w:rPr>
        <w:t>на</w:t>
      </w:r>
      <w:proofErr w:type="spellEnd"/>
      <w:r w:rsidRPr="000B697A">
        <w:rPr>
          <w:rFonts w:cs="Calibri"/>
        </w:rPr>
        <w:t xml:space="preserve"> </w:t>
      </w:r>
      <w:proofErr w:type="spellStart"/>
      <w:r w:rsidRPr="000B697A">
        <w:rPr>
          <w:rFonts w:cs="Calibri"/>
        </w:rPr>
        <w:t>Съвета</w:t>
      </w:r>
      <w:proofErr w:type="spellEnd"/>
      <w:r w:rsidRPr="000B697A">
        <w:rPr>
          <w:rFonts w:cs="Calibri"/>
        </w:rPr>
        <w:t>.</w:t>
      </w:r>
    </w:p>
    <w:p w:rsidR="00811C9D" w:rsidRPr="000B697A" w:rsidRDefault="00811C9D" w:rsidP="00811C9D">
      <w:pPr>
        <w:autoSpaceDE w:val="0"/>
        <w:autoSpaceDN w:val="0"/>
        <w:adjustRightInd w:val="0"/>
        <w:rPr>
          <w:rFonts w:cs="Calibri"/>
        </w:rPr>
      </w:pPr>
      <w:r w:rsidRPr="000B697A">
        <w:rPr>
          <w:rFonts w:cs="Calibri"/>
        </w:rPr>
        <w:t>Финансовите отчети на дружеството и новините бяха оповестени едновременно на български и английски език.</w:t>
      </w:r>
    </w:p>
    <w:p w:rsidR="00811C9D" w:rsidRPr="000B697A" w:rsidRDefault="00811C9D" w:rsidP="0016443B">
      <w:pPr>
        <w:pStyle w:val="SubNumbers"/>
        <w:widowControl w:val="0"/>
        <w:ind w:left="1134" w:hanging="774"/>
        <w:rPr>
          <w:rFonts w:cs="Calibri"/>
        </w:rPr>
      </w:pPr>
      <w:bookmarkStart w:id="75" w:name="_Toc283112121"/>
      <w:bookmarkStart w:id="76" w:name="_Toc509822008"/>
      <w:bookmarkStart w:id="77" w:name="_Toc6923248"/>
      <w:bookmarkEnd w:id="40"/>
      <w:r w:rsidRPr="000B697A">
        <w:rPr>
          <w:rFonts w:cs="Calibri"/>
        </w:rPr>
        <w:t>Информационни технологии</w:t>
      </w:r>
      <w:bookmarkEnd w:id="75"/>
      <w:bookmarkEnd w:id="76"/>
      <w:bookmarkEnd w:id="77"/>
    </w:p>
    <w:p w:rsidR="00811C9D" w:rsidRPr="000B697A" w:rsidRDefault="00811C9D" w:rsidP="00985E8C">
      <w:pPr>
        <w:pStyle w:val="SubSubNumber"/>
        <w:widowControl w:val="0"/>
        <w:tabs>
          <w:tab w:val="clear" w:pos="1276"/>
          <w:tab w:val="clear" w:pos="2127"/>
        </w:tabs>
        <w:ind w:left="1843" w:hanging="992"/>
        <w:outlineLvl w:val="9"/>
        <w:rPr>
          <w:rFonts w:cs="Calibri"/>
        </w:rPr>
      </w:pPr>
      <w:bookmarkStart w:id="78" w:name="_Toc323297738"/>
      <w:r w:rsidRPr="000B697A">
        <w:rPr>
          <w:rFonts w:cs="Calibri"/>
        </w:rPr>
        <w:t>COBOS</w:t>
      </w:r>
      <w:bookmarkEnd w:id="78"/>
    </w:p>
    <w:p w:rsidR="00E42CE2" w:rsidRPr="000B697A" w:rsidRDefault="00E42CE2" w:rsidP="00E42CE2">
      <w:pPr>
        <w:rPr>
          <w:rFonts w:cs="Calibri"/>
        </w:rPr>
      </w:pPr>
      <w:r w:rsidRPr="000B697A">
        <w:rPr>
          <w:rFonts w:cs="Calibri"/>
        </w:rPr>
        <w:t xml:space="preserve">В края на </w:t>
      </w:r>
      <w:r w:rsidRPr="000B697A">
        <w:rPr>
          <w:rFonts w:cs="Calibri"/>
          <w:b/>
        </w:rPr>
        <w:t>първото тримесечие</w:t>
      </w:r>
      <w:r w:rsidRPr="000B697A">
        <w:rPr>
          <w:rFonts w:cs="Calibri"/>
        </w:rPr>
        <w:t xml:space="preserve"> на 2018 година клиентите на системата бяха 269, а в края на първото тримесечие на 2017 г. те бяха 266, което представлява ръст от 1,13%. Чрез системата бяха подадени 7 179 нареждания, сключени бяха 2 627 сделки на стойност 10 732 663 лева.</w:t>
      </w:r>
    </w:p>
    <w:p w:rsidR="00E42CE2" w:rsidRPr="000B697A" w:rsidRDefault="00E42CE2" w:rsidP="00E42CE2">
      <w:pPr>
        <w:rPr>
          <w:rFonts w:cs="Calibri"/>
        </w:rPr>
      </w:pPr>
      <w:r w:rsidRPr="000B697A">
        <w:rPr>
          <w:rFonts w:cs="Calibri"/>
        </w:rPr>
        <w:t xml:space="preserve">В края на </w:t>
      </w:r>
      <w:r w:rsidRPr="000B697A">
        <w:rPr>
          <w:rFonts w:cs="Calibri"/>
          <w:b/>
        </w:rPr>
        <w:t>второто тримесечие</w:t>
      </w:r>
      <w:r w:rsidRPr="000B697A">
        <w:rPr>
          <w:rFonts w:cs="Calibri"/>
        </w:rPr>
        <w:t xml:space="preserve"> на 2018 година клиентите на системата бяха 266, а в края на аналогичния период на 2017 г. те бяха 270, което представлява намаление с 1,48%. Чрез системата бяха подадени 4 564 нареждания и бяха сключени 2 087 сделки на стойност 9 431 118 лева.</w:t>
      </w:r>
    </w:p>
    <w:p w:rsidR="00E42CE2" w:rsidRPr="000B697A" w:rsidRDefault="00E42CE2" w:rsidP="00E42CE2">
      <w:pPr>
        <w:rPr>
          <w:rFonts w:cs="Calibri"/>
        </w:rPr>
      </w:pPr>
      <w:r w:rsidRPr="000B697A">
        <w:rPr>
          <w:rFonts w:cs="Calibri"/>
        </w:rPr>
        <w:t xml:space="preserve">В края на </w:t>
      </w:r>
      <w:r w:rsidRPr="000B697A">
        <w:rPr>
          <w:rFonts w:cs="Calibri"/>
          <w:b/>
        </w:rPr>
        <w:t>третото тримесечие</w:t>
      </w:r>
      <w:r w:rsidRPr="000B697A">
        <w:rPr>
          <w:rFonts w:cs="Calibri"/>
        </w:rPr>
        <w:t xml:space="preserve"> на 2018 година клиентите на системата COBOS бяха 230, а в края на аналогичния период на 2017 г. те бяха 249, което представлява намаление със 7,63</w:t>
      </w:r>
      <w:r w:rsidRPr="000B697A">
        <w:rPr>
          <w:rFonts w:cs="Calibri"/>
          <w:lang w:val="en-US"/>
        </w:rPr>
        <w:t>%</w:t>
      </w:r>
      <w:r w:rsidRPr="000B697A">
        <w:rPr>
          <w:rFonts w:cs="Calibri"/>
        </w:rPr>
        <w:t xml:space="preserve">. Чрез системата бяха подадени 4 139 нареждания, сключени бяха 1 852 сделки на стойност 4 687 875 лева. </w:t>
      </w:r>
    </w:p>
    <w:p w:rsidR="00E42CE2" w:rsidRPr="000B697A" w:rsidRDefault="00E42CE2" w:rsidP="00E42CE2">
      <w:pPr>
        <w:rPr>
          <w:rFonts w:cs="Calibri"/>
        </w:rPr>
      </w:pPr>
      <w:r w:rsidRPr="000B697A">
        <w:rPr>
          <w:rFonts w:cs="Calibri"/>
        </w:rPr>
        <w:t xml:space="preserve">В </w:t>
      </w:r>
      <w:r w:rsidRPr="000B697A">
        <w:rPr>
          <w:rFonts w:cs="Calibri"/>
          <w:b/>
        </w:rPr>
        <w:t>края на четвъртото тримесечие</w:t>
      </w:r>
      <w:r w:rsidRPr="000B697A">
        <w:rPr>
          <w:rFonts w:cs="Calibri"/>
        </w:rPr>
        <w:t xml:space="preserve"> клиентите на системата бяха 160, а в края на аналогичния период на 2017 г. те бяха 254, което представлява намаление от 37,01%. Чрез системата бяха подадени 4 077 нареждания, сключени бяха 2 535 сделки на стойност 15 193 492 лева.</w:t>
      </w:r>
    </w:p>
    <w:p w:rsidR="00811C9D" w:rsidRPr="000B697A" w:rsidRDefault="00E42CE2" w:rsidP="00E42CE2">
      <w:pPr>
        <w:rPr>
          <w:rFonts w:cs="Calibri"/>
        </w:rPr>
      </w:pPr>
      <w:r w:rsidRPr="000B697A">
        <w:rPr>
          <w:rFonts w:cs="Calibri"/>
        </w:rPr>
        <w:t>Средномесечният брой поръчки за 2018 година бе 1 66</w:t>
      </w:r>
      <w:r w:rsidRPr="000B697A">
        <w:rPr>
          <w:rFonts w:cs="Calibri"/>
          <w:lang w:val="en-US"/>
        </w:rPr>
        <w:t>3</w:t>
      </w:r>
      <w:r w:rsidRPr="000B697A">
        <w:rPr>
          <w:rFonts w:cs="Calibri"/>
        </w:rPr>
        <w:t>, което в сравнение със същия показател през 2017 г. (3 429) представлява спад с 51,5%. Наблюдава се намаление и при средномесечния брой сделки, сключени през системата с 43,3% – от 1 338 за 2017 година до 758 през 2018, а при средномесечния оборот има спад от 68% от 10,4 милиона лева до 3,3 милиона лева на месец</w:t>
      </w:r>
      <w:r w:rsidR="00811C9D" w:rsidRPr="000B697A">
        <w:rPr>
          <w:rFonts w:cs="Calibri"/>
        </w:rPr>
        <w:t>.</w:t>
      </w:r>
    </w:p>
    <w:p w:rsidR="00811C9D" w:rsidRPr="000B697A" w:rsidRDefault="00811C9D" w:rsidP="00811C9D">
      <w:pPr>
        <w:rPr>
          <w:rFonts w:cs="Calibri"/>
        </w:rPr>
      </w:pPr>
    </w:p>
    <w:p w:rsidR="002664FC" w:rsidRPr="000B697A" w:rsidRDefault="00811C9D" w:rsidP="002664FC">
      <w:pPr>
        <w:pStyle w:val="ChartHeader"/>
        <w:rPr>
          <w:rFonts w:cs="Calibri"/>
        </w:rPr>
      </w:pPr>
      <w:r w:rsidRPr="000B697A">
        <w:rPr>
          <w:rFonts w:cs="Calibri"/>
        </w:rPr>
        <w:t>Т</w:t>
      </w:r>
      <w:r w:rsidR="002664FC" w:rsidRPr="000B697A">
        <w:rPr>
          <w:rFonts w:cs="Calibri"/>
        </w:rPr>
        <w:t>а</w:t>
      </w:r>
      <w:r w:rsidRPr="000B697A">
        <w:rPr>
          <w:rFonts w:cs="Calibri"/>
        </w:rPr>
        <w:t>блица 8: Статистика за търговията през системата COBOS – сравнение и относителен дял</w:t>
      </w:r>
    </w:p>
    <w:tbl>
      <w:tblPr>
        <w:tblW w:w="6694" w:type="dxa"/>
        <w:jc w:val="center"/>
        <w:tblCellMar>
          <w:left w:w="70" w:type="dxa"/>
          <w:right w:w="70" w:type="dxa"/>
        </w:tblCellMar>
        <w:tblLook w:val="04A0" w:firstRow="1" w:lastRow="0" w:firstColumn="1" w:lastColumn="0" w:noHBand="0" w:noVBand="1"/>
      </w:tblPr>
      <w:tblGrid>
        <w:gridCol w:w="2840"/>
        <w:gridCol w:w="1160"/>
        <w:gridCol w:w="1354"/>
        <w:gridCol w:w="1340"/>
      </w:tblGrid>
      <w:tr w:rsidR="002664FC" w:rsidRPr="000B697A" w:rsidTr="00036C58">
        <w:trPr>
          <w:trHeight w:val="170"/>
          <w:jc w:val="center"/>
        </w:trPr>
        <w:tc>
          <w:tcPr>
            <w:tcW w:w="2840"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2664FC" w:rsidRPr="000B697A" w:rsidRDefault="002664FC" w:rsidP="00036C58">
            <w:pPr>
              <w:jc w:val="left"/>
              <w:rPr>
                <w:rFonts w:cs="Calibri"/>
                <w:color w:val="000000"/>
                <w:sz w:val="20"/>
                <w:szCs w:val="20"/>
              </w:rPr>
            </w:pPr>
            <w:r w:rsidRPr="000B697A">
              <w:rPr>
                <w:rFonts w:cs="Calibri"/>
                <w:color w:val="000000"/>
                <w:sz w:val="20"/>
                <w:szCs w:val="20"/>
              </w:rPr>
              <w:t> </w:t>
            </w:r>
          </w:p>
        </w:tc>
        <w:tc>
          <w:tcPr>
            <w:tcW w:w="1160" w:type="dxa"/>
            <w:tcBorders>
              <w:top w:val="single" w:sz="4" w:space="0" w:color="auto"/>
              <w:left w:val="nil"/>
              <w:bottom w:val="single" w:sz="4" w:space="0" w:color="auto"/>
              <w:right w:val="single" w:sz="4" w:space="0" w:color="auto"/>
            </w:tcBorders>
            <w:shd w:val="clear" w:color="000000" w:fill="4F81BD"/>
            <w:noWrap/>
            <w:vAlign w:val="center"/>
            <w:hideMark/>
          </w:tcPr>
          <w:p w:rsidR="002664FC" w:rsidRPr="000B697A" w:rsidRDefault="002664FC" w:rsidP="00036C58">
            <w:pPr>
              <w:jc w:val="center"/>
              <w:rPr>
                <w:rFonts w:cs="Calibri"/>
                <w:b/>
                <w:bCs/>
                <w:color w:val="FFFFFF"/>
                <w:sz w:val="20"/>
                <w:szCs w:val="20"/>
              </w:rPr>
            </w:pPr>
            <w:r w:rsidRPr="000B697A">
              <w:rPr>
                <w:rFonts w:cs="Calibri"/>
                <w:b/>
                <w:bCs/>
                <w:color w:val="FFFFFF"/>
                <w:sz w:val="20"/>
                <w:szCs w:val="20"/>
              </w:rPr>
              <w:t>2017</w:t>
            </w:r>
          </w:p>
        </w:tc>
        <w:tc>
          <w:tcPr>
            <w:tcW w:w="1354" w:type="dxa"/>
            <w:tcBorders>
              <w:top w:val="single" w:sz="4" w:space="0" w:color="auto"/>
              <w:left w:val="nil"/>
              <w:bottom w:val="single" w:sz="4" w:space="0" w:color="auto"/>
              <w:right w:val="single" w:sz="4" w:space="0" w:color="auto"/>
            </w:tcBorders>
            <w:shd w:val="clear" w:color="000000" w:fill="4F81BD"/>
            <w:noWrap/>
            <w:vAlign w:val="center"/>
            <w:hideMark/>
          </w:tcPr>
          <w:p w:rsidR="002664FC" w:rsidRPr="000B697A" w:rsidRDefault="002664FC" w:rsidP="00036C58">
            <w:pPr>
              <w:jc w:val="center"/>
              <w:rPr>
                <w:rFonts w:cs="Calibri"/>
                <w:b/>
                <w:bCs/>
                <w:color w:val="FFFFFF"/>
                <w:sz w:val="20"/>
                <w:szCs w:val="20"/>
              </w:rPr>
            </w:pPr>
            <w:r w:rsidRPr="000B697A">
              <w:rPr>
                <w:rFonts w:cs="Calibri"/>
                <w:b/>
                <w:bCs/>
                <w:color w:val="FFFFFF"/>
                <w:sz w:val="20"/>
                <w:szCs w:val="20"/>
              </w:rPr>
              <w:t>2018</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rsidR="002664FC" w:rsidRPr="000B697A" w:rsidRDefault="002664FC" w:rsidP="00036C58">
            <w:pPr>
              <w:jc w:val="center"/>
              <w:rPr>
                <w:rFonts w:cs="Calibri"/>
                <w:b/>
                <w:bCs/>
                <w:color w:val="FFFFFF"/>
                <w:sz w:val="20"/>
                <w:szCs w:val="20"/>
              </w:rPr>
            </w:pPr>
            <w:r w:rsidRPr="000B697A">
              <w:rPr>
                <w:rFonts w:cs="Calibri"/>
                <w:b/>
                <w:bCs/>
                <w:color w:val="FFFFFF"/>
                <w:sz w:val="20"/>
                <w:szCs w:val="20"/>
              </w:rPr>
              <w:t>Промяна в %</w:t>
            </w:r>
          </w:p>
        </w:tc>
      </w:tr>
      <w:tr w:rsidR="002664FC" w:rsidRPr="000B697A" w:rsidTr="00036C58">
        <w:trPr>
          <w:trHeight w:val="170"/>
          <w:jc w:val="center"/>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2664FC" w:rsidRPr="000B697A" w:rsidRDefault="002664FC" w:rsidP="00036C58">
            <w:pPr>
              <w:rPr>
                <w:rFonts w:cs="Calibri"/>
                <w:color w:val="000000"/>
                <w:sz w:val="20"/>
                <w:szCs w:val="20"/>
              </w:rPr>
            </w:pPr>
            <w:r w:rsidRPr="000B697A">
              <w:rPr>
                <w:rFonts w:cs="Calibri"/>
                <w:color w:val="000000"/>
                <w:sz w:val="20"/>
                <w:szCs w:val="20"/>
              </w:rPr>
              <w:t>Поръчки през COBOS</w:t>
            </w:r>
          </w:p>
        </w:tc>
        <w:tc>
          <w:tcPr>
            <w:tcW w:w="1160" w:type="dxa"/>
            <w:tcBorders>
              <w:top w:val="nil"/>
              <w:left w:val="nil"/>
              <w:bottom w:val="single" w:sz="4" w:space="0" w:color="auto"/>
              <w:right w:val="single" w:sz="4" w:space="0" w:color="auto"/>
            </w:tcBorders>
            <w:shd w:val="clear" w:color="auto" w:fill="auto"/>
            <w:noWrap/>
            <w:vAlign w:val="center"/>
            <w:hideMark/>
          </w:tcPr>
          <w:p w:rsidR="002664FC" w:rsidRPr="000B697A" w:rsidRDefault="002664FC" w:rsidP="00036C58">
            <w:pPr>
              <w:jc w:val="right"/>
              <w:rPr>
                <w:rFonts w:cs="Calibri"/>
                <w:color w:val="000000"/>
                <w:sz w:val="20"/>
                <w:szCs w:val="20"/>
              </w:rPr>
            </w:pPr>
            <w:r w:rsidRPr="000B697A">
              <w:rPr>
                <w:rFonts w:cs="Calibri"/>
                <w:color w:val="000000"/>
                <w:sz w:val="20"/>
                <w:szCs w:val="20"/>
              </w:rPr>
              <w:t>41 142</w:t>
            </w:r>
          </w:p>
        </w:tc>
        <w:tc>
          <w:tcPr>
            <w:tcW w:w="1354" w:type="dxa"/>
            <w:tcBorders>
              <w:top w:val="nil"/>
              <w:left w:val="nil"/>
              <w:bottom w:val="single" w:sz="4" w:space="0" w:color="auto"/>
              <w:right w:val="single" w:sz="4" w:space="0" w:color="auto"/>
            </w:tcBorders>
            <w:shd w:val="clear" w:color="auto" w:fill="auto"/>
            <w:noWrap/>
            <w:vAlign w:val="bottom"/>
            <w:hideMark/>
          </w:tcPr>
          <w:p w:rsidR="002664FC" w:rsidRPr="000B697A" w:rsidRDefault="002664FC" w:rsidP="00036C58">
            <w:pPr>
              <w:jc w:val="right"/>
              <w:rPr>
                <w:rFonts w:cs="Calibri"/>
                <w:color w:val="000000"/>
                <w:sz w:val="20"/>
                <w:szCs w:val="20"/>
              </w:rPr>
            </w:pPr>
            <w:r w:rsidRPr="000B697A">
              <w:rPr>
                <w:rFonts w:cs="Calibri"/>
                <w:color w:val="000000"/>
                <w:sz w:val="20"/>
                <w:szCs w:val="20"/>
              </w:rPr>
              <w:t>19 959</w:t>
            </w:r>
          </w:p>
        </w:tc>
        <w:tc>
          <w:tcPr>
            <w:tcW w:w="1340" w:type="dxa"/>
            <w:tcBorders>
              <w:top w:val="nil"/>
              <w:left w:val="nil"/>
              <w:bottom w:val="single" w:sz="4" w:space="0" w:color="auto"/>
              <w:right w:val="single" w:sz="4" w:space="0" w:color="auto"/>
            </w:tcBorders>
            <w:shd w:val="clear" w:color="auto" w:fill="auto"/>
            <w:noWrap/>
            <w:vAlign w:val="center"/>
            <w:hideMark/>
          </w:tcPr>
          <w:p w:rsidR="002664FC" w:rsidRPr="000B697A" w:rsidRDefault="002664FC" w:rsidP="00036C58">
            <w:pPr>
              <w:jc w:val="right"/>
              <w:rPr>
                <w:rFonts w:cs="Calibri"/>
                <w:color w:val="000000"/>
                <w:sz w:val="20"/>
                <w:szCs w:val="20"/>
              </w:rPr>
            </w:pPr>
            <w:r w:rsidRPr="000B697A">
              <w:rPr>
                <w:rFonts w:cs="Calibri"/>
                <w:color w:val="000000"/>
                <w:sz w:val="20"/>
                <w:szCs w:val="20"/>
              </w:rPr>
              <w:t>-51.49%</w:t>
            </w:r>
          </w:p>
        </w:tc>
      </w:tr>
      <w:tr w:rsidR="002664FC" w:rsidRPr="000B697A" w:rsidTr="00036C58">
        <w:trPr>
          <w:trHeight w:val="170"/>
          <w:jc w:val="center"/>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2664FC" w:rsidRPr="000B697A" w:rsidRDefault="002664FC" w:rsidP="00036C58">
            <w:pPr>
              <w:rPr>
                <w:rFonts w:cs="Calibri"/>
                <w:color w:val="000000"/>
                <w:sz w:val="20"/>
                <w:szCs w:val="20"/>
              </w:rPr>
            </w:pPr>
            <w:r w:rsidRPr="000B697A">
              <w:rPr>
                <w:rFonts w:cs="Calibri"/>
                <w:color w:val="000000"/>
                <w:sz w:val="20"/>
                <w:szCs w:val="20"/>
              </w:rPr>
              <w:t>Сключени сделки през COBOS</w:t>
            </w:r>
          </w:p>
        </w:tc>
        <w:tc>
          <w:tcPr>
            <w:tcW w:w="1160" w:type="dxa"/>
            <w:tcBorders>
              <w:top w:val="nil"/>
              <w:left w:val="nil"/>
              <w:bottom w:val="single" w:sz="4" w:space="0" w:color="auto"/>
              <w:right w:val="single" w:sz="4" w:space="0" w:color="auto"/>
            </w:tcBorders>
            <w:shd w:val="clear" w:color="auto" w:fill="auto"/>
            <w:noWrap/>
            <w:vAlign w:val="center"/>
            <w:hideMark/>
          </w:tcPr>
          <w:p w:rsidR="002664FC" w:rsidRPr="000B697A" w:rsidRDefault="002664FC" w:rsidP="00036C58">
            <w:pPr>
              <w:jc w:val="right"/>
              <w:rPr>
                <w:rFonts w:cs="Calibri"/>
                <w:color w:val="000000"/>
                <w:sz w:val="20"/>
                <w:szCs w:val="20"/>
              </w:rPr>
            </w:pPr>
            <w:r w:rsidRPr="000B697A">
              <w:rPr>
                <w:rFonts w:cs="Calibri"/>
                <w:color w:val="000000"/>
                <w:sz w:val="20"/>
                <w:szCs w:val="20"/>
              </w:rPr>
              <w:t>16 053</w:t>
            </w:r>
          </w:p>
        </w:tc>
        <w:tc>
          <w:tcPr>
            <w:tcW w:w="1354" w:type="dxa"/>
            <w:tcBorders>
              <w:top w:val="nil"/>
              <w:left w:val="nil"/>
              <w:bottom w:val="single" w:sz="4" w:space="0" w:color="auto"/>
              <w:right w:val="single" w:sz="4" w:space="0" w:color="auto"/>
            </w:tcBorders>
            <w:shd w:val="clear" w:color="auto" w:fill="auto"/>
            <w:noWrap/>
            <w:vAlign w:val="bottom"/>
            <w:hideMark/>
          </w:tcPr>
          <w:p w:rsidR="002664FC" w:rsidRPr="000B697A" w:rsidRDefault="002664FC" w:rsidP="00036C58">
            <w:pPr>
              <w:jc w:val="right"/>
              <w:rPr>
                <w:rFonts w:cs="Calibri"/>
                <w:color w:val="000000"/>
                <w:sz w:val="20"/>
                <w:szCs w:val="20"/>
              </w:rPr>
            </w:pPr>
            <w:r w:rsidRPr="000B697A">
              <w:rPr>
                <w:rFonts w:cs="Calibri"/>
                <w:color w:val="000000"/>
                <w:sz w:val="20"/>
                <w:szCs w:val="20"/>
              </w:rPr>
              <w:t>9 101</w:t>
            </w:r>
          </w:p>
        </w:tc>
        <w:tc>
          <w:tcPr>
            <w:tcW w:w="1340" w:type="dxa"/>
            <w:tcBorders>
              <w:top w:val="nil"/>
              <w:left w:val="nil"/>
              <w:bottom w:val="single" w:sz="4" w:space="0" w:color="auto"/>
              <w:right w:val="single" w:sz="4" w:space="0" w:color="auto"/>
            </w:tcBorders>
            <w:shd w:val="clear" w:color="auto" w:fill="auto"/>
            <w:noWrap/>
            <w:vAlign w:val="center"/>
            <w:hideMark/>
          </w:tcPr>
          <w:p w:rsidR="002664FC" w:rsidRPr="000B697A" w:rsidRDefault="002664FC" w:rsidP="00036C58">
            <w:pPr>
              <w:jc w:val="right"/>
              <w:rPr>
                <w:rFonts w:cs="Calibri"/>
                <w:color w:val="000000"/>
                <w:sz w:val="20"/>
                <w:szCs w:val="20"/>
              </w:rPr>
            </w:pPr>
            <w:r w:rsidRPr="000B697A">
              <w:rPr>
                <w:rFonts w:cs="Calibri"/>
                <w:color w:val="000000"/>
                <w:sz w:val="20"/>
                <w:szCs w:val="20"/>
              </w:rPr>
              <w:t>-43.31%</w:t>
            </w:r>
          </w:p>
        </w:tc>
      </w:tr>
      <w:tr w:rsidR="002664FC" w:rsidRPr="000B697A" w:rsidTr="00036C58">
        <w:trPr>
          <w:trHeight w:val="170"/>
          <w:jc w:val="center"/>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2664FC" w:rsidRPr="000B697A" w:rsidRDefault="002664FC" w:rsidP="00036C58">
            <w:pPr>
              <w:rPr>
                <w:rFonts w:cs="Calibri"/>
                <w:color w:val="000000"/>
                <w:sz w:val="20"/>
                <w:szCs w:val="20"/>
              </w:rPr>
            </w:pPr>
            <w:r w:rsidRPr="000B697A">
              <w:rPr>
                <w:rFonts w:cs="Calibri"/>
                <w:color w:val="000000"/>
                <w:sz w:val="20"/>
                <w:szCs w:val="20"/>
              </w:rPr>
              <w:t>Оборот през COBOS (лв.)</w:t>
            </w:r>
          </w:p>
        </w:tc>
        <w:tc>
          <w:tcPr>
            <w:tcW w:w="1160" w:type="dxa"/>
            <w:tcBorders>
              <w:top w:val="nil"/>
              <w:left w:val="nil"/>
              <w:bottom w:val="single" w:sz="4" w:space="0" w:color="auto"/>
              <w:right w:val="single" w:sz="4" w:space="0" w:color="auto"/>
            </w:tcBorders>
            <w:shd w:val="clear" w:color="auto" w:fill="auto"/>
            <w:noWrap/>
            <w:vAlign w:val="center"/>
            <w:hideMark/>
          </w:tcPr>
          <w:p w:rsidR="002664FC" w:rsidRPr="000B697A" w:rsidRDefault="002664FC" w:rsidP="00036C58">
            <w:pPr>
              <w:jc w:val="right"/>
              <w:rPr>
                <w:rFonts w:cs="Calibri"/>
                <w:color w:val="000000"/>
                <w:sz w:val="20"/>
                <w:szCs w:val="20"/>
              </w:rPr>
            </w:pPr>
            <w:r w:rsidRPr="000B697A">
              <w:rPr>
                <w:rFonts w:cs="Calibri"/>
                <w:color w:val="000000"/>
                <w:sz w:val="20"/>
                <w:szCs w:val="20"/>
              </w:rPr>
              <w:t>125 195 330</w:t>
            </w:r>
          </w:p>
        </w:tc>
        <w:tc>
          <w:tcPr>
            <w:tcW w:w="1354" w:type="dxa"/>
            <w:tcBorders>
              <w:top w:val="nil"/>
              <w:left w:val="nil"/>
              <w:bottom w:val="single" w:sz="4" w:space="0" w:color="auto"/>
              <w:right w:val="single" w:sz="4" w:space="0" w:color="auto"/>
            </w:tcBorders>
            <w:shd w:val="clear" w:color="auto" w:fill="auto"/>
            <w:noWrap/>
            <w:vAlign w:val="bottom"/>
            <w:hideMark/>
          </w:tcPr>
          <w:p w:rsidR="002664FC" w:rsidRPr="000B697A" w:rsidRDefault="002664FC" w:rsidP="00036C58">
            <w:pPr>
              <w:jc w:val="right"/>
              <w:rPr>
                <w:rFonts w:cs="Calibri"/>
                <w:color w:val="000000"/>
                <w:sz w:val="20"/>
                <w:szCs w:val="20"/>
              </w:rPr>
            </w:pPr>
            <w:r w:rsidRPr="000B697A">
              <w:rPr>
                <w:rFonts w:cs="Calibri"/>
                <w:color w:val="000000"/>
                <w:sz w:val="20"/>
                <w:szCs w:val="20"/>
              </w:rPr>
              <w:t>40 045 148</w:t>
            </w:r>
          </w:p>
        </w:tc>
        <w:tc>
          <w:tcPr>
            <w:tcW w:w="1340" w:type="dxa"/>
            <w:tcBorders>
              <w:top w:val="nil"/>
              <w:left w:val="nil"/>
              <w:bottom w:val="single" w:sz="4" w:space="0" w:color="auto"/>
              <w:right w:val="single" w:sz="4" w:space="0" w:color="auto"/>
            </w:tcBorders>
            <w:shd w:val="clear" w:color="auto" w:fill="auto"/>
            <w:noWrap/>
            <w:vAlign w:val="center"/>
            <w:hideMark/>
          </w:tcPr>
          <w:p w:rsidR="002664FC" w:rsidRPr="000B697A" w:rsidRDefault="002664FC" w:rsidP="00036C58">
            <w:pPr>
              <w:jc w:val="right"/>
              <w:rPr>
                <w:rFonts w:cs="Calibri"/>
                <w:color w:val="000000"/>
                <w:sz w:val="20"/>
                <w:szCs w:val="20"/>
              </w:rPr>
            </w:pPr>
            <w:r w:rsidRPr="000B697A">
              <w:rPr>
                <w:rFonts w:cs="Calibri"/>
                <w:color w:val="000000"/>
                <w:sz w:val="20"/>
                <w:szCs w:val="20"/>
              </w:rPr>
              <w:t>-68.01%</w:t>
            </w:r>
          </w:p>
        </w:tc>
      </w:tr>
    </w:tbl>
    <w:p w:rsidR="00811C9D" w:rsidRPr="000B697A" w:rsidRDefault="00811C9D" w:rsidP="00985E8C">
      <w:pPr>
        <w:pStyle w:val="SubSubNumber"/>
        <w:widowControl w:val="0"/>
        <w:tabs>
          <w:tab w:val="clear" w:pos="1276"/>
          <w:tab w:val="clear" w:pos="2127"/>
        </w:tabs>
        <w:ind w:left="1843" w:hanging="992"/>
        <w:outlineLvl w:val="9"/>
        <w:rPr>
          <w:rFonts w:cs="Calibri"/>
        </w:rPr>
      </w:pPr>
      <w:r w:rsidRPr="000B697A">
        <w:rPr>
          <w:rFonts w:cs="Calibri"/>
        </w:rPr>
        <w:t>Информационни продукти</w:t>
      </w:r>
    </w:p>
    <w:p w:rsidR="002664FC" w:rsidRPr="000B697A" w:rsidRDefault="002664FC" w:rsidP="002664FC">
      <w:pPr>
        <w:spacing w:after="120"/>
        <w:rPr>
          <w:rFonts w:cs="Calibri"/>
        </w:rPr>
      </w:pPr>
      <w:r w:rsidRPr="000B697A">
        <w:rPr>
          <w:rFonts w:cs="Calibri"/>
        </w:rPr>
        <w:t xml:space="preserve">През </w:t>
      </w:r>
      <w:r w:rsidRPr="000B697A">
        <w:rPr>
          <w:rFonts w:cs="Calibri"/>
          <w:b/>
        </w:rPr>
        <w:t>първото тримесечие</w:t>
      </w:r>
      <w:r w:rsidRPr="000B697A">
        <w:rPr>
          <w:rFonts w:cs="Calibri"/>
        </w:rPr>
        <w:t xml:space="preserve"> бе проведено обучение във връзка с изискванията на ISO 9001:2015 "Системи за управление на качеството. Изисквания. Нови изисквания и внедряването им в системата за управление (СУ) на БФБ". Направена бе промяна в процедурите и инструкциите на СУ на Българска фондова борса АД, в очакване на предстоящ вътрешен одит по новата версия на стандарта.</w:t>
      </w:r>
    </w:p>
    <w:p w:rsidR="002664FC" w:rsidRPr="000B697A" w:rsidRDefault="002664FC" w:rsidP="002664FC">
      <w:pPr>
        <w:spacing w:after="120"/>
        <w:rPr>
          <w:rFonts w:cs="Calibri"/>
        </w:rPr>
      </w:pPr>
      <w:r w:rsidRPr="000B697A">
        <w:rPr>
          <w:rFonts w:cs="Calibri"/>
        </w:rPr>
        <w:lastRenderedPageBreak/>
        <w:t xml:space="preserve">По-късно през </w:t>
      </w:r>
      <w:r w:rsidRPr="000B697A">
        <w:rPr>
          <w:rFonts w:cs="Calibri"/>
          <w:b/>
        </w:rPr>
        <w:t>второто тримесечие</w:t>
      </w:r>
      <w:r w:rsidRPr="000B697A">
        <w:rPr>
          <w:rFonts w:cs="Calibri"/>
        </w:rPr>
        <w:t xml:space="preserve"> успешно беше проведен първи за годината вътрешен одит на Системата за управление на БФБ АД за установяване на съответствието на сертифицираната СУ със стандартите ISO 9001 и ISO 27001. Установена бе готовност за сертифициране по новата версия на ISO 9001 стандарта.</w:t>
      </w:r>
    </w:p>
    <w:p w:rsidR="002664FC" w:rsidRPr="000B697A" w:rsidRDefault="002664FC" w:rsidP="002664FC">
      <w:pPr>
        <w:spacing w:after="120"/>
        <w:rPr>
          <w:rFonts w:cs="Calibri"/>
        </w:rPr>
      </w:pPr>
      <w:r w:rsidRPr="000B697A">
        <w:rPr>
          <w:rFonts w:cs="Calibri"/>
        </w:rPr>
        <w:t xml:space="preserve">Във връзка с предстоящото влизане в сила на </w:t>
      </w:r>
      <w:proofErr w:type="spellStart"/>
      <w:r w:rsidRPr="000B697A">
        <w:rPr>
          <w:rFonts w:cs="Calibri"/>
        </w:rPr>
        <w:t>MiFID</w:t>
      </w:r>
      <w:proofErr w:type="spellEnd"/>
      <w:r w:rsidRPr="000B697A">
        <w:rPr>
          <w:rFonts w:cs="Calibri"/>
        </w:rPr>
        <w:t xml:space="preserve"> II и </w:t>
      </w:r>
      <w:proofErr w:type="spellStart"/>
      <w:r w:rsidRPr="000B697A">
        <w:rPr>
          <w:rFonts w:cs="Calibri"/>
        </w:rPr>
        <w:t>MiFIR</w:t>
      </w:r>
      <w:proofErr w:type="spellEnd"/>
      <w:r w:rsidRPr="000B697A">
        <w:rPr>
          <w:rFonts w:cs="Calibri"/>
        </w:rPr>
        <w:t xml:space="preserve"> и Делегиран регламент (ЕС) 2017/575, БФБ започна да изготвя на периодична база редица отчети в машинно-четим формат и ги предоставя към публиката посредством уеб-сайта си. Извършени бяха промени в интернет порталите на БФБ във връзка с изискванията на новата нормативна рамка на </w:t>
      </w:r>
      <w:proofErr w:type="spellStart"/>
      <w:r w:rsidRPr="000B697A">
        <w:rPr>
          <w:rFonts w:cs="Calibri"/>
        </w:rPr>
        <w:t>MiFID</w:t>
      </w:r>
      <w:proofErr w:type="spellEnd"/>
      <w:r w:rsidRPr="000B697A">
        <w:rPr>
          <w:rFonts w:cs="Calibri"/>
        </w:rPr>
        <w:t xml:space="preserve"> II и </w:t>
      </w:r>
      <w:proofErr w:type="spellStart"/>
      <w:r w:rsidRPr="000B697A">
        <w:rPr>
          <w:rFonts w:cs="Calibri"/>
        </w:rPr>
        <w:t>MiFIR</w:t>
      </w:r>
      <w:proofErr w:type="spellEnd"/>
      <w:r w:rsidRPr="000B697A">
        <w:rPr>
          <w:rFonts w:cs="Calibri"/>
        </w:rPr>
        <w:t>.</w:t>
      </w:r>
    </w:p>
    <w:p w:rsidR="002664FC" w:rsidRPr="000B697A" w:rsidRDefault="002664FC" w:rsidP="002664FC">
      <w:pPr>
        <w:rPr>
          <w:rFonts w:cs="Calibri"/>
        </w:rPr>
      </w:pPr>
      <w:r w:rsidRPr="000B697A">
        <w:rPr>
          <w:rFonts w:cs="Calibri"/>
        </w:rPr>
        <w:t xml:space="preserve">През </w:t>
      </w:r>
      <w:r w:rsidRPr="000B697A">
        <w:rPr>
          <w:rFonts w:cs="Calibri"/>
          <w:b/>
        </w:rPr>
        <w:t>третото тримесечие</w:t>
      </w:r>
      <w:r w:rsidRPr="000B697A">
        <w:rPr>
          <w:rFonts w:cs="Calibri"/>
        </w:rPr>
        <w:t xml:space="preserve"> на 2018 г. в Българска фондова борса беше извършен надзорен одит на Системата за управление съгласно ISO 9001:2015 и ISO 27001:2013.</w:t>
      </w:r>
    </w:p>
    <w:p w:rsidR="002664FC" w:rsidRPr="000B697A" w:rsidRDefault="002664FC" w:rsidP="002664FC">
      <w:pPr>
        <w:spacing w:after="120"/>
        <w:rPr>
          <w:rFonts w:cs="Calibri"/>
        </w:rPr>
      </w:pPr>
      <w:r w:rsidRPr="000B697A">
        <w:rPr>
          <w:rFonts w:cs="Calibri"/>
        </w:rPr>
        <w:t>Подменени бяха сървърни сертификати на системите extri.bg и x3news.</w:t>
      </w:r>
    </w:p>
    <w:p w:rsidR="002664FC" w:rsidRPr="000B697A" w:rsidRDefault="002664FC" w:rsidP="002664FC">
      <w:pPr>
        <w:rPr>
          <w:rFonts w:cs="Calibri"/>
        </w:rPr>
      </w:pPr>
      <w:r w:rsidRPr="000B697A">
        <w:rPr>
          <w:rFonts w:cs="Calibri"/>
        </w:rPr>
        <w:t xml:space="preserve">През </w:t>
      </w:r>
      <w:r w:rsidRPr="000B697A">
        <w:rPr>
          <w:rFonts w:cs="Calibri"/>
          <w:b/>
        </w:rPr>
        <w:t>четвъртото тримесечие</w:t>
      </w:r>
      <w:r w:rsidRPr="000B697A">
        <w:rPr>
          <w:rFonts w:cs="Calibri"/>
        </w:rPr>
        <w:t xml:space="preserve"> стартира подновеният интернет сайт на БФБ АД. По-късно към него започна работа нов модул за докладване на извън борсови сделки.</w:t>
      </w:r>
    </w:p>
    <w:p w:rsidR="00811C9D" w:rsidRPr="000B697A" w:rsidRDefault="002664FC" w:rsidP="002664FC">
      <w:pPr>
        <w:spacing w:after="120"/>
        <w:rPr>
          <w:rFonts w:cs="Calibri"/>
        </w:rPr>
      </w:pPr>
      <w:r w:rsidRPr="000B697A">
        <w:rPr>
          <w:rFonts w:cs="Calibri"/>
        </w:rPr>
        <w:t>Системата за публикуване на доклади за сделки на борсата (ОМП, Системата) бе разработена на база разпоредбите на Директивата за пазарите на финансови инструменти (</w:t>
      </w:r>
      <w:proofErr w:type="spellStart"/>
      <w:r w:rsidRPr="000B697A">
        <w:rPr>
          <w:rFonts w:cs="Calibri"/>
        </w:rPr>
        <w:t>MiFID</w:t>
      </w:r>
      <w:proofErr w:type="spellEnd"/>
      <w:r w:rsidRPr="000B697A">
        <w:rPr>
          <w:rFonts w:cs="Calibri"/>
        </w:rPr>
        <w:t xml:space="preserve"> II), които изискват от всички инвестиционни посредници в рамките на ЕС да публикуват сключените извънборсови сделки с финансови инструменти. Чрез системата инвестиционните посредници могат да публикуват информация за всяка сделка, изпълнена извън регулиран пазар, която включва цената, обема и времето на сделката, и различни други данни за индивидуалната търговия</w:t>
      </w:r>
      <w:r w:rsidR="00811C9D" w:rsidRPr="000B697A">
        <w:rPr>
          <w:rFonts w:cs="Calibri"/>
        </w:rPr>
        <w:t>.</w:t>
      </w:r>
    </w:p>
    <w:p w:rsidR="00811C9D" w:rsidRPr="000B697A" w:rsidRDefault="00811C9D" w:rsidP="0016443B">
      <w:pPr>
        <w:pStyle w:val="SubNumbers"/>
        <w:widowControl w:val="0"/>
        <w:ind w:left="1134" w:hanging="774"/>
        <w:rPr>
          <w:rFonts w:cs="Calibri"/>
        </w:rPr>
      </w:pPr>
      <w:bookmarkStart w:id="79" w:name="_Toc283112125"/>
      <w:bookmarkStart w:id="80" w:name="_Toc509822009"/>
      <w:bookmarkStart w:id="81" w:name="_Toc6923249"/>
      <w:r w:rsidRPr="000B697A">
        <w:rPr>
          <w:rFonts w:cs="Calibri"/>
        </w:rPr>
        <w:t xml:space="preserve">Привличане на нови емисии, </w:t>
      </w:r>
      <w:bookmarkEnd w:id="79"/>
      <w:r w:rsidRPr="000B697A">
        <w:rPr>
          <w:rFonts w:cs="Calibri"/>
        </w:rPr>
        <w:t>корпоративно управление</w:t>
      </w:r>
      <w:bookmarkEnd w:id="80"/>
      <w:bookmarkEnd w:id="81"/>
    </w:p>
    <w:p w:rsidR="00811C9D" w:rsidRPr="000B697A" w:rsidRDefault="00811C9D" w:rsidP="00811C9D">
      <w:pPr>
        <w:rPr>
          <w:rFonts w:cs="Calibri"/>
        </w:rPr>
      </w:pPr>
      <w:r w:rsidRPr="000B697A">
        <w:rPr>
          <w:rFonts w:cs="Calibri"/>
        </w:rPr>
        <w:t>И през 201</w:t>
      </w:r>
      <w:r w:rsidR="002664FC" w:rsidRPr="000B697A">
        <w:rPr>
          <w:rFonts w:cs="Calibri"/>
        </w:rPr>
        <w:t>8</w:t>
      </w:r>
      <w:r w:rsidRPr="000B697A">
        <w:rPr>
          <w:rFonts w:cs="Calibri"/>
        </w:rPr>
        <w:t xml:space="preserve"> г. за Българска Фондова Борса АД корпоративното управление на настоящите публични компании и привличането на нови емитенти бяха основен приоритет, съответно върху тях бяха съсредоточени най-много усилия.</w:t>
      </w:r>
    </w:p>
    <w:p w:rsidR="00811C9D" w:rsidRPr="000B697A" w:rsidRDefault="00811C9D" w:rsidP="00811C9D">
      <w:pPr>
        <w:rPr>
          <w:rFonts w:cs="Calibri"/>
        </w:rPr>
      </w:pPr>
      <w:r w:rsidRPr="000B697A">
        <w:rPr>
          <w:rFonts w:cs="Calibri"/>
        </w:rPr>
        <w:t>Най-общо, предприетите през 201</w:t>
      </w:r>
      <w:r w:rsidR="002664FC" w:rsidRPr="000B697A">
        <w:rPr>
          <w:rFonts w:cs="Calibri"/>
        </w:rPr>
        <w:t>8</w:t>
      </w:r>
      <w:r w:rsidRPr="000B697A">
        <w:rPr>
          <w:rFonts w:cs="Calibri"/>
        </w:rPr>
        <w:t xml:space="preserve"> г. мерки от страна на борсата са както следва:</w:t>
      </w:r>
    </w:p>
    <w:p w:rsidR="00811C9D" w:rsidRPr="000B697A" w:rsidRDefault="00811C9D" w:rsidP="00985E8C">
      <w:pPr>
        <w:pStyle w:val="SubSubNumber"/>
        <w:widowControl w:val="0"/>
        <w:tabs>
          <w:tab w:val="clear" w:pos="1276"/>
          <w:tab w:val="clear" w:pos="2127"/>
        </w:tabs>
        <w:ind w:left="1843" w:hanging="992"/>
        <w:outlineLvl w:val="9"/>
        <w:rPr>
          <w:rFonts w:cs="Calibri"/>
        </w:rPr>
      </w:pPr>
      <w:bookmarkStart w:id="82" w:name="_Toc509329337"/>
      <w:bookmarkStart w:id="83" w:name="_Toc509331223"/>
      <w:bookmarkStart w:id="84" w:name="_Toc509329338"/>
      <w:bookmarkStart w:id="85" w:name="_Toc509331224"/>
      <w:bookmarkStart w:id="86" w:name="_Ref446087469"/>
      <w:bookmarkEnd w:id="82"/>
      <w:bookmarkEnd w:id="83"/>
      <w:bookmarkEnd w:id="84"/>
      <w:bookmarkEnd w:id="85"/>
      <w:r w:rsidRPr="000B697A">
        <w:rPr>
          <w:rFonts w:cs="Calibri"/>
        </w:rPr>
        <w:t>Национална комисия за корпоративно управление</w:t>
      </w:r>
      <w:bookmarkEnd w:id="86"/>
    </w:p>
    <w:p w:rsidR="002664FC" w:rsidRPr="000B697A" w:rsidRDefault="002664FC" w:rsidP="002664FC">
      <w:pPr>
        <w:rPr>
          <w:rStyle w:val="hps"/>
          <w:rFonts w:cs="Calibri"/>
        </w:rPr>
      </w:pPr>
      <w:r w:rsidRPr="000B697A">
        <w:rPr>
          <w:rStyle w:val="hps"/>
          <w:rFonts w:cs="Calibri"/>
        </w:rPr>
        <w:t>БФБ продължава да подпомага и участва активно в дейността на Националната комисия за корпоративно управление (НККУ). Като признание за положените усилия, от края на 2015 година Борсата председателства НККУ на ротационен принцип за три годишен мандат.</w:t>
      </w:r>
    </w:p>
    <w:p w:rsidR="002664FC" w:rsidRPr="000B697A" w:rsidRDefault="002664FC" w:rsidP="002664FC">
      <w:pPr>
        <w:rPr>
          <w:rStyle w:val="hps"/>
          <w:rFonts w:cs="Calibri"/>
        </w:rPr>
      </w:pPr>
      <w:r w:rsidRPr="000B697A">
        <w:rPr>
          <w:rStyle w:val="hps"/>
          <w:rFonts w:cs="Calibri"/>
        </w:rPr>
        <w:t xml:space="preserve">През Април 2018 година Националната комисия по корпоративно управление, съвместно с Ernst &amp; Young и няколко международни организации, като </w:t>
      </w:r>
      <w:proofErr w:type="spellStart"/>
      <w:r w:rsidRPr="000B697A">
        <w:rPr>
          <w:rStyle w:val="hps"/>
          <w:rFonts w:cs="Calibri"/>
        </w:rPr>
        <w:t>EcoDa</w:t>
      </w:r>
      <w:proofErr w:type="spellEnd"/>
      <w:r w:rsidRPr="000B697A">
        <w:rPr>
          <w:rStyle w:val="hps"/>
          <w:rFonts w:cs="Calibri"/>
        </w:rPr>
        <w:t xml:space="preserve">, </w:t>
      </w:r>
      <w:proofErr w:type="spellStart"/>
      <w:r w:rsidRPr="000B697A">
        <w:rPr>
          <w:rStyle w:val="hps"/>
          <w:rFonts w:cs="Calibri"/>
        </w:rPr>
        <w:t>BusinessEurope</w:t>
      </w:r>
      <w:proofErr w:type="spellEnd"/>
      <w:r w:rsidRPr="000B697A">
        <w:rPr>
          <w:rStyle w:val="hps"/>
          <w:rFonts w:cs="Calibri"/>
        </w:rPr>
        <w:t xml:space="preserve">, ACCA и </w:t>
      </w:r>
      <w:proofErr w:type="spellStart"/>
      <w:r w:rsidRPr="000B697A">
        <w:rPr>
          <w:rStyle w:val="hps"/>
          <w:rFonts w:cs="Calibri"/>
        </w:rPr>
        <w:t>European</w:t>
      </w:r>
      <w:proofErr w:type="spellEnd"/>
      <w:r w:rsidRPr="000B697A">
        <w:rPr>
          <w:rStyle w:val="hps"/>
          <w:rFonts w:cs="Calibri"/>
        </w:rPr>
        <w:t xml:space="preserve"> </w:t>
      </w:r>
      <w:proofErr w:type="spellStart"/>
      <w:r w:rsidRPr="000B697A">
        <w:rPr>
          <w:rStyle w:val="hps"/>
          <w:rFonts w:cs="Calibri"/>
        </w:rPr>
        <w:t>Issuers</w:t>
      </w:r>
      <w:proofErr w:type="spellEnd"/>
      <w:r w:rsidRPr="000B697A">
        <w:rPr>
          <w:rStyle w:val="hps"/>
          <w:rFonts w:cs="Calibri"/>
        </w:rPr>
        <w:t xml:space="preserve">, организира 22-та Международна Конференция за Корпоративно Управление. Събитието традиционно се домакинства от държавата, председателстваща Съвета на ЕС и това негово издание бе под надслов </w:t>
      </w:r>
      <w:proofErr w:type="spellStart"/>
      <w:r w:rsidRPr="000B697A">
        <w:rPr>
          <w:rStyle w:val="hps"/>
          <w:rFonts w:cs="Calibri"/>
        </w:rPr>
        <w:t>Corporate</w:t>
      </w:r>
      <w:proofErr w:type="spellEnd"/>
      <w:r w:rsidRPr="000B697A">
        <w:rPr>
          <w:rStyle w:val="hps"/>
          <w:rFonts w:cs="Calibri"/>
        </w:rPr>
        <w:t xml:space="preserve"> </w:t>
      </w:r>
      <w:proofErr w:type="spellStart"/>
      <w:r w:rsidRPr="000B697A">
        <w:rPr>
          <w:rStyle w:val="hps"/>
          <w:rFonts w:cs="Calibri"/>
        </w:rPr>
        <w:t>governance</w:t>
      </w:r>
      <w:proofErr w:type="spellEnd"/>
      <w:r w:rsidRPr="000B697A">
        <w:rPr>
          <w:rStyle w:val="hps"/>
          <w:rFonts w:cs="Calibri"/>
        </w:rPr>
        <w:t xml:space="preserve"> </w:t>
      </w:r>
      <w:proofErr w:type="spellStart"/>
      <w:r w:rsidRPr="000B697A">
        <w:rPr>
          <w:rStyle w:val="hps"/>
          <w:rFonts w:cs="Calibri"/>
        </w:rPr>
        <w:t>towards</w:t>
      </w:r>
      <w:proofErr w:type="spellEnd"/>
      <w:r w:rsidRPr="000B697A">
        <w:rPr>
          <w:rStyle w:val="hps"/>
          <w:rFonts w:cs="Calibri"/>
        </w:rPr>
        <w:t xml:space="preserve"> a </w:t>
      </w:r>
      <w:proofErr w:type="spellStart"/>
      <w:r w:rsidRPr="000B697A">
        <w:rPr>
          <w:rStyle w:val="hps"/>
          <w:rFonts w:cs="Calibri"/>
        </w:rPr>
        <w:t>new</w:t>
      </w:r>
      <w:proofErr w:type="spellEnd"/>
      <w:r w:rsidRPr="000B697A">
        <w:rPr>
          <w:rStyle w:val="hps"/>
          <w:rFonts w:cs="Calibri"/>
        </w:rPr>
        <w:t xml:space="preserve"> </w:t>
      </w:r>
      <w:proofErr w:type="spellStart"/>
      <w:r w:rsidRPr="000B697A">
        <w:rPr>
          <w:rStyle w:val="hps"/>
          <w:rFonts w:cs="Calibri"/>
        </w:rPr>
        <w:t>culture</w:t>
      </w:r>
      <w:proofErr w:type="spellEnd"/>
      <w:r w:rsidRPr="000B697A">
        <w:rPr>
          <w:rStyle w:val="hps"/>
          <w:rFonts w:cs="Calibri"/>
        </w:rPr>
        <w:t xml:space="preserve"> </w:t>
      </w:r>
      <w:proofErr w:type="spellStart"/>
      <w:r w:rsidRPr="000B697A">
        <w:rPr>
          <w:rStyle w:val="hps"/>
          <w:rFonts w:cs="Calibri"/>
        </w:rPr>
        <w:t>for</w:t>
      </w:r>
      <w:proofErr w:type="spellEnd"/>
      <w:r w:rsidRPr="000B697A">
        <w:rPr>
          <w:rStyle w:val="hps"/>
          <w:rFonts w:cs="Calibri"/>
        </w:rPr>
        <w:t xml:space="preserve"> </w:t>
      </w:r>
      <w:proofErr w:type="spellStart"/>
      <w:r w:rsidRPr="000B697A">
        <w:rPr>
          <w:rStyle w:val="hps"/>
          <w:rFonts w:cs="Calibri"/>
        </w:rPr>
        <w:t>disclosure</w:t>
      </w:r>
      <w:proofErr w:type="spellEnd"/>
      <w:r w:rsidRPr="000B697A">
        <w:rPr>
          <w:rStyle w:val="hps"/>
          <w:rFonts w:cs="Calibri"/>
        </w:rPr>
        <w:t xml:space="preserve">, </w:t>
      </w:r>
      <w:proofErr w:type="spellStart"/>
      <w:r w:rsidRPr="000B697A">
        <w:rPr>
          <w:rStyle w:val="hps"/>
          <w:rFonts w:cs="Calibri"/>
        </w:rPr>
        <w:t>transparency</w:t>
      </w:r>
      <w:proofErr w:type="spellEnd"/>
      <w:r w:rsidRPr="000B697A">
        <w:rPr>
          <w:rStyle w:val="hps"/>
          <w:rFonts w:cs="Calibri"/>
        </w:rPr>
        <w:t xml:space="preserve"> </w:t>
      </w:r>
      <w:proofErr w:type="spellStart"/>
      <w:r w:rsidRPr="000B697A">
        <w:rPr>
          <w:rStyle w:val="hps"/>
          <w:rFonts w:cs="Calibri"/>
        </w:rPr>
        <w:t>and</w:t>
      </w:r>
      <w:proofErr w:type="spellEnd"/>
      <w:r w:rsidRPr="000B697A">
        <w:rPr>
          <w:rStyle w:val="hps"/>
          <w:rFonts w:cs="Calibri"/>
        </w:rPr>
        <w:t xml:space="preserve"> </w:t>
      </w:r>
      <w:proofErr w:type="spellStart"/>
      <w:r w:rsidRPr="000B697A">
        <w:rPr>
          <w:rStyle w:val="hps"/>
          <w:rFonts w:cs="Calibri"/>
        </w:rPr>
        <w:t>anti-corruption</w:t>
      </w:r>
      <w:proofErr w:type="spellEnd"/>
      <w:r w:rsidRPr="000B697A">
        <w:rPr>
          <w:rStyle w:val="hps"/>
          <w:rFonts w:cs="Calibri"/>
        </w:rPr>
        <w:t xml:space="preserve">. В него взеха участие над 120 международно признати специалисти в областта, като измежду дискутираните теми бяха корпоративното управление и </w:t>
      </w:r>
      <w:r w:rsidRPr="000B697A">
        <w:rPr>
          <w:rStyle w:val="hps"/>
          <w:rFonts w:cs="Calibri"/>
        </w:rPr>
        <w:lastRenderedPageBreak/>
        <w:t>дружественото право, противодействие на корупцията, спецификите в корпоративното управление на мултинационалните компании .</w:t>
      </w:r>
    </w:p>
    <w:p w:rsidR="00811C9D" w:rsidRPr="000B697A" w:rsidRDefault="002664FC" w:rsidP="002664FC">
      <w:pPr>
        <w:rPr>
          <w:rStyle w:val="hps"/>
          <w:rFonts w:cs="Calibri"/>
        </w:rPr>
      </w:pPr>
      <w:r w:rsidRPr="000B697A">
        <w:rPr>
          <w:rStyle w:val="hps"/>
          <w:rFonts w:cs="Calibri"/>
        </w:rPr>
        <w:t>През Октомври 2018 г. проф. Бистра Боева и Иван Такев – и двамата в качеството си на членове на НККУ, взеха участие в кръгла маса на тема Корпоративно управление, държавни предприятия и насоките на ОИСР - българската перспектива, която бе организирана от Университета за Национално и Световно Стопанство и Форумът за Балкански Транспорт и Инфраструктурата. Основната цел на кръглата маса бе да бъде обсъден и начертан механизмът за имплементиране в България на Насоките на Организацията за Икономическо сътрудничество и Развитие (ОИСР) за държавни предприятия, както и в процеса да бъде очертани някои добри практики на скандинавските и балтийските държави</w:t>
      </w:r>
      <w:r w:rsidR="00811C9D" w:rsidRPr="000B697A">
        <w:rPr>
          <w:rStyle w:val="hps"/>
          <w:rFonts w:cs="Calibri"/>
        </w:rPr>
        <w:t>.</w:t>
      </w:r>
    </w:p>
    <w:p w:rsidR="00811C9D" w:rsidRPr="000B697A" w:rsidRDefault="00811C9D" w:rsidP="0016443B">
      <w:pPr>
        <w:pStyle w:val="SubNumbers"/>
        <w:widowControl w:val="0"/>
        <w:ind w:left="1134" w:hanging="774"/>
        <w:rPr>
          <w:rFonts w:cs="Calibri"/>
        </w:rPr>
      </w:pPr>
      <w:bookmarkStart w:id="87" w:name="_Toc283112128"/>
      <w:bookmarkStart w:id="88" w:name="_Toc509822010"/>
      <w:bookmarkStart w:id="89" w:name="_Toc6923250"/>
      <w:r w:rsidRPr="000B697A">
        <w:rPr>
          <w:rFonts w:cs="Calibri"/>
        </w:rPr>
        <w:t>Международна дейност</w:t>
      </w:r>
      <w:bookmarkEnd w:id="87"/>
      <w:bookmarkEnd w:id="88"/>
      <w:bookmarkEnd w:id="89"/>
    </w:p>
    <w:p w:rsidR="002664FC" w:rsidRPr="000B697A" w:rsidRDefault="002664FC" w:rsidP="002664FC">
      <w:pPr>
        <w:pStyle w:val="ListParagraph"/>
        <w:numPr>
          <w:ilvl w:val="0"/>
          <w:numId w:val="10"/>
        </w:numPr>
        <w:ind w:left="786"/>
        <w:contextualSpacing/>
        <w:rPr>
          <w:rFonts w:cs="Calibri"/>
          <w:lang w:val="bg-BG"/>
        </w:rPr>
      </w:pPr>
      <w:r w:rsidRPr="000B697A">
        <w:rPr>
          <w:rFonts w:cs="Calibri"/>
          <w:lang w:val="bg-BG"/>
        </w:rPr>
        <w:t xml:space="preserve">На 24.01.2018 г. изпълнителният директор на БФБ Иван Такев взе участие в </w:t>
      </w:r>
      <w:proofErr w:type="spellStart"/>
      <w:r w:rsidRPr="000B697A">
        <w:rPr>
          <w:rFonts w:cs="Calibri"/>
          <w:lang w:val="bg-BG"/>
        </w:rPr>
        <w:t>Тhe</w:t>
      </w:r>
      <w:proofErr w:type="spellEnd"/>
      <w:r w:rsidRPr="000B697A">
        <w:rPr>
          <w:rFonts w:cs="Calibri"/>
          <w:lang w:val="bg-BG"/>
        </w:rPr>
        <w:t xml:space="preserve"> </w:t>
      </w:r>
      <w:proofErr w:type="spellStart"/>
      <w:r w:rsidRPr="000B697A">
        <w:rPr>
          <w:rFonts w:cs="Calibri"/>
          <w:lang w:val="bg-BG"/>
        </w:rPr>
        <w:t>Balkan</w:t>
      </w:r>
      <w:proofErr w:type="spellEnd"/>
      <w:r w:rsidRPr="000B697A">
        <w:rPr>
          <w:rFonts w:cs="Calibri"/>
          <w:lang w:val="bg-BG"/>
        </w:rPr>
        <w:t xml:space="preserve"> Capital Markets </w:t>
      </w:r>
      <w:proofErr w:type="spellStart"/>
      <w:r w:rsidRPr="000B697A">
        <w:rPr>
          <w:rFonts w:cs="Calibri"/>
          <w:lang w:val="bg-BG"/>
        </w:rPr>
        <w:t>Forum</w:t>
      </w:r>
      <w:proofErr w:type="spellEnd"/>
      <w:r w:rsidRPr="000B697A">
        <w:rPr>
          <w:rFonts w:cs="Calibri"/>
          <w:lang w:val="bg-BG"/>
        </w:rPr>
        <w:t xml:space="preserve">, провел се в Тирана, Албания, където бе част от дискусионен панел с представители на всички фондови борси в региона, както и изнесе презентация на тема </w:t>
      </w:r>
      <w:proofErr w:type="spellStart"/>
      <w:r w:rsidRPr="000B697A">
        <w:rPr>
          <w:rFonts w:cs="Calibri"/>
          <w:lang w:val="bg-BG"/>
        </w:rPr>
        <w:t>Bulgaria’s</w:t>
      </w:r>
      <w:proofErr w:type="spellEnd"/>
      <w:r w:rsidRPr="000B697A">
        <w:rPr>
          <w:rFonts w:cs="Calibri"/>
          <w:lang w:val="bg-BG"/>
        </w:rPr>
        <w:t xml:space="preserve"> Capital Markets </w:t>
      </w:r>
      <w:proofErr w:type="spellStart"/>
      <w:r w:rsidRPr="000B697A">
        <w:rPr>
          <w:rFonts w:cs="Calibri"/>
          <w:lang w:val="bg-BG"/>
        </w:rPr>
        <w:t>and</w:t>
      </w:r>
      <w:proofErr w:type="spellEnd"/>
      <w:r w:rsidRPr="000B697A">
        <w:rPr>
          <w:rFonts w:cs="Calibri"/>
          <w:lang w:val="bg-BG"/>
        </w:rPr>
        <w:t xml:space="preserve"> </w:t>
      </w:r>
      <w:proofErr w:type="spellStart"/>
      <w:r w:rsidRPr="000B697A">
        <w:rPr>
          <w:rFonts w:cs="Calibri"/>
          <w:lang w:val="bg-BG"/>
        </w:rPr>
        <w:t>perspectives</w:t>
      </w:r>
      <w:proofErr w:type="spellEnd"/>
      <w:r w:rsidRPr="000B697A">
        <w:rPr>
          <w:rFonts w:cs="Calibri"/>
          <w:lang w:val="bg-BG"/>
        </w:rPr>
        <w:t xml:space="preserve"> </w:t>
      </w:r>
      <w:proofErr w:type="spellStart"/>
      <w:r w:rsidRPr="000B697A">
        <w:rPr>
          <w:rFonts w:cs="Calibri"/>
          <w:lang w:val="bg-BG"/>
        </w:rPr>
        <w:t>for</w:t>
      </w:r>
      <w:proofErr w:type="spellEnd"/>
      <w:r w:rsidRPr="000B697A">
        <w:rPr>
          <w:rFonts w:cs="Calibri"/>
          <w:lang w:val="bg-BG"/>
        </w:rPr>
        <w:t xml:space="preserve"> </w:t>
      </w:r>
      <w:proofErr w:type="spellStart"/>
      <w:r w:rsidRPr="000B697A">
        <w:rPr>
          <w:rFonts w:cs="Calibri"/>
          <w:lang w:val="bg-BG"/>
        </w:rPr>
        <w:t>development</w:t>
      </w:r>
      <w:proofErr w:type="spellEnd"/>
      <w:r w:rsidRPr="000B697A">
        <w:rPr>
          <w:rFonts w:cs="Calibri"/>
          <w:lang w:val="bg-BG"/>
        </w:rPr>
        <w:t xml:space="preserve"> </w:t>
      </w:r>
      <w:proofErr w:type="spellStart"/>
      <w:r w:rsidRPr="000B697A">
        <w:rPr>
          <w:rFonts w:cs="Calibri"/>
          <w:lang w:val="bg-BG"/>
        </w:rPr>
        <w:t>in</w:t>
      </w:r>
      <w:proofErr w:type="spellEnd"/>
      <w:r w:rsidRPr="000B697A">
        <w:rPr>
          <w:rFonts w:cs="Calibri"/>
          <w:lang w:val="bg-BG"/>
        </w:rPr>
        <w:t xml:space="preserve"> </w:t>
      </w:r>
      <w:proofErr w:type="spellStart"/>
      <w:r w:rsidRPr="000B697A">
        <w:rPr>
          <w:rFonts w:cs="Calibri"/>
          <w:lang w:val="bg-BG"/>
        </w:rPr>
        <w:t>the</w:t>
      </w:r>
      <w:proofErr w:type="spellEnd"/>
      <w:r w:rsidRPr="000B697A">
        <w:rPr>
          <w:rFonts w:cs="Calibri"/>
          <w:lang w:val="bg-BG"/>
        </w:rPr>
        <w:t xml:space="preserve"> SEE </w:t>
      </w:r>
      <w:proofErr w:type="spellStart"/>
      <w:r w:rsidRPr="000B697A">
        <w:rPr>
          <w:rFonts w:cs="Calibri"/>
          <w:lang w:val="bg-BG"/>
        </w:rPr>
        <w:t>and</w:t>
      </w:r>
      <w:proofErr w:type="spellEnd"/>
      <w:r w:rsidRPr="000B697A">
        <w:rPr>
          <w:rFonts w:cs="Calibri"/>
          <w:lang w:val="bg-BG"/>
        </w:rPr>
        <w:t xml:space="preserve"> </w:t>
      </w:r>
      <w:proofErr w:type="spellStart"/>
      <w:r w:rsidRPr="000B697A">
        <w:rPr>
          <w:rFonts w:cs="Calibri"/>
          <w:lang w:val="bg-BG"/>
        </w:rPr>
        <w:t>the</w:t>
      </w:r>
      <w:proofErr w:type="spellEnd"/>
      <w:r w:rsidRPr="000B697A">
        <w:rPr>
          <w:rFonts w:cs="Calibri"/>
          <w:lang w:val="bg-BG"/>
        </w:rPr>
        <w:t xml:space="preserve"> </w:t>
      </w:r>
      <w:proofErr w:type="spellStart"/>
      <w:r w:rsidRPr="000B697A">
        <w:rPr>
          <w:rFonts w:cs="Calibri"/>
          <w:lang w:val="bg-BG"/>
        </w:rPr>
        <w:t>Balkans</w:t>
      </w:r>
      <w:proofErr w:type="spellEnd"/>
      <w:r w:rsidRPr="000B697A">
        <w:rPr>
          <w:rFonts w:cs="Calibri"/>
          <w:lang w:val="bg-BG"/>
        </w:rPr>
        <w:t>.</w:t>
      </w:r>
    </w:p>
    <w:p w:rsidR="002664FC" w:rsidRPr="000B697A" w:rsidRDefault="002664FC" w:rsidP="002664FC">
      <w:pPr>
        <w:pStyle w:val="ListParagraph"/>
        <w:numPr>
          <w:ilvl w:val="0"/>
          <w:numId w:val="10"/>
        </w:numPr>
        <w:ind w:left="786"/>
        <w:contextualSpacing/>
        <w:rPr>
          <w:rFonts w:cs="Calibri"/>
          <w:lang w:val="bg-BG"/>
        </w:rPr>
      </w:pPr>
      <w:r w:rsidRPr="000B697A">
        <w:rPr>
          <w:rFonts w:cs="Calibri"/>
          <w:lang w:val="bg-BG"/>
        </w:rPr>
        <w:t xml:space="preserve">На 26.03.2018 г. Иван Такев участва в дискусия на тема </w:t>
      </w:r>
      <w:proofErr w:type="spellStart"/>
      <w:r w:rsidRPr="000B697A">
        <w:rPr>
          <w:rFonts w:cs="Calibri"/>
          <w:lang w:val="bg-BG"/>
        </w:rPr>
        <w:t>Developments</w:t>
      </w:r>
      <w:proofErr w:type="spellEnd"/>
      <w:r w:rsidRPr="000B697A">
        <w:rPr>
          <w:rFonts w:cs="Calibri"/>
          <w:lang w:val="bg-BG"/>
        </w:rPr>
        <w:t xml:space="preserve"> &amp; </w:t>
      </w:r>
      <w:proofErr w:type="spellStart"/>
      <w:r w:rsidRPr="000B697A">
        <w:rPr>
          <w:rFonts w:cs="Calibri"/>
          <w:lang w:val="bg-BG"/>
        </w:rPr>
        <w:t>Innovation</w:t>
      </w:r>
      <w:proofErr w:type="spellEnd"/>
      <w:r w:rsidRPr="000B697A">
        <w:rPr>
          <w:rFonts w:cs="Calibri"/>
          <w:lang w:val="bg-BG"/>
        </w:rPr>
        <w:t xml:space="preserve"> </w:t>
      </w:r>
      <w:proofErr w:type="spellStart"/>
      <w:r w:rsidRPr="000B697A">
        <w:rPr>
          <w:rFonts w:cs="Calibri"/>
          <w:lang w:val="bg-BG"/>
        </w:rPr>
        <w:t>in</w:t>
      </w:r>
      <w:proofErr w:type="spellEnd"/>
      <w:r w:rsidRPr="000B697A">
        <w:rPr>
          <w:rFonts w:cs="Calibri"/>
          <w:lang w:val="bg-BG"/>
        </w:rPr>
        <w:t xml:space="preserve"> </w:t>
      </w:r>
      <w:proofErr w:type="spellStart"/>
      <w:r w:rsidRPr="000B697A">
        <w:rPr>
          <w:rFonts w:cs="Calibri"/>
          <w:lang w:val="bg-BG"/>
        </w:rPr>
        <w:t>Smaller</w:t>
      </w:r>
      <w:proofErr w:type="spellEnd"/>
      <w:r w:rsidRPr="000B697A">
        <w:rPr>
          <w:rFonts w:cs="Calibri"/>
          <w:lang w:val="bg-BG"/>
        </w:rPr>
        <w:t xml:space="preserve"> </w:t>
      </w:r>
      <w:proofErr w:type="spellStart"/>
      <w:r w:rsidRPr="000B697A">
        <w:rPr>
          <w:rFonts w:cs="Calibri"/>
          <w:lang w:val="bg-BG"/>
        </w:rPr>
        <w:t>Exchanges</w:t>
      </w:r>
      <w:proofErr w:type="spellEnd"/>
      <w:r w:rsidRPr="000B697A">
        <w:rPr>
          <w:rFonts w:cs="Calibri"/>
          <w:lang w:val="bg-BG"/>
        </w:rPr>
        <w:t xml:space="preserve">, провела се рамките на годишния World Exchange </w:t>
      </w:r>
      <w:proofErr w:type="spellStart"/>
      <w:r w:rsidRPr="000B697A">
        <w:rPr>
          <w:rFonts w:cs="Calibri"/>
          <w:lang w:val="bg-BG"/>
        </w:rPr>
        <w:t>Congress</w:t>
      </w:r>
      <w:proofErr w:type="spellEnd"/>
      <w:r w:rsidRPr="000B697A">
        <w:rPr>
          <w:rFonts w:cs="Calibri"/>
          <w:lang w:val="bg-BG"/>
        </w:rPr>
        <w:t>.</w:t>
      </w:r>
    </w:p>
    <w:p w:rsidR="002664FC" w:rsidRPr="000B697A" w:rsidRDefault="002664FC" w:rsidP="002664FC">
      <w:pPr>
        <w:pStyle w:val="ListParagraph"/>
        <w:numPr>
          <w:ilvl w:val="0"/>
          <w:numId w:val="10"/>
        </w:numPr>
        <w:ind w:left="786"/>
        <w:contextualSpacing/>
        <w:rPr>
          <w:rFonts w:cs="Calibri"/>
          <w:lang w:val="bg-BG"/>
        </w:rPr>
      </w:pPr>
      <w:r w:rsidRPr="000B697A">
        <w:rPr>
          <w:rFonts w:cs="Calibri"/>
          <w:lang w:val="bg-BG"/>
        </w:rPr>
        <w:t xml:space="preserve">„Българска фондова борса“ АД като ротационен председател на Националната комисия за корпоративно управление взе участие в организирането и провеждането на 22-та Европейска конференция за корпоративно управление в рамките на инициативите във връзка с Българското председателство на Съвета на ЕС 2018. Повече информация за конференцията в т. </w:t>
      </w:r>
      <w:r w:rsidR="00397DB6">
        <w:rPr>
          <w:rFonts w:cs="Calibri"/>
        </w:rPr>
        <w:t>2.11.1</w:t>
      </w:r>
      <w:r w:rsidRPr="000B697A">
        <w:rPr>
          <w:rFonts w:cs="Calibri"/>
          <w:lang w:val="bg-BG"/>
        </w:rPr>
        <w:t xml:space="preserve"> от настоящия Доклад.</w:t>
      </w:r>
    </w:p>
    <w:p w:rsidR="002664FC" w:rsidRPr="000B697A" w:rsidRDefault="002664FC" w:rsidP="002664FC">
      <w:pPr>
        <w:pStyle w:val="ListParagraph"/>
        <w:widowControl w:val="0"/>
        <w:numPr>
          <w:ilvl w:val="0"/>
          <w:numId w:val="10"/>
        </w:numPr>
        <w:ind w:left="786"/>
        <w:contextualSpacing/>
        <w:rPr>
          <w:rFonts w:cs="Calibri"/>
          <w:lang w:val="bg-BG"/>
        </w:rPr>
      </w:pPr>
      <w:r w:rsidRPr="000B697A">
        <w:rPr>
          <w:rFonts w:cs="Calibri"/>
          <w:lang w:val="bg-BG"/>
        </w:rPr>
        <w:t>Иван Такев, изпълнителен директор, и Александрина Гюрова, директор на дирекция „Търговия, емитенти и членство“ взеха участие в ежегодната конвенция на Федерацията на Европейските Фондови Борси (FESE), провела се на 21.06.2018 във Виена, както и на работен семинар в рамките на събитието по проблемите на малките и средни по размер пазари от федерацията.</w:t>
      </w:r>
    </w:p>
    <w:p w:rsidR="002664FC" w:rsidRPr="000B697A" w:rsidRDefault="002664FC" w:rsidP="002664FC">
      <w:pPr>
        <w:pStyle w:val="ListParagraph"/>
        <w:widowControl w:val="0"/>
        <w:numPr>
          <w:ilvl w:val="0"/>
          <w:numId w:val="10"/>
        </w:numPr>
        <w:ind w:left="786"/>
        <w:contextualSpacing/>
        <w:rPr>
          <w:rFonts w:cs="Calibri"/>
          <w:lang w:val="bg-BG"/>
        </w:rPr>
      </w:pPr>
      <w:proofErr w:type="spellStart"/>
      <w:r w:rsidRPr="000B697A">
        <w:rPr>
          <w:rFonts w:cs="Calibri"/>
        </w:rPr>
        <w:t>През</w:t>
      </w:r>
      <w:proofErr w:type="spellEnd"/>
      <w:r w:rsidRPr="000B697A">
        <w:rPr>
          <w:rFonts w:cs="Calibri"/>
        </w:rPr>
        <w:t xml:space="preserve"> </w:t>
      </w:r>
      <w:proofErr w:type="spellStart"/>
      <w:r w:rsidRPr="000B697A">
        <w:rPr>
          <w:rFonts w:cs="Calibri"/>
        </w:rPr>
        <w:t>септември</w:t>
      </w:r>
      <w:proofErr w:type="spellEnd"/>
      <w:r w:rsidRPr="000B697A">
        <w:rPr>
          <w:rFonts w:cs="Calibri"/>
        </w:rPr>
        <w:t xml:space="preserve"> </w:t>
      </w:r>
      <w:proofErr w:type="spellStart"/>
      <w:r w:rsidRPr="000B697A">
        <w:rPr>
          <w:rFonts w:cs="Calibri"/>
        </w:rPr>
        <w:t>изпълнителният</w:t>
      </w:r>
      <w:proofErr w:type="spellEnd"/>
      <w:r w:rsidRPr="000B697A">
        <w:rPr>
          <w:rFonts w:cs="Calibri"/>
        </w:rPr>
        <w:t xml:space="preserve"> </w:t>
      </w:r>
      <w:proofErr w:type="spellStart"/>
      <w:r w:rsidRPr="000B697A">
        <w:rPr>
          <w:rFonts w:cs="Calibri"/>
        </w:rPr>
        <w:t>директор</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БФБ </w:t>
      </w:r>
      <w:proofErr w:type="spellStart"/>
      <w:r w:rsidRPr="000B697A">
        <w:rPr>
          <w:rFonts w:cs="Calibri"/>
        </w:rPr>
        <w:t>Иван</w:t>
      </w:r>
      <w:proofErr w:type="spellEnd"/>
      <w:r w:rsidRPr="000B697A">
        <w:rPr>
          <w:rFonts w:cs="Calibri"/>
        </w:rPr>
        <w:t xml:space="preserve"> </w:t>
      </w:r>
      <w:proofErr w:type="spellStart"/>
      <w:r w:rsidRPr="000B697A">
        <w:rPr>
          <w:rFonts w:cs="Calibri"/>
        </w:rPr>
        <w:t>Такев</w:t>
      </w:r>
      <w:proofErr w:type="spellEnd"/>
      <w:r w:rsidRPr="000B697A">
        <w:rPr>
          <w:rFonts w:cs="Calibri"/>
        </w:rPr>
        <w:t xml:space="preserve"> </w:t>
      </w:r>
      <w:proofErr w:type="spellStart"/>
      <w:r w:rsidRPr="000B697A">
        <w:rPr>
          <w:rFonts w:cs="Calibri"/>
        </w:rPr>
        <w:t>взе</w:t>
      </w:r>
      <w:proofErr w:type="spellEnd"/>
      <w:r w:rsidRPr="000B697A">
        <w:rPr>
          <w:rFonts w:cs="Calibri"/>
        </w:rPr>
        <w:t xml:space="preserve"> </w:t>
      </w:r>
      <w:proofErr w:type="spellStart"/>
      <w:r w:rsidRPr="000B697A">
        <w:rPr>
          <w:rFonts w:cs="Calibri"/>
        </w:rPr>
        <w:t>участие</w:t>
      </w:r>
      <w:proofErr w:type="spellEnd"/>
      <w:r w:rsidRPr="000B697A">
        <w:rPr>
          <w:rFonts w:cs="Calibri"/>
        </w:rPr>
        <w:t xml:space="preserve"> в 28-ия </w:t>
      </w:r>
      <w:proofErr w:type="spellStart"/>
      <w:r w:rsidRPr="000B697A">
        <w:rPr>
          <w:rFonts w:cs="Calibri"/>
        </w:rPr>
        <w:t>икономически</w:t>
      </w:r>
      <w:proofErr w:type="spellEnd"/>
      <w:r w:rsidRPr="000B697A">
        <w:rPr>
          <w:rFonts w:cs="Calibri"/>
        </w:rPr>
        <w:t xml:space="preserve"> </w:t>
      </w:r>
      <w:proofErr w:type="spellStart"/>
      <w:r w:rsidRPr="000B697A">
        <w:rPr>
          <w:rFonts w:cs="Calibri"/>
        </w:rPr>
        <w:t>форум</w:t>
      </w:r>
      <w:proofErr w:type="spellEnd"/>
      <w:r w:rsidRPr="000B697A">
        <w:rPr>
          <w:rFonts w:cs="Calibri"/>
        </w:rPr>
        <w:t xml:space="preserve"> в </w:t>
      </w:r>
      <w:proofErr w:type="spellStart"/>
      <w:r w:rsidRPr="000B697A">
        <w:rPr>
          <w:rFonts w:cs="Calibri"/>
        </w:rPr>
        <w:t>Криница</w:t>
      </w:r>
      <w:proofErr w:type="spellEnd"/>
      <w:r w:rsidRPr="000B697A">
        <w:rPr>
          <w:rFonts w:cs="Calibri"/>
        </w:rPr>
        <w:t xml:space="preserve">, </w:t>
      </w:r>
      <w:proofErr w:type="spellStart"/>
      <w:r w:rsidRPr="000B697A">
        <w:rPr>
          <w:rFonts w:cs="Calibri"/>
        </w:rPr>
        <w:t>Полша</w:t>
      </w:r>
      <w:proofErr w:type="spellEnd"/>
      <w:r w:rsidRPr="000B697A">
        <w:rPr>
          <w:rFonts w:cs="Calibri"/>
        </w:rPr>
        <w:t xml:space="preserve">, </w:t>
      </w:r>
      <w:proofErr w:type="spellStart"/>
      <w:r w:rsidRPr="000B697A">
        <w:rPr>
          <w:rFonts w:cs="Calibri"/>
        </w:rPr>
        <w:t>където</w:t>
      </w:r>
      <w:proofErr w:type="spellEnd"/>
      <w:r w:rsidRPr="000B697A">
        <w:rPr>
          <w:rFonts w:cs="Calibri"/>
        </w:rPr>
        <w:t xml:space="preserve"> </w:t>
      </w:r>
      <w:proofErr w:type="spellStart"/>
      <w:r w:rsidRPr="000B697A">
        <w:rPr>
          <w:rFonts w:cs="Calibri"/>
        </w:rPr>
        <w:t>беше</w:t>
      </w:r>
      <w:proofErr w:type="spellEnd"/>
      <w:r w:rsidRPr="000B697A">
        <w:rPr>
          <w:rFonts w:cs="Calibri"/>
        </w:rPr>
        <w:t xml:space="preserve"> </w:t>
      </w:r>
      <w:proofErr w:type="spellStart"/>
      <w:r w:rsidRPr="000B697A">
        <w:rPr>
          <w:rFonts w:cs="Calibri"/>
        </w:rPr>
        <w:t>част</w:t>
      </w:r>
      <w:proofErr w:type="spellEnd"/>
      <w:r w:rsidRPr="000B697A">
        <w:rPr>
          <w:rFonts w:cs="Calibri"/>
        </w:rPr>
        <w:t xml:space="preserve"> </w:t>
      </w:r>
      <w:proofErr w:type="spellStart"/>
      <w:r w:rsidRPr="000B697A">
        <w:rPr>
          <w:rFonts w:cs="Calibri"/>
        </w:rPr>
        <w:t>от</w:t>
      </w:r>
      <w:proofErr w:type="spellEnd"/>
      <w:r w:rsidRPr="000B697A">
        <w:rPr>
          <w:rFonts w:cs="Calibri"/>
        </w:rPr>
        <w:t xml:space="preserve"> </w:t>
      </w:r>
      <w:proofErr w:type="spellStart"/>
      <w:r w:rsidRPr="000B697A">
        <w:rPr>
          <w:rFonts w:cs="Calibri"/>
        </w:rPr>
        <w:t>дискусионния</w:t>
      </w:r>
      <w:proofErr w:type="spellEnd"/>
      <w:r w:rsidRPr="000B697A">
        <w:rPr>
          <w:rFonts w:cs="Calibri"/>
        </w:rPr>
        <w:t xml:space="preserve"> </w:t>
      </w:r>
      <w:proofErr w:type="spellStart"/>
      <w:r w:rsidRPr="000B697A">
        <w:rPr>
          <w:rFonts w:cs="Calibri"/>
        </w:rPr>
        <w:t>панел</w:t>
      </w:r>
      <w:proofErr w:type="spellEnd"/>
      <w:r w:rsidRPr="000B697A">
        <w:rPr>
          <w:rFonts w:cs="Calibri"/>
        </w:rPr>
        <w:t xml:space="preserve"> "Regional Integration of Capital Markets - or How to Attract Global Investors in CEE?".</w:t>
      </w:r>
    </w:p>
    <w:p w:rsidR="002664FC" w:rsidRPr="000B697A" w:rsidRDefault="002664FC" w:rsidP="002664FC">
      <w:pPr>
        <w:pStyle w:val="ListParagraph"/>
        <w:numPr>
          <w:ilvl w:val="0"/>
          <w:numId w:val="10"/>
        </w:numPr>
        <w:ind w:left="786"/>
        <w:contextualSpacing/>
        <w:rPr>
          <w:rFonts w:cs="Calibri"/>
          <w:lang w:val="bg-BG"/>
        </w:rPr>
      </w:pPr>
      <w:r w:rsidRPr="000B697A">
        <w:rPr>
          <w:rFonts w:cs="Calibri"/>
          <w:lang w:val="bg-BG"/>
        </w:rPr>
        <w:t xml:space="preserve">Представители на Българска фондова борса взеха участие в Годишна конференция “25 години </w:t>
      </w:r>
      <w:proofErr w:type="spellStart"/>
      <w:r w:rsidRPr="000B697A">
        <w:rPr>
          <w:rFonts w:cs="Calibri"/>
          <w:lang w:val="bg-BG"/>
        </w:rPr>
        <w:t>Montenegro</w:t>
      </w:r>
      <w:proofErr w:type="spellEnd"/>
      <w:r w:rsidRPr="000B697A">
        <w:rPr>
          <w:rFonts w:cs="Calibri"/>
          <w:lang w:val="bg-BG"/>
        </w:rPr>
        <w:t xml:space="preserve"> </w:t>
      </w:r>
      <w:proofErr w:type="spellStart"/>
      <w:r w:rsidRPr="000B697A">
        <w:rPr>
          <w:rFonts w:cs="Calibri"/>
          <w:lang w:val="bg-BG"/>
        </w:rPr>
        <w:t>Stock</w:t>
      </w:r>
      <w:proofErr w:type="spellEnd"/>
      <w:r w:rsidRPr="000B697A">
        <w:rPr>
          <w:rFonts w:cs="Calibri"/>
          <w:lang w:val="bg-BG"/>
        </w:rPr>
        <w:t xml:space="preserve"> Exchange“ и 24th CEE Capital Markets Sports </w:t>
      </w:r>
      <w:proofErr w:type="spellStart"/>
      <w:r w:rsidRPr="000B697A">
        <w:rPr>
          <w:rFonts w:cs="Calibri"/>
          <w:lang w:val="bg-BG"/>
        </w:rPr>
        <w:t>Tournament</w:t>
      </w:r>
      <w:proofErr w:type="spellEnd"/>
      <w:r w:rsidRPr="000B697A">
        <w:rPr>
          <w:rFonts w:cs="Calibri"/>
          <w:lang w:val="bg-BG"/>
        </w:rPr>
        <w:t>, проведени в Подгорица в периода 12-13 октомври.</w:t>
      </w:r>
    </w:p>
    <w:p w:rsidR="002664FC" w:rsidRPr="000B697A" w:rsidRDefault="002664FC" w:rsidP="002664FC">
      <w:pPr>
        <w:pStyle w:val="ListParagraph"/>
        <w:numPr>
          <w:ilvl w:val="0"/>
          <w:numId w:val="10"/>
        </w:numPr>
        <w:ind w:left="786"/>
        <w:contextualSpacing/>
        <w:rPr>
          <w:rFonts w:cs="Calibri"/>
          <w:lang w:val="bg-BG"/>
        </w:rPr>
      </w:pPr>
      <w:r w:rsidRPr="000B697A">
        <w:rPr>
          <w:rFonts w:cs="Calibri"/>
          <w:lang w:val="bg-BG"/>
        </w:rPr>
        <w:t xml:space="preserve">Иван Такев, изпълнителен директор на Българска фондова борса участва в конференцията </w:t>
      </w:r>
      <w:proofErr w:type="spellStart"/>
      <w:r w:rsidRPr="000B697A">
        <w:rPr>
          <w:rFonts w:cs="Calibri"/>
          <w:lang w:val="bg-BG"/>
        </w:rPr>
        <w:t>Spotlight</w:t>
      </w:r>
      <w:proofErr w:type="spellEnd"/>
      <w:r w:rsidRPr="000B697A">
        <w:rPr>
          <w:rFonts w:cs="Calibri"/>
          <w:lang w:val="bg-BG"/>
        </w:rPr>
        <w:t xml:space="preserve"> </w:t>
      </w:r>
      <w:proofErr w:type="spellStart"/>
      <w:r w:rsidRPr="000B697A">
        <w:rPr>
          <w:rFonts w:cs="Calibri"/>
          <w:lang w:val="bg-BG"/>
        </w:rPr>
        <w:t>on</w:t>
      </w:r>
      <w:proofErr w:type="spellEnd"/>
      <w:r w:rsidRPr="000B697A">
        <w:rPr>
          <w:rFonts w:cs="Calibri"/>
          <w:lang w:val="bg-BG"/>
        </w:rPr>
        <w:t xml:space="preserve"> </w:t>
      </w:r>
      <w:proofErr w:type="spellStart"/>
      <w:r w:rsidRPr="000B697A">
        <w:rPr>
          <w:rFonts w:cs="Calibri"/>
          <w:lang w:val="bg-BG"/>
        </w:rPr>
        <w:t>Emerging</w:t>
      </w:r>
      <w:proofErr w:type="spellEnd"/>
      <w:r w:rsidRPr="000B697A">
        <w:rPr>
          <w:rFonts w:cs="Calibri"/>
          <w:lang w:val="bg-BG"/>
        </w:rPr>
        <w:t xml:space="preserve"> </w:t>
      </w:r>
      <w:proofErr w:type="spellStart"/>
      <w:r w:rsidRPr="000B697A">
        <w:rPr>
          <w:rFonts w:cs="Calibri"/>
          <w:lang w:val="bg-BG"/>
        </w:rPr>
        <w:t>Europe</w:t>
      </w:r>
      <w:proofErr w:type="spellEnd"/>
      <w:r w:rsidRPr="000B697A">
        <w:rPr>
          <w:rFonts w:cs="Calibri"/>
          <w:lang w:val="bg-BG"/>
        </w:rPr>
        <w:t xml:space="preserve"> Capital Markets, проведена на 16.10 и 17.10 в Букурещ, Румъния;</w:t>
      </w:r>
    </w:p>
    <w:p w:rsidR="002664FC" w:rsidRPr="000B697A" w:rsidRDefault="002664FC" w:rsidP="002664FC">
      <w:pPr>
        <w:pStyle w:val="ListParagraph"/>
        <w:numPr>
          <w:ilvl w:val="0"/>
          <w:numId w:val="10"/>
        </w:numPr>
        <w:ind w:left="786"/>
        <w:contextualSpacing/>
        <w:rPr>
          <w:rFonts w:cs="Calibri"/>
          <w:lang w:val="bg-BG"/>
        </w:rPr>
      </w:pPr>
      <w:r w:rsidRPr="000B697A">
        <w:rPr>
          <w:rFonts w:cs="Calibri"/>
          <w:lang w:val="bg-BG"/>
        </w:rPr>
        <w:lastRenderedPageBreak/>
        <w:t xml:space="preserve">Представители на Българска фондова борса взеха участие в Годишната конференция на Загребската борса, </w:t>
      </w:r>
      <w:proofErr w:type="spellStart"/>
      <w:r w:rsidRPr="000B697A">
        <w:rPr>
          <w:rFonts w:cs="Calibri"/>
          <w:lang w:val="bg-BG"/>
        </w:rPr>
        <w:t>Challenge</w:t>
      </w:r>
      <w:proofErr w:type="spellEnd"/>
      <w:r w:rsidRPr="000B697A">
        <w:rPr>
          <w:rFonts w:cs="Calibri"/>
          <w:lang w:val="bg-BG"/>
        </w:rPr>
        <w:t xml:space="preserve"> </w:t>
      </w:r>
      <w:proofErr w:type="spellStart"/>
      <w:r w:rsidRPr="000B697A">
        <w:rPr>
          <w:rFonts w:cs="Calibri"/>
          <w:lang w:val="bg-BG"/>
        </w:rPr>
        <w:t>of</w:t>
      </w:r>
      <w:proofErr w:type="spellEnd"/>
      <w:r w:rsidRPr="000B697A">
        <w:rPr>
          <w:rFonts w:cs="Calibri"/>
          <w:lang w:val="bg-BG"/>
        </w:rPr>
        <w:t xml:space="preserve"> </w:t>
      </w:r>
      <w:proofErr w:type="spellStart"/>
      <w:r w:rsidRPr="000B697A">
        <w:rPr>
          <w:rFonts w:cs="Calibri"/>
          <w:lang w:val="bg-BG"/>
        </w:rPr>
        <w:t>Change</w:t>
      </w:r>
      <w:proofErr w:type="spellEnd"/>
      <w:r w:rsidRPr="000B697A">
        <w:rPr>
          <w:rFonts w:cs="Calibri"/>
          <w:lang w:val="bg-BG"/>
        </w:rPr>
        <w:t xml:space="preserve">, провела се в </w:t>
      </w:r>
      <w:proofErr w:type="spellStart"/>
      <w:r w:rsidRPr="000B697A">
        <w:rPr>
          <w:rFonts w:cs="Calibri"/>
          <w:lang w:val="bg-BG"/>
        </w:rPr>
        <w:t>Ровини</w:t>
      </w:r>
      <w:proofErr w:type="spellEnd"/>
      <w:r w:rsidRPr="000B697A">
        <w:rPr>
          <w:rFonts w:cs="Calibri"/>
          <w:lang w:val="bg-BG"/>
        </w:rPr>
        <w:t>, Хърватска в периода 18-19 октомври 2018.</w:t>
      </w:r>
    </w:p>
    <w:p w:rsidR="00147CB4" w:rsidRDefault="002664FC" w:rsidP="002664FC">
      <w:pPr>
        <w:pStyle w:val="ListParagraph"/>
        <w:widowControl w:val="0"/>
        <w:numPr>
          <w:ilvl w:val="0"/>
          <w:numId w:val="10"/>
        </w:numPr>
        <w:ind w:left="786"/>
        <w:contextualSpacing/>
        <w:rPr>
          <w:rFonts w:cs="Calibri"/>
          <w:lang w:val="bg-BG"/>
        </w:rPr>
      </w:pPr>
      <w:r w:rsidRPr="000B697A">
        <w:rPr>
          <w:rFonts w:cs="Calibri"/>
          <w:lang w:val="bg-BG"/>
        </w:rPr>
        <w:t xml:space="preserve">Представители на Българска фондова борса взеха участие в FIRDS/FITRS </w:t>
      </w:r>
      <w:proofErr w:type="spellStart"/>
      <w:r w:rsidRPr="000B697A">
        <w:rPr>
          <w:rFonts w:cs="Calibri"/>
          <w:lang w:val="bg-BG"/>
        </w:rPr>
        <w:t>workshop</w:t>
      </w:r>
      <w:proofErr w:type="spellEnd"/>
      <w:r w:rsidRPr="000B697A">
        <w:rPr>
          <w:rFonts w:cs="Calibri"/>
          <w:lang w:val="bg-BG"/>
        </w:rPr>
        <w:t>, проведена на 22 октомври в ESMA, Париж.</w:t>
      </w:r>
    </w:p>
    <w:p w:rsidR="00147CB4" w:rsidRDefault="00147CB4">
      <w:pPr>
        <w:spacing w:line="240" w:lineRule="auto"/>
        <w:jc w:val="left"/>
        <w:rPr>
          <w:rFonts w:cs="Calibri"/>
          <w:lang w:eastAsia="en-US"/>
        </w:rPr>
      </w:pPr>
      <w:r>
        <w:rPr>
          <w:rFonts w:cs="Calibri"/>
        </w:rPr>
        <w:br w:type="page"/>
      </w:r>
    </w:p>
    <w:p w:rsidR="00356035" w:rsidRPr="000B697A" w:rsidRDefault="00010F33" w:rsidP="0016443B">
      <w:pPr>
        <w:pStyle w:val="SubNumbers"/>
        <w:rPr>
          <w:rFonts w:cs="Calibri"/>
        </w:rPr>
      </w:pPr>
      <w:bookmarkStart w:id="90" w:name="_Toc6923251"/>
      <w:r w:rsidRPr="000B697A">
        <w:rPr>
          <w:rFonts w:cs="Calibri"/>
        </w:rPr>
        <w:lastRenderedPageBreak/>
        <w:t>Членове на</w:t>
      </w:r>
      <w:r w:rsidR="002664FC" w:rsidRPr="000B697A">
        <w:rPr>
          <w:rFonts w:cs="Calibri"/>
        </w:rPr>
        <w:t xml:space="preserve"> Българска фондова борса</w:t>
      </w:r>
      <w:bookmarkEnd w:id="90"/>
    </w:p>
    <w:p w:rsidR="003E0F1A" w:rsidRPr="000B697A" w:rsidRDefault="002664FC" w:rsidP="003E0F1A">
      <w:pPr>
        <w:rPr>
          <w:rFonts w:cs="Calibri"/>
        </w:rPr>
      </w:pPr>
      <w:r w:rsidRPr="000B697A">
        <w:rPr>
          <w:rFonts w:cs="Calibri"/>
        </w:rPr>
        <w:t>В края на 2017 година членовете на Борсата бяха 51, а в края на отчетната 2018 година, те бяха 49. За периода бе прекратено членството на два инвестиционни посредника или банки, както бе посочено в</w:t>
      </w:r>
      <w:r w:rsidR="006A0674" w:rsidRPr="000B697A">
        <w:rPr>
          <w:rFonts w:cs="Calibri"/>
        </w:rPr>
        <w:t xml:space="preserve"> </w:t>
      </w:r>
      <w:proofErr w:type="spellStart"/>
      <w:r w:rsidR="006A0674" w:rsidRPr="000B697A">
        <w:rPr>
          <w:rFonts w:cs="Calibri"/>
        </w:rPr>
        <w:t>т.</w:t>
      </w:r>
      <w:r w:rsidRPr="000B697A">
        <w:rPr>
          <w:rFonts w:cs="Calibri"/>
        </w:rPr>
        <w:t>т</w:t>
      </w:r>
      <w:proofErr w:type="spellEnd"/>
      <w:r w:rsidRPr="000B697A">
        <w:rPr>
          <w:rFonts w:cs="Calibri"/>
        </w:rPr>
        <w:t xml:space="preserve">. </w:t>
      </w:r>
      <w:r w:rsidR="00004CA5">
        <w:fldChar w:fldCharType="begin"/>
      </w:r>
      <w:r w:rsidR="00004CA5">
        <w:instrText xml:space="preserve"> REF _Ref528415380 \r \h  \* MERGEFORMAT </w:instrText>
      </w:r>
      <w:r w:rsidR="00004CA5">
        <w:fldChar w:fldCharType="separate"/>
      </w:r>
      <w:r w:rsidR="00AA0D62" w:rsidRPr="00AA0D62">
        <w:rPr>
          <w:rFonts w:cs="Calibri"/>
        </w:rPr>
        <w:t>2.8.13</w:t>
      </w:r>
      <w:r w:rsidR="00004CA5">
        <w:fldChar w:fldCharType="end"/>
      </w:r>
      <w:r w:rsidRPr="000B697A">
        <w:rPr>
          <w:rFonts w:cs="Calibri"/>
        </w:rPr>
        <w:t xml:space="preserve"> и </w:t>
      </w:r>
      <w:r w:rsidR="00004CA5">
        <w:fldChar w:fldCharType="begin"/>
      </w:r>
      <w:r w:rsidR="00004CA5">
        <w:instrText xml:space="preserve"> REF _Ref536265624 \r \h  \* MERGEFORMAT </w:instrText>
      </w:r>
      <w:r w:rsidR="00004CA5">
        <w:fldChar w:fldCharType="separate"/>
      </w:r>
      <w:r w:rsidR="00AA0D62" w:rsidRPr="00AA0D62">
        <w:rPr>
          <w:rFonts w:cs="Calibri"/>
        </w:rPr>
        <w:t>2.8.19</w:t>
      </w:r>
      <w:r w:rsidR="00004CA5">
        <w:fldChar w:fldCharType="end"/>
      </w:r>
      <w:r w:rsidR="006A0674" w:rsidRPr="000B697A">
        <w:rPr>
          <w:rFonts w:cs="Calibri"/>
        </w:rPr>
        <w:t>.</w:t>
      </w:r>
    </w:p>
    <w:p w:rsidR="002664FC" w:rsidRPr="000B697A" w:rsidRDefault="00E77C86" w:rsidP="002664FC">
      <w:pPr>
        <w:pStyle w:val="ChartHeader"/>
        <w:rPr>
          <w:rFonts w:cs="Calibri"/>
        </w:rPr>
      </w:pPr>
      <w:r w:rsidRPr="000B697A">
        <w:rPr>
          <w:rFonts w:cs="Calibri"/>
        </w:rPr>
        <w:t>Таблица 9. Членове на БФБ-София към 31.12.201</w:t>
      </w:r>
      <w:r w:rsidR="002664FC" w:rsidRPr="000B697A">
        <w:rPr>
          <w:rFonts w:cs="Calibri"/>
        </w:rPr>
        <w:t>8</w:t>
      </w:r>
      <w:r w:rsidRPr="000B697A">
        <w:rPr>
          <w:rFonts w:cs="Calibri"/>
        </w:rPr>
        <w:t xml:space="preserve"> г.</w:t>
      </w:r>
    </w:p>
    <w:tbl>
      <w:tblPr>
        <w:tblW w:w="10183" w:type="dxa"/>
        <w:tblInd w:w="93" w:type="dxa"/>
        <w:tblLook w:val="04A0" w:firstRow="1" w:lastRow="0" w:firstColumn="1" w:lastColumn="0" w:noHBand="0" w:noVBand="1"/>
      </w:tblPr>
      <w:tblGrid>
        <w:gridCol w:w="5260"/>
        <w:gridCol w:w="4923"/>
      </w:tblGrid>
      <w:tr w:rsidR="002664FC" w:rsidRPr="000B697A" w:rsidTr="00036C58">
        <w:trPr>
          <w:trHeight w:val="170"/>
        </w:trPr>
        <w:tc>
          <w:tcPr>
            <w:tcW w:w="5260" w:type="dxa"/>
            <w:tcBorders>
              <w:top w:val="single" w:sz="4" w:space="0" w:color="auto"/>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rPr>
              <w:t xml:space="preserve">WOOD &amp; </w:t>
            </w:r>
            <w:proofErr w:type="spellStart"/>
            <w:r w:rsidRPr="000B697A">
              <w:rPr>
                <w:rFonts w:cs="Calibri"/>
                <w:color w:val="000000"/>
              </w:rPr>
              <w:t>Company</w:t>
            </w:r>
            <w:proofErr w:type="spellEnd"/>
            <w:r w:rsidRPr="000B697A">
              <w:rPr>
                <w:rFonts w:cs="Calibri"/>
                <w:color w:val="000000"/>
              </w:rPr>
              <w:t xml:space="preserve"> </w:t>
            </w:r>
            <w:proofErr w:type="spellStart"/>
            <w:r w:rsidRPr="000B697A">
              <w:rPr>
                <w:rFonts w:cs="Calibri"/>
                <w:color w:val="000000"/>
              </w:rPr>
              <w:t>Financial</w:t>
            </w:r>
            <w:proofErr w:type="spellEnd"/>
            <w:r w:rsidRPr="000B697A">
              <w:rPr>
                <w:rFonts w:cs="Calibri"/>
                <w:color w:val="000000"/>
              </w:rPr>
              <w:t xml:space="preserve"> Services, </w:t>
            </w:r>
            <w:proofErr w:type="spellStart"/>
            <w:r w:rsidRPr="000B697A">
              <w:rPr>
                <w:rFonts w:cs="Calibri"/>
                <w:color w:val="000000"/>
              </w:rPr>
              <w:t>a.s</w:t>
            </w:r>
            <w:proofErr w:type="spellEnd"/>
            <w:r w:rsidRPr="000B697A">
              <w:rPr>
                <w:rFonts w:cs="Calibri"/>
                <w:color w:val="000000"/>
              </w:rPr>
              <w:t>.</w:t>
            </w:r>
          </w:p>
        </w:tc>
        <w:tc>
          <w:tcPr>
            <w:tcW w:w="4923" w:type="dxa"/>
            <w:tcBorders>
              <w:top w:val="single" w:sz="4" w:space="0" w:color="auto"/>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ИП "Фаворит"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ИП "АБВ Инвестиции" ЕООД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ИП "Фактори"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ИП "Авал ИН" 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 xml:space="preserve">ИП "ФК </w:t>
            </w:r>
            <w:proofErr w:type="spellStart"/>
            <w:r w:rsidRPr="000B697A">
              <w:rPr>
                <w:rFonts w:cs="Calibri"/>
                <w:color w:val="000000"/>
                <w:lang w:eastAsia="en-US"/>
              </w:rPr>
              <w:t>Евър</w:t>
            </w:r>
            <w:proofErr w:type="spellEnd"/>
            <w:r w:rsidRPr="000B697A">
              <w:rPr>
                <w:rFonts w:cs="Calibri"/>
                <w:color w:val="000000"/>
                <w:lang w:eastAsia="en-US"/>
              </w:rPr>
              <w:t>"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ИП "АВС Финанс" 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ИП "</w:t>
            </w:r>
            <w:proofErr w:type="spellStart"/>
            <w:r w:rsidRPr="000B697A">
              <w:rPr>
                <w:rFonts w:cs="Calibri"/>
                <w:color w:val="000000"/>
                <w:lang w:eastAsia="en-US"/>
              </w:rPr>
              <w:t>Фоукал</w:t>
            </w:r>
            <w:proofErr w:type="spellEnd"/>
            <w:r w:rsidRPr="000B697A">
              <w:rPr>
                <w:rFonts w:cs="Calibri"/>
                <w:color w:val="000000"/>
                <w:lang w:eastAsia="en-US"/>
              </w:rPr>
              <w:t xml:space="preserve"> Пойнт Инвестмънтс"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ИП "</w:t>
            </w:r>
            <w:proofErr w:type="spellStart"/>
            <w:r w:rsidRPr="000B697A">
              <w:rPr>
                <w:rFonts w:cs="Calibri"/>
                <w:color w:val="000000"/>
                <w:lang w:eastAsia="en-US"/>
              </w:rPr>
              <w:t>Адамант</w:t>
            </w:r>
            <w:proofErr w:type="spellEnd"/>
            <w:r w:rsidRPr="000B697A">
              <w:rPr>
                <w:rFonts w:cs="Calibri"/>
                <w:color w:val="000000"/>
                <w:lang w:eastAsia="en-US"/>
              </w:rPr>
              <w:t xml:space="preserve"> Кепитъл Партнърс" 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ИП "</w:t>
            </w:r>
            <w:proofErr w:type="spellStart"/>
            <w:r w:rsidRPr="000B697A">
              <w:rPr>
                <w:rFonts w:cs="Calibri"/>
                <w:color w:val="000000"/>
                <w:lang w:eastAsia="en-US"/>
              </w:rPr>
              <w:t>Ъп</w:t>
            </w:r>
            <w:proofErr w:type="spellEnd"/>
            <w:r w:rsidRPr="000B697A">
              <w:rPr>
                <w:rFonts w:cs="Calibri"/>
                <w:color w:val="000000"/>
                <w:lang w:eastAsia="en-US"/>
              </w:rPr>
              <w:t xml:space="preserve"> Тренд" ООД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ИП "Балканска Инвестиционна Компания" 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ИП "ЮГ Маркет"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ИП "Балканска консултантска компания-ИП" ЕАД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"Алианц Банк България"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ИП "</w:t>
            </w:r>
            <w:proofErr w:type="spellStart"/>
            <w:r w:rsidRPr="000B697A">
              <w:rPr>
                <w:rFonts w:cs="Calibri"/>
                <w:color w:val="000000"/>
                <w:lang w:eastAsia="en-US"/>
              </w:rPr>
              <w:t>БенчМарк</w:t>
            </w:r>
            <w:proofErr w:type="spellEnd"/>
            <w:r w:rsidRPr="000B697A">
              <w:rPr>
                <w:rFonts w:cs="Calibri"/>
                <w:color w:val="000000"/>
                <w:lang w:eastAsia="en-US"/>
              </w:rPr>
              <w:t xml:space="preserve"> Финанс" 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"Банка ДСК" ЕАД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ИП "</w:t>
            </w:r>
            <w:proofErr w:type="spellStart"/>
            <w:r w:rsidRPr="000B697A">
              <w:rPr>
                <w:rFonts w:cs="Calibri"/>
                <w:color w:val="000000"/>
                <w:lang w:eastAsia="en-US"/>
              </w:rPr>
              <w:t>Булброкърс</w:t>
            </w:r>
            <w:proofErr w:type="spellEnd"/>
            <w:r w:rsidRPr="000B697A">
              <w:rPr>
                <w:rFonts w:cs="Calibri"/>
                <w:color w:val="00000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"Банка Пиреос България"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ИП "Варчев Финанс" ЕООД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"Българо-Американска Кредитна Банка"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 xml:space="preserve">ИП "Д.И.С.Л. </w:t>
            </w:r>
            <w:proofErr w:type="spellStart"/>
            <w:r w:rsidRPr="000B697A">
              <w:rPr>
                <w:rFonts w:cs="Calibri"/>
                <w:color w:val="000000"/>
                <w:lang w:eastAsia="en-US"/>
              </w:rPr>
              <w:t>Секюритийс</w:t>
            </w:r>
            <w:proofErr w:type="spellEnd"/>
            <w:r w:rsidRPr="000B697A">
              <w:rPr>
                <w:rFonts w:cs="Calibri"/>
                <w:color w:val="00000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"Българска Банка за развитие"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ИП "Де Ново" ЕАД</w:t>
            </w:r>
          </w:p>
        </w:tc>
        <w:tc>
          <w:tcPr>
            <w:tcW w:w="4923" w:type="dxa"/>
            <w:tcBorders>
              <w:top w:val="nil"/>
              <w:left w:val="nil"/>
              <w:bottom w:val="nil"/>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ТБ "Инвестбанк"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ИП "Ди Ви Инвест" ЕАД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"Интернешънъл Асет Банк"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ИП "</w:t>
            </w:r>
            <w:proofErr w:type="spellStart"/>
            <w:r w:rsidRPr="000B697A">
              <w:rPr>
                <w:rFonts w:cs="Calibri"/>
                <w:color w:val="000000"/>
                <w:lang w:eastAsia="en-US"/>
              </w:rPr>
              <w:t>Дилингова</w:t>
            </w:r>
            <w:proofErr w:type="spellEnd"/>
            <w:r w:rsidRPr="000B697A">
              <w:rPr>
                <w:rFonts w:cs="Calibri"/>
                <w:color w:val="000000"/>
                <w:lang w:eastAsia="en-US"/>
              </w:rPr>
              <w:t xml:space="preserve"> Финансова Компания" 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"Обединена Българска Банка"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ИП "Евро - Финанс" 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"Общинска Банка"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ИП "Елана Трейдинг" 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"Първа Инвестиционна Банка"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 xml:space="preserve">ИП "Загора </w:t>
            </w:r>
            <w:proofErr w:type="spellStart"/>
            <w:r w:rsidRPr="000B697A">
              <w:rPr>
                <w:rFonts w:cs="Calibri"/>
                <w:color w:val="000000"/>
                <w:lang w:eastAsia="en-US"/>
              </w:rPr>
              <w:t>Финакорп</w:t>
            </w:r>
            <w:proofErr w:type="spellEnd"/>
            <w:r w:rsidRPr="000B697A">
              <w:rPr>
                <w:rFonts w:cs="Calibri"/>
                <w:color w:val="00000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"Райфайзенбанк - България"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 xml:space="preserve">ИП "Интеркапитал </w:t>
            </w:r>
            <w:proofErr w:type="spellStart"/>
            <w:r w:rsidRPr="000B697A">
              <w:rPr>
                <w:rFonts w:cs="Calibri"/>
                <w:color w:val="000000"/>
                <w:lang w:eastAsia="en-US"/>
              </w:rPr>
              <w:t>Маркетс</w:t>
            </w:r>
            <w:proofErr w:type="spellEnd"/>
            <w:r w:rsidRPr="000B697A">
              <w:rPr>
                <w:rFonts w:cs="Calibri"/>
                <w:color w:val="00000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"Тексим банк"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ИП "</w:t>
            </w:r>
            <w:proofErr w:type="spellStart"/>
            <w:r w:rsidRPr="000B697A">
              <w:rPr>
                <w:rFonts w:cs="Calibri"/>
                <w:color w:val="000000"/>
                <w:lang w:eastAsia="en-US"/>
              </w:rPr>
              <w:t>Капман</w:t>
            </w:r>
            <w:proofErr w:type="spellEnd"/>
            <w:r w:rsidRPr="000B697A">
              <w:rPr>
                <w:rFonts w:cs="Calibri"/>
                <w:color w:val="00000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w:t>
            </w:r>
            <w:proofErr w:type="spellStart"/>
            <w:r w:rsidRPr="000B697A">
              <w:rPr>
                <w:rFonts w:cs="Calibri"/>
                <w:color w:val="000000"/>
                <w:lang w:eastAsia="en-US"/>
              </w:rPr>
              <w:t>Ти</w:t>
            </w:r>
            <w:proofErr w:type="spellEnd"/>
            <w:r w:rsidRPr="000B697A">
              <w:rPr>
                <w:rFonts w:cs="Calibri"/>
                <w:color w:val="000000"/>
                <w:lang w:eastAsia="en-US"/>
              </w:rPr>
              <w:t xml:space="preserve"> </w:t>
            </w:r>
            <w:proofErr w:type="spellStart"/>
            <w:r w:rsidRPr="000B697A">
              <w:rPr>
                <w:rFonts w:cs="Calibri"/>
                <w:color w:val="000000"/>
                <w:lang w:eastAsia="en-US"/>
              </w:rPr>
              <w:t>Би</w:t>
            </w:r>
            <w:proofErr w:type="spellEnd"/>
            <w:r w:rsidRPr="000B697A">
              <w:rPr>
                <w:rFonts w:cs="Calibri"/>
                <w:color w:val="000000"/>
                <w:lang w:eastAsia="en-US"/>
              </w:rPr>
              <w:t xml:space="preserve"> Ай Банк" ЕАД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ИП "Карол" 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"Токуда Банк"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ИП "Кепитъл Инвест" ЕАД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"Търговска Банка Д"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 xml:space="preserve">ИП "Кепитъл </w:t>
            </w:r>
            <w:proofErr w:type="spellStart"/>
            <w:r w:rsidRPr="000B697A">
              <w:rPr>
                <w:rFonts w:cs="Calibri"/>
                <w:color w:val="000000"/>
                <w:lang w:eastAsia="en-US"/>
              </w:rPr>
              <w:t>Маркетс</w:t>
            </w:r>
            <w:proofErr w:type="spellEnd"/>
            <w:r w:rsidRPr="000B697A">
              <w:rPr>
                <w:rFonts w:cs="Calibri"/>
                <w:color w:val="000000"/>
                <w:lang w:eastAsia="en-US"/>
              </w:rPr>
              <w:t>" АД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"УниКредит Булбанк" АД</w:t>
            </w:r>
          </w:p>
        </w:tc>
      </w:tr>
      <w:tr w:rsidR="002664FC" w:rsidRPr="000B697A" w:rsidTr="00036C58">
        <w:trPr>
          <w:trHeight w:val="170"/>
        </w:trPr>
        <w:tc>
          <w:tcPr>
            <w:tcW w:w="5260" w:type="dxa"/>
            <w:tcBorders>
              <w:top w:val="nil"/>
              <w:left w:val="nil"/>
              <w:bottom w:val="nil"/>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ИП "Първа Финансова Брокерска Къща" ЕООД</w:t>
            </w:r>
          </w:p>
        </w:tc>
        <w:tc>
          <w:tcPr>
            <w:tcW w:w="4923" w:type="dxa"/>
            <w:tcBorders>
              <w:top w:val="nil"/>
              <w:left w:val="nil"/>
              <w:bottom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"Централна Кооперативна Банка" АД</w:t>
            </w:r>
          </w:p>
        </w:tc>
      </w:tr>
      <w:tr w:rsidR="002664FC" w:rsidRPr="000B697A" w:rsidTr="00036C58">
        <w:trPr>
          <w:trHeight w:val="170"/>
        </w:trPr>
        <w:tc>
          <w:tcPr>
            <w:tcW w:w="5260" w:type="dxa"/>
            <w:tcBorders>
              <w:top w:val="nil"/>
              <w:left w:val="nil"/>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ИП "Реал Финанс" АД</w:t>
            </w:r>
          </w:p>
        </w:tc>
        <w:tc>
          <w:tcPr>
            <w:tcW w:w="4923" w:type="dxa"/>
            <w:tcBorders>
              <w:top w:val="nil"/>
              <w:left w:val="nil"/>
              <w:right w:val="nil"/>
            </w:tcBorders>
            <w:shd w:val="clear" w:color="auto" w:fill="auto"/>
            <w:noWrap/>
            <w:tcMar>
              <w:left w:w="57" w:type="dxa"/>
              <w:right w:w="57" w:type="dxa"/>
            </w:tcMar>
            <w:vAlign w:val="center"/>
            <w:hideMark/>
          </w:tcPr>
          <w:p w:rsidR="002664FC" w:rsidRPr="000B697A" w:rsidRDefault="002664FC" w:rsidP="00036C58">
            <w:pPr>
              <w:jc w:val="left"/>
              <w:rPr>
                <w:rFonts w:cs="Calibri"/>
                <w:color w:val="000000"/>
                <w:lang w:eastAsia="en-US"/>
              </w:rPr>
            </w:pPr>
            <w:r w:rsidRPr="000B697A">
              <w:rPr>
                <w:rFonts w:cs="Calibri"/>
                <w:color w:val="000000"/>
                <w:lang w:eastAsia="en-US"/>
              </w:rPr>
              <w:t>ТБ "Юробанк България" АД</w:t>
            </w:r>
          </w:p>
        </w:tc>
      </w:tr>
      <w:tr w:rsidR="002664FC" w:rsidRPr="000B697A" w:rsidTr="00036C58">
        <w:trPr>
          <w:trHeight w:val="170"/>
        </w:trPr>
        <w:tc>
          <w:tcPr>
            <w:tcW w:w="5260" w:type="dxa"/>
            <w:tcBorders>
              <w:top w:val="nil"/>
              <w:left w:val="nil"/>
              <w:bottom w:val="single" w:sz="4" w:space="0" w:color="auto"/>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r w:rsidRPr="000B697A">
              <w:rPr>
                <w:rFonts w:cs="Calibri"/>
                <w:color w:val="000000"/>
                <w:lang w:eastAsia="en-US"/>
              </w:rPr>
              <w:t xml:space="preserve">ИП "София Интернешънъл </w:t>
            </w:r>
            <w:proofErr w:type="spellStart"/>
            <w:r w:rsidRPr="000B697A">
              <w:rPr>
                <w:rFonts w:cs="Calibri"/>
                <w:color w:val="000000"/>
                <w:lang w:eastAsia="en-US"/>
              </w:rPr>
              <w:t>Секюритиз</w:t>
            </w:r>
            <w:proofErr w:type="spellEnd"/>
            <w:r w:rsidRPr="000B697A">
              <w:rPr>
                <w:rFonts w:cs="Calibri"/>
                <w:color w:val="000000"/>
                <w:lang w:eastAsia="en-US"/>
              </w:rPr>
              <w:t>" АД</w:t>
            </w:r>
          </w:p>
        </w:tc>
        <w:tc>
          <w:tcPr>
            <w:tcW w:w="4923" w:type="dxa"/>
            <w:tcBorders>
              <w:top w:val="nil"/>
              <w:left w:val="nil"/>
              <w:bottom w:val="single" w:sz="4" w:space="0" w:color="auto"/>
              <w:right w:val="nil"/>
            </w:tcBorders>
            <w:shd w:val="clear" w:color="auto" w:fill="auto"/>
            <w:noWrap/>
            <w:tcMar>
              <w:left w:w="57" w:type="dxa"/>
              <w:right w:w="57" w:type="dxa"/>
            </w:tcMar>
            <w:vAlign w:val="center"/>
          </w:tcPr>
          <w:p w:rsidR="002664FC" w:rsidRPr="000B697A" w:rsidRDefault="002664FC" w:rsidP="00036C58">
            <w:pPr>
              <w:jc w:val="left"/>
              <w:rPr>
                <w:rFonts w:cs="Calibri"/>
                <w:color w:val="000000"/>
                <w:lang w:eastAsia="en-US"/>
              </w:rPr>
            </w:pPr>
          </w:p>
        </w:tc>
      </w:tr>
    </w:tbl>
    <w:p w:rsidR="001459CF" w:rsidRPr="000B697A" w:rsidRDefault="001459CF" w:rsidP="0016443B">
      <w:pPr>
        <w:pStyle w:val="SubNumbers"/>
        <w:rPr>
          <w:rFonts w:cs="Calibri"/>
        </w:rPr>
      </w:pPr>
      <w:bookmarkStart w:id="91" w:name="_Toc6923252"/>
      <w:r w:rsidRPr="000B697A">
        <w:rPr>
          <w:rFonts w:cs="Calibri"/>
        </w:rPr>
        <w:t xml:space="preserve">Основни характеристики на дейността на </w:t>
      </w:r>
      <w:r w:rsidR="00947CB6" w:rsidRPr="000B697A">
        <w:rPr>
          <w:rFonts w:cs="Calibri"/>
        </w:rPr>
        <w:t>„</w:t>
      </w:r>
      <w:r w:rsidRPr="000B697A">
        <w:rPr>
          <w:rFonts w:cs="Calibri"/>
        </w:rPr>
        <w:t>Сервиз Финансови Пазари</w:t>
      </w:r>
      <w:r w:rsidR="00947CB6" w:rsidRPr="000B697A">
        <w:rPr>
          <w:rFonts w:cs="Calibri"/>
        </w:rPr>
        <w:t>“</w:t>
      </w:r>
      <w:r w:rsidRPr="000B697A">
        <w:rPr>
          <w:rFonts w:cs="Calibri"/>
        </w:rPr>
        <w:t xml:space="preserve"> Е</w:t>
      </w:r>
      <w:r w:rsidR="008C7401" w:rsidRPr="000B697A">
        <w:rPr>
          <w:rFonts w:cs="Calibri"/>
        </w:rPr>
        <w:t xml:space="preserve">ООД през </w:t>
      </w:r>
      <w:r w:rsidR="00967101" w:rsidRPr="000B697A">
        <w:rPr>
          <w:rFonts w:cs="Calibri"/>
        </w:rPr>
        <w:t>201</w:t>
      </w:r>
      <w:r w:rsidR="00967101">
        <w:rPr>
          <w:rFonts w:cs="Calibri"/>
          <w:lang w:val="en-US"/>
        </w:rPr>
        <w:t>8</w:t>
      </w:r>
      <w:r w:rsidR="00967101" w:rsidRPr="000B697A">
        <w:rPr>
          <w:rFonts w:cs="Calibri"/>
        </w:rPr>
        <w:t xml:space="preserve"> </w:t>
      </w:r>
      <w:r w:rsidRPr="000B697A">
        <w:rPr>
          <w:rFonts w:cs="Calibri"/>
        </w:rPr>
        <w:t>г</w:t>
      </w:r>
      <w:r w:rsidR="00F901FE" w:rsidRPr="000B697A">
        <w:rPr>
          <w:rFonts w:cs="Calibri"/>
        </w:rPr>
        <w:t>.</w:t>
      </w:r>
      <w:bookmarkEnd w:id="91"/>
    </w:p>
    <w:p w:rsidR="00C50ACD" w:rsidRPr="000B697A" w:rsidRDefault="00C50ACD" w:rsidP="00C50ACD">
      <w:pPr>
        <w:rPr>
          <w:rFonts w:cs="Calibri"/>
        </w:rPr>
      </w:pPr>
      <w:r w:rsidRPr="000B697A">
        <w:rPr>
          <w:rFonts w:cs="Calibri"/>
        </w:rPr>
        <w:t xml:space="preserve">Дейността на "Сервиз финансови пазари" ЕООД през първата половина на 2018 г. бе повлияна от намаления брой на дружествата, разкриващи регулирана и нерегулирана информация. В началото на годината техният общ брой надхвърляше 260. С промени в ЗППЦК през втората половина на 2017, задължението да разкриват информация за голям брой от непубличните компании отпадна и това доведе до намаляване на активността на потребителите. Процент от тях доброволно продължават да разкриват информация без задължения от закона. </w:t>
      </w:r>
    </w:p>
    <w:p w:rsidR="00C50ACD" w:rsidRPr="000B697A" w:rsidRDefault="00C50ACD" w:rsidP="00C50ACD">
      <w:pPr>
        <w:rPr>
          <w:rFonts w:cs="Calibri"/>
        </w:rPr>
      </w:pPr>
      <w:r w:rsidRPr="000B697A">
        <w:rPr>
          <w:rFonts w:cs="Calibri"/>
        </w:rPr>
        <w:lastRenderedPageBreak/>
        <w:t>От друга страна все още малко участници на пазара търсят финансова и пазарна информация независимо от лекото увеличение на търговията с ценни книжа. Така в края на полугодието общият брой клиентите, ползващи услугите на специализираната медиа Х3News, беше малко над 200, а в края на годината - около 160.</w:t>
      </w:r>
    </w:p>
    <w:p w:rsidR="00C50ACD" w:rsidRPr="000B697A" w:rsidRDefault="00C50ACD" w:rsidP="00C50ACD">
      <w:pPr>
        <w:rPr>
          <w:rFonts w:cs="Calibri"/>
        </w:rPr>
      </w:pPr>
      <w:r w:rsidRPr="000B697A">
        <w:rPr>
          <w:rFonts w:cs="Calibri"/>
        </w:rPr>
        <w:t>През четвъртото тримесечие един от конкурентите на СФП ЕООД спря да предлага услугата като медиа за разкриване на регулирана информация. Това доведе до повишаване на клиентите на дружеството с около 15.</w:t>
      </w:r>
    </w:p>
    <w:p w:rsidR="0002008B" w:rsidRPr="000B697A" w:rsidRDefault="00C50ACD" w:rsidP="00C50ACD">
      <w:pPr>
        <w:rPr>
          <w:rFonts w:cs="Calibri"/>
        </w:rPr>
      </w:pPr>
      <w:r w:rsidRPr="000B697A">
        <w:rPr>
          <w:rFonts w:cs="Calibri"/>
        </w:rPr>
        <w:t>През 2018 година дружеството започна проект за развитие на продукта X3Analyses. Подобряването и осъвременяването на функционалността му и разширяването на базата данни с показатели за дружествата ще даде възможност за привличане на повече клиенти за продукта. Предвижда се разработката на нова версия на продукта да приключи през 2019 година</w:t>
      </w:r>
      <w:r w:rsidR="0002008B" w:rsidRPr="000B697A">
        <w:rPr>
          <w:rFonts w:cs="Calibri"/>
        </w:rPr>
        <w:t>.</w:t>
      </w:r>
    </w:p>
    <w:p w:rsidR="00C50ACD" w:rsidRPr="000B697A" w:rsidRDefault="00C50ACD" w:rsidP="00C50ACD">
      <w:pPr>
        <w:pStyle w:val="SubNumbers"/>
        <w:rPr>
          <w:rFonts w:cs="Calibri"/>
        </w:rPr>
      </w:pPr>
      <w:bookmarkStart w:id="92" w:name="_Toc2172010"/>
      <w:bookmarkStart w:id="93" w:name="_Ref6522906"/>
      <w:bookmarkStart w:id="94" w:name="_Toc6923253"/>
      <w:r w:rsidRPr="000B697A">
        <w:rPr>
          <w:rFonts w:cs="Calibri"/>
        </w:rPr>
        <w:t>Основни характеристики на дейността на дъщерното дружество „Българска независима енергийна борса“ ЕАД</w:t>
      </w:r>
      <w:bookmarkEnd w:id="92"/>
      <w:bookmarkEnd w:id="93"/>
      <w:bookmarkEnd w:id="94"/>
    </w:p>
    <w:p w:rsidR="007502CF" w:rsidRPr="000B697A" w:rsidRDefault="007502CF" w:rsidP="007502CF">
      <w:pPr>
        <w:rPr>
          <w:rFonts w:cs="Calibri"/>
        </w:rPr>
      </w:pPr>
      <w:r w:rsidRPr="000B697A">
        <w:rPr>
          <w:rFonts w:cs="Calibri"/>
        </w:rPr>
        <w:t>Дейността на „Българска независима енергийна борса“ ЕАД (БНЕБ) е тясно свързана с процеса на либерализация и обединяване на електроенергийните пазари в Европейския съюз и западните балкани и гарантира прозрачност, равнопоставеност и сигурност за участниците на пазара на електрическа енергия.</w:t>
      </w:r>
    </w:p>
    <w:p w:rsidR="007502CF" w:rsidRPr="000B697A" w:rsidRDefault="007502CF" w:rsidP="007502CF">
      <w:pPr>
        <w:rPr>
          <w:rFonts w:cs="Calibri"/>
        </w:rPr>
      </w:pPr>
      <w:r w:rsidRPr="000B697A">
        <w:rPr>
          <w:rFonts w:cs="Calibri"/>
        </w:rPr>
        <w:t>БНЕБ допринася за развитието на пазара на електроенергия в България, като чрез интегрирането на нови сегменти за търговия дава възможност за въвеждане на нови инструменти и продукти за търговия и задоволява нарастващите нужди на търговските участници, като им дава възможност за гъвкавост в управлението на портфейли им.</w:t>
      </w:r>
    </w:p>
    <w:p w:rsidR="007502CF" w:rsidRPr="000B697A" w:rsidRDefault="007502CF" w:rsidP="007502CF">
      <w:pPr>
        <w:rPr>
          <w:rFonts w:cs="Calibri"/>
        </w:rPr>
      </w:pPr>
      <w:r w:rsidRPr="000B697A">
        <w:rPr>
          <w:rFonts w:cs="Calibri"/>
        </w:rPr>
        <w:t>Лицензионната дейност, която дружеството развива, включва борсов пазар със сегменти:</w:t>
      </w:r>
    </w:p>
    <w:p w:rsidR="007502CF" w:rsidRPr="000B697A" w:rsidRDefault="007502CF" w:rsidP="007502CF">
      <w:pPr>
        <w:pStyle w:val="ListParagraph"/>
        <w:numPr>
          <w:ilvl w:val="0"/>
          <w:numId w:val="41"/>
        </w:numPr>
        <w:rPr>
          <w:rFonts w:cs="Calibri"/>
        </w:rPr>
      </w:pPr>
      <w:r w:rsidRPr="000B697A">
        <w:rPr>
          <w:rFonts w:cs="Calibri"/>
        </w:rPr>
        <w:t>„</w:t>
      </w:r>
      <w:proofErr w:type="spellStart"/>
      <w:r w:rsidRPr="000B697A">
        <w:rPr>
          <w:rFonts w:cs="Calibri"/>
        </w:rPr>
        <w:t>Ден</w:t>
      </w:r>
      <w:proofErr w:type="spellEnd"/>
      <w:r w:rsidRPr="000B697A">
        <w:rPr>
          <w:rFonts w:cs="Calibri"/>
        </w:rPr>
        <w:t xml:space="preserve"> </w:t>
      </w:r>
      <w:proofErr w:type="spellStart"/>
      <w:r w:rsidRPr="000B697A">
        <w:rPr>
          <w:rFonts w:cs="Calibri"/>
        </w:rPr>
        <w:t>напред</w:t>
      </w:r>
      <w:proofErr w:type="spellEnd"/>
      <w:r w:rsidRPr="000B697A">
        <w:rPr>
          <w:rFonts w:cs="Calibri"/>
        </w:rPr>
        <w:t>“ (Day Ahead market - DAM);</w:t>
      </w:r>
    </w:p>
    <w:p w:rsidR="007502CF" w:rsidRPr="000B697A" w:rsidRDefault="007502CF" w:rsidP="007502CF">
      <w:pPr>
        <w:pStyle w:val="ListParagraph"/>
        <w:numPr>
          <w:ilvl w:val="0"/>
          <w:numId w:val="41"/>
        </w:numPr>
        <w:rPr>
          <w:rFonts w:cs="Calibri"/>
        </w:rPr>
      </w:pPr>
      <w:r w:rsidRPr="000B697A">
        <w:rPr>
          <w:rFonts w:cs="Calibri"/>
        </w:rPr>
        <w:t xml:space="preserve">„В </w:t>
      </w:r>
      <w:proofErr w:type="spellStart"/>
      <w:r w:rsidRPr="000B697A">
        <w:rPr>
          <w:rFonts w:cs="Calibri"/>
        </w:rPr>
        <w:t>рамките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деня</w:t>
      </w:r>
      <w:proofErr w:type="spellEnd"/>
      <w:r w:rsidRPr="000B697A">
        <w:rPr>
          <w:rFonts w:cs="Calibri"/>
        </w:rPr>
        <w:t>“ (Intraday market - IDM);</w:t>
      </w:r>
    </w:p>
    <w:p w:rsidR="007502CF" w:rsidRPr="000B697A" w:rsidRDefault="007502CF" w:rsidP="007502CF">
      <w:pPr>
        <w:pStyle w:val="ListParagraph"/>
        <w:numPr>
          <w:ilvl w:val="0"/>
          <w:numId w:val="41"/>
        </w:numPr>
        <w:rPr>
          <w:rFonts w:cs="Calibri"/>
        </w:rPr>
      </w:pPr>
      <w:proofErr w:type="spellStart"/>
      <w:r w:rsidRPr="000B697A">
        <w:rPr>
          <w:rFonts w:cs="Calibri"/>
        </w:rPr>
        <w:t>Централизиран</w:t>
      </w:r>
      <w:proofErr w:type="spellEnd"/>
      <w:r w:rsidRPr="000B697A">
        <w:rPr>
          <w:rFonts w:cs="Calibri"/>
        </w:rPr>
        <w:t xml:space="preserve"> </w:t>
      </w:r>
      <w:proofErr w:type="spellStart"/>
      <w:r w:rsidRPr="000B697A">
        <w:rPr>
          <w:rFonts w:cs="Calibri"/>
        </w:rPr>
        <w:t>пазар</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покупко</w:t>
      </w:r>
      <w:proofErr w:type="spellEnd"/>
      <w:r w:rsidRPr="000B697A">
        <w:rPr>
          <w:rFonts w:cs="Calibri"/>
        </w:rPr>
        <w:t xml:space="preserve"> </w:t>
      </w:r>
      <w:proofErr w:type="spellStart"/>
      <w:r w:rsidRPr="000B697A">
        <w:rPr>
          <w:rFonts w:cs="Calibri"/>
        </w:rPr>
        <w:t>продажба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електрическа</w:t>
      </w:r>
      <w:proofErr w:type="spellEnd"/>
      <w:r w:rsidRPr="000B697A">
        <w:rPr>
          <w:rFonts w:cs="Calibri"/>
        </w:rPr>
        <w:t xml:space="preserve"> </w:t>
      </w:r>
      <w:proofErr w:type="spellStart"/>
      <w:r w:rsidRPr="000B697A">
        <w:rPr>
          <w:rFonts w:cs="Calibri"/>
        </w:rPr>
        <w:t>енергия</w:t>
      </w:r>
      <w:proofErr w:type="spellEnd"/>
      <w:r w:rsidRPr="000B697A">
        <w:rPr>
          <w:rFonts w:cs="Calibri"/>
        </w:rPr>
        <w:t xml:space="preserve"> </w:t>
      </w:r>
      <w:proofErr w:type="spellStart"/>
      <w:r w:rsidRPr="000B697A">
        <w:rPr>
          <w:rFonts w:cs="Calibri"/>
        </w:rPr>
        <w:t>посредством</w:t>
      </w:r>
      <w:proofErr w:type="spellEnd"/>
      <w:r w:rsidRPr="000B697A">
        <w:rPr>
          <w:rFonts w:cs="Calibri"/>
        </w:rPr>
        <w:t xml:space="preserve"> </w:t>
      </w:r>
      <w:proofErr w:type="spellStart"/>
      <w:r w:rsidRPr="000B697A">
        <w:rPr>
          <w:rFonts w:cs="Calibri"/>
        </w:rPr>
        <w:t>двустранни</w:t>
      </w:r>
      <w:proofErr w:type="spellEnd"/>
      <w:r w:rsidRPr="000B697A">
        <w:rPr>
          <w:rFonts w:cs="Calibri"/>
        </w:rPr>
        <w:t xml:space="preserve"> </w:t>
      </w:r>
      <w:proofErr w:type="spellStart"/>
      <w:r w:rsidRPr="000B697A">
        <w:rPr>
          <w:rFonts w:cs="Calibri"/>
        </w:rPr>
        <w:t>договори</w:t>
      </w:r>
      <w:proofErr w:type="spellEnd"/>
      <w:r w:rsidRPr="000B697A">
        <w:rPr>
          <w:rFonts w:cs="Calibri"/>
        </w:rPr>
        <w:t xml:space="preserve"> (Centralized market for bilateral contracts - CMBC). </w:t>
      </w:r>
    </w:p>
    <w:p w:rsidR="007502CF" w:rsidRPr="000B697A" w:rsidRDefault="007502CF" w:rsidP="007502CF">
      <w:pPr>
        <w:rPr>
          <w:rFonts w:cs="Calibri"/>
        </w:rPr>
      </w:pPr>
      <w:r w:rsidRPr="000B697A">
        <w:rPr>
          <w:rFonts w:cs="Calibri"/>
        </w:rPr>
        <w:t>Два от тези пазарни сегмента следва да участват в обединение с вътрешнообщностните за Европейския съюз електроенергийни борсови пазари DAM и IDM, съгласно възприетите на европейско ниво механизми и целеви модел и в изпълнение на Регламент 1222/2015 на ЕК.</w:t>
      </w:r>
    </w:p>
    <w:p w:rsidR="007502CF" w:rsidRPr="000B697A" w:rsidRDefault="007502CF" w:rsidP="007502CF">
      <w:pPr>
        <w:rPr>
          <w:rFonts w:cs="Calibri"/>
        </w:rPr>
      </w:pPr>
      <w:r w:rsidRPr="000B697A">
        <w:rPr>
          <w:rFonts w:cs="Calibri"/>
        </w:rPr>
        <w:t>Нелицензионната дейност, която дружеството продължава да развива, включва и предоставяне на услуга по докладване на данни съгласно изискванията на REMIT.</w:t>
      </w:r>
    </w:p>
    <w:p w:rsidR="00C50ACD" w:rsidRPr="000B697A" w:rsidRDefault="007502CF" w:rsidP="007502CF">
      <w:pPr>
        <w:rPr>
          <w:rFonts w:cs="Calibri"/>
        </w:rPr>
      </w:pPr>
      <w:r w:rsidRPr="000B697A">
        <w:rPr>
          <w:rFonts w:cs="Calibri"/>
        </w:rPr>
        <w:t>БНЕБ ЕАД активно участва в интеграционните процеси в региона на Югоизточна Европа, изпълнявайки разпоредбите на чл. 20 от Регламент 1222/2015 на ЕК (</w:t>
      </w:r>
      <w:proofErr w:type="spellStart"/>
      <w:r w:rsidRPr="000B697A">
        <w:rPr>
          <w:rFonts w:cs="Calibri"/>
        </w:rPr>
        <w:t>Capacity</w:t>
      </w:r>
      <w:proofErr w:type="spellEnd"/>
      <w:r w:rsidRPr="000B697A">
        <w:rPr>
          <w:rFonts w:cs="Calibri"/>
        </w:rPr>
        <w:t xml:space="preserve"> </w:t>
      </w:r>
      <w:proofErr w:type="spellStart"/>
      <w:r w:rsidRPr="000B697A">
        <w:rPr>
          <w:rFonts w:cs="Calibri"/>
        </w:rPr>
        <w:t>Allocation</w:t>
      </w:r>
      <w:proofErr w:type="spellEnd"/>
      <w:r w:rsidRPr="000B697A">
        <w:rPr>
          <w:rFonts w:cs="Calibri"/>
        </w:rPr>
        <w:t xml:space="preserve"> </w:t>
      </w:r>
      <w:proofErr w:type="spellStart"/>
      <w:r w:rsidRPr="000B697A">
        <w:rPr>
          <w:rFonts w:cs="Calibri"/>
        </w:rPr>
        <w:t>and</w:t>
      </w:r>
      <w:proofErr w:type="spellEnd"/>
      <w:r w:rsidRPr="000B697A">
        <w:rPr>
          <w:rFonts w:cs="Calibri"/>
        </w:rPr>
        <w:t xml:space="preserve"> </w:t>
      </w:r>
      <w:proofErr w:type="spellStart"/>
      <w:r w:rsidRPr="000B697A">
        <w:rPr>
          <w:rFonts w:cs="Calibri"/>
        </w:rPr>
        <w:t>Congestion</w:t>
      </w:r>
      <w:proofErr w:type="spellEnd"/>
      <w:r w:rsidRPr="000B697A">
        <w:rPr>
          <w:rFonts w:cs="Calibri"/>
        </w:rPr>
        <w:t xml:space="preserve"> </w:t>
      </w:r>
      <w:proofErr w:type="spellStart"/>
      <w:r w:rsidRPr="000B697A">
        <w:rPr>
          <w:rFonts w:cs="Calibri"/>
        </w:rPr>
        <w:t>management</w:t>
      </w:r>
      <w:proofErr w:type="spellEnd"/>
      <w:r w:rsidRPr="000B697A">
        <w:rPr>
          <w:rFonts w:cs="Calibri"/>
        </w:rPr>
        <w:t xml:space="preserve"> GL), като през 2018 г., дружеството постигна съществен напредък в следните инициативи:</w:t>
      </w:r>
    </w:p>
    <w:p w:rsidR="007502CF" w:rsidRPr="000B697A" w:rsidRDefault="007502CF" w:rsidP="007502CF">
      <w:pPr>
        <w:pStyle w:val="ListParagraph"/>
        <w:widowControl w:val="0"/>
        <w:numPr>
          <w:ilvl w:val="0"/>
          <w:numId w:val="42"/>
        </w:numPr>
        <w:contextualSpacing/>
        <w:rPr>
          <w:rFonts w:cs="Calibri"/>
        </w:rPr>
      </w:pPr>
      <w:r w:rsidRPr="000B697A">
        <w:rPr>
          <w:rFonts w:cs="Calibri"/>
          <w:lang w:val="bg-BG"/>
        </w:rPr>
        <w:t>П</w:t>
      </w:r>
      <w:proofErr w:type="spellStart"/>
      <w:r w:rsidRPr="000B697A">
        <w:rPr>
          <w:rFonts w:cs="Calibri"/>
        </w:rPr>
        <w:t>роект</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пазарно</w:t>
      </w:r>
      <w:proofErr w:type="spellEnd"/>
      <w:r w:rsidRPr="000B697A">
        <w:rPr>
          <w:rFonts w:cs="Calibri"/>
        </w:rPr>
        <w:t xml:space="preserve"> </w:t>
      </w:r>
      <w:proofErr w:type="spellStart"/>
      <w:r w:rsidRPr="000B697A">
        <w:rPr>
          <w:rFonts w:cs="Calibri"/>
        </w:rPr>
        <w:t>обединение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пазарите</w:t>
      </w:r>
      <w:proofErr w:type="spellEnd"/>
      <w:r w:rsidRPr="000B697A">
        <w:rPr>
          <w:rFonts w:cs="Calibri"/>
        </w:rPr>
        <w:t xml:space="preserve"> „</w:t>
      </w:r>
      <w:proofErr w:type="spellStart"/>
      <w:r w:rsidRPr="000B697A">
        <w:rPr>
          <w:rFonts w:cs="Calibri"/>
        </w:rPr>
        <w:t>Ден</w:t>
      </w:r>
      <w:proofErr w:type="spellEnd"/>
      <w:r w:rsidRPr="000B697A">
        <w:rPr>
          <w:rFonts w:cs="Calibri"/>
        </w:rPr>
        <w:t xml:space="preserve"> </w:t>
      </w:r>
      <w:proofErr w:type="spellStart"/>
      <w:r w:rsidRPr="000B697A">
        <w:rPr>
          <w:rFonts w:cs="Calibri"/>
        </w:rPr>
        <w:t>напред</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Република</w:t>
      </w:r>
      <w:proofErr w:type="spellEnd"/>
      <w:r w:rsidRPr="000B697A">
        <w:rPr>
          <w:rFonts w:cs="Calibri"/>
        </w:rPr>
        <w:t xml:space="preserve"> </w:t>
      </w:r>
      <w:proofErr w:type="spellStart"/>
      <w:r w:rsidRPr="000B697A">
        <w:rPr>
          <w:rFonts w:cs="Calibri"/>
        </w:rPr>
        <w:t>България</w:t>
      </w:r>
      <w:proofErr w:type="spellEnd"/>
      <w:r w:rsidRPr="000B697A">
        <w:rPr>
          <w:rFonts w:cs="Calibri"/>
        </w:rPr>
        <w:t xml:space="preserve"> и </w:t>
      </w:r>
      <w:proofErr w:type="spellStart"/>
      <w:r w:rsidRPr="000B697A">
        <w:rPr>
          <w:rFonts w:cs="Calibri"/>
        </w:rPr>
        <w:t>Република</w:t>
      </w:r>
      <w:proofErr w:type="spellEnd"/>
      <w:r w:rsidRPr="000B697A">
        <w:rPr>
          <w:rFonts w:cs="Calibri"/>
        </w:rPr>
        <w:t xml:space="preserve"> </w:t>
      </w:r>
      <w:proofErr w:type="spellStart"/>
      <w:r w:rsidRPr="000B697A">
        <w:rPr>
          <w:rFonts w:cs="Calibri"/>
        </w:rPr>
        <w:t>Македония</w:t>
      </w:r>
      <w:proofErr w:type="spellEnd"/>
      <w:r w:rsidRPr="000B697A">
        <w:rPr>
          <w:rFonts w:cs="Calibri"/>
        </w:rPr>
        <w:t xml:space="preserve"> е </w:t>
      </w:r>
      <w:proofErr w:type="spellStart"/>
      <w:r w:rsidRPr="000B697A">
        <w:rPr>
          <w:rFonts w:cs="Calibri"/>
        </w:rPr>
        <w:t>във</w:t>
      </w:r>
      <w:proofErr w:type="spellEnd"/>
      <w:r w:rsidRPr="000B697A">
        <w:rPr>
          <w:rFonts w:cs="Calibri"/>
        </w:rPr>
        <w:t xml:space="preserve"> </w:t>
      </w:r>
      <w:proofErr w:type="spellStart"/>
      <w:r w:rsidRPr="000B697A">
        <w:rPr>
          <w:rFonts w:cs="Calibri"/>
        </w:rPr>
        <w:t>фаза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реализация</w:t>
      </w:r>
      <w:proofErr w:type="spellEnd"/>
      <w:r w:rsidRPr="000B697A">
        <w:rPr>
          <w:rFonts w:cs="Calibri"/>
        </w:rPr>
        <w:t>.</w:t>
      </w:r>
    </w:p>
    <w:p w:rsidR="007502CF" w:rsidRPr="000B697A" w:rsidRDefault="007502CF" w:rsidP="007502CF">
      <w:pPr>
        <w:pStyle w:val="ListParagraph"/>
        <w:widowControl w:val="0"/>
        <w:numPr>
          <w:ilvl w:val="0"/>
          <w:numId w:val="42"/>
        </w:numPr>
        <w:contextualSpacing/>
        <w:rPr>
          <w:rFonts w:cs="Calibri"/>
        </w:rPr>
      </w:pPr>
      <w:proofErr w:type="spellStart"/>
      <w:r w:rsidRPr="000B697A">
        <w:rPr>
          <w:rFonts w:cs="Calibri"/>
        </w:rPr>
        <w:lastRenderedPageBreak/>
        <w:t>Инициативата</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присъединяване</w:t>
      </w:r>
      <w:proofErr w:type="spellEnd"/>
      <w:r w:rsidRPr="000B697A">
        <w:rPr>
          <w:rFonts w:cs="Calibri"/>
        </w:rPr>
        <w:t xml:space="preserve"> </w:t>
      </w:r>
      <w:proofErr w:type="spellStart"/>
      <w:r w:rsidRPr="000B697A">
        <w:rPr>
          <w:rFonts w:cs="Calibri"/>
        </w:rPr>
        <w:t>към</w:t>
      </w:r>
      <w:proofErr w:type="spellEnd"/>
      <w:r w:rsidRPr="000B697A">
        <w:rPr>
          <w:rFonts w:cs="Calibri"/>
        </w:rPr>
        <w:t xml:space="preserve"> </w:t>
      </w:r>
      <w:proofErr w:type="spellStart"/>
      <w:r w:rsidRPr="000B697A">
        <w:rPr>
          <w:rFonts w:cs="Calibri"/>
        </w:rPr>
        <w:t>проекта</w:t>
      </w:r>
      <w:proofErr w:type="spellEnd"/>
      <w:r w:rsidRPr="000B697A">
        <w:rPr>
          <w:rFonts w:cs="Calibri"/>
        </w:rPr>
        <w:t xml:space="preserve"> IBWT (Italian borders working table)</w:t>
      </w:r>
      <w:r w:rsidRPr="000B697A">
        <w:rPr>
          <w:rFonts w:cs="Calibri"/>
          <w:lang w:val="bg-BG"/>
        </w:rPr>
        <w:t xml:space="preserve"> продължава, а в</w:t>
      </w:r>
      <w:r w:rsidRPr="000B697A">
        <w:rPr>
          <w:rFonts w:cs="Calibri"/>
        </w:rPr>
        <w:t xml:space="preserve"> </w:t>
      </w:r>
      <w:proofErr w:type="spellStart"/>
      <w:r w:rsidRPr="000B697A">
        <w:rPr>
          <w:rFonts w:cs="Calibri"/>
        </w:rPr>
        <w:t>края</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2018 г. БНЕБ ЕАД </w:t>
      </w:r>
      <w:proofErr w:type="spellStart"/>
      <w:r w:rsidRPr="000B697A">
        <w:rPr>
          <w:rFonts w:cs="Calibri"/>
        </w:rPr>
        <w:t>предприе</w:t>
      </w:r>
      <w:proofErr w:type="spellEnd"/>
      <w:r w:rsidRPr="000B697A">
        <w:rPr>
          <w:rFonts w:cs="Calibri"/>
        </w:rPr>
        <w:t xml:space="preserve"> </w:t>
      </w:r>
      <w:proofErr w:type="spellStart"/>
      <w:r w:rsidRPr="000B697A">
        <w:rPr>
          <w:rFonts w:cs="Calibri"/>
        </w:rPr>
        <w:t>стъпки</w:t>
      </w:r>
      <w:proofErr w:type="spellEnd"/>
      <w:r w:rsidRPr="000B697A">
        <w:rPr>
          <w:rFonts w:cs="Calibri"/>
        </w:rPr>
        <w:t xml:space="preserve"> </w:t>
      </w:r>
      <w:proofErr w:type="spellStart"/>
      <w:r w:rsidRPr="000B697A">
        <w:rPr>
          <w:rFonts w:cs="Calibri"/>
        </w:rPr>
        <w:t>към</w:t>
      </w:r>
      <w:proofErr w:type="spellEnd"/>
      <w:r w:rsidRPr="000B697A">
        <w:rPr>
          <w:rFonts w:cs="Calibri"/>
        </w:rPr>
        <w:t xml:space="preserve"> </w:t>
      </w:r>
      <w:proofErr w:type="spellStart"/>
      <w:r w:rsidRPr="000B697A">
        <w:rPr>
          <w:rFonts w:cs="Calibri"/>
        </w:rPr>
        <w:t>стартирането</w:t>
      </w:r>
      <w:proofErr w:type="spellEnd"/>
      <w:r w:rsidRPr="000B697A">
        <w:rPr>
          <w:rFonts w:cs="Calibri"/>
        </w:rPr>
        <w:t xml:space="preserve"> и </w:t>
      </w:r>
      <w:proofErr w:type="spellStart"/>
      <w:r w:rsidRPr="000B697A">
        <w:rPr>
          <w:rFonts w:cs="Calibri"/>
        </w:rPr>
        <w:t>участието</w:t>
      </w:r>
      <w:proofErr w:type="spellEnd"/>
      <w:r w:rsidRPr="000B697A">
        <w:rPr>
          <w:rFonts w:cs="Calibri"/>
        </w:rPr>
        <w:t xml:space="preserve"> в </w:t>
      </w:r>
      <w:proofErr w:type="spellStart"/>
      <w:r w:rsidRPr="000B697A">
        <w:rPr>
          <w:rFonts w:cs="Calibri"/>
        </w:rPr>
        <w:t>проект</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тристранно</w:t>
      </w:r>
      <w:proofErr w:type="spellEnd"/>
      <w:r w:rsidRPr="000B697A">
        <w:rPr>
          <w:rFonts w:cs="Calibri"/>
        </w:rPr>
        <w:t xml:space="preserve"> </w:t>
      </w:r>
      <w:proofErr w:type="spellStart"/>
      <w:r w:rsidRPr="000B697A">
        <w:rPr>
          <w:rFonts w:cs="Calibri"/>
        </w:rPr>
        <w:t>пазарно</w:t>
      </w:r>
      <w:proofErr w:type="spellEnd"/>
      <w:r w:rsidRPr="000B697A">
        <w:rPr>
          <w:rFonts w:cs="Calibri"/>
        </w:rPr>
        <w:t xml:space="preserve"> </w:t>
      </w:r>
      <w:proofErr w:type="spellStart"/>
      <w:r w:rsidRPr="000B697A">
        <w:rPr>
          <w:rFonts w:cs="Calibri"/>
        </w:rPr>
        <w:t>обединение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пазарите</w:t>
      </w:r>
      <w:proofErr w:type="spellEnd"/>
      <w:r w:rsidRPr="000B697A">
        <w:rPr>
          <w:rFonts w:cs="Calibri"/>
        </w:rPr>
        <w:t xml:space="preserve"> „</w:t>
      </w:r>
      <w:proofErr w:type="spellStart"/>
      <w:r w:rsidRPr="000B697A">
        <w:rPr>
          <w:rFonts w:cs="Calibri"/>
        </w:rPr>
        <w:t>Ден</w:t>
      </w:r>
      <w:proofErr w:type="spellEnd"/>
      <w:r w:rsidRPr="000B697A">
        <w:rPr>
          <w:rFonts w:cs="Calibri"/>
        </w:rPr>
        <w:t xml:space="preserve"> </w:t>
      </w:r>
      <w:proofErr w:type="spellStart"/>
      <w:r w:rsidRPr="000B697A">
        <w:rPr>
          <w:rFonts w:cs="Calibri"/>
        </w:rPr>
        <w:t>напред</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пазарните</w:t>
      </w:r>
      <w:proofErr w:type="spellEnd"/>
      <w:r w:rsidRPr="000B697A">
        <w:rPr>
          <w:rFonts w:cs="Calibri"/>
        </w:rPr>
        <w:t xml:space="preserve"> </w:t>
      </w:r>
      <w:proofErr w:type="spellStart"/>
      <w:r w:rsidRPr="000B697A">
        <w:rPr>
          <w:rFonts w:cs="Calibri"/>
        </w:rPr>
        <w:t>зони</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Република</w:t>
      </w:r>
      <w:proofErr w:type="spellEnd"/>
      <w:r w:rsidRPr="000B697A">
        <w:rPr>
          <w:rFonts w:cs="Calibri"/>
        </w:rPr>
        <w:t xml:space="preserve"> </w:t>
      </w:r>
      <w:proofErr w:type="spellStart"/>
      <w:r w:rsidRPr="000B697A">
        <w:rPr>
          <w:rFonts w:cs="Calibri"/>
        </w:rPr>
        <w:t>България</w:t>
      </w:r>
      <w:proofErr w:type="spellEnd"/>
      <w:r w:rsidRPr="000B697A">
        <w:rPr>
          <w:rFonts w:cs="Calibri"/>
        </w:rPr>
        <w:t xml:space="preserve">, </w:t>
      </w:r>
      <w:proofErr w:type="spellStart"/>
      <w:r w:rsidRPr="000B697A">
        <w:rPr>
          <w:rFonts w:cs="Calibri"/>
        </w:rPr>
        <w:t>Република</w:t>
      </w:r>
      <w:proofErr w:type="spellEnd"/>
      <w:r w:rsidRPr="000B697A">
        <w:rPr>
          <w:rFonts w:cs="Calibri"/>
        </w:rPr>
        <w:t xml:space="preserve"> </w:t>
      </w:r>
      <w:proofErr w:type="spellStart"/>
      <w:r w:rsidRPr="000B697A">
        <w:rPr>
          <w:rFonts w:cs="Calibri"/>
        </w:rPr>
        <w:t>Сърбия</w:t>
      </w:r>
      <w:proofErr w:type="spellEnd"/>
      <w:r w:rsidRPr="000B697A">
        <w:rPr>
          <w:rFonts w:cs="Calibri"/>
        </w:rPr>
        <w:t xml:space="preserve"> и </w:t>
      </w:r>
      <w:proofErr w:type="spellStart"/>
      <w:r w:rsidRPr="000B697A">
        <w:rPr>
          <w:rFonts w:cs="Calibri"/>
        </w:rPr>
        <w:t>Хърватска</w:t>
      </w:r>
      <w:proofErr w:type="spellEnd"/>
      <w:r w:rsidRPr="000B697A">
        <w:rPr>
          <w:rFonts w:cs="Calibri"/>
        </w:rPr>
        <w:t>.</w:t>
      </w:r>
    </w:p>
    <w:p w:rsidR="007502CF" w:rsidRPr="000B697A" w:rsidRDefault="007502CF" w:rsidP="007502CF">
      <w:pPr>
        <w:pStyle w:val="ListParagraph"/>
        <w:widowControl w:val="0"/>
        <w:numPr>
          <w:ilvl w:val="0"/>
          <w:numId w:val="42"/>
        </w:numPr>
        <w:contextualSpacing/>
        <w:rPr>
          <w:rFonts w:cs="Calibri"/>
        </w:rPr>
      </w:pPr>
      <w:proofErr w:type="spellStart"/>
      <w:r w:rsidRPr="000B697A">
        <w:rPr>
          <w:rFonts w:cs="Calibri"/>
        </w:rPr>
        <w:t>Инициатива</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присъединяване</w:t>
      </w:r>
      <w:proofErr w:type="spellEnd"/>
      <w:r w:rsidRPr="000B697A">
        <w:rPr>
          <w:rFonts w:cs="Calibri"/>
        </w:rPr>
        <w:t xml:space="preserve"> </w:t>
      </w:r>
      <w:proofErr w:type="spellStart"/>
      <w:r w:rsidRPr="000B697A">
        <w:rPr>
          <w:rFonts w:cs="Calibri"/>
        </w:rPr>
        <w:t>към</w:t>
      </w:r>
      <w:proofErr w:type="spellEnd"/>
      <w:r w:rsidRPr="000B697A">
        <w:rPr>
          <w:rFonts w:cs="Calibri"/>
        </w:rPr>
        <w:t xml:space="preserve"> </w:t>
      </w:r>
      <w:proofErr w:type="spellStart"/>
      <w:r w:rsidRPr="000B697A">
        <w:rPr>
          <w:rFonts w:cs="Calibri"/>
        </w:rPr>
        <w:t>проекта</w:t>
      </w:r>
      <w:proofErr w:type="spellEnd"/>
      <w:r w:rsidRPr="000B697A">
        <w:rPr>
          <w:rFonts w:cs="Calibri"/>
        </w:rPr>
        <w:t xml:space="preserve"> XBID (Cross border Intraday) </w:t>
      </w:r>
      <w:proofErr w:type="spellStart"/>
      <w:r w:rsidRPr="000B697A">
        <w:rPr>
          <w:rFonts w:cs="Calibri"/>
        </w:rPr>
        <w:t>за</w:t>
      </w:r>
      <w:proofErr w:type="spellEnd"/>
      <w:r w:rsidRPr="000B697A">
        <w:rPr>
          <w:rFonts w:cs="Calibri"/>
        </w:rPr>
        <w:t xml:space="preserve"> </w:t>
      </w:r>
      <w:proofErr w:type="spellStart"/>
      <w:r w:rsidRPr="000B697A">
        <w:rPr>
          <w:rFonts w:cs="Calibri"/>
        </w:rPr>
        <w:t>пазарно</w:t>
      </w:r>
      <w:proofErr w:type="spellEnd"/>
      <w:r w:rsidRPr="000B697A">
        <w:rPr>
          <w:rFonts w:cs="Calibri"/>
        </w:rPr>
        <w:t xml:space="preserve"> </w:t>
      </w:r>
      <w:proofErr w:type="spellStart"/>
      <w:r w:rsidRPr="000B697A">
        <w:rPr>
          <w:rFonts w:cs="Calibri"/>
        </w:rPr>
        <w:t>обединение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пазарите</w:t>
      </w:r>
      <w:proofErr w:type="spellEnd"/>
      <w:r w:rsidRPr="000B697A">
        <w:rPr>
          <w:rFonts w:cs="Calibri"/>
        </w:rPr>
        <w:t xml:space="preserve"> „В </w:t>
      </w:r>
      <w:proofErr w:type="spellStart"/>
      <w:r w:rsidRPr="000B697A">
        <w:rPr>
          <w:rFonts w:cs="Calibri"/>
        </w:rPr>
        <w:t>рамките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деня</w:t>
      </w:r>
      <w:proofErr w:type="spellEnd"/>
      <w:r w:rsidRPr="000B697A">
        <w:rPr>
          <w:rFonts w:cs="Calibri"/>
        </w:rPr>
        <w:t xml:space="preserve">“ </w:t>
      </w:r>
      <w:proofErr w:type="spellStart"/>
      <w:r w:rsidRPr="000B697A">
        <w:rPr>
          <w:rFonts w:cs="Calibri"/>
        </w:rPr>
        <w:t>чрез</w:t>
      </w:r>
      <w:proofErr w:type="spellEnd"/>
      <w:r w:rsidRPr="000B697A">
        <w:rPr>
          <w:rFonts w:cs="Calibri"/>
        </w:rPr>
        <w:t xml:space="preserve"> </w:t>
      </w:r>
      <w:proofErr w:type="spellStart"/>
      <w:r w:rsidRPr="000B697A">
        <w:rPr>
          <w:rFonts w:cs="Calibri"/>
        </w:rPr>
        <w:t>включване</w:t>
      </w:r>
      <w:proofErr w:type="spellEnd"/>
      <w:r w:rsidRPr="000B697A">
        <w:rPr>
          <w:rFonts w:cs="Calibri"/>
        </w:rPr>
        <w:t xml:space="preserve"> в LIP 15 (Local implementation project)</w:t>
      </w:r>
      <w:r w:rsidRPr="000B697A">
        <w:rPr>
          <w:rFonts w:cs="Calibri"/>
          <w:lang w:val="bg-BG"/>
        </w:rPr>
        <w:t xml:space="preserve"> - п</w:t>
      </w:r>
      <w:proofErr w:type="spellStart"/>
      <w:r w:rsidRPr="000B697A">
        <w:rPr>
          <w:rFonts w:cs="Calibri"/>
        </w:rPr>
        <w:t>рез</w:t>
      </w:r>
      <w:proofErr w:type="spellEnd"/>
      <w:r w:rsidRPr="000B697A">
        <w:rPr>
          <w:rFonts w:cs="Calibri"/>
        </w:rPr>
        <w:t xml:space="preserve"> </w:t>
      </w:r>
      <w:proofErr w:type="spellStart"/>
      <w:r w:rsidRPr="000B697A">
        <w:rPr>
          <w:rFonts w:cs="Calibri"/>
        </w:rPr>
        <w:t>Август</w:t>
      </w:r>
      <w:proofErr w:type="spellEnd"/>
      <w:r w:rsidRPr="000B697A">
        <w:rPr>
          <w:rFonts w:cs="Calibri"/>
        </w:rPr>
        <w:t xml:space="preserve"> </w:t>
      </w:r>
      <w:proofErr w:type="spellStart"/>
      <w:r w:rsidRPr="000B697A">
        <w:rPr>
          <w:rFonts w:cs="Calibri"/>
        </w:rPr>
        <w:t>беше</w:t>
      </w:r>
      <w:proofErr w:type="spellEnd"/>
      <w:r w:rsidRPr="000B697A">
        <w:rPr>
          <w:rFonts w:cs="Calibri"/>
        </w:rPr>
        <w:t xml:space="preserve"> </w:t>
      </w:r>
      <w:proofErr w:type="spellStart"/>
      <w:r w:rsidRPr="000B697A">
        <w:rPr>
          <w:rFonts w:cs="Calibri"/>
        </w:rPr>
        <w:t>взето</w:t>
      </w:r>
      <w:proofErr w:type="spellEnd"/>
      <w:r w:rsidRPr="000B697A">
        <w:rPr>
          <w:rFonts w:cs="Calibri"/>
        </w:rPr>
        <w:t xml:space="preserve"> </w:t>
      </w:r>
      <w:proofErr w:type="spellStart"/>
      <w:r w:rsidRPr="000B697A">
        <w:rPr>
          <w:rFonts w:cs="Calibri"/>
        </w:rPr>
        <w:t>окончателното</w:t>
      </w:r>
      <w:proofErr w:type="spellEnd"/>
      <w:r w:rsidRPr="000B697A">
        <w:rPr>
          <w:rFonts w:cs="Calibri"/>
        </w:rPr>
        <w:t xml:space="preserve"> </w:t>
      </w:r>
      <w:proofErr w:type="spellStart"/>
      <w:r w:rsidRPr="000B697A">
        <w:rPr>
          <w:rFonts w:cs="Calibri"/>
        </w:rPr>
        <w:t>решение</w:t>
      </w:r>
      <w:proofErr w:type="spellEnd"/>
      <w:r w:rsidRPr="000B697A">
        <w:rPr>
          <w:rFonts w:cs="Calibri"/>
        </w:rPr>
        <w:t xml:space="preserve"> </w:t>
      </w:r>
      <w:proofErr w:type="spellStart"/>
      <w:r w:rsidRPr="000B697A">
        <w:rPr>
          <w:rFonts w:cs="Calibri"/>
        </w:rPr>
        <w:t>от</w:t>
      </w:r>
      <w:proofErr w:type="spellEnd"/>
      <w:r w:rsidRPr="000B697A">
        <w:rPr>
          <w:rFonts w:cs="Calibri"/>
        </w:rPr>
        <w:t xml:space="preserve"> </w:t>
      </w:r>
      <w:proofErr w:type="spellStart"/>
      <w:r w:rsidRPr="000B697A">
        <w:rPr>
          <w:rFonts w:cs="Calibri"/>
        </w:rPr>
        <w:t>страна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Управляващия</w:t>
      </w:r>
      <w:proofErr w:type="spellEnd"/>
      <w:r w:rsidRPr="000B697A">
        <w:rPr>
          <w:rFonts w:cs="Calibri"/>
        </w:rPr>
        <w:t xml:space="preserve"> </w:t>
      </w:r>
      <w:proofErr w:type="spellStart"/>
      <w:r w:rsidRPr="000B697A">
        <w:rPr>
          <w:rFonts w:cs="Calibri"/>
        </w:rPr>
        <w:t>комитет</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LIP 15 </w:t>
      </w:r>
      <w:proofErr w:type="spellStart"/>
      <w:r w:rsidRPr="000B697A">
        <w:rPr>
          <w:rFonts w:cs="Calibri"/>
        </w:rPr>
        <w:t>за</w:t>
      </w:r>
      <w:proofErr w:type="spellEnd"/>
      <w:r w:rsidRPr="000B697A">
        <w:rPr>
          <w:rFonts w:cs="Calibri"/>
        </w:rPr>
        <w:t xml:space="preserve"> </w:t>
      </w:r>
      <w:proofErr w:type="spellStart"/>
      <w:r w:rsidRPr="000B697A">
        <w:rPr>
          <w:rFonts w:cs="Calibri"/>
        </w:rPr>
        <w:t>включване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БНЕБ ЕАД и ЕСО ЕАД в </w:t>
      </w:r>
      <w:proofErr w:type="spellStart"/>
      <w:r w:rsidRPr="000B697A">
        <w:rPr>
          <w:rFonts w:cs="Calibri"/>
        </w:rPr>
        <w:t>проекта</w:t>
      </w:r>
      <w:proofErr w:type="spellEnd"/>
      <w:r w:rsidRPr="000B697A">
        <w:rPr>
          <w:rFonts w:cs="Calibri"/>
        </w:rPr>
        <w:t xml:space="preserve">, </w:t>
      </w:r>
      <w:proofErr w:type="spellStart"/>
      <w:r w:rsidRPr="000B697A">
        <w:rPr>
          <w:rFonts w:cs="Calibri"/>
        </w:rPr>
        <w:t>като</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края</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четвъртото</w:t>
      </w:r>
      <w:proofErr w:type="spellEnd"/>
      <w:r w:rsidRPr="000B697A">
        <w:rPr>
          <w:rFonts w:cs="Calibri"/>
        </w:rPr>
        <w:t xml:space="preserve"> </w:t>
      </w:r>
      <w:proofErr w:type="spellStart"/>
      <w:r w:rsidRPr="000B697A">
        <w:rPr>
          <w:rFonts w:cs="Calibri"/>
        </w:rPr>
        <w:t>тримесечие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2019 г. </w:t>
      </w:r>
      <w:proofErr w:type="spellStart"/>
      <w:r w:rsidRPr="000B697A">
        <w:rPr>
          <w:rFonts w:cs="Calibri"/>
        </w:rPr>
        <w:t>бяха</w:t>
      </w:r>
      <w:proofErr w:type="spellEnd"/>
      <w:r w:rsidRPr="000B697A">
        <w:rPr>
          <w:rFonts w:cs="Calibri"/>
        </w:rPr>
        <w:t xml:space="preserve"> </w:t>
      </w:r>
      <w:proofErr w:type="spellStart"/>
      <w:r w:rsidRPr="000B697A">
        <w:rPr>
          <w:rFonts w:cs="Calibri"/>
        </w:rPr>
        <w:t>насрочени</w:t>
      </w:r>
      <w:proofErr w:type="spellEnd"/>
      <w:r w:rsidRPr="000B697A">
        <w:rPr>
          <w:rFonts w:cs="Calibri"/>
        </w:rPr>
        <w:t xml:space="preserve"> и </w:t>
      </w:r>
      <w:proofErr w:type="spellStart"/>
      <w:r w:rsidRPr="000B697A">
        <w:rPr>
          <w:rFonts w:cs="Calibri"/>
        </w:rPr>
        <w:t>датите</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първите</w:t>
      </w:r>
      <w:proofErr w:type="spellEnd"/>
      <w:r w:rsidRPr="000B697A">
        <w:rPr>
          <w:rFonts w:cs="Calibri"/>
        </w:rPr>
        <w:t xml:space="preserve"> </w:t>
      </w:r>
      <w:proofErr w:type="spellStart"/>
      <w:r w:rsidRPr="000B697A">
        <w:rPr>
          <w:rFonts w:cs="Calibri"/>
        </w:rPr>
        <w:t>тестове</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свързаност</w:t>
      </w:r>
      <w:proofErr w:type="spellEnd"/>
      <w:r w:rsidRPr="000B697A">
        <w:rPr>
          <w:rFonts w:cs="Calibri"/>
        </w:rPr>
        <w:t xml:space="preserve"> с XBID.</w:t>
      </w:r>
    </w:p>
    <w:p w:rsidR="007502CF" w:rsidRPr="000B697A" w:rsidRDefault="007502CF" w:rsidP="007502CF">
      <w:pPr>
        <w:pStyle w:val="ListParagraph"/>
        <w:widowControl w:val="0"/>
        <w:numPr>
          <w:ilvl w:val="0"/>
          <w:numId w:val="42"/>
        </w:numPr>
        <w:contextualSpacing/>
        <w:rPr>
          <w:rFonts w:cs="Calibri"/>
        </w:rPr>
      </w:pPr>
      <w:proofErr w:type="spellStart"/>
      <w:r w:rsidRPr="000B697A">
        <w:rPr>
          <w:rFonts w:cs="Calibri"/>
        </w:rPr>
        <w:t>По</w:t>
      </w:r>
      <w:proofErr w:type="spellEnd"/>
      <w:r w:rsidRPr="000B697A">
        <w:rPr>
          <w:rFonts w:cs="Calibri"/>
        </w:rPr>
        <w:t xml:space="preserve"> </w:t>
      </w:r>
      <w:proofErr w:type="spellStart"/>
      <w:r w:rsidRPr="000B697A">
        <w:rPr>
          <w:rFonts w:cs="Calibri"/>
        </w:rPr>
        <w:t>покана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ТУ-</w:t>
      </w:r>
      <w:proofErr w:type="spellStart"/>
      <w:r w:rsidRPr="000B697A">
        <w:rPr>
          <w:rFonts w:cs="Calibri"/>
        </w:rPr>
        <w:t>София</w:t>
      </w:r>
      <w:proofErr w:type="spellEnd"/>
      <w:r w:rsidRPr="000B697A">
        <w:rPr>
          <w:rFonts w:cs="Calibri"/>
        </w:rPr>
        <w:t xml:space="preserve">, </w:t>
      </w:r>
      <w:proofErr w:type="spellStart"/>
      <w:r w:rsidRPr="000B697A">
        <w:rPr>
          <w:rFonts w:cs="Calibri"/>
        </w:rPr>
        <w:t>през</w:t>
      </w:r>
      <w:proofErr w:type="spellEnd"/>
      <w:r w:rsidRPr="000B697A">
        <w:rPr>
          <w:rFonts w:cs="Calibri"/>
        </w:rPr>
        <w:t xml:space="preserve"> </w:t>
      </w:r>
      <w:proofErr w:type="spellStart"/>
      <w:r w:rsidRPr="000B697A">
        <w:rPr>
          <w:rFonts w:cs="Calibri"/>
        </w:rPr>
        <w:t>август</w:t>
      </w:r>
      <w:proofErr w:type="spellEnd"/>
      <w:r w:rsidRPr="000B697A">
        <w:rPr>
          <w:rFonts w:cs="Calibri"/>
        </w:rPr>
        <w:t xml:space="preserve"> 2018г. БНЕБ </w:t>
      </w:r>
      <w:proofErr w:type="spellStart"/>
      <w:r w:rsidRPr="000B697A">
        <w:rPr>
          <w:rFonts w:cs="Calibri"/>
        </w:rPr>
        <w:t>се</w:t>
      </w:r>
      <w:proofErr w:type="spellEnd"/>
      <w:r w:rsidRPr="000B697A">
        <w:rPr>
          <w:rFonts w:cs="Calibri"/>
        </w:rPr>
        <w:t xml:space="preserve"> </w:t>
      </w:r>
      <w:proofErr w:type="spellStart"/>
      <w:r w:rsidRPr="000B697A">
        <w:rPr>
          <w:rFonts w:cs="Calibri"/>
        </w:rPr>
        <w:t>присъедини</w:t>
      </w:r>
      <w:proofErr w:type="spellEnd"/>
      <w:r w:rsidRPr="000B697A">
        <w:rPr>
          <w:rFonts w:cs="Calibri"/>
        </w:rPr>
        <w:t xml:space="preserve"> </w:t>
      </w:r>
      <w:proofErr w:type="spellStart"/>
      <w:r w:rsidRPr="000B697A">
        <w:rPr>
          <w:rFonts w:cs="Calibri"/>
        </w:rPr>
        <w:t>към</w:t>
      </w:r>
      <w:proofErr w:type="spellEnd"/>
      <w:r w:rsidRPr="000B697A">
        <w:rPr>
          <w:rFonts w:cs="Calibri"/>
        </w:rPr>
        <w:t xml:space="preserve"> </w:t>
      </w:r>
      <w:proofErr w:type="spellStart"/>
      <w:r w:rsidRPr="000B697A">
        <w:rPr>
          <w:rFonts w:cs="Calibri"/>
        </w:rPr>
        <w:t>консорциум</w:t>
      </w:r>
      <w:proofErr w:type="spellEnd"/>
      <w:r w:rsidRPr="000B697A">
        <w:rPr>
          <w:rFonts w:cs="Calibri"/>
        </w:rPr>
        <w:t xml:space="preserve"> </w:t>
      </w:r>
      <w:proofErr w:type="spellStart"/>
      <w:r w:rsidRPr="000B697A">
        <w:rPr>
          <w:rFonts w:cs="Calibri"/>
        </w:rPr>
        <w:t>от</w:t>
      </w:r>
      <w:proofErr w:type="spellEnd"/>
      <w:r w:rsidRPr="000B697A">
        <w:rPr>
          <w:rFonts w:cs="Calibri"/>
        </w:rPr>
        <w:t xml:space="preserve"> 42 </w:t>
      </w:r>
      <w:proofErr w:type="spellStart"/>
      <w:r w:rsidRPr="000B697A">
        <w:rPr>
          <w:rFonts w:cs="Calibri"/>
        </w:rPr>
        <w:t>компании</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участие</w:t>
      </w:r>
      <w:proofErr w:type="spellEnd"/>
      <w:r w:rsidRPr="000B697A">
        <w:rPr>
          <w:rFonts w:cs="Calibri"/>
        </w:rPr>
        <w:t xml:space="preserve"> в </w:t>
      </w:r>
      <w:proofErr w:type="spellStart"/>
      <w:r w:rsidRPr="000B697A">
        <w:rPr>
          <w:rFonts w:cs="Calibri"/>
        </w:rPr>
        <w:t>проект</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тема</w:t>
      </w:r>
      <w:proofErr w:type="spellEnd"/>
      <w:r w:rsidRPr="000B697A">
        <w:rPr>
          <w:rFonts w:cs="Calibri"/>
        </w:rPr>
        <w:t xml:space="preserve">: LC-SC3-ES-5-2018-2020 TSO-DSO-Consumer: Large-scale demonstrations of innovative grid services through demand response, storage and small-scale (RES) generation. </w:t>
      </w:r>
      <w:proofErr w:type="spellStart"/>
      <w:r w:rsidRPr="000B697A">
        <w:rPr>
          <w:rFonts w:cs="Calibri"/>
        </w:rPr>
        <w:t>Проектът</w:t>
      </w:r>
      <w:proofErr w:type="spellEnd"/>
      <w:r w:rsidRPr="000B697A">
        <w:rPr>
          <w:rFonts w:cs="Calibri"/>
        </w:rPr>
        <w:t xml:space="preserve"> </w:t>
      </w:r>
      <w:proofErr w:type="spellStart"/>
      <w:r w:rsidRPr="000B697A">
        <w:rPr>
          <w:rFonts w:cs="Calibri"/>
        </w:rPr>
        <w:t>се</w:t>
      </w:r>
      <w:proofErr w:type="spellEnd"/>
      <w:r w:rsidRPr="000B697A">
        <w:rPr>
          <w:rFonts w:cs="Calibri"/>
        </w:rPr>
        <w:t xml:space="preserve"> </w:t>
      </w:r>
      <w:proofErr w:type="spellStart"/>
      <w:r w:rsidRPr="000B697A">
        <w:rPr>
          <w:rFonts w:cs="Calibri"/>
        </w:rPr>
        <w:t>нарича</w:t>
      </w:r>
      <w:proofErr w:type="spellEnd"/>
      <w:r w:rsidRPr="000B697A">
        <w:rPr>
          <w:rFonts w:cs="Calibri"/>
        </w:rPr>
        <w:t xml:space="preserve"> INTERRFACE – </w:t>
      </w:r>
      <w:proofErr w:type="spellStart"/>
      <w:r w:rsidRPr="000B697A">
        <w:rPr>
          <w:rFonts w:cs="Calibri"/>
        </w:rPr>
        <w:t>Създаване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интегрирана</w:t>
      </w:r>
      <w:proofErr w:type="spellEnd"/>
      <w:r w:rsidRPr="000B697A">
        <w:rPr>
          <w:rFonts w:cs="Calibri"/>
        </w:rPr>
        <w:t xml:space="preserve"> </w:t>
      </w:r>
      <w:proofErr w:type="spellStart"/>
      <w:r w:rsidRPr="000B697A">
        <w:rPr>
          <w:rFonts w:cs="Calibri"/>
        </w:rPr>
        <w:t>платформа</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предоставяне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иновативни</w:t>
      </w:r>
      <w:proofErr w:type="spellEnd"/>
      <w:r w:rsidRPr="000B697A">
        <w:rPr>
          <w:rFonts w:cs="Calibri"/>
        </w:rPr>
        <w:t xml:space="preserve"> </w:t>
      </w:r>
      <w:proofErr w:type="spellStart"/>
      <w:r w:rsidRPr="000B697A">
        <w:rPr>
          <w:rFonts w:cs="Calibri"/>
        </w:rPr>
        <w:t>мрежови</w:t>
      </w:r>
      <w:proofErr w:type="spellEnd"/>
      <w:r w:rsidRPr="000B697A">
        <w:rPr>
          <w:rFonts w:cs="Calibri"/>
        </w:rPr>
        <w:t xml:space="preserve"> </w:t>
      </w:r>
      <w:proofErr w:type="spellStart"/>
      <w:r w:rsidRPr="000B697A">
        <w:rPr>
          <w:rFonts w:cs="Calibri"/>
        </w:rPr>
        <w:t>услуги</w:t>
      </w:r>
      <w:proofErr w:type="spellEnd"/>
      <w:r w:rsidRPr="000B697A">
        <w:rPr>
          <w:rFonts w:cs="Calibri"/>
        </w:rPr>
        <w:t xml:space="preserve"> и </w:t>
      </w:r>
      <w:proofErr w:type="spellStart"/>
      <w:r w:rsidRPr="000B697A">
        <w:rPr>
          <w:rFonts w:cs="Calibri"/>
        </w:rPr>
        <w:t>подобряване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ефективността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електроенергийните</w:t>
      </w:r>
      <w:proofErr w:type="spellEnd"/>
      <w:r w:rsidRPr="000B697A">
        <w:rPr>
          <w:rFonts w:cs="Calibri"/>
        </w:rPr>
        <w:t xml:space="preserve"> </w:t>
      </w:r>
      <w:proofErr w:type="spellStart"/>
      <w:r w:rsidRPr="000B697A">
        <w:rPr>
          <w:rFonts w:cs="Calibri"/>
        </w:rPr>
        <w:t>системи</w:t>
      </w:r>
      <w:proofErr w:type="spellEnd"/>
      <w:r w:rsidRPr="000B697A">
        <w:rPr>
          <w:rFonts w:cs="Calibri"/>
        </w:rPr>
        <w:t xml:space="preserve">. </w:t>
      </w:r>
      <w:proofErr w:type="spellStart"/>
      <w:r w:rsidRPr="000B697A">
        <w:rPr>
          <w:rFonts w:cs="Calibri"/>
        </w:rPr>
        <w:t>Проектът</w:t>
      </w:r>
      <w:proofErr w:type="spellEnd"/>
      <w:r w:rsidRPr="000B697A">
        <w:rPr>
          <w:rFonts w:cs="Calibri"/>
        </w:rPr>
        <w:t xml:space="preserve"> </w:t>
      </w:r>
      <w:proofErr w:type="spellStart"/>
      <w:r w:rsidRPr="000B697A">
        <w:rPr>
          <w:rFonts w:cs="Calibri"/>
        </w:rPr>
        <w:t>стартира</w:t>
      </w:r>
      <w:proofErr w:type="spellEnd"/>
      <w:r w:rsidRPr="000B697A">
        <w:rPr>
          <w:rFonts w:cs="Calibri"/>
        </w:rPr>
        <w:t xml:space="preserve"> </w:t>
      </w:r>
      <w:proofErr w:type="spellStart"/>
      <w:r w:rsidRPr="000B697A">
        <w:rPr>
          <w:rFonts w:cs="Calibri"/>
        </w:rPr>
        <w:t>през</w:t>
      </w:r>
      <w:proofErr w:type="spellEnd"/>
      <w:r w:rsidRPr="000B697A">
        <w:rPr>
          <w:rFonts w:cs="Calibri"/>
        </w:rPr>
        <w:t xml:space="preserve"> м. </w:t>
      </w:r>
      <w:proofErr w:type="spellStart"/>
      <w:r w:rsidRPr="000B697A">
        <w:rPr>
          <w:rFonts w:cs="Calibri"/>
        </w:rPr>
        <w:t>януари</w:t>
      </w:r>
      <w:proofErr w:type="spellEnd"/>
      <w:r w:rsidRPr="000B697A">
        <w:rPr>
          <w:rFonts w:cs="Calibri"/>
        </w:rPr>
        <w:t xml:space="preserve"> 2019г. с </w:t>
      </w:r>
      <w:proofErr w:type="spellStart"/>
      <w:r w:rsidRPr="000B697A">
        <w:rPr>
          <w:rFonts w:cs="Calibri"/>
        </w:rPr>
        <w:t>подписването</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Grant Agreement </w:t>
      </w:r>
      <w:proofErr w:type="spellStart"/>
      <w:r w:rsidRPr="000B697A">
        <w:rPr>
          <w:rFonts w:cs="Calibri"/>
        </w:rPr>
        <w:t>между</w:t>
      </w:r>
      <w:proofErr w:type="spellEnd"/>
      <w:r w:rsidRPr="000B697A">
        <w:rPr>
          <w:rFonts w:cs="Calibri"/>
        </w:rPr>
        <w:t xml:space="preserve"> </w:t>
      </w:r>
      <w:proofErr w:type="spellStart"/>
      <w:r w:rsidRPr="000B697A">
        <w:rPr>
          <w:rFonts w:cs="Calibri"/>
        </w:rPr>
        <w:t>консорциума</w:t>
      </w:r>
      <w:proofErr w:type="spellEnd"/>
      <w:r w:rsidRPr="000B697A">
        <w:rPr>
          <w:rFonts w:cs="Calibri"/>
        </w:rPr>
        <w:t xml:space="preserve"> и </w:t>
      </w:r>
      <w:proofErr w:type="spellStart"/>
      <w:r w:rsidRPr="000B697A">
        <w:rPr>
          <w:rFonts w:cs="Calibri"/>
        </w:rPr>
        <w:t>Европейската</w:t>
      </w:r>
      <w:proofErr w:type="spellEnd"/>
      <w:r w:rsidRPr="000B697A">
        <w:rPr>
          <w:rFonts w:cs="Calibri"/>
        </w:rPr>
        <w:t xml:space="preserve"> </w:t>
      </w:r>
      <w:proofErr w:type="spellStart"/>
      <w:r w:rsidRPr="000B697A">
        <w:rPr>
          <w:rFonts w:cs="Calibri"/>
        </w:rPr>
        <w:t>комисия</w:t>
      </w:r>
      <w:proofErr w:type="spellEnd"/>
      <w:r w:rsidRPr="000B697A">
        <w:rPr>
          <w:rFonts w:cs="Calibri"/>
        </w:rPr>
        <w:t xml:space="preserve"> и е с </w:t>
      </w:r>
      <w:proofErr w:type="spellStart"/>
      <w:r w:rsidRPr="000B697A">
        <w:rPr>
          <w:rFonts w:cs="Calibri"/>
        </w:rPr>
        <w:t>обща</w:t>
      </w:r>
      <w:proofErr w:type="spellEnd"/>
      <w:r w:rsidRPr="000B697A">
        <w:rPr>
          <w:rFonts w:cs="Calibri"/>
        </w:rPr>
        <w:t xml:space="preserve"> </w:t>
      </w:r>
      <w:proofErr w:type="spellStart"/>
      <w:r w:rsidRPr="000B697A">
        <w:rPr>
          <w:rFonts w:cs="Calibri"/>
        </w:rPr>
        <w:t>продължителност</w:t>
      </w:r>
      <w:proofErr w:type="spellEnd"/>
      <w:r w:rsidRPr="000B697A">
        <w:rPr>
          <w:rFonts w:cs="Calibri"/>
        </w:rPr>
        <w:t xml:space="preserve"> 48 </w:t>
      </w:r>
      <w:proofErr w:type="spellStart"/>
      <w:r w:rsidRPr="000B697A">
        <w:rPr>
          <w:rFonts w:cs="Calibri"/>
        </w:rPr>
        <w:t>месеца</w:t>
      </w:r>
      <w:proofErr w:type="spellEnd"/>
      <w:r w:rsidRPr="000B697A">
        <w:rPr>
          <w:rFonts w:cs="Calibri"/>
        </w:rPr>
        <w:t>.</w:t>
      </w:r>
    </w:p>
    <w:p w:rsidR="007502CF" w:rsidRPr="000B697A" w:rsidRDefault="007502CF" w:rsidP="007502CF">
      <w:pPr>
        <w:rPr>
          <w:rFonts w:cs="Calibri"/>
        </w:rPr>
      </w:pPr>
      <w:r w:rsidRPr="000B697A">
        <w:rPr>
          <w:rFonts w:cs="Calibri"/>
        </w:rPr>
        <w:t>След влизането в сила на промените в ЗЕ от 01.07.2018 г. и тяхното реално въздействие върху организирания пазар на електрическа енергия и след направените през третото тримесечие разчети, се пристъпи към понижение на компонент „</w:t>
      </w:r>
      <w:proofErr w:type="spellStart"/>
      <w:r w:rsidRPr="000B697A">
        <w:rPr>
          <w:rFonts w:cs="Calibri"/>
        </w:rPr>
        <w:t>Сетълмент</w:t>
      </w:r>
      <w:proofErr w:type="spellEnd"/>
      <w:r w:rsidRPr="000B697A">
        <w:rPr>
          <w:rFonts w:cs="Calibri"/>
        </w:rPr>
        <w:t>“ от тарифата за таксите, приложима към пазарен сегмент „Централизиран пазар за двустранни договори“, което ще окаже положително влияние на мотивацията за дейността на пазарните участници на този сегмент.</w:t>
      </w:r>
    </w:p>
    <w:p w:rsidR="007D0731" w:rsidRPr="000B697A" w:rsidRDefault="00010F33" w:rsidP="0016443B">
      <w:pPr>
        <w:pStyle w:val="SubNumbers"/>
        <w:rPr>
          <w:rFonts w:cs="Calibri"/>
        </w:rPr>
      </w:pPr>
      <w:bookmarkStart w:id="95" w:name="_Ref448933865"/>
      <w:bookmarkStart w:id="96" w:name="_Toc6923254"/>
      <w:bookmarkStart w:id="97" w:name="_Toc283112129"/>
      <w:r w:rsidRPr="000B697A">
        <w:rPr>
          <w:rFonts w:cs="Calibri"/>
        </w:rPr>
        <w:t xml:space="preserve">Основни рискове и </w:t>
      </w:r>
      <w:proofErr w:type="spellStart"/>
      <w:r w:rsidRPr="000B697A">
        <w:rPr>
          <w:rFonts w:cs="Calibri"/>
        </w:rPr>
        <w:t>несигурности</w:t>
      </w:r>
      <w:proofErr w:type="spellEnd"/>
      <w:r w:rsidRPr="000B697A">
        <w:rPr>
          <w:rFonts w:cs="Calibri"/>
        </w:rPr>
        <w:t>, пред които е изправена Група Българска Фондова Борса</w:t>
      </w:r>
      <w:bookmarkEnd w:id="95"/>
      <w:bookmarkEnd w:id="96"/>
    </w:p>
    <w:p w:rsidR="007D0731" w:rsidRPr="000B697A" w:rsidRDefault="00010F33" w:rsidP="002D7AD7">
      <w:pPr>
        <w:rPr>
          <w:rFonts w:cs="Calibri"/>
        </w:rPr>
      </w:pPr>
      <w:r w:rsidRPr="000B697A">
        <w:rPr>
          <w:rFonts w:cs="Calibri"/>
        </w:rPr>
        <w:t xml:space="preserve">Като лицензиран пазарен оператор </w:t>
      </w:r>
      <w:r w:rsidR="007502CF" w:rsidRPr="000B697A">
        <w:rPr>
          <w:rFonts w:cs="Calibri"/>
        </w:rPr>
        <w:t>Българска фондова борса</w:t>
      </w:r>
      <w:r w:rsidRPr="000B697A">
        <w:rPr>
          <w:rFonts w:cs="Calibri"/>
        </w:rPr>
        <w:t xml:space="preserve"> организира дейността и операциите на регулирания пазар съобразно изискванията на закона и актовете по прилагането му. Организацията и управлението на БФБ се извършват въз основа на правилник за дейността, който се приема от Съвета на директорите на Борсата и се одобрява от Комисията за финансов надзор. Правилник</w:t>
      </w:r>
      <w:r w:rsidR="00541757" w:rsidRPr="000B697A">
        <w:rPr>
          <w:rFonts w:cs="Calibri"/>
        </w:rPr>
        <w:t>ът</w:t>
      </w:r>
      <w:r w:rsidRPr="000B697A">
        <w:rPr>
          <w:rFonts w:cs="Calibri"/>
        </w:rPr>
        <w:t xml:space="preserve"> за дейността на </w:t>
      </w:r>
      <w:r w:rsidR="007502CF" w:rsidRPr="000B697A">
        <w:rPr>
          <w:rFonts w:cs="Calibri"/>
        </w:rPr>
        <w:t xml:space="preserve">Българска фондова борса </w:t>
      </w:r>
      <w:r w:rsidRPr="000B697A">
        <w:rPr>
          <w:rFonts w:cs="Calibri"/>
        </w:rPr>
        <w:t>урежда всички аспекти от дейността на дружеството, в т.ч. и:</w:t>
      </w:r>
    </w:p>
    <w:p w:rsidR="007D0731" w:rsidRPr="000B697A" w:rsidRDefault="00010F33" w:rsidP="00E066C6">
      <w:pPr>
        <w:ind w:firstLine="709"/>
        <w:rPr>
          <w:rFonts w:cs="Calibri"/>
        </w:rPr>
      </w:pPr>
      <w:r w:rsidRPr="000B697A">
        <w:rPr>
          <w:rFonts w:cs="Calibri"/>
        </w:rPr>
        <w:t xml:space="preserve">1. идентифицирането на възможните заплахи и рискове, които биха могли да причинят потенциални загуби и прекъсване на процесите на търговия, осигурявани, осъществявани и поддържани от Борсата; </w:t>
      </w:r>
    </w:p>
    <w:p w:rsidR="007D0731" w:rsidRPr="000B697A" w:rsidRDefault="00010F33" w:rsidP="00E066C6">
      <w:pPr>
        <w:ind w:firstLine="709"/>
        <w:rPr>
          <w:rFonts w:cs="Calibri"/>
        </w:rPr>
      </w:pPr>
      <w:r w:rsidRPr="000B697A">
        <w:rPr>
          <w:rFonts w:cs="Calibri"/>
        </w:rPr>
        <w:t xml:space="preserve">2. средствата за контрол и управление на идентифицираните заплахи и рискове; </w:t>
      </w:r>
    </w:p>
    <w:p w:rsidR="007D0731" w:rsidRPr="000B697A" w:rsidRDefault="00010F33" w:rsidP="00E066C6">
      <w:pPr>
        <w:ind w:firstLine="709"/>
        <w:rPr>
          <w:rFonts w:cs="Calibri"/>
        </w:rPr>
      </w:pPr>
      <w:r w:rsidRPr="000B697A">
        <w:rPr>
          <w:rFonts w:cs="Calibri"/>
        </w:rPr>
        <w:t>3. разпределението на отговорностите между служителите на Борсата във връзка с Управлението на рисковете.</w:t>
      </w:r>
    </w:p>
    <w:p w:rsidR="007D0731" w:rsidRPr="000B697A" w:rsidRDefault="00010F33" w:rsidP="00E066C6">
      <w:pPr>
        <w:rPr>
          <w:rFonts w:cs="Calibri"/>
        </w:rPr>
      </w:pPr>
      <w:r w:rsidRPr="000B697A">
        <w:rPr>
          <w:rFonts w:cs="Calibri"/>
        </w:rPr>
        <w:lastRenderedPageBreak/>
        <w:t xml:space="preserve">Основните видове рискове, относими към дейността </w:t>
      </w:r>
      <w:r w:rsidR="00F72B46" w:rsidRPr="000B697A">
        <w:rPr>
          <w:rFonts w:cs="Calibri"/>
        </w:rPr>
        <w:t xml:space="preserve">на </w:t>
      </w:r>
      <w:r w:rsidRPr="000B697A">
        <w:rPr>
          <w:rFonts w:cs="Calibri"/>
        </w:rPr>
        <w:t xml:space="preserve">дружеството и политиката по тяхното управление са регламентирани в част VІ - Правила за управление на риска от Правилника за дейността на </w:t>
      </w:r>
      <w:r w:rsidR="007502CF" w:rsidRPr="000B697A">
        <w:rPr>
          <w:rFonts w:cs="Calibri"/>
        </w:rPr>
        <w:t>Българска фондова борса</w:t>
      </w:r>
      <w:r w:rsidRPr="000B697A">
        <w:rPr>
          <w:rFonts w:cs="Calibri"/>
        </w:rPr>
        <w:t>.</w:t>
      </w:r>
    </w:p>
    <w:p w:rsidR="007D0731" w:rsidRPr="000B697A" w:rsidRDefault="00010F33" w:rsidP="00E066C6">
      <w:pPr>
        <w:rPr>
          <w:rFonts w:cs="Calibri"/>
        </w:rPr>
      </w:pPr>
      <w:r w:rsidRPr="000B697A">
        <w:rPr>
          <w:rFonts w:cs="Calibri"/>
        </w:rPr>
        <w:t xml:space="preserve">Политиката по управлението на рисковете се прилага интегрирано и съобразно с всички останали политики и принципи, регламентирани във вътрешните актове на </w:t>
      </w:r>
      <w:r w:rsidR="007502CF" w:rsidRPr="000B697A">
        <w:rPr>
          <w:rFonts w:cs="Calibri"/>
        </w:rPr>
        <w:t>Българска фондова борса</w:t>
      </w:r>
      <w:r w:rsidRPr="000B697A">
        <w:rPr>
          <w:rFonts w:cs="Calibri"/>
        </w:rPr>
        <w:t xml:space="preserve">. Правилата за управление на риска на </w:t>
      </w:r>
      <w:r w:rsidR="007502CF" w:rsidRPr="000B697A">
        <w:rPr>
          <w:rFonts w:cs="Calibri"/>
        </w:rPr>
        <w:t>Борсата</w:t>
      </w:r>
      <w:r w:rsidRPr="000B697A">
        <w:rPr>
          <w:rFonts w:cs="Calibri"/>
        </w:rPr>
        <w:t xml:space="preserve"> документират мерките и процедурите по установяване, управление и оценка на рисковете, свързани с дейността на Борсата по реда на чл. </w:t>
      </w:r>
      <w:r w:rsidR="0002008B" w:rsidRPr="000B697A">
        <w:rPr>
          <w:rFonts w:cs="Calibri"/>
        </w:rPr>
        <w:t>168</w:t>
      </w:r>
      <w:r w:rsidRPr="000B697A">
        <w:rPr>
          <w:rFonts w:cs="Calibri"/>
        </w:rPr>
        <w:t>, ал. 1, т. 3 от Закона за пазарите на финансови инструменти.</w:t>
      </w:r>
    </w:p>
    <w:p w:rsidR="007D0731" w:rsidRPr="000B697A" w:rsidRDefault="00010F33" w:rsidP="00E066C6">
      <w:pPr>
        <w:rPr>
          <w:rFonts w:cs="Calibri"/>
        </w:rPr>
      </w:pPr>
      <w:r w:rsidRPr="000B697A">
        <w:rPr>
          <w:rFonts w:cs="Calibri"/>
        </w:rPr>
        <w:t xml:space="preserve">Правилата за управление на риска на </w:t>
      </w:r>
      <w:r w:rsidR="007502CF" w:rsidRPr="000B697A">
        <w:rPr>
          <w:rFonts w:cs="Calibri"/>
        </w:rPr>
        <w:t>Българска фондова борса</w:t>
      </w:r>
      <w:r w:rsidRPr="000B697A">
        <w:rPr>
          <w:rFonts w:cs="Calibri"/>
        </w:rPr>
        <w:t xml:space="preserve"> дефинират следните видове рискове, свързани с дейностите, процедурите и системите на дружеството:</w:t>
      </w:r>
    </w:p>
    <w:p w:rsidR="007D0731" w:rsidRPr="000B697A" w:rsidRDefault="00010F33" w:rsidP="00E066C6">
      <w:pPr>
        <w:rPr>
          <w:rFonts w:cs="Calibri"/>
        </w:rPr>
      </w:pPr>
      <w:r w:rsidRPr="000B697A">
        <w:rPr>
          <w:rFonts w:cs="Calibri"/>
        </w:rPr>
        <w:t xml:space="preserve">1. </w:t>
      </w:r>
      <w:r w:rsidRPr="000B697A">
        <w:rPr>
          <w:rFonts w:cs="Calibri"/>
          <w:b/>
        </w:rPr>
        <w:t>Вътрешни</w:t>
      </w:r>
      <w:r w:rsidRPr="000B697A">
        <w:rPr>
          <w:rFonts w:cs="Calibri"/>
        </w:rPr>
        <w:t xml:space="preserve"> - свързани с организацията на работа на Борсата, представляващи: </w:t>
      </w:r>
    </w:p>
    <w:p w:rsidR="007D0731" w:rsidRPr="000B697A" w:rsidRDefault="00010F33" w:rsidP="00E066C6">
      <w:pPr>
        <w:ind w:firstLine="709"/>
        <w:rPr>
          <w:rFonts w:cs="Calibri"/>
        </w:rPr>
      </w:pPr>
      <w:r w:rsidRPr="000B697A">
        <w:rPr>
          <w:rFonts w:cs="Calibri"/>
        </w:rPr>
        <w:t>а)</w:t>
      </w:r>
      <w:r w:rsidR="00C25EB3" w:rsidRPr="000B697A">
        <w:rPr>
          <w:rFonts w:cs="Calibri"/>
        </w:rPr>
        <w:t xml:space="preserve"> Рискове, свързани с процесите;</w:t>
      </w:r>
    </w:p>
    <w:p w:rsidR="007D0731" w:rsidRPr="000B697A" w:rsidRDefault="00010F33" w:rsidP="00E066C6">
      <w:pPr>
        <w:ind w:firstLine="709"/>
        <w:rPr>
          <w:rFonts w:cs="Calibri"/>
        </w:rPr>
      </w:pPr>
      <w:r w:rsidRPr="000B697A">
        <w:rPr>
          <w:rFonts w:cs="Calibri"/>
        </w:rPr>
        <w:t>- рискове, свързани с изпълнението на основните функции на Борсата</w:t>
      </w:r>
    </w:p>
    <w:p w:rsidR="007D0731" w:rsidRPr="000B697A" w:rsidRDefault="00010F33" w:rsidP="00E066C6">
      <w:pPr>
        <w:ind w:firstLine="709"/>
        <w:rPr>
          <w:rFonts w:cs="Calibri"/>
        </w:rPr>
      </w:pPr>
      <w:r w:rsidRPr="000B697A">
        <w:rPr>
          <w:rFonts w:cs="Calibri"/>
        </w:rPr>
        <w:t>- рискове, свързани с предлаганите услуги и</w:t>
      </w:r>
    </w:p>
    <w:p w:rsidR="007D0731" w:rsidRPr="000B697A" w:rsidRDefault="00010F33" w:rsidP="00E066C6">
      <w:pPr>
        <w:ind w:firstLine="709"/>
        <w:rPr>
          <w:rFonts w:cs="Calibri"/>
        </w:rPr>
      </w:pPr>
      <w:r w:rsidRPr="000B697A">
        <w:rPr>
          <w:rFonts w:cs="Calibri"/>
        </w:rPr>
        <w:t>- проектни рискове</w:t>
      </w:r>
    </w:p>
    <w:p w:rsidR="007D0731" w:rsidRPr="000B697A" w:rsidRDefault="00010F33" w:rsidP="00E066C6">
      <w:pPr>
        <w:ind w:firstLine="709"/>
        <w:rPr>
          <w:rFonts w:cs="Calibri"/>
        </w:rPr>
      </w:pPr>
      <w:r w:rsidRPr="000B697A">
        <w:rPr>
          <w:rFonts w:cs="Calibri"/>
        </w:rPr>
        <w:t>б) Р</w:t>
      </w:r>
      <w:r w:rsidR="00C25EB3" w:rsidRPr="000B697A">
        <w:rPr>
          <w:rFonts w:cs="Calibri"/>
        </w:rPr>
        <w:t>искове, свързани със системите;</w:t>
      </w:r>
    </w:p>
    <w:p w:rsidR="007D0731" w:rsidRPr="000B697A" w:rsidRDefault="00010F33" w:rsidP="00E066C6">
      <w:pPr>
        <w:ind w:firstLine="709"/>
        <w:rPr>
          <w:rFonts w:cs="Calibri"/>
        </w:rPr>
      </w:pPr>
      <w:r w:rsidRPr="000B697A">
        <w:rPr>
          <w:rFonts w:cs="Calibri"/>
        </w:rPr>
        <w:t>- пълна или частична недостоверност и пропуск в пълнотата на данните;</w:t>
      </w:r>
    </w:p>
    <w:p w:rsidR="007D0731" w:rsidRPr="000B697A" w:rsidRDefault="00010F33" w:rsidP="00E066C6">
      <w:pPr>
        <w:ind w:firstLine="709"/>
        <w:rPr>
          <w:rFonts w:cs="Calibri"/>
        </w:rPr>
      </w:pPr>
      <w:r w:rsidRPr="000B697A">
        <w:rPr>
          <w:rFonts w:cs="Calibri"/>
        </w:rPr>
        <w:t>- последващо проявление на проблемите с достоверността и пълнотата на данните;</w:t>
      </w:r>
    </w:p>
    <w:p w:rsidR="007D0731" w:rsidRPr="000B697A" w:rsidRDefault="00010F33" w:rsidP="00E066C6">
      <w:pPr>
        <w:ind w:firstLine="709"/>
        <w:rPr>
          <w:rFonts w:cs="Calibri"/>
        </w:rPr>
      </w:pPr>
      <w:r w:rsidRPr="000B697A">
        <w:rPr>
          <w:rFonts w:cs="Calibri"/>
        </w:rPr>
        <w:t>- липса на прецизност в методите на обработка</w:t>
      </w:r>
    </w:p>
    <w:p w:rsidR="007D0731" w:rsidRPr="000B697A" w:rsidRDefault="00010F33" w:rsidP="00E066C6">
      <w:pPr>
        <w:ind w:firstLine="709"/>
        <w:rPr>
          <w:rFonts w:cs="Calibri"/>
        </w:rPr>
      </w:pPr>
      <w:r w:rsidRPr="000B697A">
        <w:rPr>
          <w:rFonts w:cs="Calibri"/>
        </w:rPr>
        <w:t>- грешки на софтуерни продукти;</w:t>
      </w:r>
    </w:p>
    <w:p w:rsidR="007D0731" w:rsidRPr="000B697A" w:rsidRDefault="00010F33" w:rsidP="00E066C6">
      <w:pPr>
        <w:ind w:firstLine="709"/>
        <w:rPr>
          <w:rFonts w:cs="Calibri"/>
        </w:rPr>
      </w:pPr>
      <w:r w:rsidRPr="000B697A">
        <w:rPr>
          <w:rFonts w:cs="Calibri"/>
        </w:rPr>
        <w:t>- несъвършенство на използваните технологии;</w:t>
      </w:r>
    </w:p>
    <w:p w:rsidR="007D0731" w:rsidRPr="000B697A" w:rsidRDefault="00010F33" w:rsidP="00E066C6">
      <w:pPr>
        <w:ind w:firstLine="709"/>
        <w:rPr>
          <w:rFonts w:cs="Calibri"/>
        </w:rPr>
      </w:pPr>
      <w:r w:rsidRPr="000B697A">
        <w:rPr>
          <w:rFonts w:cs="Calibri"/>
        </w:rPr>
        <w:t>- срив на системата на регулирания пазар, информационните и комуникационни системи.</w:t>
      </w:r>
    </w:p>
    <w:p w:rsidR="007D0731" w:rsidRPr="000B697A" w:rsidRDefault="00010F33" w:rsidP="00E066C6">
      <w:pPr>
        <w:ind w:firstLine="709"/>
        <w:rPr>
          <w:rFonts w:cs="Calibri"/>
        </w:rPr>
      </w:pPr>
      <w:r w:rsidRPr="000B697A">
        <w:rPr>
          <w:rFonts w:cs="Calibri"/>
        </w:rPr>
        <w:t>в) Рискове, свързани с персо</w:t>
      </w:r>
      <w:r w:rsidR="00C25EB3" w:rsidRPr="000B697A">
        <w:rPr>
          <w:rFonts w:cs="Calibri"/>
        </w:rPr>
        <w:t>нала;</w:t>
      </w:r>
    </w:p>
    <w:p w:rsidR="007D0731" w:rsidRPr="000B697A" w:rsidRDefault="00010F33" w:rsidP="00E066C6">
      <w:pPr>
        <w:ind w:firstLine="709"/>
        <w:rPr>
          <w:rFonts w:cs="Calibri"/>
        </w:rPr>
      </w:pPr>
      <w:r w:rsidRPr="000B697A">
        <w:rPr>
          <w:rFonts w:cs="Calibri"/>
        </w:rPr>
        <w:t xml:space="preserve">- напускане на ключови служители; </w:t>
      </w:r>
    </w:p>
    <w:p w:rsidR="007D0731" w:rsidRPr="000B697A" w:rsidRDefault="00010F33" w:rsidP="00E066C6">
      <w:pPr>
        <w:ind w:firstLine="709"/>
        <w:rPr>
          <w:rFonts w:cs="Calibri"/>
        </w:rPr>
      </w:pPr>
      <w:r w:rsidRPr="000B697A">
        <w:rPr>
          <w:rFonts w:cs="Calibri"/>
        </w:rPr>
        <w:t xml:space="preserve">- недобросъвестно поведение от страна на служителите на Борсата; </w:t>
      </w:r>
    </w:p>
    <w:p w:rsidR="007D0731" w:rsidRPr="000B697A" w:rsidRDefault="00010F33" w:rsidP="00E066C6">
      <w:pPr>
        <w:ind w:firstLine="709"/>
        <w:rPr>
          <w:rFonts w:cs="Calibri"/>
        </w:rPr>
      </w:pPr>
      <w:r w:rsidRPr="000B697A">
        <w:rPr>
          <w:rFonts w:cs="Calibri"/>
        </w:rPr>
        <w:t xml:space="preserve">- недостатъчна квалификация и липса на подготовка на лицата, работещи по договор за Борсата; </w:t>
      </w:r>
    </w:p>
    <w:p w:rsidR="007D0731" w:rsidRPr="000B697A" w:rsidRDefault="00010F33" w:rsidP="00E066C6">
      <w:pPr>
        <w:ind w:firstLine="709"/>
        <w:rPr>
          <w:rFonts w:cs="Calibri"/>
        </w:rPr>
      </w:pPr>
      <w:r w:rsidRPr="000B697A">
        <w:rPr>
          <w:rFonts w:cs="Calibri"/>
        </w:rPr>
        <w:t xml:space="preserve">- неблагоприятни изменения в трудовото законодателство; </w:t>
      </w:r>
    </w:p>
    <w:p w:rsidR="007D0731" w:rsidRPr="000B697A" w:rsidRDefault="00010F33" w:rsidP="00E066C6">
      <w:pPr>
        <w:ind w:firstLine="709"/>
        <w:rPr>
          <w:rFonts w:cs="Calibri"/>
        </w:rPr>
      </w:pPr>
      <w:r w:rsidRPr="000B697A">
        <w:rPr>
          <w:rFonts w:cs="Calibri"/>
        </w:rPr>
        <w:t xml:space="preserve">- неосигурена безопасност на трудовата среда; </w:t>
      </w:r>
    </w:p>
    <w:p w:rsidR="007D0731" w:rsidRPr="000B697A" w:rsidRDefault="00010F33" w:rsidP="00E066C6">
      <w:pPr>
        <w:ind w:firstLine="709"/>
        <w:rPr>
          <w:rFonts w:cs="Calibri"/>
        </w:rPr>
      </w:pPr>
      <w:r w:rsidRPr="000B697A">
        <w:rPr>
          <w:rFonts w:cs="Calibri"/>
        </w:rPr>
        <w:t xml:space="preserve">- недостатъчна или неадекватна мотивация на служителите; </w:t>
      </w:r>
    </w:p>
    <w:p w:rsidR="007D0731" w:rsidRPr="000B697A" w:rsidRDefault="00010F33" w:rsidP="00E066C6">
      <w:pPr>
        <w:ind w:firstLine="709"/>
        <w:rPr>
          <w:rFonts w:cs="Calibri"/>
        </w:rPr>
      </w:pPr>
      <w:r w:rsidRPr="000B697A">
        <w:rPr>
          <w:rFonts w:cs="Calibri"/>
        </w:rPr>
        <w:t xml:space="preserve">- честа смяна на заетите служители, водеща до невъзможност за адекватно изпълнение на функциите. </w:t>
      </w:r>
    </w:p>
    <w:p w:rsidR="007D0731" w:rsidRPr="000B697A" w:rsidRDefault="00010F33" w:rsidP="00E066C6">
      <w:pPr>
        <w:rPr>
          <w:rFonts w:cs="Calibri"/>
        </w:rPr>
      </w:pPr>
      <w:r w:rsidRPr="000B697A">
        <w:rPr>
          <w:rFonts w:cs="Calibri"/>
        </w:rPr>
        <w:t xml:space="preserve">2. </w:t>
      </w:r>
      <w:r w:rsidRPr="000B697A">
        <w:rPr>
          <w:rFonts w:cs="Calibri"/>
          <w:b/>
        </w:rPr>
        <w:t>Външни</w:t>
      </w:r>
      <w:r w:rsidRPr="000B697A">
        <w:rPr>
          <w:rFonts w:cs="Calibri"/>
        </w:rPr>
        <w:t xml:space="preserve"> - свързани с макроикономически, политически и други фактори, които оказват и/или могат да окажат влияние върху </w:t>
      </w:r>
      <w:r w:rsidR="00C25EB3" w:rsidRPr="000B697A">
        <w:rPr>
          <w:rFonts w:cs="Calibri"/>
        </w:rPr>
        <w:t>дейността на Борсата, например:</w:t>
      </w:r>
    </w:p>
    <w:p w:rsidR="007D0731" w:rsidRPr="000B697A" w:rsidRDefault="00010F33" w:rsidP="00E066C6">
      <w:pPr>
        <w:ind w:firstLine="709"/>
        <w:rPr>
          <w:rFonts w:cs="Calibri"/>
        </w:rPr>
      </w:pPr>
      <w:r w:rsidRPr="000B697A">
        <w:rPr>
          <w:rFonts w:cs="Calibri"/>
        </w:rPr>
        <w:t>- Неблагоприятни промени в нормативната уредба</w:t>
      </w:r>
      <w:r w:rsidR="00C25EB3" w:rsidRPr="000B697A">
        <w:rPr>
          <w:rFonts w:cs="Calibri"/>
        </w:rPr>
        <w:t>;</w:t>
      </w:r>
    </w:p>
    <w:p w:rsidR="007D0731" w:rsidRPr="000B697A" w:rsidRDefault="00010F33" w:rsidP="00E066C6">
      <w:pPr>
        <w:ind w:firstLine="709"/>
        <w:rPr>
          <w:rFonts w:cs="Calibri"/>
        </w:rPr>
      </w:pPr>
      <w:r w:rsidRPr="000B697A">
        <w:rPr>
          <w:rFonts w:cs="Calibri"/>
        </w:rPr>
        <w:t>- Рискове, свързани с прехвърлянето на важни дейности на трета страна – изпълнител</w:t>
      </w:r>
      <w:r w:rsidR="00C25EB3" w:rsidRPr="000B697A">
        <w:rPr>
          <w:rFonts w:cs="Calibri"/>
        </w:rPr>
        <w:t>;</w:t>
      </w:r>
    </w:p>
    <w:p w:rsidR="007D0731" w:rsidRPr="000B697A" w:rsidRDefault="00010F33" w:rsidP="00E066C6">
      <w:pPr>
        <w:ind w:firstLine="709"/>
        <w:rPr>
          <w:rFonts w:cs="Calibri"/>
        </w:rPr>
      </w:pPr>
      <w:r w:rsidRPr="000B697A">
        <w:rPr>
          <w:rFonts w:cs="Calibri"/>
        </w:rPr>
        <w:t>- Политически изменения</w:t>
      </w:r>
      <w:r w:rsidR="00C25EB3" w:rsidRPr="000B697A">
        <w:rPr>
          <w:rFonts w:cs="Calibri"/>
        </w:rPr>
        <w:t>;</w:t>
      </w:r>
    </w:p>
    <w:p w:rsidR="007D0731" w:rsidRPr="000B697A" w:rsidRDefault="00010F33" w:rsidP="00E066C6">
      <w:pPr>
        <w:ind w:firstLine="709"/>
        <w:rPr>
          <w:rFonts w:cs="Calibri"/>
        </w:rPr>
      </w:pPr>
      <w:r w:rsidRPr="000B697A">
        <w:rPr>
          <w:rFonts w:cs="Calibri"/>
        </w:rPr>
        <w:t>- Изменения в данъчната уредба</w:t>
      </w:r>
      <w:r w:rsidR="00C25EB3" w:rsidRPr="000B697A">
        <w:rPr>
          <w:rFonts w:cs="Calibri"/>
        </w:rPr>
        <w:t>;</w:t>
      </w:r>
    </w:p>
    <w:p w:rsidR="007D0731" w:rsidRPr="000B697A" w:rsidRDefault="00010F33" w:rsidP="00E066C6">
      <w:pPr>
        <w:ind w:firstLine="709"/>
        <w:rPr>
          <w:rFonts w:cs="Calibri"/>
        </w:rPr>
      </w:pPr>
      <w:r w:rsidRPr="000B697A">
        <w:rPr>
          <w:rFonts w:cs="Calibri"/>
        </w:rPr>
        <w:lastRenderedPageBreak/>
        <w:t>- Рискове от физическо вмешателство.</w:t>
      </w:r>
    </w:p>
    <w:p w:rsidR="007D0731" w:rsidRPr="000B697A" w:rsidRDefault="00010F33" w:rsidP="00E066C6">
      <w:pPr>
        <w:rPr>
          <w:rFonts w:cs="Calibri"/>
        </w:rPr>
      </w:pPr>
      <w:r w:rsidRPr="000B697A">
        <w:rPr>
          <w:rFonts w:cs="Calibri"/>
        </w:rPr>
        <w:t xml:space="preserve">3. </w:t>
      </w:r>
      <w:r w:rsidRPr="000B697A">
        <w:rPr>
          <w:rFonts w:cs="Calibri"/>
          <w:b/>
        </w:rPr>
        <w:t>Други рискове, свързани с дейността на БФБ</w:t>
      </w:r>
      <w:r w:rsidR="007C4307">
        <w:rPr>
          <w:rFonts w:cs="Calibri"/>
          <w:b/>
        </w:rPr>
        <w:t xml:space="preserve"> АД</w:t>
      </w:r>
      <w:r w:rsidRPr="000B697A">
        <w:rPr>
          <w:rFonts w:cs="Calibri"/>
        </w:rPr>
        <w:t xml:space="preserve"> – други рискове, свързани с предлаганите услуги, неидентифицирани в правилата за управление на риска на БФБ</w:t>
      </w:r>
      <w:r w:rsidR="007C4307">
        <w:rPr>
          <w:rFonts w:cs="Calibri"/>
        </w:rPr>
        <w:t xml:space="preserve"> АД</w:t>
      </w:r>
    </w:p>
    <w:p w:rsidR="007D0731" w:rsidRPr="000B697A" w:rsidRDefault="00010F33" w:rsidP="00E066C6">
      <w:pPr>
        <w:ind w:firstLine="709"/>
        <w:rPr>
          <w:rFonts w:cs="Calibri"/>
        </w:rPr>
      </w:pPr>
      <w:r w:rsidRPr="000B697A">
        <w:rPr>
          <w:rFonts w:cs="Calibri"/>
        </w:rPr>
        <w:t>- Пазарен риск</w:t>
      </w:r>
    </w:p>
    <w:p w:rsidR="007D0731" w:rsidRPr="000B697A" w:rsidRDefault="00010F33" w:rsidP="00E066C6">
      <w:pPr>
        <w:ind w:firstLine="709"/>
        <w:rPr>
          <w:rFonts w:cs="Calibri"/>
        </w:rPr>
      </w:pPr>
      <w:r w:rsidRPr="000B697A">
        <w:rPr>
          <w:rFonts w:cs="Calibri"/>
        </w:rPr>
        <w:t>- Ценови риск</w:t>
      </w:r>
    </w:p>
    <w:p w:rsidR="007D0731" w:rsidRPr="000B697A" w:rsidRDefault="00010F33" w:rsidP="00E066C6">
      <w:pPr>
        <w:ind w:firstLine="709"/>
        <w:rPr>
          <w:rFonts w:cs="Calibri"/>
        </w:rPr>
      </w:pPr>
      <w:r w:rsidRPr="000B697A">
        <w:rPr>
          <w:rFonts w:cs="Calibri"/>
        </w:rPr>
        <w:t>- Валутен риск</w:t>
      </w:r>
    </w:p>
    <w:p w:rsidR="007D0731" w:rsidRPr="000B697A" w:rsidRDefault="00010F33" w:rsidP="00E066C6">
      <w:pPr>
        <w:ind w:firstLine="709"/>
        <w:rPr>
          <w:rFonts w:cs="Calibri"/>
        </w:rPr>
      </w:pPr>
      <w:r w:rsidRPr="000B697A">
        <w:rPr>
          <w:rFonts w:cs="Calibri"/>
        </w:rPr>
        <w:t xml:space="preserve">- Лихвен риск </w:t>
      </w:r>
    </w:p>
    <w:p w:rsidR="007D0731" w:rsidRPr="000B697A" w:rsidRDefault="00010F33" w:rsidP="00E066C6">
      <w:pPr>
        <w:ind w:firstLine="709"/>
        <w:rPr>
          <w:rFonts w:cs="Calibri"/>
        </w:rPr>
      </w:pPr>
      <w:r w:rsidRPr="000B697A">
        <w:rPr>
          <w:rFonts w:cs="Calibri"/>
        </w:rPr>
        <w:t>- Ликвиден риск</w:t>
      </w:r>
    </w:p>
    <w:p w:rsidR="007D0731" w:rsidRPr="000B697A" w:rsidRDefault="00010F33" w:rsidP="00E066C6">
      <w:pPr>
        <w:rPr>
          <w:rFonts w:cs="Calibri"/>
        </w:rPr>
      </w:pPr>
      <w:r w:rsidRPr="000B697A">
        <w:rPr>
          <w:rFonts w:cs="Calibri"/>
        </w:rPr>
        <w:t xml:space="preserve">4. </w:t>
      </w:r>
      <w:r w:rsidRPr="000B697A">
        <w:rPr>
          <w:rFonts w:cs="Calibri"/>
          <w:b/>
        </w:rPr>
        <w:t>Общи (систематични) рискове</w:t>
      </w:r>
      <w:r w:rsidRPr="000B697A">
        <w:rPr>
          <w:rFonts w:cs="Calibri"/>
        </w:rPr>
        <w:t xml:space="preserve"> - Общите рискове произтичат от възможни промени в цялостната икономическа система и по-конкретно, промяна на условията на финансовите пазари. Те не могат да се диверсифицират, тъй като на тях са изложени всичк</w:t>
      </w:r>
      <w:r w:rsidR="00DA345D" w:rsidRPr="000B697A">
        <w:rPr>
          <w:rFonts w:cs="Calibri"/>
        </w:rPr>
        <w:t>и стопански субекти в страната.</w:t>
      </w:r>
    </w:p>
    <w:p w:rsidR="007D0731" w:rsidRPr="000B697A" w:rsidRDefault="00010F33" w:rsidP="00E066C6">
      <w:pPr>
        <w:ind w:firstLine="709"/>
        <w:rPr>
          <w:rFonts w:cs="Calibri"/>
        </w:rPr>
      </w:pPr>
      <w:r w:rsidRPr="000B697A">
        <w:rPr>
          <w:rFonts w:cs="Calibri"/>
        </w:rPr>
        <w:t>- Кредитен риск</w:t>
      </w:r>
    </w:p>
    <w:p w:rsidR="007D0731" w:rsidRPr="000B697A" w:rsidRDefault="00010F33" w:rsidP="00E066C6">
      <w:pPr>
        <w:ind w:firstLine="709"/>
        <w:rPr>
          <w:rFonts w:cs="Calibri"/>
        </w:rPr>
      </w:pPr>
      <w:r w:rsidRPr="000B697A">
        <w:rPr>
          <w:rFonts w:cs="Calibri"/>
        </w:rPr>
        <w:t>- Икономически растеж и външна задлъжнялост</w:t>
      </w:r>
    </w:p>
    <w:p w:rsidR="007D0731" w:rsidRPr="000B697A" w:rsidRDefault="00010F33" w:rsidP="00E066C6">
      <w:pPr>
        <w:ind w:firstLine="709"/>
        <w:rPr>
          <w:rFonts w:cs="Calibri"/>
        </w:rPr>
      </w:pPr>
      <w:r w:rsidRPr="000B697A">
        <w:rPr>
          <w:rFonts w:cs="Calibri"/>
        </w:rPr>
        <w:t>- Инфлационен риск</w:t>
      </w:r>
    </w:p>
    <w:p w:rsidR="007D0731" w:rsidRPr="000B697A" w:rsidRDefault="00010F33" w:rsidP="00E066C6">
      <w:pPr>
        <w:ind w:firstLine="709"/>
        <w:rPr>
          <w:rFonts w:cs="Calibri"/>
        </w:rPr>
      </w:pPr>
      <w:r w:rsidRPr="000B697A">
        <w:rPr>
          <w:rFonts w:cs="Calibri"/>
        </w:rPr>
        <w:t>- Безработица</w:t>
      </w:r>
    </w:p>
    <w:p w:rsidR="007D0731" w:rsidRPr="000B697A" w:rsidRDefault="00010F33" w:rsidP="00E066C6">
      <w:pPr>
        <w:ind w:firstLine="709"/>
        <w:rPr>
          <w:rFonts w:cs="Calibri"/>
        </w:rPr>
      </w:pPr>
      <w:r w:rsidRPr="000B697A">
        <w:rPr>
          <w:rFonts w:cs="Calibri"/>
        </w:rPr>
        <w:t>- Валутен риск и валутен борд</w:t>
      </w:r>
    </w:p>
    <w:p w:rsidR="007D0731" w:rsidRPr="000B697A" w:rsidRDefault="00010F33" w:rsidP="00E066C6">
      <w:pPr>
        <w:ind w:firstLine="709"/>
        <w:rPr>
          <w:rFonts w:cs="Calibri"/>
        </w:rPr>
      </w:pPr>
      <w:r w:rsidRPr="000B697A">
        <w:rPr>
          <w:rFonts w:cs="Calibri"/>
        </w:rPr>
        <w:t>- Лихвен риск</w:t>
      </w:r>
    </w:p>
    <w:p w:rsidR="007D0731" w:rsidRPr="000B697A" w:rsidRDefault="00010F33" w:rsidP="00E066C6">
      <w:pPr>
        <w:ind w:firstLine="709"/>
        <w:rPr>
          <w:rFonts w:cs="Calibri"/>
        </w:rPr>
      </w:pPr>
      <w:r w:rsidRPr="000B697A">
        <w:rPr>
          <w:rFonts w:cs="Calibri"/>
        </w:rPr>
        <w:t>- Данъчно облагане</w:t>
      </w:r>
    </w:p>
    <w:p w:rsidR="007D0731" w:rsidRPr="000B697A" w:rsidRDefault="00010F33" w:rsidP="00E066C6">
      <w:pPr>
        <w:ind w:firstLine="709"/>
        <w:rPr>
          <w:rFonts w:cs="Calibri"/>
        </w:rPr>
      </w:pPr>
      <w:r w:rsidRPr="000B697A">
        <w:rPr>
          <w:rFonts w:cs="Calibri"/>
        </w:rPr>
        <w:t>- Други системни рискове</w:t>
      </w:r>
    </w:p>
    <w:p w:rsidR="00947CB6" w:rsidRPr="000B697A" w:rsidRDefault="00F51B30" w:rsidP="003234AB">
      <w:pPr>
        <w:rPr>
          <w:rFonts w:cs="Calibri"/>
        </w:rPr>
      </w:pPr>
      <w:r w:rsidRPr="000B697A">
        <w:rPr>
          <w:rFonts w:cs="Calibri"/>
        </w:rPr>
        <w:t>Подробно описание на рисковете, характерни за дейността на БФБ-София, е представено в т. 4 „Рискови фактори” от регистрационния документ (стр. 12 – 24), пр</w:t>
      </w:r>
      <w:r w:rsidR="00F72B46" w:rsidRPr="000B697A">
        <w:rPr>
          <w:rFonts w:cs="Calibri"/>
        </w:rPr>
        <w:t>едставляващ част І от одобрения</w:t>
      </w:r>
      <w:r w:rsidRPr="000B697A">
        <w:rPr>
          <w:rFonts w:cs="Calibri"/>
        </w:rPr>
        <w:t xml:space="preserve"> от Комисията за финансов надзор проспект с решение № 816 – ПД/15.12.2010 г. за допускане на акциите на БФБ до търговия на регулиран пазар. Проспектът може да бъде намерен на интернет страницата на </w:t>
      </w:r>
      <w:r w:rsidR="007502CF" w:rsidRPr="000B697A">
        <w:rPr>
          <w:rFonts w:cs="Calibri"/>
        </w:rPr>
        <w:t xml:space="preserve">Българска фондова борса </w:t>
      </w:r>
      <w:r w:rsidRPr="000B697A">
        <w:rPr>
          <w:rFonts w:cs="Calibri"/>
        </w:rPr>
        <w:t xml:space="preserve">в секция </w:t>
      </w:r>
      <w:r w:rsidR="00A604D2" w:rsidRPr="000B697A">
        <w:rPr>
          <w:rFonts w:cs="Calibri"/>
        </w:rPr>
        <w:t>Връзки с инвеститорите - Права на акционерите</w:t>
      </w:r>
      <w:r w:rsidRPr="000B697A">
        <w:rPr>
          <w:rFonts w:cs="Calibri"/>
        </w:rPr>
        <w:t>.</w:t>
      </w:r>
    </w:p>
    <w:p w:rsidR="00342F1B" w:rsidRPr="000B697A" w:rsidRDefault="00FF30E2" w:rsidP="00FF30E2">
      <w:pPr>
        <w:pStyle w:val="SubSubNumber"/>
        <w:outlineLvl w:val="9"/>
        <w:rPr>
          <w:rFonts w:cs="Calibri"/>
        </w:rPr>
      </w:pPr>
      <w:r>
        <w:rPr>
          <w:rFonts w:cs="Calibri"/>
        </w:rPr>
        <w:t>Основни р</w:t>
      </w:r>
      <w:r w:rsidR="00010F33" w:rsidRPr="000B697A">
        <w:rPr>
          <w:rFonts w:cs="Calibri"/>
        </w:rPr>
        <w:t>искове</w:t>
      </w:r>
      <w:r w:rsidR="003F70BD" w:rsidRPr="000B697A">
        <w:rPr>
          <w:rFonts w:cs="Calibri"/>
        </w:rPr>
        <w:t>,</w:t>
      </w:r>
      <w:r w:rsidR="00010F33" w:rsidRPr="000B697A">
        <w:rPr>
          <w:rFonts w:cs="Calibri"/>
        </w:rPr>
        <w:t xml:space="preserve"> свързани с дейността на Сервиз Финансови Пазари ЕООД</w:t>
      </w:r>
    </w:p>
    <w:p w:rsidR="00C57640" w:rsidRPr="000B697A" w:rsidRDefault="00C57640" w:rsidP="00E066C6">
      <w:pPr>
        <w:rPr>
          <w:rFonts w:cs="Calibri"/>
        </w:rPr>
      </w:pPr>
      <w:bookmarkStart w:id="98" w:name="_Toc323038204"/>
      <w:bookmarkStart w:id="99" w:name="_Toc323038205"/>
      <w:bookmarkStart w:id="100" w:name="_Toc142469810"/>
      <w:bookmarkEnd w:id="97"/>
      <w:bookmarkEnd w:id="98"/>
      <w:bookmarkEnd w:id="99"/>
      <w:r w:rsidRPr="000B697A">
        <w:rPr>
          <w:rFonts w:cs="Calibri"/>
        </w:rPr>
        <w:t>Основните рискове, свързани с дейността на дъщерното дружество Сервиз Финансови Пазари ЕООД, са:</w:t>
      </w:r>
    </w:p>
    <w:p w:rsidR="00C57640" w:rsidRPr="000B697A" w:rsidRDefault="00C57640" w:rsidP="00E066C6">
      <w:pPr>
        <w:pStyle w:val="ListParagraph"/>
        <w:numPr>
          <w:ilvl w:val="0"/>
          <w:numId w:val="11"/>
        </w:numPr>
        <w:rPr>
          <w:rFonts w:cs="Calibri"/>
          <w:lang w:val="bg-BG"/>
        </w:rPr>
      </w:pPr>
      <w:r w:rsidRPr="000B697A">
        <w:rPr>
          <w:rFonts w:cs="Calibri"/>
          <w:lang w:val="bg-BG"/>
        </w:rPr>
        <w:t>рискове</w:t>
      </w:r>
      <w:r w:rsidR="00541757" w:rsidRPr="000B697A">
        <w:rPr>
          <w:rFonts w:cs="Calibri"/>
          <w:lang w:val="bg-BG"/>
        </w:rPr>
        <w:t>,</w:t>
      </w:r>
      <w:r w:rsidRPr="000B697A">
        <w:rPr>
          <w:rFonts w:cs="Calibri"/>
          <w:lang w:val="bg-BG"/>
        </w:rPr>
        <w:t xml:space="preserve"> свързани с ресурсната (технологична и експертна) осигуреност на дружеството във връзка с основния му предмет на дейност по предоставяне на информационни услуги;</w:t>
      </w:r>
    </w:p>
    <w:p w:rsidR="00DA345D" w:rsidRPr="000B697A" w:rsidRDefault="00C57640" w:rsidP="00E066C6">
      <w:pPr>
        <w:pStyle w:val="ListParagraph"/>
        <w:numPr>
          <w:ilvl w:val="0"/>
          <w:numId w:val="11"/>
        </w:numPr>
        <w:rPr>
          <w:rFonts w:cs="Calibri"/>
          <w:lang w:val="bg-BG"/>
        </w:rPr>
      </w:pPr>
      <w:r w:rsidRPr="000B697A">
        <w:rPr>
          <w:rFonts w:cs="Calibri"/>
          <w:lang w:val="bg-BG"/>
        </w:rPr>
        <w:t>пазарни рискове, свързани със състоянието и развитието на конкуренцията в сектора;</w:t>
      </w:r>
    </w:p>
    <w:p w:rsidR="00947CB6" w:rsidRPr="000B697A" w:rsidRDefault="00C57640" w:rsidP="00E066C6">
      <w:pPr>
        <w:pStyle w:val="ListParagraph"/>
        <w:numPr>
          <w:ilvl w:val="0"/>
          <w:numId w:val="11"/>
        </w:numPr>
        <w:rPr>
          <w:rFonts w:cs="Calibri"/>
          <w:lang w:val="bg-BG"/>
        </w:rPr>
      </w:pPr>
      <w:r w:rsidRPr="000B697A">
        <w:rPr>
          <w:rFonts w:cs="Calibri"/>
          <w:lang w:val="bg-BG"/>
        </w:rPr>
        <w:t>външни рискове - свързани от една страна с изменения в нормативната база, регламентираща задължението и начините за оповестяване на регулирана информация от публичните дружества и другите емитенти на ценни книжа, а от друга с общото състояние на корпоративното управление в България</w:t>
      </w:r>
      <w:r w:rsidR="00597352" w:rsidRPr="000B697A">
        <w:rPr>
          <w:rFonts w:cs="Calibri"/>
          <w:lang w:val="bg-BG"/>
        </w:rPr>
        <w:t>.</w:t>
      </w:r>
    </w:p>
    <w:p w:rsidR="007502CF" w:rsidRPr="000B697A" w:rsidRDefault="007502CF" w:rsidP="007502CF">
      <w:pPr>
        <w:rPr>
          <w:rFonts w:cs="Calibri"/>
        </w:rPr>
      </w:pPr>
    </w:p>
    <w:p w:rsidR="007502CF" w:rsidRPr="000B697A" w:rsidRDefault="007502CF" w:rsidP="00FF30E2">
      <w:pPr>
        <w:pStyle w:val="SubSubNumber"/>
        <w:outlineLvl w:val="9"/>
        <w:rPr>
          <w:rFonts w:cs="Calibri"/>
        </w:rPr>
      </w:pPr>
      <w:bookmarkStart w:id="101" w:name="_Toc515284927"/>
      <w:r w:rsidRPr="000B697A">
        <w:rPr>
          <w:rFonts w:cs="Calibri"/>
        </w:rPr>
        <w:t>Основни рискове, свързани с дейността на дъщерното дружество „Българска независима енергийна борса“ ЕАД</w:t>
      </w:r>
      <w:bookmarkEnd w:id="101"/>
    </w:p>
    <w:p w:rsidR="007502CF" w:rsidRPr="000B697A" w:rsidRDefault="007502CF" w:rsidP="007502CF">
      <w:pPr>
        <w:rPr>
          <w:rFonts w:cs="Calibri"/>
        </w:rPr>
      </w:pPr>
      <w:r w:rsidRPr="000B697A">
        <w:rPr>
          <w:rFonts w:cs="Calibri"/>
        </w:rPr>
        <w:t>В ролята си на лицензиран пазарен оператор на пазара на електрическа енергия за пазарната зона на Република България, „Българска независима енергийна борса“ ЕАД (БНЕБ) организира дейността си, управлявайки присъщите за нея рискове, които се разделят на:</w:t>
      </w:r>
    </w:p>
    <w:p w:rsidR="007502CF" w:rsidRPr="000B697A" w:rsidRDefault="007502CF" w:rsidP="007502CF">
      <w:pPr>
        <w:pStyle w:val="ListParagraph"/>
        <w:widowControl w:val="0"/>
        <w:numPr>
          <w:ilvl w:val="0"/>
          <w:numId w:val="43"/>
        </w:numPr>
        <w:contextualSpacing/>
        <w:rPr>
          <w:rFonts w:cs="Calibri"/>
        </w:rPr>
      </w:pPr>
      <w:proofErr w:type="spellStart"/>
      <w:r w:rsidRPr="000B697A">
        <w:rPr>
          <w:rFonts w:cs="Calibri"/>
        </w:rPr>
        <w:t>Вътрешни</w:t>
      </w:r>
      <w:proofErr w:type="spellEnd"/>
      <w:r w:rsidRPr="000B697A">
        <w:rPr>
          <w:rFonts w:cs="Calibri"/>
        </w:rPr>
        <w:t xml:space="preserve"> - </w:t>
      </w:r>
      <w:proofErr w:type="spellStart"/>
      <w:r w:rsidRPr="000B697A">
        <w:rPr>
          <w:rFonts w:cs="Calibri"/>
        </w:rPr>
        <w:t>такива</w:t>
      </w:r>
      <w:proofErr w:type="spellEnd"/>
      <w:r w:rsidRPr="000B697A">
        <w:rPr>
          <w:rFonts w:cs="Calibri"/>
        </w:rPr>
        <w:t xml:space="preserve"> </w:t>
      </w:r>
      <w:proofErr w:type="spellStart"/>
      <w:r w:rsidRPr="000B697A">
        <w:rPr>
          <w:rFonts w:cs="Calibri"/>
        </w:rPr>
        <w:t>свързани</w:t>
      </w:r>
      <w:proofErr w:type="spellEnd"/>
      <w:r w:rsidRPr="000B697A">
        <w:rPr>
          <w:rFonts w:cs="Calibri"/>
        </w:rPr>
        <w:t xml:space="preserve"> с </w:t>
      </w:r>
      <w:proofErr w:type="spellStart"/>
      <w:r w:rsidRPr="000B697A">
        <w:rPr>
          <w:rFonts w:cs="Calibri"/>
        </w:rPr>
        <w:t>техническото</w:t>
      </w:r>
      <w:proofErr w:type="spellEnd"/>
      <w:r w:rsidRPr="000B697A">
        <w:rPr>
          <w:rFonts w:cs="Calibri"/>
        </w:rPr>
        <w:t xml:space="preserve"> </w:t>
      </w:r>
      <w:proofErr w:type="spellStart"/>
      <w:r w:rsidRPr="000B697A">
        <w:rPr>
          <w:rFonts w:cs="Calibri"/>
        </w:rPr>
        <w:t>администриране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пазарните</w:t>
      </w:r>
      <w:proofErr w:type="spellEnd"/>
      <w:r w:rsidRPr="000B697A">
        <w:rPr>
          <w:rFonts w:cs="Calibri"/>
        </w:rPr>
        <w:t xml:space="preserve"> </w:t>
      </w:r>
      <w:proofErr w:type="spellStart"/>
      <w:r w:rsidRPr="000B697A">
        <w:rPr>
          <w:rFonts w:cs="Calibri"/>
        </w:rPr>
        <w:t>сегменти</w:t>
      </w:r>
      <w:proofErr w:type="spellEnd"/>
      <w:r w:rsidRPr="000B697A">
        <w:rPr>
          <w:rFonts w:cs="Calibri"/>
        </w:rPr>
        <w:t xml:space="preserve">, </w:t>
      </w:r>
      <w:proofErr w:type="spellStart"/>
      <w:r w:rsidRPr="000B697A">
        <w:rPr>
          <w:rFonts w:cs="Calibri"/>
        </w:rPr>
        <w:t>свързани</w:t>
      </w:r>
      <w:proofErr w:type="spellEnd"/>
      <w:r w:rsidRPr="000B697A">
        <w:rPr>
          <w:rFonts w:cs="Calibri"/>
        </w:rPr>
        <w:t xml:space="preserve"> с </w:t>
      </w:r>
      <w:proofErr w:type="spellStart"/>
      <w:r w:rsidRPr="000B697A">
        <w:rPr>
          <w:rFonts w:cs="Calibri"/>
        </w:rPr>
        <w:t>персонала</w:t>
      </w:r>
      <w:proofErr w:type="spellEnd"/>
      <w:r w:rsidRPr="000B697A">
        <w:rPr>
          <w:rFonts w:cs="Calibri"/>
        </w:rPr>
        <w:t xml:space="preserve"> и </w:t>
      </w:r>
      <w:proofErr w:type="spellStart"/>
      <w:r w:rsidRPr="000B697A">
        <w:rPr>
          <w:rFonts w:cs="Calibri"/>
        </w:rPr>
        <w:t>организацията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работа</w:t>
      </w:r>
      <w:proofErr w:type="spellEnd"/>
      <w:r w:rsidRPr="000B697A">
        <w:rPr>
          <w:rFonts w:cs="Calibri"/>
        </w:rPr>
        <w:t xml:space="preserve">, </w:t>
      </w:r>
      <w:proofErr w:type="spellStart"/>
      <w:r w:rsidRPr="000B697A">
        <w:rPr>
          <w:rFonts w:cs="Calibri"/>
        </w:rPr>
        <w:t>предвид</w:t>
      </w:r>
      <w:proofErr w:type="spellEnd"/>
      <w:r w:rsidRPr="000B697A">
        <w:rPr>
          <w:rFonts w:cs="Calibri"/>
        </w:rPr>
        <w:t xml:space="preserve"> </w:t>
      </w:r>
      <w:proofErr w:type="spellStart"/>
      <w:r w:rsidRPr="000B697A">
        <w:rPr>
          <w:rFonts w:cs="Calibri"/>
        </w:rPr>
        <w:t>непрекъснатия</w:t>
      </w:r>
      <w:proofErr w:type="spellEnd"/>
      <w:r w:rsidRPr="000B697A">
        <w:rPr>
          <w:rFonts w:cs="Calibri"/>
        </w:rPr>
        <w:t xml:space="preserve"> </w:t>
      </w:r>
      <w:proofErr w:type="spellStart"/>
      <w:r w:rsidRPr="000B697A">
        <w:rPr>
          <w:rFonts w:cs="Calibri"/>
        </w:rPr>
        <w:t>цикъл</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работа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краткосрочните</w:t>
      </w:r>
      <w:proofErr w:type="spellEnd"/>
      <w:r w:rsidRPr="000B697A">
        <w:rPr>
          <w:rFonts w:cs="Calibri"/>
        </w:rPr>
        <w:t xml:space="preserve"> </w:t>
      </w:r>
      <w:proofErr w:type="spellStart"/>
      <w:r w:rsidRPr="000B697A">
        <w:rPr>
          <w:rFonts w:cs="Calibri"/>
        </w:rPr>
        <w:t>пазарни</w:t>
      </w:r>
      <w:proofErr w:type="spellEnd"/>
      <w:r w:rsidRPr="000B697A">
        <w:rPr>
          <w:rFonts w:cs="Calibri"/>
        </w:rPr>
        <w:t xml:space="preserve"> </w:t>
      </w:r>
      <w:proofErr w:type="spellStart"/>
      <w:r w:rsidRPr="000B697A">
        <w:rPr>
          <w:rFonts w:cs="Calibri"/>
        </w:rPr>
        <w:t>сегменти</w:t>
      </w:r>
      <w:proofErr w:type="spellEnd"/>
      <w:r w:rsidRPr="000B697A">
        <w:rPr>
          <w:rFonts w:cs="Calibri"/>
        </w:rPr>
        <w:t xml:space="preserve"> </w:t>
      </w:r>
      <w:proofErr w:type="spellStart"/>
      <w:r w:rsidRPr="000B697A">
        <w:rPr>
          <w:rFonts w:cs="Calibri"/>
        </w:rPr>
        <w:t>Пазар</w:t>
      </w:r>
      <w:proofErr w:type="spellEnd"/>
      <w:r w:rsidRPr="000B697A">
        <w:rPr>
          <w:rFonts w:cs="Calibri"/>
        </w:rPr>
        <w:t xml:space="preserve"> </w:t>
      </w:r>
      <w:proofErr w:type="spellStart"/>
      <w:r w:rsidRPr="000B697A">
        <w:rPr>
          <w:rFonts w:cs="Calibri"/>
        </w:rPr>
        <w:t>Ден</w:t>
      </w:r>
      <w:proofErr w:type="spellEnd"/>
      <w:r w:rsidRPr="000B697A">
        <w:rPr>
          <w:rFonts w:cs="Calibri"/>
        </w:rPr>
        <w:t xml:space="preserve"> </w:t>
      </w:r>
      <w:proofErr w:type="spellStart"/>
      <w:r w:rsidRPr="000B697A">
        <w:rPr>
          <w:rFonts w:cs="Calibri"/>
        </w:rPr>
        <w:t>напред</w:t>
      </w:r>
      <w:proofErr w:type="spellEnd"/>
      <w:r w:rsidRPr="000B697A">
        <w:rPr>
          <w:rFonts w:cs="Calibri"/>
        </w:rPr>
        <w:t xml:space="preserve"> (Day ahead market, DAM) и </w:t>
      </w:r>
      <w:proofErr w:type="spellStart"/>
      <w:r w:rsidRPr="000B697A">
        <w:rPr>
          <w:rFonts w:cs="Calibri"/>
        </w:rPr>
        <w:t>Пазар</w:t>
      </w:r>
      <w:proofErr w:type="spellEnd"/>
      <w:r w:rsidRPr="000B697A">
        <w:rPr>
          <w:rFonts w:cs="Calibri"/>
        </w:rPr>
        <w:t xml:space="preserve"> в </w:t>
      </w:r>
      <w:proofErr w:type="spellStart"/>
      <w:r w:rsidRPr="000B697A">
        <w:rPr>
          <w:rFonts w:cs="Calibri"/>
        </w:rPr>
        <w:t>рамките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деня</w:t>
      </w:r>
      <w:proofErr w:type="spellEnd"/>
      <w:r w:rsidRPr="000B697A">
        <w:rPr>
          <w:rFonts w:cs="Calibri"/>
        </w:rPr>
        <w:t xml:space="preserve"> (Intraday Market, IDM), </w:t>
      </w:r>
      <w:proofErr w:type="spellStart"/>
      <w:r w:rsidRPr="000B697A">
        <w:rPr>
          <w:rFonts w:cs="Calibri"/>
        </w:rPr>
        <w:t>както</w:t>
      </w:r>
      <w:proofErr w:type="spellEnd"/>
      <w:r w:rsidRPr="000B697A">
        <w:rPr>
          <w:rFonts w:cs="Calibri"/>
        </w:rPr>
        <w:t xml:space="preserve"> и </w:t>
      </w:r>
      <w:proofErr w:type="spellStart"/>
      <w:r w:rsidRPr="000B697A">
        <w:rPr>
          <w:rFonts w:cs="Calibri"/>
        </w:rPr>
        <w:t>такива</w:t>
      </w:r>
      <w:proofErr w:type="spellEnd"/>
      <w:r w:rsidRPr="000B697A">
        <w:rPr>
          <w:rFonts w:cs="Calibri"/>
        </w:rPr>
        <w:t xml:space="preserve"> </w:t>
      </w:r>
      <w:proofErr w:type="spellStart"/>
      <w:r w:rsidRPr="000B697A">
        <w:rPr>
          <w:rFonts w:cs="Calibri"/>
        </w:rPr>
        <w:t>свързани</w:t>
      </w:r>
      <w:proofErr w:type="spellEnd"/>
      <w:r w:rsidRPr="000B697A">
        <w:rPr>
          <w:rFonts w:cs="Calibri"/>
        </w:rPr>
        <w:t xml:space="preserve"> с </w:t>
      </w:r>
      <w:proofErr w:type="spellStart"/>
      <w:r w:rsidRPr="000B697A">
        <w:rPr>
          <w:rFonts w:cs="Calibri"/>
        </w:rPr>
        <w:t>финансовото</w:t>
      </w:r>
      <w:proofErr w:type="spellEnd"/>
      <w:r w:rsidRPr="000B697A">
        <w:rPr>
          <w:rFonts w:cs="Calibri"/>
        </w:rPr>
        <w:t xml:space="preserve"> </w:t>
      </w:r>
      <w:proofErr w:type="spellStart"/>
      <w:r w:rsidRPr="000B697A">
        <w:rPr>
          <w:rFonts w:cs="Calibri"/>
        </w:rPr>
        <w:t>състояние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дружеството</w:t>
      </w:r>
      <w:proofErr w:type="spellEnd"/>
      <w:r w:rsidRPr="000B697A">
        <w:rPr>
          <w:rFonts w:cs="Calibri"/>
        </w:rPr>
        <w:t xml:space="preserve">, </w:t>
      </w:r>
      <w:proofErr w:type="spellStart"/>
      <w:r w:rsidRPr="000B697A">
        <w:rPr>
          <w:rFonts w:cs="Calibri"/>
        </w:rPr>
        <w:t>предвид</w:t>
      </w:r>
      <w:proofErr w:type="spellEnd"/>
      <w:r w:rsidRPr="000B697A">
        <w:rPr>
          <w:rFonts w:cs="Calibri"/>
        </w:rPr>
        <w:t xml:space="preserve"> </w:t>
      </w:r>
      <w:proofErr w:type="spellStart"/>
      <w:r w:rsidRPr="000B697A">
        <w:rPr>
          <w:rFonts w:cs="Calibri"/>
        </w:rPr>
        <w:t>неговата</w:t>
      </w:r>
      <w:proofErr w:type="spellEnd"/>
      <w:r w:rsidRPr="000B697A">
        <w:rPr>
          <w:rFonts w:cs="Calibri"/>
        </w:rPr>
        <w:t xml:space="preserve"> </w:t>
      </w:r>
      <w:proofErr w:type="spellStart"/>
      <w:r w:rsidRPr="000B697A">
        <w:rPr>
          <w:rFonts w:cs="Calibri"/>
        </w:rPr>
        <w:t>монополна</w:t>
      </w:r>
      <w:proofErr w:type="spellEnd"/>
      <w:r w:rsidRPr="000B697A">
        <w:rPr>
          <w:rFonts w:cs="Calibri"/>
        </w:rPr>
        <w:t xml:space="preserve"> </w:t>
      </w:r>
      <w:proofErr w:type="spellStart"/>
      <w:r w:rsidRPr="000B697A">
        <w:rPr>
          <w:rFonts w:cs="Calibri"/>
        </w:rPr>
        <w:t>позиция</w:t>
      </w:r>
      <w:proofErr w:type="spellEnd"/>
      <w:r w:rsidRPr="000B697A">
        <w:rPr>
          <w:rFonts w:cs="Calibri"/>
        </w:rPr>
        <w:t xml:space="preserve"> и </w:t>
      </w:r>
      <w:proofErr w:type="spellStart"/>
      <w:r w:rsidRPr="000B697A">
        <w:rPr>
          <w:rFonts w:cs="Calibri"/>
        </w:rPr>
        <w:t>свързаната</w:t>
      </w:r>
      <w:proofErr w:type="spellEnd"/>
      <w:r w:rsidRPr="000B697A">
        <w:rPr>
          <w:rFonts w:cs="Calibri"/>
        </w:rPr>
        <w:t xml:space="preserve"> с </w:t>
      </w:r>
      <w:proofErr w:type="spellStart"/>
      <w:r w:rsidRPr="000B697A">
        <w:rPr>
          <w:rFonts w:cs="Calibri"/>
        </w:rPr>
        <w:t>това</w:t>
      </w:r>
      <w:proofErr w:type="spellEnd"/>
      <w:r w:rsidRPr="000B697A">
        <w:rPr>
          <w:rFonts w:cs="Calibri"/>
        </w:rPr>
        <w:t xml:space="preserve"> </w:t>
      </w:r>
      <w:proofErr w:type="spellStart"/>
      <w:r w:rsidRPr="000B697A">
        <w:rPr>
          <w:rFonts w:cs="Calibri"/>
        </w:rPr>
        <w:t>възможност</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регулиране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тарифната</w:t>
      </w:r>
      <w:proofErr w:type="spellEnd"/>
      <w:r w:rsidRPr="000B697A">
        <w:rPr>
          <w:rFonts w:cs="Calibri"/>
        </w:rPr>
        <w:t xml:space="preserve"> </w:t>
      </w:r>
      <w:proofErr w:type="spellStart"/>
      <w:r w:rsidRPr="000B697A">
        <w:rPr>
          <w:rFonts w:cs="Calibri"/>
        </w:rPr>
        <w:t>структура</w:t>
      </w:r>
      <w:proofErr w:type="spellEnd"/>
      <w:r w:rsidRPr="000B697A">
        <w:rPr>
          <w:rFonts w:cs="Calibri"/>
        </w:rPr>
        <w:t xml:space="preserve"> </w:t>
      </w:r>
      <w:proofErr w:type="spellStart"/>
      <w:r w:rsidRPr="000B697A">
        <w:rPr>
          <w:rFonts w:cs="Calibri"/>
        </w:rPr>
        <w:t>от</w:t>
      </w:r>
      <w:proofErr w:type="spellEnd"/>
      <w:r w:rsidRPr="000B697A">
        <w:rPr>
          <w:rFonts w:cs="Calibri"/>
        </w:rPr>
        <w:t xml:space="preserve"> </w:t>
      </w:r>
      <w:proofErr w:type="spellStart"/>
      <w:r w:rsidRPr="000B697A">
        <w:rPr>
          <w:rFonts w:cs="Calibri"/>
        </w:rPr>
        <w:t>страна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Комисията</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енергийно</w:t>
      </w:r>
      <w:proofErr w:type="spellEnd"/>
      <w:r w:rsidRPr="000B697A">
        <w:rPr>
          <w:rFonts w:cs="Calibri"/>
        </w:rPr>
        <w:t xml:space="preserve"> и </w:t>
      </w:r>
      <w:proofErr w:type="spellStart"/>
      <w:r w:rsidRPr="000B697A">
        <w:rPr>
          <w:rFonts w:cs="Calibri"/>
        </w:rPr>
        <w:t>водно</w:t>
      </w:r>
      <w:proofErr w:type="spellEnd"/>
      <w:r w:rsidRPr="000B697A">
        <w:rPr>
          <w:rFonts w:cs="Calibri"/>
        </w:rPr>
        <w:t xml:space="preserve"> </w:t>
      </w:r>
      <w:proofErr w:type="spellStart"/>
      <w:r w:rsidRPr="000B697A">
        <w:rPr>
          <w:rFonts w:cs="Calibri"/>
        </w:rPr>
        <w:t>регулиране</w:t>
      </w:r>
      <w:proofErr w:type="spellEnd"/>
      <w:r w:rsidRPr="000B697A">
        <w:rPr>
          <w:rFonts w:cs="Calibri"/>
        </w:rPr>
        <w:t>.</w:t>
      </w:r>
    </w:p>
    <w:p w:rsidR="007502CF" w:rsidRPr="000B697A" w:rsidRDefault="007502CF" w:rsidP="007502CF">
      <w:pPr>
        <w:pStyle w:val="ListParagraph"/>
        <w:widowControl w:val="0"/>
        <w:numPr>
          <w:ilvl w:val="0"/>
          <w:numId w:val="43"/>
        </w:numPr>
        <w:contextualSpacing/>
        <w:rPr>
          <w:rFonts w:cs="Calibri"/>
        </w:rPr>
      </w:pPr>
      <w:proofErr w:type="spellStart"/>
      <w:r w:rsidRPr="000B697A">
        <w:rPr>
          <w:rFonts w:cs="Calibri"/>
        </w:rPr>
        <w:t>Външни</w:t>
      </w:r>
      <w:proofErr w:type="spellEnd"/>
      <w:r w:rsidRPr="000B697A">
        <w:rPr>
          <w:rFonts w:cs="Calibri"/>
        </w:rPr>
        <w:t xml:space="preserve"> – </w:t>
      </w:r>
      <w:proofErr w:type="spellStart"/>
      <w:r w:rsidRPr="000B697A">
        <w:rPr>
          <w:rFonts w:cs="Calibri"/>
        </w:rPr>
        <w:t>такива</w:t>
      </w:r>
      <w:proofErr w:type="spellEnd"/>
      <w:r w:rsidRPr="000B697A">
        <w:rPr>
          <w:rFonts w:cs="Calibri"/>
        </w:rPr>
        <w:t xml:space="preserve"> </w:t>
      </w:r>
      <w:proofErr w:type="spellStart"/>
      <w:r w:rsidRPr="000B697A">
        <w:rPr>
          <w:rFonts w:cs="Calibri"/>
        </w:rPr>
        <w:t>свързани</w:t>
      </w:r>
      <w:proofErr w:type="spellEnd"/>
      <w:r w:rsidRPr="000B697A">
        <w:rPr>
          <w:rFonts w:cs="Calibri"/>
        </w:rPr>
        <w:t xml:space="preserve"> с </w:t>
      </w:r>
      <w:proofErr w:type="spellStart"/>
      <w:r w:rsidRPr="000B697A">
        <w:rPr>
          <w:rFonts w:cs="Calibri"/>
        </w:rPr>
        <w:t>неблагоприятни</w:t>
      </w:r>
      <w:proofErr w:type="spellEnd"/>
      <w:r w:rsidRPr="000B697A">
        <w:rPr>
          <w:rFonts w:cs="Calibri"/>
        </w:rPr>
        <w:t xml:space="preserve"> </w:t>
      </w:r>
      <w:proofErr w:type="spellStart"/>
      <w:r w:rsidRPr="000B697A">
        <w:rPr>
          <w:rFonts w:cs="Calibri"/>
        </w:rPr>
        <w:t>макроикономически</w:t>
      </w:r>
      <w:proofErr w:type="spellEnd"/>
      <w:r w:rsidRPr="000B697A">
        <w:rPr>
          <w:rFonts w:cs="Calibri"/>
        </w:rPr>
        <w:t xml:space="preserve"> </w:t>
      </w:r>
      <w:proofErr w:type="spellStart"/>
      <w:r w:rsidRPr="000B697A">
        <w:rPr>
          <w:rFonts w:cs="Calibri"/>
        </w:rPr>
        <w:t>промени</w:t>
      </w:r>
      <w:proofErr w:type="spellEnd"/>
      <w:r w:rsidRPr="000B697A">
        <w:rPr>
          <w:rFonts w:cs="Calibri"/>
        </w:rPr>
        <w:t xml:space="preserve">, </w:t>
      </w:r>
      <w:proofErr w:type="spellStart"/>
      <w:r w:rsidRPr="000B697A">
        <w:rPr>
          <w:rFonts w:cs="Calibri"/>
        </w:rPr>
        <w:t>неблагоприятни</w:t>
      </w:r>
      <w:proofErr w:type="spellEnd"/>
      <w:r w:rsidRPr="000B697A">
        <w:rPr>
          <w:rFonts w:cs="Calibri"/>
        </w:rPr>
        <w:t xml:space="preserve"> </w:t>
      </w:r>
      <w:proofErr w:type="spellStart"/>
      <w:r w:rsidRPr="000B697A">
        <w:rPr>
          <w:rFonts w:cs="Calibri"/>
        </w:rPr>
        <w:t>промени</w:t>
      </w:r>
      <w:proofErr w:type="spellEnd"/>
      <w:r w:rsidRPr="000B697A">
        <w:rPr>
          <w:rFonts w:cs="Calibri"/>
        </w:rPr>
        <w:t xml:space="preserve"> в </w:t>
      </w:r>
      <w:proofErr w:type="spellStart"/>
      <w:r w:rsidRPr="000B697A">
        <w:rPr>
          <w:rFonts w:cs="Calibri"/>
        </w:rPr>
        <w:t>приложимото</w:t>
      </w:r>
      <w:proofErr w:type="spellEnd"/>
      <w:r w:rsidRPr="000B697A">
        <w:rPr>
          <w:rFonts w:cs="Calibri"/>
        </w:rPr>
        <w:t xml:space="preserve"> </w:t>
      </w:r>
      <w:proofErr w:type="spellStart"/>
      <w:r w:rsidRPr="000B697A">
        <w:rPr>
          <w:rFonts w:cs="Calibri"/>
        </w:rPr>
        <w:t>законодателство</w:t>
      </w:r>
      <w:proofErr w:type="spellEnd"/>
      <w:r w:rsidRPr="000B697A">
        <w:rPr>
          <w:rFonts w:cs="Calibri"/>
        </w:rPr>
        <w:t xml:space="preserve">, </w:t>
      </w:r>
      <w:proofErr w:type="spellStart"/>
      <w:r w:rsidRPr="000B697A">
        <w:rPr>
          <w:rFonts w:cs="Calibri"/>
        </w:rPr>
        <w:t>както</w:t>
      </w:r>
      <w:proofErr w:type="spellEnd"/>
      <w:r w:rsidRPr="000B697A">
        <w:rPr>
          <w:rFonts w:cs="Calibri"/>
        </w:rPr>
        <w:t xml:space="preserve"> и </w:t>
      </w:r>
      <w:proofErr w:type="spellStart"/>
      <w:r w:rsidRPr="000B697A">
        <w:rPr>
          <w:rFonts w:cs="Calibri"/>
        </w:rPr>
        <w:t>рискове</w:t>
      </w:r>
      <w:proofErr w:type="spellEnd"/>
      <w:r w:rsidRPr="000B697A">
        <w:rPr>
          <w:rFonts w:cs="Calibri"/>
        </w:rPr>
        <w:t xml:space="preserve"> </w:t>
      </w:r>
      <w:proofErr w:type="spellStart"/>
      <w:r w:rsidRPr="000B697A">
        <w:rPr>
          <w:rFonts w:cs="Calibri"/>
        </w:rPr>
        <w:t>от</w:t>
      </w:r>
      <w:proofErr w:type="spellEnd"/>
      <w:r w:rsidRPr="000B697A">
        <w:rPr>
          <w:rFonts w:cs="Calibri"/>
        </w:rPr>
        <w:t xml:space="preserve"> </w:t>
      </w:r>
      <w:proofErr w:type="spellStart"/>
      <w:r w:rsidRPr="000B697A">
        <w:rPr>
          <w:rFonts w:cs="Calibri"/>
        </w:rPr>
        <w:t>прехвърляне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дейности</w:t>
      </w:r>
      <w:proofErr w:type="spellEnd"/>
      <w:r w:rsidRPr="000B697A">
        <w:rPr>
          <w:rFonts w:cs="Calibri"/>
        </w:rPr>
        <w:t xml:space="preserve"> </w:t>
      </w:r>
      <w:proofErr w:type="spellStart"/>
      <w:r w:rsidRPr="000B697A">
        <w:rPr>
          <w:rFonts w:cs="Calibri"/>
        </w:rPr>
        <w:t>присъщи</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оператора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пазара</w:t>
      </w:r>
      <w:proofErr w:type="spellEnd"/>
      <w:r w:rsidRPr="000B697A">
        <w:rPr>
          <w:rFonts w:cs="Calibri"/>
        </w:rPr>
        <w:t xml:space="preserve"> </w:t>
      </w:r>
      <w:proofErr w:type="spellStart"/>
      <w:r w:rsidRPr="000B697A">
        <w:rPr>
          <w:rFonts w:cs="Calibri"/>
        </w:rPr>
        <w:t>към</w:t>
      </w:r>
      <w:proofErr w:type="spellEnd"/>
      <w:r w:rsidRPr="000B697A">
        <w:rPr>
          <w:rFonts w:cs="Calibri"/>
        </w:rPr>
        <w:t xml:space="preserve"> </w:t>
      </w:r>
      <w:proofErr w:type="spellStart"/>
      <w:r w:rsidRPr="000B697A">
        <w:rPr>
          <w:rFonts w:cs="Calibri"/>
        </w:rPr>
        <w:t>момента</w:t>
      </w:r>
      <w:proofErr w:type="spellEnd"/>
      <w:r w:rsidRPr="000B697A">
        <w:rPr>
          <w:rFonts w:cs="Calibri"/>
        </w:rPr>
        <w:t xml:space="preserve">, </w:t>
      </w:r>
      <w:proofErr w:type="spellStart"/>
      <w:r w:rsidRPr="000B697A">
        <w:rPr>
          <w:rFonts w:cs="Calibri"/>
        </w:rPr>
        <w:t>който</w:t>
      </w:r>
      <w:proofErr w:type="spellEnd"/>
      <w:r w:rsidRPr="000B697A">
        <w:rPr>
          <w:rFonts w:cs="Calibri"/>
        </w:rPr>
        <w:t xml:space="preserve"> </w:t>
      </w:r>
      <w:proofErr w:type="spellStart"/>
      <w:r w:rsidRPr="000B697A">
        <w:rPr>
          <w:rFonts w:cs="Calibri"/>
        </w:rPr>
        <w:t>биха</w:t>
      </w:r>
      <w:proofErr w:type="spellEnd"/>
      <w:r w:rsidRPr="000B697A">
        <w:rPr>
          <w:rFonts w:cs="Calibri"/>
        </w:rPr>
        <w:t xml:space="preserve"> </w:t>
      </w:r>
      <w:proofErr w:type="spellStart"/>
      <w:r w:rsidRPr="000B697A">
        <w:rPr>
          <w:rFonts w:cs="Calibri"/>
        </w:rPr>
        <w:t>повлияли</w:t>
      </w:r>
      <w:proofErr w:type="spellEnd"/>
      <w:r w:rsidRPr="000B697A">
        <w:rPr>
          <w:rFonts w:cs="Calibri"/>
        </w:rPr>
        <w:t xml:space="preserve"> </w:t>
      </w:r>
      <w:proofErr w:type="spellStart"/>
      <w:r w:rsidRPr="000B697A">
        <w:rPr>
          <w:rFonts w:cs="Calibri"/>
        </w:rPr>
        <w:t>общите</w:t>
      </w:r>
      <w:proofErr w:type="spellEnd"/>
      <w:r w:rsidRPr="000B697A">
        <w:rPr>
          <w:rFonts w:cs="Calibri"/>
        </w:rPr>
        <w:t xml:space="preserve"> </w:t>
      </w:r>
      <w:proofErr w:type="spellStart"/>
      <w:r w:rsidRPr="000B697A">
        <w:rPr>
          <w:rFonts w:cs="Calibri"/>
        </w:rPr>
        <w:t>условия</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функциониране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пазара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електрическа</w:t>
      </w:r>
      <w:proofErr w:type="spellEnd"/>
      <w:r w:rsidRPr="000B697A">
        <w:rPr>
          <w:rFonts w:cs="Calibri"/>
        </w:rPr>
        <w:t xml:space="preserve"> </w:t>
      </w:r>
      <w:proofErr w:type="spellStart"/>
      <w:r w:rsidRPr="000B697A">
        <w:rPr>
          <w:rFonts w:cs="Calibri"/>
        </w:rPr>
        <w:t>енергия</w:t>
      </w:r>
      <w:proofErr w:type="spellEnd"/>
      <w:r w:rsidRPr="000B697A">
        <w:rPr>
          <w:rFonts w:cs="Calibri"/>
        </w:rPr>
        <w:t xml:space="preserve"> (</w:t>
      </w:r>
      <w:proofErr w:type="spellStart"/>
      <w:r w:rsidRPr="000B697A">
        <w:rPr>
          <w:rFonts w:cs="Calibri"/>
        </w:rPr>
        <w:t>въвеждане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клирингова</w:t>
      </w:r>
      <w:proofErr w:type="spellEnd"/>
      <w:r w:rsidRPr="000B697A">
        <w:rPr>
          <w:rFonts w:cs="Calibri"/>
        </w:rPr>
        <w:t xml:space="preserve"> </w:t>
      </w:r>
      <w:proofErr w:type="spellStart"/>
      <w:r w:rsidRPr="000B697A">
        <w:rPr>
          <w:rFonts w:cs="Calibri"/>
        </w:rPr>
        <w:t>къща</w:t>
      </w:r>
      <w:proofErr w:type="spellEnd"/>
      <w:r w:rsidRPr="000B697A">
        <w:rPr>
          <w:rFonts w:cs="Calibri"/>
        </w:rPr>
        <w:t xml:space="preserve"> </w:t>
      </w:r>
      <w:proofErr w:type="spellStart"/>
      <w:r w:rsidRPr="000B697A">
        <w:rPr>
          <w:rFonts w:cs="Calibri"/>
        </w:rPr>
        <w:t>като</w:t>
      </w:r>
      <w:proofErr w:type="spellEnd"/>
      <w:r w:rsidRPr="000B697A">
        <w:rPr>
          <w:rFonts w:cs="Calibri"/>
        </w:rPr>
        <w:t xml:space="preserve"> </w:t>
      </w:r>
      <w:proofErr w:type="spellStart"/>
      <w:r w:rsidRPr="000B697A">
        <w:rPr>
          <w:rFonts w:cs="Calibri"/>
        </w:rPr>
        <w:t>страна</w:t>
      </w:r>
      <w:proofErr w:type="spellEnd"/>
      <w:r w:rsidRPr="000B697A">
        <w:rPr>
          <w:rFonts w:cs="Calibri"/>
        </w:rPr>
        <w:t xml:space="preserve"> </w:t>
      </w:r>
      <w:proofErr w:type="spellStart"/>
      <w:r w:rsidRPr="000B697A">
        <w:rPr>
          <w:rFonts w:cs="Calibri"/>
        </w:rPr>
        <w:t>по</w:t>
      </w:r>
      <w:proofErr w:type="spellEnd"/>
      <w:r w:rsidRPr="000B697A">
        <w:rPr>
          <w:rFonts w:cs="Calibri"/>
        </w:rPr>
        <w:t xml:space="preserve"> </w:t>
      </w:r>
      <w:proofErr w:type="spellStart"/>
      <w:r w:rsidRPr="000B697A">
        <w:rPr>
          <w:rFonts w:cs="Calibri"/>
        </w:rPr>
        <w:t>сделките</w:t>
      </w:r>
      <w:proofErr w:type="spellEnd"/>
      <w:r w:rsidRPr="000B697A">
        <w:rPr>
          <w:rFonts w:cs="Calibri"/>
        </w:rPr>
        <w:t xml:space="preserve"> с </w:t>
      </w:r>
      <w:proofErr w:type="spellStart"/>
      <w:r w:rsidRPr="000B697A">
        <w:rPr>
          <w:rFonts w:cs="Calibri"/>
        </w:rPr>
        <w:t>електрическа</w:t>
      </w:r>
      <w:proofErr w:type="spellEnd"/>
      <w:r w:rsidRPr="000B697A">
        <w:rPr>
          <w:rFonts w:cs="Calibri"/>
        </w:rPr>
        <w:t xml:space="preserve"> </w:t>
      </w:r>
      <w:proofErr w:type="spellStart"/>
      <w:r w:rsidRPr="000B697A">
        <w:rPr>
          <w:rFonts w:cs="Calibri"/>
        </w:rPr>
        <w:t>енергия</w:t>
      </w:r>
      <w:proofErr w:type="spellEnd"/>
      <w:r w:rsidRPr="000B697A">
        <w:rPr>
          <w:rFonts w:cs="Calibri"/>
        </w:rPr>
        <w:t xml:space="preserve">, </w:t>
      </w:r>
      <w:proofErr w:type="spellStart"/>
      <w:r w:rsidRPr="000B697A">
        <w:rPr>
          <w:rFonts w:cs="Calibri"/>
        </w:rPr>
        <w:t>както</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дългосрочните</w:t>
      </w:r>
      <w:proofErr w:type="spellEnd"/>
      <w:r w:rsidRPr="000B697A">
        <w:rPr>
          <w:rFonts w:cs="Calibri"/>
        </w:rPr>
        <w:t xml:space="preserve"> (CMBC), </w:t>
      </w:r>
      <w:proofErr w:type="spellStart"/>
      <w:r w:rsidRPr="000B697A">
        <w:rPr>
          <w:rFonts w:cs="Calibri"/>
        </w:rPr>
        <w:t>така</w:t>
      </w:r>
      <w:proofErr w:type="spellEnd"/>
      <w:r w:rsidRPr="000B697A">
        <w:rPr>
          <w:rFonts w:cs="Calibri"/>
        </w:rPr>
        <w:t xml:space="preserve"> и </w:t>
      </w:r>
      <w:proofErr w:type="spellStart"/>
      <w:r w:rsidRPr="000B697A">
        <w:rPr>
          <w:rFonts w:cs="Calibri"/>
        </w:rPr>
        <w:t>за</w:t>
      </w:r>
      <w:proofErr w:type="spellEnd"/>
      <w:r w:rsidRPr="000B697A">
        <w:rPr>
          <w:rFonts w:cs="Calibri"/>
        </w:rPr>
        <w:t xml:space="preserve"> </w:t>
      </w:r>
      <w:proofErr w:type="spellStart"/>
      <w:r w:rsidRPr="000B697A">
        <w:rPr>
          <w:rFonts w:cs="Calibri"/>
        </w:rPr>
        <w:t>краткосрочните</w:t>
      </w:r>
      <w:proofErr w:type="spellEnd"/>
      <w:r w:rsidRPr="000B697A">
        <w:rPr>
          <w:rFonts w:cs="Calibri"/>
        </w:rPr>
        <w:t xml:space="preserve"> </w:t>
      </w:r>
      <w:proofErr w:type="spellStart"/>
      <w:r w:rsidRPr="000B697A">
        <w:rPr>
          <w:rFonts w:cs="Calibri"/>
        </w:rPr>
        <w:t>пазари</w:t>
      </w:r>
      <w:proofErr w:type="spellEnd"/>
      <w:r w:rsidRPr="000B697A">
        <w:rPr>
          <w:rFonts w:cs="Calibri"/>
        </w:rPr>
        <w:t xml:space="preserve"> (DAM и IDM));</w:t>
      </w:r>
    </w:p>
    <w:p w:rsidR="007502CF" w:rsidRPr="000B697A" w:rsidRDefault="007502CF" w:rsidP="007502CF">
      <w:pPr>
        <w:rPr>
          <w:rFonts w:cs="Calibri"/>
        </w:rPr>
      </w:pPr>
      <w:r w:rsidRPr="000B697A">
        <w:rPr>
          <w:rFonts w:cs="Calibri"/>
        </w:rPr>
        <w:t>Дългосрочната стратегия за управление на риска е съсредоточена към реализиране на следните възможности:</w:t>
      </w:r>
    </w:p>
    <w:p w:rsidR="007502CF" w:rsidRPr="000B697A" w:rsidRDefault="007502CF" w:rsidP="007502CF">
      <w:pPr>
        <w:pStyle w:val="ListParagraph"/>
        <w:widowControl w:val="0"/>
        <w:numPr>
          <w:ilvl w:val="0"/>
          <w:numId w:val="44"/>
        </w:numPr>
        <w:contextualSpacing/>
        <w:rPr>
          <w:rFonts w:cs="Calibri"/>
        </w:rPr>
      </w:pPr>
      <w:proofErr w:type="spellStart"/>
      <w:r w:rsidRPr="000B697A">
        <w:rPr>
          <w:rFonts w:cs="Calibri"/>
        </w:rPr>
        <w:t>Възможност</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общо</w:t>
      </w:r>
      <w:proofErr w:type="spellEnd"/>
      <w:r w:rsidRPr="000B697A">
        <w:rPr>
          <w:rFonts w:cs="Calibri"/>
        </w:rPr>
        <w:t xml:space="preserve"> </w:t>
      </w:r>
      <w:proofErr w:type="spellStart"/>
      <w:r w:rsidRPr="000B697A">
        <w:rPr>
          <w:rFonts w:cs="Calibri"/>
        </w:rPr>
        <w:t>гарантиране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риска</w:t>
      </w:r>
      <w:proofErr w:type="spellEnd"/>
      <w:r w:rsidRPr="000B697A">
        <w:rPr>
          <w:rFonts w:cs="Calibri"/>
        </w:rPr>
        <w:t xml:space="preserve"> (</w:t>
      </w:r>
      <w:proofErr w:type="spellStart"/>
      <w:r w:rsidRPr="000B697A">
        <w:rPr>
          <w:rFonts w:cs="Calibri"/>
        </w:rPr>
        <w:t>обезпечение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всички</w:t>
      </w:r>
      <w:proofErr w:type="spellEnd"/>
      <w:r w:rsidRPr="000B697A">
        <w:rPr>
          <w:rFonts w:cs="Calibri"/>
        </w:rPr>
        <w:t xml:space="preserve"> </w:t>
      </w:r>
      <w:proofErr w:type="spellStart"/>
      <w:r w:rsidRPr="000B697A">
        <w:rPr>
          <w:rFonts w:cs="Calibri"/>
        </w:rPr>
        <w:t>пазарни</w:t>
      </w:r>
      <w:proofErr w:type="spellEnd"/>
      <w:r w:rsidRPr="000B697A">
        <w:rPr>
          <w:rFonts w:cs="Calibri"/>
        </w:rPr>
        <w:t xml:space="preserve"> </w:t>
      </w:r>
      <w:proofErr w:type="spellStart"/>
      <w:r w:rsidRPr="000B697A">
        <w:rPr>
          <w:rFonts w:cs="Calibri"/>
        </w:rPr>
        <w:t>сегменти</w:t>
      </w:r>
      <w:proofErr w:type="spellEnd"/>
      <w:r w:rsidRPr="000B697A">
        <w:rPr>
          <w:rFonts w:cs="Calibri"/>
        </w:rPr>
        <w:t xml:space="preserve">, </w:t>
      </w:r>
      <w:proofErr w:type="spellStart"/>
      <w:r w:rsidRPr="000B697A">
        <w:rPr>
          <w:rFonts w:cs="Calibri"/>
        </w:rPr>
        <w:t>оперирани</w:t>
      </w:r>
      <w:proofErr w:type="spellEnd"/>
      <w:r w:rsidRPr="000B697A">
        <w:rPr>
          <w:rFonts w:cs="Calibri"/>
        </w:rPr>
        <w:t xml:space="preserve"> </w:t>
      </w:r>
      <w:proofErr w:type="spellStart"/>
      <w:r w:rsidRPr="000B697A">
        <w:rPr>
          <w:rFonts w:cs="Calibri"/>
        </w:rPr>
        <w:t>от</w:t>
      </w:r>
      <w:proofErr w:type="spellEnd"/>
      <w:r w:rsidRPr="000B697A">
        <w:rPr>
          <w:rFonts w:cs="Calibri"/>
        </w:rPr>
        <w:t xml:space="preserve"> БНЕБ, </w:t>
      </w:r>
      <w:proofErr w:type="spellStart"/>
      <w:r w:rsidRPr="000B697A">
        <w:rPr>
          <w:rFonts w:cs="Calibri"/>
        </w:rPr>
        <w:t>което</w:t>
      </w:r>
      <w:proofErr w:type="spellEnd"/>
      <w:r w:rsidRPr="000B697A">
        <w:rPr>
          <w:rFonts w:cs="Calibri"/>
        </w:rPr>
        <w:t xml:space="preserve"> </w:t>
      </w:r>
      <w:proofErr w:type="spellStart"/>
      <w:r w:rsidRPr="000B697A">
        <w:rPr>
          <w:rFonts w:cs="Calibri"/>
        </w:rPr>
        <w:t>ще</w:t>
      </w:r>
      <w:proofErr w:type="spellEnd"/>
      <w:r w:rsidRPr="000B697A">
        <w:rPr>
          <w:rFonts w:cs="Calibri"/>
        </w:rPr>
        <w:t xml:space="preserve"> </w:t>
      </w:r>
      <w:proofErr w:type="spellStart"/>
      <w:r w:rsidRPr="000B697A">
        <w:rPr>
          <w:rFonts w:cs="Calibri"/>
        </w:rPr>
        <w:t>допринесе</w:t>
      </w:r>
      <w:proofErr w:type="spellEnd"/>
      <w:r w:rsidRPr="000B697A">
        <w:rPr>
          <w:rFonts w:cs="Calibri"/>
        </w:rPr>
        <w:t xml:space="preserve"> в </w:t>
      </w:r>
      <w:proofErr w:type="spellStart"/>
      <w:r w:rsidRPr="000B697A">
        <w:rPr>
          <w:rFonts w:cs="Calibri"/>
        </w:rPr>
        <w:t>значителна</w:t>
      </w:r>
      <w:proofErr w:type="spellEnd"/>
      <w:r w:rsidRPr="000B697A">
        <w:rPr>
          <w:rFonts w:cs="Calibri"/>
        </w:rPr>
        <w:t xml:space="preserve"> </w:t>
      </w:r>
      <w:proofErr w:type="spellStart"/>
      <w:r w:rsidRPr="000B697A">
        <w:rPr>
          <w:rFonts w:cs="Calibri"/>
        </w:rPr>
        <w:t>степен</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облекчаване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условията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участие</w:t>
      </w:r>
      <w:proofErr w:type="spellEnd"/>
      <w:r w:rsidRPr="000B697A">
        <w:rPr>
          <w:rFonts w:cs="Calibri"/>
        </w:rPr>
        <w:t>;</w:t>
      </w:r>
    </w:p>
    <w:p w:rsidR="007502CF" w:rsidRPr="000B697A" w:rsidRDefault="007502CF" w:rsidP="007502CF">
      <w:pPr>
        <w:pStyle w:val="ListParagraph"/>
        <w:widowControl w:val="0"/>
        <w:numPr>
          <w:ilvl w:val="0"/>
          <w:numId w:val="44"/>
        </w:numPr>
        <w:contextualSpacing/>
        <w:rPr>
          <w:rFonts w:cs="Calibri"/>
        </w:rPr>
      </w:pPr>
      <w:proofErr w:type="spellStart"/>
      <w:r w:rsidRPr="000B697A">
        <w:rPr>
          <w:rFonts w:cs="Calibri"/>
        </w:rPr>
        <w:t>Възможност</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разработка</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собствени</w:t>
      </w:r>
      <w:proofErr w:type="spellEnd"/>
      <w:r w:rsidRPr="000B697A">
        <w:rPr>
          <w:rFonts w:cs="Calibri"/>
        </w:rPr>
        <w:t xml:space="preserve"> </w:t>
      </w:r>
      <w:proofErr w:type="spellStart"/>
      <w:r w:rsidRPr="000B697A">
        <w:rPr>
          <w:rFonts w:cs="Calibri"/>
        </w:rPr>
        <w:t>платформи</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опериране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пазарните</w:t>
      </w:r>
      <w:proofErr w:type="spellEnd"/>
      <w:r w:rsidRPr="000B697A">
        <w:rPr>
          <w:rFonts w:cs="Calibri"/>
        </w:rPr>
        <w:t xml:space="preserve"> </w:t>
      </w:r>
      <w:proofErr w:type="spellStart"/>
      <w:r w:rsidRPr="000B697A">
        <w:rPr>
          <w:rFonts w:cs="Calibri"/>
        </w:rPr>
        <w:t>сегменти</w:t>
      </w:r>
      <w:proofErr w:type="spellEnd"/>
      <w:r w:rsidRPr="000B697A">
        <w:rPr>
          <w:rFonts w:cs="Calibri"/>
        </w:rPr>
        <w:t xml:space="preserve">, </w:t>
      </w:r>
      <w:proofErr w:type="spellStart"/>
      <w:r w:rsidRPr="000B697A">
        <w:rPr>
          <w:rFonts w:cs="Calibri"/>
        </w:rPr>
        <w:t>което</w:t>
      </w:r>
      <w:proofErr w:type="spellEnd"/>
      <w:r w:rsidRPr="000B697A">
        <w:rPr>
          <w:rFonts w:cs="Calibri"/>
        </w:rPr>
        <w:t xml:space="preserve"> </w:t>
      </w:r>
      <w:proofErr w:type="spellStart"/>
      <w:r w:rsidRPr="000B697A">
        <w:rPr>
          <w:rFonts w:cs="Calibri"/>
        </w:rPr>
        <w:t>ще</w:t>
      </w:r>
      <w:proofErr w:type="spellEnd"/>
      <w:r w:rsidRPr="000B697A">
        <w:rPr>
          <w:rFonts w:cs="Calibri"/>
        </w:rPr>
        <w:t xml:space="preserve"> </w:t>
      </w:r>
      <w:proofErr w:type="spellStart"/>
      <w:r w:rsidRPr="000B697A">
        <w:rPr>
          <w:rFonts w:cs="Calibri"/>
        </w:rPr>
        <w:t>намали</w:t>
      </w:r>
      <w:proofErr w:type="spellEnd"/>
      <w:r w:rsidRPr="000B697A">
        <w:rPr>
          <w:rFonts w:cs="Calibri"/>
        </w:rPr>
        <w:t xml:space="preserve"> </w:t>
      </w:r>
      <w:proofErr w:type="spellStart"/>
      <w:r w:rsidRPr="000B697A">
        <w:rPr>
          <w:rFonts w:cs="Calibri"/>
        </w:rPr>
        <w:t>зависимостта</w:t>
      </w:r>
      <w:proofErr w:type="spellEnd"/>
      <w:r w:rsidRPr="000B697A">
        <w:rPr>
          <w:rFonts w:cs="Calibri"/>
        </w:rPr>
        <w:t xml:space="preserve"> </w:t>
      </w:r>
      <w:proofErr w:type="spellStart"/>
      <w:r w:rsidRPr="000B697A">
        <w:rPr>
          <w:rFonts w:cs="Calibri"/>
        </w:rPr>
        <w:t>от</w:t>
      </w:r>
      <w:proofErr w:type="spellEnd"/>
      <w:r w:rsidRPr="000B697A">
        <w:rPr>
          <w:rFonts w:cs="Calibri"/>
        </w:rPr>
        <w:t xml:space="preserve"> </w:t>
      </w:r>
      <w:proofErr w:type="spellStart"/>
      <w:r w:rsidRPr="000B697A">
        <w:rPr>
          <w:rFonts w:cs="Calibri"/>
        </w:rPr>
        <w:t>доставчици</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услугите</w:t>
      </w:r>
      <w:proofErr w:type="spellEnd"/>
      <w:r w:rsidRPr="000B697A">
        <w:rPr>
          <w:rFonts w:cs="Calibri"/>
        </w:rPr>
        <w:t>;</w:t>
      </w:r>
    </w:p>
    <w:p w:rsidR="007502CF" w:rsidRPr="000B697A" w:rsidRDefault="007502CF" w:rsidP="007502CF">
      <w:pPr>
        <w:rPr>
          <w:rFonts w:cs="Calibri"/>
        </w:rPr>
      </w:pPr>
      <w:r w:rsidRPr="000B697A">
        <w:rPr>
          <w:rFonts w:cs="Calibri"/>
        </w:rPr>
        <w:t>Възможност за пазарно обединение на поне две граници, което ще намали пазарната концентрация на предлагането, като едновременно с това ще предотврати потенциалните негативни ефекти от приключването на ангажиментите на Български енергиен холдинг ЕАД по дело AT.39767.</w:t>
      </w:r>
    </w:p>
    <w:p w:rsidR="007502CF" w:rsidRPr="000B697A" w:rsidRDefault="007502CF" w:rsidP="007502CF">
      <w:pPr>
        <w:rPr>
          <w:rFonts w:cs="Calibri"/>
        </w:rPr>
      </w:pPr>
    </w:p>
    <w:p w:rsidR="00947CB6" w:rsidRPr="000B697A" w:rsidRDefault="00947CB6">
      <w:pPr>
        <w:jc w:val="left"/>
        <w:rPr>
          <w:rFonts w:cs="Calibri"/>
          <w:lang w:eastAsia="en-US"/>
        </w:rPr>
      </w:pPr>
      <w:r w:rsidRPr="000B697A">
        <w:rPr>
          <w:rFonts w:cs="Calibri"/>
        </w:rPr>
        <w:br w:type="page"/>
      </w:r>
    </w:p>
    <w:p w:rsidR="007D0731" w:rsidRPr="000B697A" w:rsidRDefault="00010F33" w:rsidP="00A46753">
      <w:pPr>
        <w:pStyle w:val="Mainnumbers"/>
        <w:outlineLvl w:val="0"/>
        <w:rPr>
          <w:rFonts w:cs="Calibri"/>
          <w:lang w:val="bg-BG"/>
        </w:rPr>
      </w:pPr>
      <w:bookmarkStart w:id="102" w:name="_Toc283112131"/>
      <w:bookmarkStart w:id="103" w:name="_Toc6923255"/>
      <w:r w:rsidRPr="000B697A">
        <w:rPr>
          <w:rFonts w:cs="Calibri"/>
          <w:lang w:val="bg-BG"/>
        </w:rPr>
        <w:lastRenderedPageBreak/>
        <w:t xml:space="preserve">ФИНАНСОВО СЪСТОЯНИЕ НА </w:t>
      </w:r>
      <w:bookmarkEnd w:id="100"/>
      <w:bookmarkEnd w:id="102"/>
      <w:r w:rsidRPr="000B697A">
        <w:rPr>
          <w:rFonts w:cs="Calibri"/>
          <w:lang w:val="bg-BG"/>
        </w:rPr>
        <w:t>ГРУПА БЪЛГАРСКА ФОНДОВА БОРСА</w:t>
      </w:r>
      <w:bookmarkEnd w:id="103"/>
    </w:p>
    <w:p w:rsidR="007D0731" w:rsidRPr="000B697A" w:rsidRDefault="00E510B7" w:rsidP="00E066C6">
      <w:pPr>
        <w:rPr>
          <w:rFonts w:cs="Calibri"/>
        </w:rPr>
      </w:pPr>
      <w:r w:rsidRPr="000B697A">
        <w:rPr>
          <w:rFonts w:cs="Calibri"/>
        </w:rPr>
        <w:t>Консолидираният ф</w:t>
      </w:r>
      <w:r w:rsidR="00010F33" w:rsidRPr="000B697A">
        <w:rPr>
          <w:rFonts w:cs="Calibri"/>
        </w:rPr>
        <w:t>инансов отчет на Група Българска фондова борса е изготвен съгласно приетата счетоводна политика на Групата и предоставя информация за финансовото й състояние и резултатите от дейността й.</w:t>
      </w:r>
    </w:p>
    <w:p w:rsidR="0040672E" w:rsidRPr="000B697A" w:rsidRDefault="00856744" w:rsidP="0016443B">
      <w:pPr>
        <w:pStyle w:val="SubNumbers"/>
        <w:rPr>
          <w:rFonts w:cs="Calibri"/>
        </w:rPr>
      </w:pPr>
      <w:bookmarkStart w:id="104" w:name="_Toc6923256"/>
      <w:r w:rsidRPr="000B697A">
        <w:rPr>
          <w:rFonts w:cs="Calibri"/>
        </w:rPr>
        <w:t>Основни финансови показатели на групата</w:t>
      </w:r>
      <w:bookmarkEnd w:id="104"/>
    </w:p>
    <w:p w:rsidR="00DC6E43" w:rsidRPr="000B697A" w:rsidRDefault="00DC6E43" w:rsidP="00985E8C">
      <w:pPr>
        <w:pStyle w:val="SubSubNumber"/>
        <w:outlineLvl w:val="9"/>
        <w:rPr>
          <w:rFonts w:cs="Calibri"/>
        </w:rPr>
      </w:pPr>
      <w:r w:rsidRPr="000B697A">
        <w:rPr>
          <w:rFonts w:cs="Calibri"/>
        </w:rPr>
        <w:t>Активи/пасиви</w:t>
      </w:r>
    </w:p>
    <w:p w:rsidR="00A35014" w:rsidRPr="000B697A" w:rsidRDefault="00A35014" w:rsidP="00A35014">
      <w:pPr>
        <w:tabs>
          <w:tab w:val="left" w:pos="360"/>
        </w:tabs>
        <w:rPr>
          <w:rFonts w:cs="Calibri"/>
        </w:rPr>
      </w:pPr>
      <w:r w:rsidRPr="000B697A">
        <w:rPr>
          <w:rFonts w:cs="Calibri"/>
        </w:rPr>
        <w:t xml:space="preserve">Сумата на активите на група „Българска фондова борса“ АД към края на </w:t>
      </w:r>
      <w:r w:rsidR="00036C58" w:rsidRPr="000B697A">
        <w:rPr>
          <w:rFonts w:cs="Calibri"/>
        </w:rPr>
        <w:t>2018 г. е с 95.7 милиона лв. (890</w:t>
      </w:r>
      <w:r w:rsidRPr="000B697A">
        <w:rPr>
          <w:rFonts w:cs="Calibri"/>
        </w:rPr>
        <w:t>%) по-висока от стойността им в края на 2017 г. Основната промяна се дължи на придобиването на дъщерното дружество „Българска независима енергийна борса“ ЕАД.</w:t>
      </w:r>
    </w:p>
    <w:p w:rsidR="00A35014" w:rsidRPr="000B697A" w:rsidRDefault="00A35014" w:rsidP="00A35014">
      <w:pPr>
        <w:tabs>
          <w:tab w:val="left" w:pos="360"/>
        </w:tabs>
        <w:rPr>
          <w:rFonts w:cs="Calibri"/>
        </w:rPr>
      </w:pPr>
      <w:r w:rsidRPr="000B697A">
        <w:rPr>
          <w:rFonts w:cs="Calibri"/>
        </w:rPr>
        <w:t>Значително нарастват Нематериални активи (</w:t>
      </w:r>
      <w:r w:rsidR="00036C58" w:rsidRPr="000B697A">
        <w:rPr>
          <w:rFonts w:cs="Calibri"/>
        </w:rPr>
        <w:t>507</w:t>
      </w:r>
      <w:r w:rsidRPr="000B697A">
        <w:rPr>
          <w:rFonts w:cs="Calibri"/>
        </w:rPr>
        <w:t xml:space="preserve"> хил. лв.). Положителна репутация в размер на 1.25 милиона лева от придобиването на БНЕБ е отразена в позицията Репутация. Цената за придобиването на дъщерното дружество бе платена със собствени средства на дружеството–майка, съответно, с 4.02 милиона намаляват Дългови инвестиции</w:t>
      </w:r>
      <w:r w:rsidRPr="000B697A">
        <w:rPr>
          <w:rFonts w:cs="Calibri"/>
          <w:lang w:val="en-US"/>
        </w:rPr>
        <w:t>,</w:t>
      </w:r>
      <w:r w:rsidRPr="000B697A">
        <w:rPr>
          <w:rFonts w:cs="Calibri"/>
        </w:rPr>
        <w:t xml:space="preserve"> оценявани по амортизирана стойност, където бяха отразени продадените за целта ДЦК. Останалата част от дължимата по придобиването сума е разсрочена и е отразена в пасивите в Текущи задължения.</w:t>
      </w:r>
    </w:p>
    <w:p w:rsidR="00A35014" w:rsidRPr="000B697A" w:rsidRDefault="00036C58" w:rsidP="00A35014">
      <w:pPr>
        <w:tabs>
          <w:tab w:val="left" w:pos="360"/>
        </w:tabs>
        <w:rPr>
          <w:rFonts w:cs="Calibri"/>
        </w:rPr>
      </w:pPr>
      <w:r w:rsidRPr="000B697A">
        <w:rPr>
          <w:rFonts w:cs="Calibri"/>
        </w:rPr>
        <w:t>Текущите активи нарастват с 98</w:t>
      </w:r>
      <w:r w:rsidR="00A35014" w:rsidRPr="000B697A">
        <w:rPr>
          <w:rFonts w:cs="Calibri"/>
        </w:rPr>
        <w:t xml:space="preserve"> милиона лева заради ръст на стойността на </w:t>
      </w:r>
      <w:r w:rsidRPr="000B697A">
        <w:rPr>
          <w:rFonts w:cs="Calibri"/>
        </w:rPr>
        <w:t>позициите Търговски вземания (24.4</w:t>
      </w:r>
      <w:r w:rsidR="00A35014" w:rsidRPr="000B697A">
        <w:rPr>
          <w:rFonts w:cs="Calibri"/>
        </w:rPr>
        <w:t xml:space="preserve"> милиона лв.), Данъци за възстановяване (4.9 милиона лв.) и Парични сред</w:t>
      </w:r>
      <w:r w:rsidRPr="000B697A">
        <w:rPr>
          <w:rFonts w:cs="Calibri"/>
        </w:rPr>
        <w:t>ства и парични еквиваленти (69,4 милиона лв.). Спад от 60</w:t>
      </w:r>
      <w:r w:rsidR="00A35014" w:rsidRPr="000B697A">
        <w:rPr>
          <w:rFonts w:cs="Calibri"/>
        </w:rPr>
        <w:t>3 хиляди има в стойността на Други вземания и предплатени разходи, тъй като е отразена обезценката на вземане на дружеството – майка по цесия на депозит в банка, обявена в ликвидация (Виж т.</w:t>
      </w:r>
      <w:r w:rsidRPr="000B697A">
        <w:rPr>
          <w:rFonts w:cs="Calibri"/>
        </w:rPr>
        <w:t xml:space="preserve"> </w:t>
      </w:r>
      <w:r w:rsidR="00004CA5">
        <w:fldChar w:fldCharType="begin"/>
      </w:r>
      <w:r w:rsidR="00004CA5">
        <w:instrText xml:space="preserve"> REF _Ref448922536 \r \h  \* MERGEFORMAT </w:instrText>
      </w:r>
      <w:r w:rsidR="00004CA5">
        <w:fldChar w:fldCharType="separate"/>
      </w:r>
      <w:r w:rsidR="00AA0D62" w:rsidRPr="00AA0D62">
        <w:rPr>
          <w:rFonts w:cs="Calibri"/>
        </w:rPr>
        <w:t>3.1.2</w:t>
      </w:r>
      <w:r w:rsidR="00004CA5">
        <w:fldChar w:fldCharType="end"/>
      </w:r>
      <w:r w:rsidRPr="000B697A">
        <w:rPr>
          <w:rFonts w:cs="Calibri"/>
        </w:rPr>
        <w:t xml:space="preserve"> </w:t>
      </w:r>
      <w:r w:rsidR="00004CA5">
        <w:fldChar w:fldCharType="begin"/>
      </w:r>
      <w:r w:rsidR="00004CA5">
        <w:instrText xml:space="preserve"> REF _Ref448922536 \h  \* MERGEFORMAT </w:instrText>
      </w:r>
      <w:r w:rsidR="00004CA5">
        <w:fldChar w:fldCharType="separate"/>
      </w:r>
      <w:r w:rsidR="00AA0D62" w:rsidRPr="000B697A">
        <w:rPr>
          <w:rFonts w:cs="Calibri"/>
        </w:rPr>
        <w:t>Приходи/разходи</w:t>
      </w:r>
      <w:r w:rsidR="00004CA5">
        <w:fldChar w:fldCharType="end"/>
      </w:r>
      <w:r w:rsidR="00A35014" w:rsidRPr="000B697A">
        <w:rPr>
          <w:rFonts w:cs="Calibri"/>
        </w:rPr>
        <w:t>). Към края на 2017 и на отчетния период Групата няма срочни депозити в банки.</w:t>
      </w:r>
    </w:p>
    <w:p w:rsidR="00A35014" w:rsidRPr="000B697A" w:rsidRDefault="00A35014" w:rsidP="00A35014">
      <w:pPr>
        <w:tabs>
          <w:tab w:val="left" w:pos="360"/>
        </w:tabs>
        <w:rPr>
          <w:rFonts w:cs="Calibri"/>
        </w:rPr>
      </w:pPr>
      <w:r w:rsidRPr="000B697A">
        <w:rPr>
          <w:rFonts w:cs="Calibri"/>
        </w:rPr>
        <w:t>Описаните промени в Актива се дължат основно на консолидацията на Българска независима енергийна борса. Начинът на работа на БНЕБ и моделът на разплащане по сделките с електрическа енергия се характеризира с големи вземания, данъци за възстановяване и парични средства, които отчитат Гаранционния фонд на Енергийната борса.</w:t>
      </w:r>
    </w:p>
    <w:p w:rsidR="00A35014" w:rsidRPr="000B697A" w:rsidRDefault="00A35014" w:rsidP="00A35014">
      <w:pPr>
        <w:tabs>
          <w:tab w:val="left" w:pos="360"/>
        </w:tabs>
        <w:rPr>
          <w:rFonts w:cs="Calibri"/>
        </w:rPr>
      </w:pPr>
      <w:r w:rsidRPr="000B697A">
        <w:rPr>
          <w:rFonts w:cs="Calibri"/>
        </w:rPr>
        <w:t>По отношение на пасива, към края на 2017 година бе натрупана печалба в размер на 147 хиляди лева. Към края на текущия период е н</w:t>
      </w:r>
      <w:r w:rsidR="00036C58" w:rsidRPr="000B697A">
        <w:rPr>
          <w:rFonts w:cs="Calibri"/>
        </w:rPr>
        <w:t>атрупана печалба в размер на 3.2</w:t>
      </w:r>
      <w:r w:rsidRPr="000B697A">
        <w:rPr>
          <w:rFonts w:cs="Calibri"/>
        </w:rPr>
        <w:t xml:space="preserve"> милиона лева. Натрупаната печалба на групата в края на </w:t>
      </w:r>
      <w:r w:rsidR="00327BE2">
        <w:rPr>
          <w:rFonts w:cs="Calibri"/>
        </w:rPr>
        <w:t>годината</w:t>
      </w:r>
      <w:r w:rsidR="00AE56E3" w:rsidRPr="000B697A">
        <w:rPr>
          <w:rFonts w:cs="Calibri"/>
        </w:rPr>
        <w:t xml:space="preserve"> </w:t>
      </w:r>
      <w:r w:rsidRPr="000B697A">
        <w:rPr>
          <w:rFonts w:cs="Calibri"/>
        </w:rPr>
        <w:t>се дължи основно на резултата от дейността през текущия период.</w:t>
      </w:r>
    </w:p>
    <w:p w:rsidR="00A35014" w:rsidRPr="000B697A" w:rsidRDefault="00A35014" w:rsidP="00A35014">
      <w:pPr>
        <w:tabs>
          <w:tab w:val="left" w:pos="360"/>
        </w:tabs>
        <w:rPr>
          <w:rFonts w:cs="Calibri"/>
        </w:rPr>
      </w:pPr>
      <w:r w:rsidRPr="000B697A">
        <w:rPr>
          <w:rFonts w:cs="Calibri"/>
        </w:rPr>
        <w:t>Нетекущи задължения намаляват незначително с 6 хиляди лева вследствие спад на Дългосрочни задължения към персонала при пенсиониране.</w:t>
      </w:r>
    </w:p>
    <w:p w:rsidR="006A0674" w:rsidRPr="000B697A" w:rsidRDefault="00A35014" w:rsidP="00947CB6">
      <w:pPr>
        <w:rPr>
          <w:rFonts w:cs="Calibri"/>
        </w:rPr>
      </w:pPr>
      <w:r w:rsidRPr="000B697A">
        <w:rPr>
          <w:rFonts w:cs="Calibri"/>
        </w:rPr>
        <w:t>Текущите за</w:t>
      </w:r>
      <w:r w:rsidR="00036C58" w:rsidRPr="000B697A">
        <w:rPr>
          <w:rFonts w:cs="Calibri"/>
        </w:rPr>
        <w:t>дължения отбелязват ръст от 92,7</w:t>
      </w:r>
      <w:r w:rsidRPr="000B697A">
        <w:rPr>
          <w:rFonts w:cs="Calibri"/>
        </w:rPr>
        <w:t xml:space="preserve"> милиона лв. вследствие нарастване на Задължения към доставчици и други кредитори. То се дължи на задължения на БНЕБ към търговците на електроенергия по сделки с енергия и за Обезпечения (гаранционни депозити) за доставка на електрическа енергия, внесени от търговските участници на енергийния борсов пазар. Като текущо задължение са отразени и двете дължими към февруари и юли 2019 година </w:t>
      </w:r>
      <w:r w:rsidRPr="000B697A">
        <w:rPr>
          <w:rFonts w:cs="Calibri"/>
        </w:rPr>
        <w:lastRenderedPageBreak/>
        <w:t>вноски към Български енергиен холдинг във връзка с плащането на цената за придобиване от Група БФБ на Българска независима енергийна борса</w:t>
      </w:r>
    </w:p>
    <w:p w:rsidR="00DC6E43" w:rsidRPr="000B697A" w:rsidRDefault="00DC6E43" w:rsidP="00985E8C">
      <w:pPr>
        <w:pStyle w:val="SubSubNumber"/>
        <w:outlineLvl w:val="9"/>
        <w:rPr>
          <w:rFonts w:cs="Calibri"/>
        </w:rPr>
      </w:pPr>
      <w:bookmarkStart w:id="105" w:name="_Ref448922536"/>
      <w:r w:rsidRPr="000B697A">
        <w:rPr>
          <w:rFonts w:cs="Calibri"/>
        </w:rPr>
        <w:t>Приходи/разходи</w:t>
      </w:r>
      <w:bookmarkEnd w:id="105"/>
    </w:p>
    <w:p w:rsidR="00A35014" w:rsidRPr="000B697A" w:rsidRDefault="00A35014" w:rsidP="00A35014">
      <w:pPr>
        <w:rPr>
          <w:rFonts w:cs="Calibri"/>
        </w:rPr>
      </w:pPr>
      <w:r w:rsidRPr="000B697A">
        <w:rPr>
          <w:rFonts w:cs="Calibri"/>
        </w:rPr>
        <w:t xml:space="preserve">По отношение на Приходите от договори с клиенти, Групата реализира ръст спрямо 2017 г. от </w:t>
      </w:r>
      <w:r w:rsidR="005C5492" w:rsidRPr="000B697A">
        <w:rPr>
          <w:rFonts w:cs="Calibri"/>
        </w:rPr>
        <w:t>2</w:t>
      </w:r>
      <w:r w:rsidR="005C5492">
        <w:rPr>
          <w:rFonts w:cs="Calibri"/>
        </w:rPr>
        <w:t>95</w:t>
      </w:r>
      <w:r w:rsidRPr="000B697A">
        <w:rPr>
          <w:rFonts w:cs="Calibri"/>
        </w:rPr>
        <w:t xml:space="preserve">%, който се дължи главно на консолидацията на приходите на БНЕБ, отразени в Такса оборот върху изтъргувано количество електроенергия (3 816 хил. лв.), Годишна такса за участие в пазара на електроенергия (1 116 хил. лв.), Такса </w:t>
      </w:r>
      <w:proofErr w:type="spellStart"/>
      <w:r w:rsidRPr="000B697A">
        <w:rPr>
          <w:rFonts w:cs="Calibri"/>
        </w:rPr>
        <w:t>сетълмент</w:t>
      </w:r>
      <w:proofErr w:type="spellEnd"/>
      <w:r w:rsidRPr="000B697A">
        <w:rPr>
          <w:rFonts w:cs="Calibri"/>
        </w:rPr>
        <w:t xml:space="preserve"> за сделки с електроенергия (838 хил. лв.), Приходи от такса при регистрация на пазар на електроенергия (372 хил. лв.) и Докладване на данни по REMIT (244 хил. лв.) в приходите на Групата. По отношение приходите на дружеството-майка</w:t>
      </w:r>
      <w:r w:rsidR="00EE6430">
        <w:rPr>
          <w:rFonts w:cs="Calibri"/>
          <w:lang w:val="en-US"/>
        </w:rPr>
        <w:t>,</w:t>
      </w:r>
      <w:r w:rsidRPr="000B697A">
        <w:rPr>
          <w:rFonts w:cs="Calibri"/>
        </w:rPr>
        <w:t xml:space="preserve"> Комисионни за сделки на Борсата намаля с 31%, а Такси за информационно обслужване нарасна с 23%. „Финансовите приходи“ нараснаха от 187 </w:t>
      </w:r>
      <w:r w:rsidR="00036C58" w:rsidRPr="000B697A">
        <w:rPr>
          <w:rFonts w:cs="Calibri"/>
        </w:rPr>
        <w:t>хил. лв. през 2017 година до 670</w:t>
      </w:r>
      <w:r w:rsidRPr="000B697A">
        <w:rPr>
          <w:rFonts w:cs="Calibri"/>
        </w:rPr>
        <w:t xml:space="preserve"> хил. лв. заради отчетените в тях приходи от продажбата на ДЦК, свързани с придобиването на БНЕБ. По останалите приходни пера има незначително в абсолютна стойност разнопосочно движение.</w:t>
      </w:r>
    </w:p>
    <w:p w:rsidR="00A35014" w:rsidRPr="000B697A" w:rsidRDefault="00A35014" w:rsidP="00A35014">
      <w:pPr>
        <w:rPr>
          <w:rFonts w:cs="Calibri"/>
        </w:rPr>
      </w:pPr>
      <w:r w:rsidRPr="000B697A">
        <w:rPr>
          <w:rFonts w:cs="Calibri"/>
        </w:rPr>
        <w:t>Към 31.12.2017 г. бе реализирана печалба от оперативна дейност на Групата в размер на 28 хил. лв., а през текущия период операт</w:t>
      </w:r>
      <w:r w:rsidR="00090C53" w:rsidRPr="000B697A">
        <w:rPr>
          <w:rFonts w:cs="Calibri"/>
        </w:rPr>
        <w:t>ивната печалба е на стойност 3 0</w:t>
      </w:r>
      <w:r w:rsidRPr="000B697A">
        <w:rPr>
          <w:rFonts w:cs="Calibri"/>
        </w:rPr>
        <w:t>4</w:t>
      </w:r>
      <w:r w:rsidR="00090C53" w:rsidRPr="000B697A">
        <w:rPr>
          <w:rFonts w:cs="Calibri"/>
        </w:rPr>
        <w:t>3</w:t>
      </w:r>
      <w:r w:rsidRPr="000B697A">
        <w:rPr>
          <w:rFonts w:cs="Calibri"/>
        </w:rPr>
        <w:t xml:space="preserve"> хил. лв. Печалбата от оперативна дейност е в следствие на консолидацията на приходите на дъщерното дружество Българска независима енергийна борса на фона на ниските нива на приходите от основната дейност на дружеството-майка, по-конкретно – ниските приходи от Комисиони за сделки на Борсата, спад в останалите приходи с изключение на Такси за информационно обслужване, както и ръст на Други разходи за дейността, където е отразена обезценката, във връзка с решение на Съвета на директорите на дружеството - майка вземането по договор за цесия в размер на 1 214 245.57 лева да бъде обезценено с 50 % от стойността му в отчета за 2018 г.</w:t>
      </w:r>
      <w:r w:rsidR="00090C53" w:rsidRPr="000B697A">
        <w:rPr>
          <w:rFonts w:cs="Calibri"/>
        </w:rPr>
        <w:t xml:space="preserve"> В същата позиция е отразена и обезценката на търговско вземане на дъщерното дружество „Българска независима енергийна борса“ ЕАД в размер на 674 хил. лв</w:t>
      </w:r>
      <w:r w:rsidRPr="000B697A">
        <w:rPr>
          <w:rFonts w:cs="Calibri"/>
        </w:rPr>
        <w:t xml:space="preserve">. Общият всеобхватен доход за периода се променя от 271 хиляди лева към </w:t>
      </w:r>
      <w:r w:rsidR="00090C53" w:rsidRPr="000B697A">
        <w:rPr>
          <w:rFonts w:cs="Calibri"/>
        </w:rPr>
        <w:t>31 декември 2017 година до 3 252</w:t>
      </w:r>
      <w:r w:rsidRPr="000B697A">
        <w:rPr>
          <w:rFonts w:cs="Calibri"/>
        </w:rPr>
        <w:t xml:space="preserve"> хил. лв. в края на отчетния период.</w:t>
      </w:r>
    </w:p>
    <w:p w:rsidR="00090C53" w:rsidRPr="000B697A" w:rsidRDefault="00A35014" w:rsidP="00A35014">
      <w:pPr>
        <w:rPr>
          <w:rFonts w:cs="Calibri"/>
        </w:rPr>
      </w:pPr>
      <w:r w:rsidRPr="000B697A">
        <w:rPr>
          <w:rFonts w:cs="Calibri"/>
        </w:rPr>
        <w:t>По основните разходни пера (без да взимаме предвид Други разходи заради отчетен</w:t>
      </w:r>
      <w:r w:rsidR="00090C53" w:rsidRPr="000B697A">
        <w:rPr>
          <w:rFonts w:cs="Calibri"/>
        </w:rPr>
        <w:t>и</w:t>
      </w:r>
      <w:r w:rsidRPr="000B697A">
        <w:rPr>
          <w:rFonts w:cs="Calibri"/>
        </w:rPr>
        <w:t>т</w:t>
      </w:r>
      <w:r w:rsidR="00090C53" w:rsidRPr="000B697A">
        <w:rPr>
          <w:rFonts w:cs="Calibri"/>
        </w:rPr>
        <w:t>е там обезценки</w:t>
      </w:r>
      <w:r w:rsidRPr="000B697A">
        <w:rPr>
          <w:rFonts w:cs="Calibri"/>
        </w:rPr>
        <w:t>) има ръст от 116% спрямо 31.12</w:t>
      </w:r>
      <w:r w:rsidR="00090C53" w:rsidRPr="000B697A">
        <w:rPr>
          <w:rFonts w:cs="Calibri"/>
        </w:rPr>
        <w:t>.2017 година. Нарастване с 1 332 хиляди лева или 168</w:t>
      </w:r>
      <w:r w:rsidRPr="000B697A">
        <w:rPr>
          <w:rFonts w:cs="Calibri"/>
        </w:rPr>
        <w:t xml:space="preserve">% има при „Разходи за външни услуги“, което се дължи основно на ръст в „Лицензионни такси“, които дружествата в Групата заплащат за използване на различните информационни системи, необходими за осигуряване на правилното функциониране на пазарната инфраструктура и ръст на “Консултантски услуги“ заради влизането в сила на Общия регламент за личните данни и свързаните с това промени в системата за управление на дружествата от групата. „Разходи за персонала“ </w:t>
      </w:r>
      <w:r w:rsidR="00090C53" w:rsidRPr="000B697A">
        <w:rPr>
          <w:rFonts w:cs="Calibri"/>
        </w:rPr>
        <w:t>на свой ред се увеличават със 78% или 970</w:t>
      </w:r>
      <w:r w:rsidRPr="000B697A">
        <w:rPr>
          <w:rFonts w:cs="Calibri"/>
        </w:rPr>
        <w:t xml:space="preserve"> хил. лева. Промяната в останалите разходни пера е незначителна в абсолютна стойност</w:t>
      </w:r>
      <w:r w:rsidR="00541757" w:rsidRPr="000B697A">
        <w:rPr>
          <w:rFonts w:cs="Calibri"/>
        </w:rPr>
        <w:t>.</w:t>
      </w:r>
    </w:p>
    <w:p w:rsidR="00090C53" w:rsidRPr="000B697A" w:rsidRDefault="00090C53">
      <w:pPr>
        <w:spacing w:line="240" w:lineRule="auto"/>
        <w:jc w:val="left"/>
        <w:rPr>
          <w:rFonts w:cs="Calibri"/>
        </w:rPr>
      </w:pPr>
      <w:r w:rsidRPr="000B697A">
        <w:rPr>
          <w:rFonts w:cs="Calibri"/>
        </w:rPr>
        <w:br w:type="page"/>
      </w:r>
    </w:p>
    <w:p w:rsidR="00947CB6" w:rsidRPr="000B697A" w:rsidRDefault="00947CB6" w:rsidP="00985E8C">
      <w:pPr>
        <w:pStyle w:val="SubSubNumber"/>
        <w:outlineLvl w:val="9"/>
        <w:rPr>
          <w:rFonts w:cs="Calibri"/>
        </w:rPr>
      </w:pPr>
      <w:bookmarkStart w:id="106" w:name="_Toc475093638"/>
      <w:r w:rsidRPr="000B697A">
        <w:rPr>
          <w:rFonts w:cs="Calibri"/>
        </w:rPr>
        <w:lastRenderedPageBreak/>
        <w:t>Финансов резултат</w:t>
      </w:r>
      <w:bookmarkEnd w:id="106"/>
    </w:p>
    <w:p w:rsidR="00947CB6" w:rsidRPr="000B697A" w:rsidRDefault="00A35014" w:rsidP="00947CB6">
      <w:pPr>
        <w:rPr>
          <w:rFonts w:cs="Calibri"/>
        </w:rPr>
      </w:pPr>
      <w:r w:rsidRPr="000B697A">
        <w:rPr>
          <w:rFonts w:cs="Calibri"/>
        </w:rPr>
        <w:t>Към края на 2018 г. нетният финансов резултат, реализиран от Група „Българска фондова борса“ АД е печалба в размер на 3 </w:t>
      </w:r>
      <w:r w:rsidR="00090C53" w:rsidRPr="000B697A">
        <w:rPr>
          <w:rFonts w:cs="Calibri"/>
        </w:rPr>
        <w:t>292</w:t>
      </w:r>
      <w:r w:rsidRPr="000B697A">
        <w:rPr>
          <w:rFonts w:cs="Calibri"/>
        </w:rPr>
        <w:t xml:space="preserve"> хил. лв., което се дължи главно на консолидацията на дъщерното дружество Българска независима енергийна борса и ръст на „Финансови приходи“, значителен спад в оперативните приходи и ръст в оперативните разходи на дружеството-майка</w:t>
      </w:r>
      <w:r w:rsidR="006A0674" w:rsidRPr="000B697A">
        <w:rPr>
          <w:rFonts w:cs="Calibri"/>
        </w:rPr>
        <w:t>.</w:t>
      </w:r>
    </w:p>
    <w:p w:rsidR="007D0731" w:rsidRPr="000B697A" w:rsidRDefault="00010F33" w:rsidP="00985E8C">
      <w:pPr>
        <w:pStyle w:val="SubSubNumber"/>
        <w:outlineLvl w:val="9"/>
        <w:rPr>
          <w:rFonts w:cs="Calibri"/>
        </w:rPr>
      </w:pPr>
      <w:r w:rsidRPr="000B697A">
        <w:rPr>
          <w:rFonts w:cs="Calibri"/>
        </w:rPr>
        <w:t>Основен доход на акция</w:t>
      </w:r>
    </w:p>
    <w:tbl>
      <w:tblPr>
        <w:tblW w:w="9854" w:type="dxa"/>
        <w:jc w:val="center"/>
        <w:tblLook w:val="04A0" w:firstRow="1" w:lastRow="0" w:firstColumn="1" w:lastColumn="0" w:noHBand="0" w:noVBand="1"/>
      </w:tblPr>
      <w:tblGrid>
        <w:gridCol w:w="4835"/>
        <w:gridCol w:w="1402"/>
        <w:gridCol w:w="1267"/>
        <w:gridCol w:w="1204"/>
        <w:gridCol w:w="1146"/>
      </w:tblGrid>
      <w:tr w:rsidR="00090C53" w:rsidRPr="000B697A" w:rsidTr="00910AE6">
        <w:trPr>
          <w:trHeight w:val="170"/>
          <w:jc w:val="center"/>
        </w:trPr>
        <w:tc>
          <w:tcPr>
            <w:tcW w:w="4835"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090C53" w:rsidRPr="000B697A" w:rsidRDefault="00090C53" w:rsidP="00090C53">
            <w:pPr>
              <w:rPr>
                <w:rFonts w:cs="Calibri"/>
                <w:b/>
                <w:bCs/>
                <w:i/>
                <w:iCs/>
                <w:color w:val="FFFFFF"/>
                <w:sz w:val="20"/>
                <w:szCs w:val="20"/>
                <w:lang w:eastAsia="en-US"/>
              </w:rPr>
            </w:pPr>
            <w:r w:rsidRPr="000B697A">
              <w:rPr>
                <w:rFonts w:cs="Calibri"/>
                <w:b/>
                <w:bCs/>
                <w:i/>
                <w:iCs/>
                <w:color w:val="FFFFFF"/>
                <w:sz w:val="20"/>
                <w:szCs w:val="20"/>
                <w:lang w:eastAsia="en-US"/>
              </w:rPr>
              <w:t xml:space="preserve">Основен доход/(загуба) на акция </w:t>
            </w:r>
          </w:p>
        </w:tc>
        <w:tc>
          <w:tcPr>
            <w:tcW w:w="1402"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090C53" w:rsidRPr="000B697A" w:rsidRDefault="00090C53" w:rsidP="00090C53">
            <w:pPr>
              <w:jc w:val="center"/>
              <w:rPr>
                <w:rFonts w:cs="Calibri"/>
                <w:b/>
                <w:bCs/>
                <w:i/>
                <w:iCs/>
                <w:color w:val="FFFFFF"/>
                <w:sz w:val="20"/>
                <w:szCs w:val="20"/>
                <w:lang w:eastAsia="en-US"/>
              </w:rPr>
            </w:pPr>
            <w:r w:rsidRPr="000B697A">
              <w:rPr>
                <w:rFonts w:cs="Calibri"/>
                <w:b/>
                <w:bCs/>
                <w:i/>
                <w:iCs/>
                <w:color w:val="FFFFFF"/>
                <w:sz w:val="20"/>
                <w:szCs w:val="20"/>
                <w:lang w:eastAsia="en-US"/>
              </w:rPr>
              <w:t>2015</w:t>
            </w:r>
          </w:p>
        </w:tc>
        <w:tc>
          <w:tcPr>
            <w:tcW w:w="1267" w:type="dxa"/>
            <w:tcBorders>
              <w:top w:val="single" w:sz="4" w:space="0" w:color="auto"/>
              <w:left w:val="nil"/>
              <w:bottom w:val="single" w:sz="4" w:space="0" w:color="auto"/>
              <w:right w:val="single" w:sz="4" w:space="0" w:color="auto"/>
            </w:tcBorders>
            <w:shd w:val="clear" w:color="000000" w:fill="4F81BD"/>
            <w:noWrap/>
            <w:tcMar>
              <w:left w:w="57" w:type="dxa"/>
              <w:right w:w="57" w:type="dxa"/>
            </w:tcMar>
            <w:hideMark/>
          </w:tcPr>
          <w:p w:rsidR="00090C53" w:rsidRPr="000B697A" w:rsidRDefault="00090C53" w:rsidP="00090C53">
            <w:pPr>
              <w:jc w:val="center"/>
              <w:rPr>
                <w:rFonts w:cs="Calibri"/>
                <w:b/>
                <w:bCs/>
                <w:i/>
                <w:iCs/>
                <w:color w:val="FFFFFF"/>
                <w:sz w:val="20"/>
                <w:szCs w:val="20"/>
                <w:lang w:eastAsia="en-US"/>
              </w:rPr>
            </w:pPr>
            <w:r w:rsidRPr="000B697A">
              <w:rPr>
                <w:rFonts w:cs="Calibri"/>
                <w:b/>
                <w:bCs/>
                <w:i/>
                <w:iCs/>
                <w:color w:val="FFFFFF"/>
                <w:sz w:val="20"/>
                <w:szCs w:val="20"/>
                <w:lang w:eastAsia="en-US"/>
              </w:rPr>
              <w:t>2016</w:t>
            </w:r>
          </w:p>
        </w:tc>
        <w:tc>
          <w:tcPr>
            <w:tcW w:w="1204" w:type="dxa"/>
            <w:tcBorders>
              <w:top w:val="single" w:sz="4" w:space="0" w:color="auto"/>
              <w:left w:val="nil"/>
              <w:bottom w:val="single" w:sz="4" w:space="0" w:color="auto"/>
              <w:right w:val="single" w:sz="4" w:space="0" w:color="auto"/>
            </w:tcBorders>
            <w:shd w:val="clear" w:color="000000" w:fill="4F81BD"/>
            <w:tcMar>
              <w:left w:w="57" w:type="dxa"/>
              <w:right w:w="57" w:type="dxa"/>
            </w:tcMar>
          </w:tcPr>
          <w:p w:rsidR="00090C53" w:rsidRPr="000B697A" w:rsidRDefault="00090C53" w:rsidP="00090C53">
            <w:pPr>
              <w:jc w:val="center"/>
              <w:rPr>
                <w:rFonts w:cs="Calibri"/>
                <w:b/>
                <w:bCs/>
                <w:i/>
                <w:iCs/>
                <w:color w:val="FFFFFF"/>
                <w:sz w:val="20"/>
                <w:szCs w:val="20"/>
                <w:lang w:eastAsia="en-US"/>
              </w:rPr>
            </w:pPr>
            <w:r w:rsidRPr="000B697A">
              <w:rPr>
                <w:rFonts w:cs="Calibri"/>
                <w:b/>
                <w:bCs/>
                <w:i/>
                <w:iCs/>
                <w:color w:val="FFFFFF"/>
                <w:sz w:val="20"/>
                <w:szCs w:val="20"/>
                <w:lang w:eastAsia="en-US"/>
              </w:rPr>
              <w:t>2017</w:t>
            </w:r>
          </w:p>
        </w:tc>
        <w:tc>
          <w:tcPr>
            <w:tcW w:w="1146" w:type="dxa"/>
            <w:tcBorders>
              <w:top w:val="single" w:sz="4" w:space="0" w:color="auto"/>
              <w:left w:val="nil"/>
              <w:bottom w:val="single" w:sz="4" w:space="0" w:color="auto"/>
              <w:right w:val="single" w:sz="4" w:space="0" w:color="auto"/>
            </w:tcBorders>
            <w:shd w:val="clear" w:color="000000" w:fill="4F81BD"/>
            <w:tcMar>
              <w:left w:w="57" w:type="dxa"/>
              <w:right w:w="57" w:type="dxa"/>
            </w:tcMar>
          </w:tcPr>
          <w:p w:rsidR="00090C53" w:rsidRPr="000B697A" w:rsidRDefault="00090C53" w:rsidP="00090C53">
            <w:pPr>
              <w:jc w:val="center"/>
              <w:rPr>
                <w:rFonts w:cs="Calibri"/>
                <w:b/>
                <w:bCs/>
                <w:i/>
                <w:iCs/>
                <w:color w:val="FFFFFF"/>
                <w:sz w:val="20"/>
                <w:szCs w:val="20"/>
                <w:lang w:eastAsia="en-US"/>
              </w:rPr>
            </w:pPr>
            <w:r w:rsidRPr="000B697A">
              <w:rPr>
                <w:rFonts w:cs="Calibri"/>
                <w:b/>
                <w:bCs/>
                <w:i/>
                <w:iCs/>
                <w:color w:val="FFFFFF"/>
                <w:sz w:val="20"/>
                <w:szCs w:val="20"/>
                <w:lang w:eastAsia="en-US"/>
              </w:rPr>
              <w:t>2018</w:t>
            </w:r>
          </w:p>
        </w:tc>
      </w:tr>
      <w:tr w:rsidR="00090C53" w:rsidRPr="000B697A" w:rsidTr="00910AE6">
        <w:trPr>
          <w:trHeight w:val="170"/>
          <w:jc w:val="center"/>
        </w:trPr>
        <w:tc>
          <w:tcPr>
            <w:tcW w:w="483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90C53" w:rsidRPr="000B697A" w:rsidRDefault="00090C53" w:rsidP="00090C53">
            <w:pPr>
              <w:rPr>
                <w:rFonts w:cs="Calibri"/>
                <w:color w:val="000000"/>
                <w:sz w:val="20"/>
                <w:szCs w:val="20"/>
                <w:lang w:eastAsia="en-US"/>
              </w:rPr>
            </w:pPr>
            <w:r w:rsidRPr="000B697A">
              <w:rPr>
                <w:rFonts w:cs="Calibri"/>
                <w:color w:val="000000"/>
                <w:sz w:val="20"/>
                <w:szCs w:val="20"/>
                <w:lang w:eastAsia="en-US"/>
              </w:rPr>
              <w:t>Средно претеглен брой акции</w:t>
            </w:r>
          </w:p>
        </w:tc>
        <w:tc>
          <w:tcPr>
            <w:tcW w:w="14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90C53" w:rsidRPr="000B697A" w:rsidRDefault="00090C53" w:rsidP="00090C53">
            <w:pPr>
              <w:jc w:val="right"/>
              <w:rPr>
                <w:rFonts w:cs="Calibri"/>
                <w:color w:val="000000"/>
                <w:sz w:val="20"/>
                <w:szCs w:val="20"/>
                <w:lang w:eastAsia="en-US"/>
              </w:rPr>
            </w:pPr>
            <w:r w:rsidRPr="000B697A">
              <w:rPr>
                <w:rFonts w:cs="Calibri"/>
                <w:color w:val="000000"/>
                <w:sz w:val="20"/>
                <w:szCs w:val="20"/>
                <w:lang w:eastAsia="en-US"/>
              </w:rPr>
              <w:t>6 582 860</w:t>
            </w:r>
          </w:p>
        </w:tc>
        <w:tc>
          <w:tcPr>
            <w:tcW w:w="1267" w:type="dxa"/>
            <w:tcBorders>
              <w:top w:val="nil"/>
              <w:left w:val="nil"/>
              <w:bottom w:val="single" w:sz="4" w:space="0" w:color="auto"/>
              <w:right w:val="single" w:sz="4" w:space="0" w:color="auto"/>
            </w:tcBorders>
            <w:shd w:val="clear" w:color="auto" w:fill="auto"/>
            <w:noWrap/>
            <w:tcMar>
              <w:left w:w="57" w:type="dxa"/>
              <w:right w:w="57" w:type="dxa"/>
            </w:tcMar>
            <w:hideMark/>
          </w:tcPr>
          <w:p w:rsidR="00090C53" w:rsidRPr="000B697A" w:rsidRDefault="00090C53" w:rsidP="00090C53">
            <w:pPr>
              <w:jc w:val="right"/>
              <w:rPr>
                <w:rFonts w:cs="Calibri"/>
                <w:color w:val="000000"/>
                <w:sz w:val="20"/>
                <w:szCs w:val="20"/>
                <w:lang w:eastAsia="en-US"/>
              </w:rPr>
            </w:pPr>
            <w:r w:rsidRPr="000B697A">
              <w:rPr>
                <w:rFonts w:cs="Calibri"/>
                <w:color w:val="000000"/>
                <w:sz w:val="20"/>
                <w:szCs w:val="20"/>
                <w:lang w:eastAsia="en-US"/>
              </w:rPr>
              <w:t>6 582 860</w:t>
            </w:r>
          </w:p>
        </w:tc>
        <w:tc>
          <w:tcPr>
            <w:tcW w:w="1204" w:type="dxa"/>
            <w:tcBorders>
              <w:top w:val="nil"/>
              <w:left w:val="nil"/>
              <w:bottom w:val="single" w:sz="4" w:space="0" w:color="auto"/>
              <w:right w:val="single" w:sz="4" w:space="0" w:color="auto"/>
            </w:tcBorders>
            <w:tcMar>
              <w:left w:w="57" w:type="dxa"/>
              <w:right w:w="57" w:type="dxa"/>
            </w:tcMar>
          </w:tcPr>
          <w:p w:rsidR="00090C53" w:rsidRPr="000B697A" w:rsidRDefault="00090C53" w:rsidP="00090C53">
            <w:pPr>
              <w:jc w:val="right"/>
              <w:rPr>
                <w:rFonts w:cs="Calibri"/>
                <w:color w:val="000000"/>
                <w:sz w:val="20"/>
                <w:szCs w:val="20"/>
                <w:lang w:eastAsia="en-US"/>
              </w:rPr>
            </w:pPr>
            <w:r w:rsidRPr="000B697A">
              <w:rPr>
                <w:rFonts w:cs="Calibri"/>
                <w:color w:val="000000"/>
                <w:sz w:val="20"/>
                <w:szCs w:val="20"/>
                <w:lang w:eastAsia="en-US"/>
              </w:rPr>
              <w:t>6 582 860</w:t>
            </w:r>
          </w:p>
        </w:tc>
        <w:tc>
          <w:tcPr>
            <w:tcW w:w="1146" w:type="dxa"/>
            <w:tcBorders>
              <w:top w:val="nil"/>
              <w:left w:val="nil"/>
              <w:bottom w:val="single" w:sz="4" w:space="0" w:color="auto"/>
              <w:right w:val="single" w:sz="4" w:space="0" w:color="auto"/>
            </w:tcBorders>
            <w:tcMar>
              <w:left w:w="57" w:type="dxa"/>
              <w:right w:w="57" w:type="dxa"/>
            </w:tcMar>
          </w:tcPr>
          <w:p w:rsidR="00090C53" w:rsidRPr="000B697A" w:rsidRDefault="00090C53" w:rsidP="00090C53">
            <w:pPr>
              <w:jc w:val="right"/>
              <w:rPr>
                <w:rFonts w:cs="Calibri"/>
                <w:color w:val="000000"/>
                <w:sz w:val="20"/>
                <w:szCs w:val="20"/>
                <w:lang w:eastAsia="en-US"/>
              </w:rPr>
            </w:pPr>
            <w:r w:rsidRPr="000B697A">
              <w:rPr>
                <w:rFonts w:cs="Calibri"/>
                <w:color w:val="000000"/>
                <w:sz w:val="20"/>
                <w:szCs w:val="20"/>
                <w:lang w:eastAsia="en-US"/>
              </w:rPr>
              <w:t>6 582 860</w:t>
            </w:r>
          </w:p>
        </w:tc>
      </w:tr>
      <w:tr w:rsidR="00090C53" w:rsidRPr="000B697A" w:rsidTr="00910AE6">
        <w:trPr>
          <w:trHeight w:val="170"/>
          <w:jc w:val="center"/>
        </w:trPr>
        <w:tc>
          <w:tcPr>
            <w:tcW w:w="483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90C53" w:rsidRPr="000B697A" w:rsidRDefault="00090C53" w:rsidP="00090C53">
            <w:pPr>
              <w:rPr>
                <w:rFonts w:cs="Calibri"/>
                <w:color w:val="000000"/>
                <w:sz w:val="20"/>
                <w:szCs w:val="20"/>
                <w:lang w:eastAsia="en-US"/>
              </w:rPr>
            </w:pPr>
            <w:r w:rsidRPr="000B697A">
              <w:rPr>
                <w:rFonts w:cs="Calibri"/>
                <w:color w:val="000000"/>
                <w:sz w:val="20"/>
                <w:szCs w:val="20"/>
                <w:lang w:eastAsia="en-US"/>
              </w:rPr>
              <w:t>Нетна печалба/(загуба) за годината (BGN’000)</w:t>
            </w:r>
          </w:p>
        </w:tc>
        <w:tc>
          <w:tcPr>
            <w:tcW w:w="14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90C53" w:rsidRPr="000B697A" w:rsidRDefault="00090C53" w:rsidP="00090C53">
            <w:pPr>
              <w:jc w:val="right"/>
              <w:rPr>
                <w:rFonts w:cs="Calibri"/>
                <w:color w:val="000000"/>
                <w:sz w:val="20"/>
                <w:szCs w:val="20"/>
                <w:lang w:eastAsia="en-US"/>
              </w:rPr>
            </w:pPr>
            <w:r w:rsidRPr="000B697A">
              <w:rPr>
                <w:rFonts w:cs="Calibri"/>
                <w:color w:val="000000"/>
                <w:sz w:val="20"/>
                <w:szCs w:val="20"/>
                <w:lang w:eastAsia="en-US"/>
              </w:rPr>
              <w:t>-338</w:t>
            </w:r>
          </w:p>
        </w:tc>
        <w:tc>
          <w:tcPr>
            <w:tcW w:w="1267" w:type="dxa"/>
            <w:tcBorders>
              <w:top w:val="nil"/>
              <w:left w:val="nil"/>
              <w:bottom w:val="single" w:sz="4" w:space="0" w:color="auto"/>
              <w:right w:val="single" w:sz="4" w:space="0" w:color="auto"/>
            </w:tcBorders>
            <w:shd w:val="clear" w:color="auto" w:fill="auto"/>
            <w:noWrap/>
            <w:tcMar>
              <w:left w:w="57" w:type="dxa"/>
              <w:right w:w="57" w:type="dxa"/>
            </w:tcMar>
            <w:hideMark/>
          </w:tcPr>
          <w:p w:rsidR="00090C53" w:rsidRPr="000B697A" w:rsidRDefault="00090C53" w:rsidP="00090C53">
            <w:pPr>
              <w:jc w:val="right"/>
              <w:rPr>
                <w:rFonts w:cs="Calibri"/>
                <w:color w:val="000000"/>
                <w:sz w:val="20"/>
                <w:szCs w:val="20"/>
                <w:lang w:eastAsia="en-US"/>
              </w:rPr>
            </w:pPr>
            <w:r w:rsidRPr="000B697A">
              <w:rPr>
                <w:rFonts w:cs="Calibri"/>
                <w:color w:val="000000"/>
                <w:sz w:val="20"/>
                <w:szCs w:val="20"/>
                <w:lang w:eastAsia="en-US"/>
              </w:rPr>
              <w:t>64</w:t>
            </w:r>
          </w:p>
        </w:tc>
        <w:tc>
          <w:tcPr>
            <w:tcW w:w="1204" w:type="dxa"/>
            <w:tcBorders>
              <w:top w:val="nil"/>
              <w:left w:val="nil"/>
              <w:bottom w:val="single" w:sz="4" w:space="0" w:color="auto"/>
              <w:right w:val="single" w:sz="4" w:space="0" w:color="auto"/>
            </w:tcBorders>
            <w:shd w:val="clear" w:color="auto" w:fill="auto"/>
            <w:tcMar>
              <w:left w:w="57" w:type="dxa"/>
              <w:right w:w="57" w:type="dxa"/>
            </w:tcMar>
          </w:tcPr>
          <w:p w:rsidR="00090C53" w:rsidRPr="000B697A" w:rsidRDefault="00090C53" w:rsidP="00090C53">
            <w:pPr>
              <w:jc w:val="right"/>
              <w:rPr>
                <w:rFonts w:cs="Calibri"/>
                <w:color w:val="000000"/>
                <w:sz w:val="20"/>
                <w:szCs w:val="20"/>
                <w:highlight w:val="yellow"/>
                <w:lang w:eastAsia="en-US"/>
              </w:rPr>
            </w:pPr>
            <w:r w:rsidRPr="000B697A">
              <w:rPr>
                <w:rFonts w:cs="Calibri"/>
                <w:color w:val="000000"/>
                <w:sz w:val="20"/>
                <w:szCs w:val="20"/>
                <w:lang w:eastAsia="en-US"/>
              </w:rPr>
              <w:t>202</w:t>
            </w:r>
          </w:p>
        </w:tc>
        <w:tc>
          <w:tcPr>
            <w:tcW w:w="1146" w:type="dxa"/>
            <w:tcBorders>
              <w:top w:val="nil"/>
              <w:left w:val="nil"/>
              <w:bottom w:val="single" w:sz="4" w:space="0" w:color="auto"/>
              <w:right w:val="single" w:sz="4" w:space="0" w:color="auto"/>
            </w:tcBorders>
            <w:tcMar>
              <w:left w:w="57" w:type="dxa"/>
              <w:right w:w="57" w:type="dxa"/>
            </w:tcMar>
          </w:tcPr>
          <w:p w:rsidR="00090C53" w:rsidRPr="000B697A" w:rsidRDefault="00E45293" w:rsidP="00090C53">
            <w:pPr>
              <w:jc w:val="right"/>
              <w:rPr>
                <w:rFonts w:cs="Calibri"/>
                <w:color w:val="000000"/>
                <w:sz w:val="20"/>
                <w:szCs w:val="20"/>
                <w:highlight w:val="yellow"/>
                <w:lang w:eastAsia="en-US"/>
              </w:rPr>
            </w:pPr>
            <w:r w:rsidRPr="000B697A">
              <w:rPr>
                <w:rFonts w:cs="Calibri"/>
                <w:color w:val="000000"/>
                <w:sz w:val="20"/>
                <w:szCs w:val="20"/>
                <w:lang w:eastAsia="en-US"/>
              </w:rPr>
              <w:t>3 292</w:t>
            </w:r>
          </w:p>
        </w:tc>
      </w:tr>
      <w:tr w:rsidR="00090C53" w:rsidRPr="000B697A" w:rsidTr="00910AE6">
        <w:trPr>
          <w:trHeight w:val="170"/>
          <w:jc w:val="center"/>
        </w:trPr>
        <w:tc>
          <w:tcPr>
            <w:tcW w:w="483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90C53" w:rsidRPr="000B697A" w:rsidRDefault="00090C53" w:rsidP="00090C53">
            <w:pPr>
              <w:rPr>
                <w:rFonts w:cs="Calibri"/>
                <w:b/>
                <w:bCs/>
                <w:color w:val="000000"/>
                <w:sz w:val="20"/>
                <w:szCs w:val="20"/>
                <w:lang w:eastAsia="en-US"/>
              </w:rPr>
            </w:pPr>
            <w:r w:rsidRPr="000B697A">
              <w:rPr>
                <w:rFonts w:cs="Calibri"/>
                <w:b/>
                <w:bCs/>
                <w:color w:val="000000"/>
                <w:sz w:val="20"/>
                <w:szCs w:val="20"/>
                <w:lang w:eastAsia="en-US"/>
              </w:rPr>
              <w:t>Основен доход/(загуба) на акция (BGN)</w:t>
            </w:r>
          </w:p>
        </w:tc>
        <w:tc>
          <w:tcPr>
            <w:tcW w:w="14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90C53" w:rsidRPr="000B697A" w:rsidRDefault="00090C53" w:rsidP="00090C53">
            <w:pPr>
              <w:jc w:val="right"/>
              <w:rPr>
                <w:rFonts w:cs="Calibri"/>
                <w:b/>
                <w:bCs/>
                <w:color w:val="000000"/>
                <w:sz w:val="20"/>
                <w:szCs w:val="20"/>
                <w:lang w:eastAsia="en-US"/>
              </w:rPr>
            </w:pPr>
            <w:r w:rsidRPr="000B697A">
              <w:rPr>
                <w:rFonts w:cs="Calibri"/>
                <w:b/>
                <w:bCs/>
                <w:color w:val="000000"/>
                <w:sz w:val="20"/>
                <w:szCs w:val="20"/>
                <w:lang w:eastAsia="en-US"/>
              </w:rPr>
              <w:t>-0,05</w:t>
            </w:r>
          </w:p>
        </w:tc>
        <w:tc>
          <w:tcPr>
            <w:tcW w:w="1267" w:type="dxa"/>
            <w:tcBorders>
              <w:top w:val="nil"/>
              <w:left w:val="nil"/>
              <w:bottom w:val="single" w:sz="4" w:space="0" w:color="auto"/>
              <w:right w:val="single" w:sz="4" w:space="0" w:color="auto"/>
            </w:tcBorders>
            <w:shd w:val="clear" w:color="auto" w:fill="auto"/>
            <w:noWrap/>
            <w:tcMar>
              <w:left w:w="57" w:type="dxa"/>
              <w:right w:w="57" w:type="dxa"/>
            </w:tcMar>
            <w:hideMark/>
          </w:tcPr>
          <w:p w:rsidR="00090C53" w:rsidRPr="000B697A" w:rsidRDefault="00090C53" w:rsidP="00090C53">
            <w:pPr>
              <w:jc w:val="right"/>
              <w:rPr>
                <w:rFonts w:cs="Calibri"/>
                <w:b/>
                <w:bCs/>
                <w:color w:val="000000"/>
                <w:sz w:val="20"/>
                <w:szCs w:val="20"/>
                <w:lang w:eastAsia="en-US"/>
              </w:rPr>
            </w:pPr>
            <w:r w:rsidRPr="000B697A">
              <w:rPr>
                <w:rFonts w:cs="Calibri"/>
                <w:b/>
                <w:bCs/>
                <w:color w:val="000000"/>
                <w:sz w:val="20"/>
                <w:szCs w:val="20"/>
                <w:lang w:eastAsia="en-US"/>
              </w:rPr>
              <w:t>0,01</w:t>
            </w:r>
          </w:p>
        </w:tc>
        <w:tc>
          <w:tcPr>
            <w:tcW w:w="1204" w:type="dxa"/>
            <w:tcBorders>
              <w:top w:val="nil"/>
              <w:left w:val="nil"/>
              <w:bottom w:val="single" w:sz="4" w:space="0" w:color="auto"/>
              <w:right w:val="single" w:sz="4" w:space="0" w:color="auto"/>
            </w:tcBorders>
            <w:shd w:val="clear" w:color="auto" w:fill="auto"/>
            <w:tcMar>
              <w:left w:w="57" w:type="dxa"/>
              <w:right w:w="57" w:type="dxa"/>
            </w:tcMar>
          </w:tcPr>
          <w:p w:rsidR="00090C53" w:rsidRPr="000B697A" w:rsidRDefault="00090C53" w:rsidP="00090C53">
            <w:pPr>
              <w:jc w:val="right"/>
              <w:rPr>
                <w:rFonts w:cs="Calibri"/>
                <w:b/>
                <w:bCs/>
                <w:color w:val="000000"/>
                <w:sz w:val="20"/>
                <w:szCs w:val="20"/>
                <w:highlight w:val="yellow"/>
                <w:lang w:eastAsia="en-US"/>
              </w:rPr>
            </w:pPr>
            <w:r w:rsidRPr="000B697A">
              <w:rPr>
                <w:rFonts w:cs="Calibri"/>
                <w:b/>
                <w:bCs/>
                <w:color w:val="000000"/>
                <w:sz w:val="20"/>
                <w:szCs w:val="20"/>
                <w:lang w:eastAsia="en-US"/>
              </w:rPr>
              <w:t>0,03</w:t>
            </w:r>
          </w:p>
        </w:tc>
        <w:tc>
          <w:tcPr>
            <w:tcW w:w="1146" w:type="dxa"/>
            <w:tcBorders>
              <w:top w:val="nil"/>
              <w:left w:val="nil"/>
              <w:bottom w:val="single" w:sz="4" w:space="0" w:color="auto"/>
              <w:right w:val="single" w:sz="4" w:space="0" w:color="auto"/>
            </w:tcBorders>
            <w:tcMar>
              <w:left w:w="57" w:type="dxa"/>
              <w:right w:w="57" w:type="dxa"/>
            </w:tcMar>
          </w:tcPr>
          <w:p w:rsidR="00090C53" w:rsidRPr="000B697A" w:rsidRDefault="00E45293" w:rsidP="00090C53">
            <w:pPr>
              <w:jc w:val="right"/>
              <w:rPr>
                <w:rFonts w:cs="Calibri"/>
                <w:b/>
                <w:bCs/>
                <w:color w:val="000000"/>
                <w:sz w:val="20"/>
                <w:szCs w:val="20"/>
                <w:highlight w:val="yellow"/>
                <w:lang w:eastAsia="en-US"/>
              </w:rPr>
            </w:pPr>
            <w:r w:rsidRPr="000B697A">
              <w:rPr>
                <w:rFonts w:cs="Calibri"/>
                <w:b/>
                <w:bCs/>
                <w:color w:val="000000"/>
                <w:sz w:val="20"/>
                <w:szCs w:val="20"/>
                <w:lang w:eastAsia="en-US"/>
              </w:rPr>
              <w:t>0,50</w:t>
            </w:r>
          </w:p>
        </w:tc>
      </w:tr>
    </w:tbl>
    <w:p w:rsidR="007D0731" w:rsidRPr="000B697A" w:rsidRDefault="00010F33" w:rsidP="0016443B">
      <w:pPr>
        <w:pStyle w:val="SubNumbers"/>
        <w:rPr>
          <w:rFonts w:cs="Calibri"/>
        </w:rPr>
      </w:pPr>
      <w:bookmarkStart w:id="107" w:name="_Toc6923257"/>
      <w:r w:rsidRPr="000B697A">
        <w:rPr>
          <w:rFonts w:cs="Calibri"/>
        </w:rPr>
        <w:t xml:space="preserve">Информация, в стойностно и количествено изражение </w:t>
      </w:r>
      <w:r w:rsidR="00F03676" w:rsidRPr="000B697A">
        <w:rPr>
          <w:rFonts w:cs="Calibri"/>
        </w:rPr>
        <w:t>за</w:t>
      </w:r>
      <w:r w:rsidRPr="000B697A">
        <w:rPr>
          <w:rFonts w:cs="Calibri"/>
        </w:rPr>
        <w:t xml:space="preserve"> основните категории продукти и предоставени услуги, с посочване на техния дял в приходите от продажби н</w:t>
      </w:r>
      <w:r w:rsidR="00E45293" w:rsidRPr="000B697A">
        <w:rPr>
          <w:rFonts w:cs="Calibri"/>
        </w:rPr>
        <w:t>а Група Българска фондова борса</w:t>
      </w:r>
      <w:r w:rsidRPr="000B697A">
        <w:rPr>
          <w:rFonts w:cs="Calibri"/>
        </w:rPr>
        <w:t xml:space="preserve"> като цяло и промените, настъпили през отчетната финансова година.</w:t>
      </w:r>
      <w:bookmarkEnd w:id="107"/>
    </w:p>
    <w:p w:rsidR="002276AC" w:rsidRPr="000B697A" w:rsidRDefault="00E45293" w:rsidP="002276AC">
      <w:pPr>
        <w:tabs>
          <w:tab w:val="left" w:pos="360"/>
        </w:tabs>
        <w:rPr>
          <w:rFonts w:cs="Calibri"/>
        </w:rPr>
      </w:pPr>
      <w:r w:rsidRPr="000B697A">
        <w:rPr>
          <w:rFonts w:cs="Calibri"/>
        </w:rPr>
        <w:t>Основните дейности на група БФБ</w:t>
      </w:r>
      <w:r w:rsidR="002276AC" w:rsidRPr="000B697A">
        <w:rPr>
          <w:rFonts w:cs="Calibri"/>
        </w:rPr>
        <w:t xml:space="preserve"> са свързани с: </w:t>
      </w:r>
    </w:p>
    <w:p w:rsidR="002276AC" w:rsidRPr="000B697A" w:rsidRDefault="002276AC" w:rsidP="002276AC">
      <w:pPr>
        <w:pStyle w:val="ListParagraph"/>
        <w:numPr>
          <w:ilvl w:val="0"/>
          <w:numId w:val="19"/>
        </w:numPr>
        <w:tabs>
          <w:tab w:val="left" w:pos="360"/>
        </w:tabs>
        <w:rPr>
          <w:rFonts w:cs="Calibri"/>
          <w:lang w:val="bg-BG"/>
        </w:rPr>
      </w:pPr>
      <w:r w:rsidRPr="000B697A">
        <w:rPr>
          <w:rFonts w:cs="Calibri"/>
          <w:lang w:val="bg-BG"/>
        </w:rPr>
        <w:t>организиране на регулиран пазар на финансови инструменти като система за търговия;</w:t>
      </w:r>
    </w:p>
    <w:p w:rsidR="002276AC" w:rsidRPr="000B697A" w:rsidRDefault="002276AC" w:rsidP="002276AC">
      <w:pPr>
        <w:pStyle w:val="ListParagraph"/>
        <w:numPr>
          <w:ilvl w:val="0"/>
          <w:numId w:val="19"/>
        </w:numPr>
        <w:tabs>
          <w:tab w:val="left" w:pos="360"/>
        </w:tabs>
        <w:rPr>
          <w:rFonts w:cs="Calibri"/>
          <w:lang w:val="bg-BG"/>
        </w:rPr>
      </w:pPr>
      <w:r w:rsidRPr="000B697A">
        <w:rPr>
          <w:rFonts w:cs="Calibri"/>
          <w:lang w:val="bg-BG"/>
        </w:rPr>
        <w:t>организиране и поддържане на информационна система за търговия с ценни книжа;</w:t>
      </w:r>
    </w:p>
    <w:p w:rsidR="002276AC" w:rsidRPr="000B697A" w:rsidRDefault="002276AC" w:rsidP="002276AC">
      <w:pPr>
        <w:pStyle w:val="ListParagraph"/>
        <w:numPr>
          <w:ilvl w:val="0"/>
          <w:numId w:val="19"/>
        </w:numPr>
        <w:tabs>
          <w:tab w:val="left" w:pos="360"/>
        </w:tabs>
        <w:rPr>
          <w:rFonts w:cs="Calibri"/>
          <w:lang w:val="bg-BG"/>
        </w:rPr>
      </w:pPr>
      <w:r w:rsidRPr="000B697A">
        <w:rPr>
          <w:rFonts w:cs="Calibri"/>
          <w:lang w:val="bg-BG"/>
        </w:rPr>
        <w:t>предлагане и поддържане на система за електронно подаване на поръчки чрез интернет (COBOS);</w:t>
      </w:r>
    </w:p>
    <w:p w:rsidR="002276AC" w:rsidRPr="000B697A" w:rsidRDefault="002276AC" w:rsidP="002276AC">
      <w:pPr>
        <w:pStyle w:val="ListParagraph"/>
        <w:numPr>
          <w:ilvl w:val="0"/>
          <w:numId w:val="19"/>
        </w:numPr>
        <w:tabs>
          <w:tab w:val="left" w:pos="360"/>
        </w:tabs>
        <w:rPr>
          <w:rFonts w:cs="Calibri"/>
          <w:lang w:val="bg-BG"/>
        </w:rPr>
      </w:pPr>
      <w:r w:rsidRPr="000B697A">
        <w:rPr>
          <w:rFonts w:cs="Calibri"/>
          <w:lang w:val="bg-BG"/>
        </w:rPr>
        <w:t>предоставяне на информационни услуги и разпространение на борсова информация;</w:t>
      </w:r>
    </w:p>
    <w:p w:rsidR="002276AC" w:rsidRPr="000B697A" w:rsidRDefault="002276AC" w:rsidP="002276AC">
      <w:pPr>
        <w:pStyle w:val="ListParagraph"/>
        <w:numPr>
          <w:ilvl w:val="0"/>
          <w:numId w:val="19"/>
        </w:numPr>
        <w:tabs>
          <w:tab w:val="left" w:pos="360"/>
        </w:tabs>
        <w:rPr>
          <w:rFonts w:cs="Calibri"/>
          <w:lang w:val="bg-BG"/>
        </w:rPr>
      </w:pPr>
      <w:r w:rsidRPr="000B697A">
        <w:rPr>
          <w:rFonts w:cs="Calibri"/>
          <w:lang w:val="bg-BG"/>
        </w:rPr>
        <w:t xml:space="preserve">създаване </w:t>
      </w:r>
      <w:r w:rsidR="00E45293" w:rsidRPr="000B697A">
        <w:rPr>
          <w:rFonts w:cs="Calibri"/>
          <w:lang w:val="bg-BG"/>
        </w:rPr>
        <w:t>и изчисляване на индекси на БФБ</w:t>
      </w:r>
      <w:r w:rsidRPr="000B697A">
        <w:rPr>
          <w:rFonts w:cs="Calibri"/>
          <w:lang w:val="bg-BG"/>
        </w:rPr>
        <w:t>;</w:t>
      </w:r>
    </w:p>
    <w:p w:rsidR="00E45293" w:rsidRPr="000B697A" w:rsidRDefault="002276AC" w:rsidP="002276AC">
      <w:pPr>
        <w:pStyle w:val="ListParagraph"/>
        <w:numPr>
          <w:ilvl w:val="0"/>
          <w:numId w:val="19"/>
        </w:numPr>
        <w:tabs>
          <w:tab w:val="left" w:pos="360"/>
        </w:tabs>
        <w:rPr>
          <w:rFonts w:cs="Calibri"/>
          <w:lang w:val="bg-BG"/>
        </w:rPr>
      </w:pPr>
      <w:r w:rsidRPr="000B697A">
        <w:rPr>
          <w:rFonts w:cs="Calibri"/>
          <w:lang w:val="bg-BG"/>
        </w:rPr>
        <w:t>осъществяване на надзор от борсата върху търговията с финансови инструменти на пазарите, организирани от нея</w:t>
      </w:r>
      <w:r w:rsidR="00E45293" w:rsidRPr="000B697A">
        <w:rPr>
          <w:rFonts w:cs="Calibri"/>
          <w:lang w:val="bg-BG"/>
        </w:rPr>
        <w:t>;</w:t>
      </w:r>
    </w:p>
    <w:p w:rsidR="002276AC" w:rsidRPr="000B697A" w:rsidRDefault="00E45293" w:rsidP="00E45293">
      <w:pPr>
        <w:pStyle w:val="ListParagraph"/>
        <w:numPr>
          <w:ilvl w:val="0"/>
          <w:numId w:val="19"/>
        </w:numPr>
        <w:tabs>
          <w:tab w:val="left" w:pos="360"/>
        </w:tabs>
        <w:rPr>
          <w:rFonts w:cs="Calibri"/>
          <w:lang w:val="bg-BG"/>
        </w:rPr>
      </w:pPr>
      <w:r w:rsidRPr="000B697A">
        <w:rPr>
          <w:rFonts w:cs="Calibri"/>
          <w:lang w:val="bg-BG"/>
        </w:rPr>
        <w:t>организиране на регулиран пазар за търговия в областта на енергетиката и свързаните с енергопотреблението продукти като електричество, природен газ, въглища, емисии и зелени сертификати</w:t>
      </w:r>
      <w:r w:rsidR="002276AC" w:rsidRPr="000B697A">
        <w:rPr>
          <w:rFonts w:cs="Calibri"/>
          <w:lang w:val="bg-BG"/>
        </w:rPr>
        <w:t>.</w:t>
      </w:r>
    </w:p>
    <w:p w:rsidR="002276AC" w:rsidRPr="000B697A" w:rsidRDefault="002276AC" w:rsidP="002276AC">
      <w:pPr>
        <w:tabs>
          <w:tab w:val="left" w:pos="360"/>
        </w:tabs>
        <w:rPr>
          <w:rFonts w:cs="Calibri"/>
        </w:rPr>
      </w:pPr>
      <w:r w:rsidRPr="000B697A">
        <w:rPr>
          <w:rFonts w:cs="Calibri"/>
        </w:rPr>
        <w:t>Във връзка с основнат</w:t>
      </w:r>
      <w:r w:rsidR="00E45293" w:rsidRPr="000B697A">
        <w:rPr>
          <w:rFonts w:cs="Calibri"/>
        </w:rPr>
        <w:t>а си дейност група БФБ</w:t>
      </w:r>
      <w:r w:rsidRPr="000B697A">
        <w:rPr>
          <w:rFonts w:cs="Calibri"/>
        </w:rPr>
        <w:t xml:space="preserve"> реализира следните основни видове приходи: </w:t>
      </w:r>
    </w:p>
    <w:p w:rsidR="005A7066" w:rsidRPr="000B697A" w:rsidRDefault="005A7066" w:rsidP="005A7066">
      <w:pPr>
        <w:pStyle w:val="ListParagraph"/>
        <w:numPr>
          <w:ilvl w:val="0"/>
          <w:numId w:val="20"/>
        </w:numPr>
        <w:tabs>
          <w:tab w:val="left" w:pos="360"/>
        </w:tabs>
        <w:rPr>
          <w:rFonts w:cs="Calibri"/>
          <w:lang w:val="bg-BG"/>
        </w:rPr>
      </w:pPr>
      <w:r w:rsidRPr="000B697A">
        <w:rPr>
          <w:rFonts w:cs="Calibri"/>
          <w:lang w:val="bg-BG"/>
        </w:rPr>
        <w:t>приходи от комисиони за сделки с финансови инструменти;</w:t>
      </w:r>
    </w:p>
    <w:p w:rsidR="005A7066" w:rsidRPr="000B697A" w:rsidRDefault="005A7066" w:rsidP="005A7066">
      <w:pPr>
        <w:pStyle w:val="ListParagraph"/>
        <w:numPr>
          <w:ilvl w:val="0"/>
          <w:numId w:val="20"/>
        </w:numPr>
        <w:tabs>
          <w:tab w:val="left" w:pos="360"/>
        </w:tabs>
        <w:rPr>
          <w:rFonts w:cs="Calibri"/>
          <w:lang w:val="bg-BG"/>
        </w:rPr>
      </w:pPr>
      <w:r w:rsidRPr="000B697A">
        <w:rPr>
          <w:rFonts w:cs="Calibri"/>
          <w:lang w:val="bg-BG"/>
        </w:rPr>
        <w:t>приходи от регистрация и поддържане на регистрацията на финансови инструменти;</w:t>
      </w:r>
    </w:p>
    <w:p w:rsidR="005A7066" w:rsidRPr="000B697A" w:rsidRDefault="005A7066" w:rsidP="005A7066">
      <w:pPr>
        <w:pStyle w:val="ListParagraph"/>
        <w:numPr>
          <w:ilvl w:val="0"/>
          <w:numId w:val="20"/>
        </w:numPr>
        <w:tabs>
          <w:tab w:val="left" w:pos="360"/>
        </w:tabs>
        <w:rPr>
          <w:rFonts w:cs="Calibri"/>
          <w:lang w:val="bg-BG"/>
        </w:rPr>
      </w:pPr>
      <w:r w:rsidRPr="000B697A">
        <w:rPr>
          <w:rFonts w:cs="Calibri"/>
          <w:lang w:val="bg-BG"/>
        </w:rPr>
        <w:t>приходи от годишни такси за членство;</w:t>
      </w:r>
    </w:p>
    <w:p w:rsidR="005A7066" w:rsidRPr="000B697A" w:rsidRDefault="005A7066" w:rsidP="005A7066">
      <w:pPr>
        <w:pStyle w:val="ListParagraph"/>
        <w:numPr>
          <w:ilvl w:val="0"/>
          <w:numId w:val="20"/>
        </w:numPr>
        <w:tabs>
          <w:tab w:val="left" w:pos="360"/>
        </w:tabs>
        <w:rPr>
          <w:rFonts w:cs="Calibri"/>
          <w:lang w:val="bg-BG"/>
        </w:rPr>
      </w:pPr>
      <w:r w:rsidRPr="000B697A">
        <w:rPr>
          <w:rFonts w:cs="Calibri"/>
          <w:lang w:val="bg-BG"/>
        </w:rPr>
        <w:t>приходи от инвестиране на средства;</w:t>
      </w:r>
    </w:p>
    <w:p w:rsidR="005A7066" w:rsidRPr="000B697A" w:rsidRDefault="005A7066" w:rsidP="005A7066">
      <w:pPr>
        <w:pStyle w:val="ListParagraph"/>
        <w:numPr>
          <w:ilvl w:val="0"/>
          <w:numId w:val="20"/>
        </w:numPr>
        <w:tabs>
          <w:tab w:val="left" w:pos="360"/>
        </w:tabs>
        <w:rPr>
          <w:rFonts w:cs="Calibri"/>
          <w:lang w:val="bg-BG"/>
        </w:rPr>
      </w:pPr>
      <w:r w:rsidRPr="000B697A">
        <w:rPr>
          <w:rFonts w:cs="Calibri"/>
          <w:lang w:val="bg-BG"/>
        </w:rPr>
        <w:t>приходи от информационни услуги;</w:t>
      </w:r>
    </w:p>
    <w:p w:rsidR="005A7066" w:rsidRPr="000B697A" w:rsidRDefault="005A7066" w:rsidP="005A7066">
      <w:pPr>
        <w:pStyle w:val="ListParagraph"/>
        <w:numPr>
          <w:ilvl w:val="0"/>
          <w:numId w:val="20"/>
        </w:numPr>
        <w:tabs>
          <w:tab w:val="left" w:pos="360"/>
        </w:tabs>
        <w:rPr>
          <w:rFonts w:cs="Calibri"/>
          <w:lang w:val="bg-BG"/>
        </w:rPr>
      </w:pPr>
      <w:r w:rsidRPr="000B697A">
        <w:rPr>
          <w:rFonts w:cs="Calibri"/>
          <w:lang w:val="bg-BG"/>
        </w:rPr>
        <w:t>приходи от т</w:t>
      </w:r>
      <w:proofErr w:type="spellStart"/>
      <w:r w:rsidRPr="000B697A">
        <w:rPr>
          <w:rFonts w:cs="Calibri"/>
        </w:rPr>
        <w:t>акси</w:t>
      </w:r>
      <w:proofErr w:type="spellEnd"/>
      <w:r w:rsidRPr="000B697A">
        <w:rPr>
          <w:rFonts w:cs="Calibri"/>
        </w:rPr>
        <w:t xml:space="preserve"> </w:t>
      </w:r>
      <w:proofErr w:type="spellStart"/>
      <w:r w:rsidRPr="000B697A">
        <w:rPr>
          <w:rFonts w:cs="Calibri"/>
        </w:rPr>
        <w:t>за</w:t>
      </w:r>
      <w:proofErr w:type="spellEnd"/>
      <w:r w:rsidRPr="000B697A">
        <w:rPr>
          <w:rFonts w:cs="Calibri"/>
        </w:rPr>
        <w:t xml:space="preserve"> </w:t>
      </w:r>
      <w:proofErr w:type="spellStart"/>
      <w:r w:rsidRPr="000B697A">
        <w:rPr>
          <w:rFonts w:cs="Calibri"/>
        </w:rPr>
        <w:t>публикуване</w:t>
      </w:r>
      <w:proofErr w:type="spellEnd"/>
      <w:r w:rsidRPr="000B697A">
        <w:rPr>
          <w:rFonts w:cs="Calibri"/>
        </w:rPr>
        <w:t xml:space="preserve"> </w:t>
      </w:r>
      <w:proofErr w:type="spellStart"/>
      <w:r w:rsidRPr="000B697A">
        <w:rPr>
          <w:rFonts w:cs="Calibri"/>
        </w:rPr>
        <w:t>на</w:t>
      </w:r>
      <w:proofErr w:type="spellEnd"/>
      <w:r w:rsidRPr="000B697A">
        <w:rPr>
          <w:rFonts w:cs="Calibri"/>
        </w:rPr>
        <w:t xml:space="preserve"> </w:t>
      </w:r>
      <w:proofErr w:type="spellStart"/>
      <w:r w:rsidRPr="000B697A">
        <w:rPr>
          <w:rFonts w:cs="Calibri"/>
        </w:rPr>
        <w:t>съобщения</w:t>
      </w:r>
      <w:proofErr w:type="spellEnd"/>
      <w:r w:rsidRPr="000B697A">
        <w:rPr>
          <w:rFonts w:cs="Calibri"/>
          <w:lang w:val="bg-BG"/>
        </w:rPr>
        <w:t>;</w:t>
      </w:r>
    </w:p>
    <w:p w:rsidR="005A7066" w:rsidRPr="000B697A" w:rsidRDefault="005A7066" w:rsidP="005A7066">
      <w:pPr>
        <w:pStyle w:val="ListParagraph"/>
        <w:numPr>
          <w:ilvl w:val="0"/>
          <w:numId w:val="20"/>
        </w:numPr>
        <w:tabs>
          <w:tab w:val="left" w:pos="360"/>
        </w:tabs>
        <w:rPr>
          <w:rFonts w:cs="Calibri"/>
          <w:lang w:val="bg-BG"/>
        </w:rPr>
      </w:pPr>
      <w:r w:rsidRPr="000B697A">
        <w:rPr>
          <w:rFonts w:cs="Calibri"/>
          <w:lang w:val="bg-BG"/>
        </w:rPr>
        <w:t>приходи от такси за промяна в параметри на емисиите;</w:t>
      </w:r>
    </w:p>
    <w:p w:rsidR="00E45293" w:rsidRPr="000B697A" w:rsidRDefault="005A7066" w:rsidP="005A7066">
      <w:pPr>
        <w:pStyle w:val="ListParagraph"/>
        <w:numPr>
          <w:ilvl w:val="0"/>
          <w:numId w:val="20"/>
        </w:numPr>
        <w:tabs>
          <w:tab w:val="left" w:pos="360"/>
        </w:tabs>
        <w:rPr>
          <w:rFonts w:cs="Calibri"/>
          <w:lang w:val="bg-BG"/>
        </w:rPr>
      </w:pPr>
      <w:r w:rsidRPr="000B697A">
        <w:rPr>
          <w:rFonts w:cs="Calibri"/>
          <w:lang w:val="bg-BG"/>
        </w:rPr>
        <w:t>приходи от такси за достъп до търговската система</w:t>
      </w:r>
      <w:r w:rsidR="00E45293" w:rsidRPr="000B697A">
        <w:rPr>
          <w:rFonts w:cs="Calibri"/>
          <w:lang w:val="bg-BG"/>
        </w:rPr>
        <w:t>;</w:t>
      </w:r>
    </w:p>
    <w:p w:rsidR="00E45293" w:rsidRPr="000B697A" w:rsidRDefault="00E45293" w:rsidP="00E45293">
      <w:pPr>
        <w:pStyle w:val="ListParagraph"/>
        <w:numPr>
          <w:ilvl w:val="0"/>
          <w:numId w:val="20"/>
        </w:numPr>
        <w:tabs>
          <w:tab w:val="left" w:pos="360"/>
        </w:tabs>
        <w:rPr>
          <w:rFonts w:cs="Calibri"/>
          <w:lang w:val="bg-BG"/>
        </w:rPr>
      </w:pPr>
      <w:r w:rsidRPr="000B697A">
        <w:rPr>
          <w:rFonts w:cs="Calibri"/>
          <w:lang w:val="bg-BG"/>
        </w:rPr>
        <w:t>приходи от такса оборот върху търгувано количество електрическа енергия;</w:t>
      </w:r>
    </w:p>
    <w:p w:rsidR="00E45293" w:rsidRPr="000B697A" w:rsidRDefault="00E45293" w:rsidP="00E45293">
      <w:pPr>
        <w:pStyle w:val="ListParagraph"/>
        <w:numPr>
          <w:ilvl w:val="0"/>
          <w:numId w:val="20"/>
        </w:numPr>
        <w:tabs>
          <w:tab w:val="left" w:pos="360"/>
        </w:tabs>
        <w:rPr>
          <w:rFonts w:cs="Calibri"/>
          <w:lang w:val="bg-BG"/>
        </w:rPr>
      </w:pPr>
      <w:r w:rsidRPr="000B697A">
        <w:rPr>
          <w:rFonts w:cs="Calibri"/>
          <w:lang w:val="bg-BG"/>
        </w:rPr>
        <w:t>годишна такса за участие в пазара на електроенергия;</w:t>
      </w:r>
    </w:p>
    <w:p w:rsidR="00E45293" w:rsidRPr="000B697A" w:rsidRDefault="00E45293" w:rsidP="00E45293">
      <w:pPr>
        <w:pStyle w:val="ListParagraph"/>
        <w:numPr>
          <w:ilvl w:val="0"/>
          <w:numId w:val="20"/>
        </w:numPr>
        <w:tabs>
          <w:tab w:val="left" w:pos="360"/>
        </w:tabs>
        <w:rPr>
          <w:rFonts w:cs="Calibri"/>
          <w:lang w:val="bg-BG"/>
        </w:rPr>
      </w:pPr>
      <w:r w:rsidRPr="000B697A">
        <w:rPr>
          <w:rFonts w:cs="Calibri"/>
          <w:lang w:val="bg-BG"/>
        </w:rPr>
        <w:lastRenderedPageBreak/>
        <w:t xml:space="preserve">такса </w:t>
      </w:r>
      <w:proofErr w:type="spellStart"/>
      <w:r w:rsidRPr="000B697A">
        <w:rPr>
          <w:rFonts w:cs="Calibri"/>
          <w:lang w:val="bg-BG"/>
        </w:rPr>
        <w:t>сетълмент</w:t>
      </w:r>
      <w:proofErr w:type="spellEnd"/>
      <w:r w:rsidRPr="000B697A">
        <w:rPr>
          <w:rFonts w:cs="Calibri"/>
          <w:lang w:val="bg-BG"/>
        </w:rPr>
        <w:t xml:space="preserve"> за сделки с електроенергия;</w:t>
      </w:r>
    </w:p>
    <w:p w:rsidR="00E45293" w:rsidRPr="000B697A" w:rsidRDefault="00E45293" w:rsidP="00E45293">
      <w:pPr>
        <w:pStyle w:val="ListParagraph"/>
        <w:numPr>
          <w:ilvl w:val="0"/>
          <w:numId w:val="20"/>
        </w:numPr>
        <w:tabs>
          <w:tab w:val="left" w:pos="360"/>
        </w:tabs>
        <w:rPr>
          <w:rFonts w:cs="Calibri"/>
          <w:lang w:val="bg-BG"/>
        </w:rPr>
      </w:pPr>
      <w:r w:rsidRPr="000B697A">
        <w:rPr>
          <w:rFonts w:cs="Calibri"/>
          <w:lang w:val="bg-BG"/>
        </w:rPr>
        <w:t>приходи от такса при регистрация на пазар на електроенергия;</w:t>
      </w:r>
    </w:p>
    <w:p w:rsidR="00E45293" w:rsidRPr="000B697A" w:rsidRDefault="00E45293" w:rsidP="00E45293">
      <w:pPr>
        <w:pStyle w:val="ListParagraph"/>
        <w:numPr>
          <w:ilvl w:val="0"/>
          <w:numId w:val="20"/>
        </w:numPr>
        <w:tabs>
          <w:tab w:val="left" w:pos="360"/>
        </w:tabs>
        <w:rPr>
          <w:rFonts w:cs="Calibri"/>
          <w:lang w:val="bg-BG"/>
        </w:rPr>
      </w:pPr>
      <w:r w:rsidRPr="000B697A">
        <w:rPr>
          <w:rFonts w:cs="Calibri"/>
          <w:lang w:val="bg-BG"/>
        </w:rPr>
        <w:t>такса иницииране на търгове за електроенергия;</w:t>
      </w:r>
    </w:p>
    <w:p w:rsidR="005A7066" w:rsidRPr="000B697A" w:rsidRDefault="00E45293" w:rsidP="00E45293">
      <w:pPr>
        <w:pStyle w:val="ListParagraph"/>
        <w:numPr>
          <w:ilvl w:val="0"/>
          <w:numId w:val="20"/>
        </w:numPr>
        <w:tabs>
          <w:tab w:val="left" w:pos="360"/>
        </w:tabs>
        <w:rPr>
          <w:rFonts w:cs="Calibri"/>
          <w:lang w:val="bg-BG"/>
        </w:rPr>
      </w:pPr>
      <w:r w:rsidRPr="000B697A">
        <w:rPr>
          <w:rFonts w:cs="Calibri"/>
          <w:lang w:val="bg-BG"/>
        </w:rPr>
        <w:t>докладване на данни по REMIT</w:t>
      </w:r>
      <w:r w:rsidR="005A7066" w:rsidRPr="000B697A">
        <w:rPr>
          <w:rFonts w:cs="Calibri"/>
          <w:lang w:val="bg-BG"/>
        </w:rPr>
        <w:t>.</w:t>
      </w:r>
    </w:p>
    <w:p w:rsidR="00AD4150" w:rsidRPr="000B697A" w:rsidRDefault="00AD4150" w:rsidP="00832A44">
      <w:pPr>
        <w:rPr>
          <w:rFonts w:cs="Calibri"/>
        </w:rPr>
      </w:pPr>
    </w:p>
    <w:p w:rsidR="00717105" w:rsidRPr="000B697A" w:rsidRDefault="00061B88" w:rsidP="00832A44">
      <w:pPr>
        <w:rPr>
          <w:rFonts w:cs="Calibri"/>
        </w:rPr>
      </w:pPr>
      <w:r w:rsidRPr="000B697A">
        <w:rPr>
          <w:rFonts w:cs="Calibri"/>
        </w:rPr>
        <w:t xml:space="preserve">Общата сума на приходите </w:t>
      </w:r>
      <w:r w:rsidR="00420633" w:rsidRPr="000B697A">
        <w:rPr>
          <w:rFonts w:cs="Calibri"/>
        </w:rPr>
        <w:t xml:space="preserve">от услуги </w:t>
      </w:r>
      <w:r w:rsidRPr="000B697A">
        <w:rPr>
          <w:rFonts w:cs="Calibri"/>
        </w:rPr>
        <w:t>за 201</w:t>
      </w:r>
      <w:r w:rsidR="00E45293" w:rsidRPr="000B697A">
        <w:rPr>
          <w:rFonts w:cs="Calibri"/>
        </w:rPr>
        <w:t>8</w:t>
      </w:r>
      <w:r w:rsidR="002276AC" w:rsidRPr="000B697A">
        <w:rPr>
          <w:rFonts w:cs="Calibri"/>
        </w:rPr>
        <w:t xml:space="preserve"> година е </w:t>
      </w:r>
      <w:r w:rsidR="00E45293" w:rsidRPr="000B697A">
        <w:rPr>
          <w:rFonts w:cs="Calibri"/>
        </w:rPr>
        <w:t>8 810</w:t>
      </w:r>
      <w:r w:rsidR="00832A44" w:rsidRPr="000B697A">
        <w:rPr>
          <w:rFonts w:cs="Calibri"/>
        </w:rPr>
        <w:t xml:space="preserve"> </w:t>
      </w:r>
      <w:r w:rsidR="002276AC" w:rsidRPr="000B697A">
        <w:rPr>
          <w:rFonts w:cs="Calibri"/>
        </w:rPr>
        <w:t>х</w:t>
      </w:r>
      <w:r w:rsidR="00080E7D" w:rsidRPr="000B697A">
        <w:rPr>
          <w:rFonts w:cs="Calibri"/>
        </w:rPr>
        <w:t>.</w:t>
      </w:r>
      <w:r w:rsidR="002276AC" w:rsidRPr="000B697A">
        <w:rPr>
          <w:rFonts w:cs="Calibri"/>
        </w:rPr>
        <w:t xml:space="preserve"> л</w:t>
      </w:r>
      <w:r w:rsidR="00080E7D" w:rsidRPr="000B697A">
        <w:rPr>
          <w:rFonts w:cs="Calibri"/>
        </w:rPr>
        <w:t>в.</w:t>
      </w:r>
      <w:r w:rsidR="002276AC" w:rsidRPr="000B697A">
        <w:rPr>
          <w:rFonts w:cs="Calibri"/>
        </w:rPr>
        <w:t xml:space="preserve">, респективно </w:t>
      </w:r>
      <w:r w:rsidR="00E45293" w:rsidRPr="000B697A">
        <w:rPr>
          <w:rFonts w:cs="Calibri"/>
        </w:rPr>
        <w:t xml:space="preserve">2 231 </w:t>
      </w:r>
      <w:proofErr w:type="spellStart"/>
      <w:r w:rsidR="00080E7D" w:rsidRPr="000B697A">
        <w:rPr>
          <w:rFonts w:cs="Calibri"/>
        </w:rPr>
        <w:t>х.лв</w:t>
      </w:r>
      <w:proofErr w:type="spellEnd"/>
      <w:r w:rsidR="00080E7D" w:rsidRPr="000B697A">
        <w:rPr>
          <w:rFonts w:cs="Calibri"/>
        </w:rPr>
        <w:t>.</w:t>
      </w:r>
      <w:r w:rsidR="002276AC" w:rsidRPr="000B697A">
        <w:rPr>
          <w:rFonts w:cs="Calibri"/>
        </w:rPr>
        <w:t xml:space="preserve"> за 201</w:t>
      </w:r>
      <w:r w:rsidR="00E45293" w:rsidRPr="000B697A">
        <w:rPr>
          <w:rFonts w:cs="Calibri"/>
        </w:rPr>
        <w:t>7</w:t>
      </w:r>
      <w:r w:rsidR="002276AC" w:rsidRPr="000B697A">
        <w:rPr>
          <w:rFonts w:cs="Calibri"/>
        </w:rPr>
        <w:t xml:space="preserve"> година.</w:t>
      </w:r>
    </w:p>
    <w:p w:rsidR="0077230C" w:rsidRPr="000B697A" w:rsidRDefault="000965FA" w:rsidP="00281505">
      <w:pPr>
        <w:rPr>
          <w:rFonts w:cs="Calibri"/>
          <w:b/>
        </w:rPr>
      </w:pPr>
      <w:r w:rsidRPr="000B697A">
        <w:rPr>
          <w:rFonts w:cs="Calibri"/>
          <w:b/>
        </w:rPr>
        <w:t>Таблица 10</w:t>
      </w:r>
      <w:r w:rsidR="001954E2" w:rsidRPr="000B697A">
        <w:rPr>
          <w:rFonts w:cs="Calibri"/>
          <w:b/>
        </w:rPr>
        <w:t>: Структура на приходите</w:t>
      </w:r>
      <w:r w:rsidR="00AD4150" w:rsidRPr="000B697A">
        <w:rPr>
          <w:rFonts w:cs="Calibri"/>
          <w:b/>
        </w:rPr>
        <w:t xml:space="preserve"> от </w:t>
      </w:r>
      <w:r w:rsidR="00AF0F66" w:rsidRPr="000B697A">
        <w:rPr>
          <w:rFonts w:cs="Calibri"/>
          <w:b/>
        </w:rPr>
        <w:t>основната дейност</w:t>
      </w:r>
      <w:r w:rsidR="001954E2" w:rsidRPr="000B697A">
        <w:rPr>
          <w:rFonts w:cs="Calibri"/>
          <w:b/>
        </w:rPr>
        <w:t xml:space="preserve"> на </w:t>
      </w:r>
      <w:r w:rsidR="00AF0F66" w:rsidRPr="000B697A">
        <w:rPr>
          <w:rFonts w:cs="Calibri"/>
          <w:b/>
        </w:rPr>
        <w:t>Групата</w:t>
      </w:r>
    </w:p>
    <w:tbl>
      <w:tblPr>
        <w:tblW w:w="9072" w:type="dxa"/>
        <w:tblInd w:w="108" w:type="dxa"/>
        <w:tblLook w:val="04A0" w:firstRow="1" w:lastRow="0" w:firstColumn="1" w:lastColumn="0" w:noHBand="0" w:noVBand="1"/>
      </w:tblPr>
      <w:tblGrid>
        <w:gridCol w:w="6700"/>
        <w:gridCol w:w="1097"/>
        <w:gridCol w:w="1275"/>
      </w:tblGrid>
      <w:tr w:rsidR="0077230C" w:rsidRPr="0077230C" w:rsidTr="0077230C">
        <w:trPr>
          <w:trHeight w:val="170"/>
        </w:trPr>
        <w:tc>
          <w:tcPr>
            <w:tcW w:w="6700" w:type="dxa"/>
            <w:tcBorders>
              <w:top w:val="single" w:sz="4" w:space="0" w:color="auto"/>
              <w:left w:val="single" w:sz="4" w:space="0" w:color="auto"/>
              <w:bottom w:val="single" w:sz="4" w:space="0" w:color="auto"/>
              <w:right w:val="single" w:sz="4" w:space="0" w:color="auto"/>
            </w:tcBorders>
            <w:shd w:val="clear" w:color="auto" w:fill="4F81BD" w:themeFill="accent1"/>
            <w:noWrap/>
            <w:tcMar>
              <w:left w:w="57" w:type="dxa"/>
              <w:right w:w="57" w:type="dxa"/>
            </w:tcMar>
            <w:vAlign w:val="center"/>
            <w:hideMark/>
          </w:tcPr>
          <w:p w:rsidR="0077230C" w:rsidRPr="0077230C" w:rsidRDefault="0077230C" w:rsidP="0077230C">
            <w:pPr>
              <w:spacing w:line="240" w:lineRule="auto"/>
              <w:jc w:val="left"/>
              <w:rPr>
                <w:rFonts w:cs="Calibri"/>
                <w:b/>
                <w:bCs/>
                <w:color w:val="000000"/>
                <w:sz w:val="20"/>
                <w:szCs w:val="20"/>
                <w:lang w:val="en-US" w:eastAsia="en-US"/>
              </w:rPr>
            </w:pPr>
            <w:r w:rsidRPr="0077230C">
              <w:rPr>
                <w:rFonts w:cs="Calibri"/>
                <w:b/>
                <w:bCs/>
                <w:color w:val="000000"/>
                <w:sz w:val="20"/>
                <w:szCs w:val="20"/>
                <w:lang w:eastAsia="en-US"/>
              </w:rPr>
              <w:t>Приходите от услуги включват:</w:t>
            </w:r>
          </w:p>
        </w:tc>
        <w:tc>
          <w:tcPr>
            <w:tcW w:w="1097" w:type="dxa"/>
            <w:tcBorders>
              <w:top w:val="single" w:sz="4" w:space="0" w:color="auto"/>
              <w:left w:val="nil"/>
              <w:bottom w:val="single" w:sz="4" w:space="0" w:color="auto"/>
              <w:right w:val="single" w:sz="4" w:space="0" w:color="auto"/>
            </w:tcBorders>
            <w:shd w:val="clear" w:color="auto" w:fill="4F81BD" w:themeFill="accent1"/>
            <w:noWrap/>
            <w:tcMar>
              <w:left w:w="57" w:type="dxa"/>
              <w:right w:w="57" w:type="dxa"/>
            </w:tcMar>
            <w:vAlign w:val="center"/>
            <w:hideMark/>
          </w:tcPr>
          <w:p w:rsidR="0077230C" w:rsidRPr="0077230C" w:rsidRDefault="0077230C" w:rsidP="0077230C">
            <w:pPr>
              <w:spacing w:line="240" w:lineRule="auto"/>
              <w:jc w:val="center"/>
              <w:rPr>
                <w:rFonts w:cs="Calibri"/>
                <w:b/>
                <w:bCs/>
                <w:color w:val="000000"/>
                <w:sz w:val="20"/>
                <w:szCs w:val="20"/>
                <w:lang w:val="en-US" w:eastAsia="en-US"/>
              </w:rPr>
            </w:pPr>
            <w:r w:rsidRPr="0077230C">
              <w:rPr>
                <w:rFonts w:cs="Calibri"/>
                <w:b/>
                <w:bCs/>
                <w:color w:val="000000"/>
                <w:sz w:val="20"/>
                <w:szCs w:val="20"/>
                <w:lang w:eastAsia="en-US"/>
              </w:rPr>
              <w:t>2017</w:t>
            </w:r>
          </w:p>
        </w:tc>
        <w:tc>
          <w:tcPr>
            <w:tcW w:w="1275" w:type="dxa"/>
            <w:tcBorders>
              <w:top w:val="single" w:sz="4" w:space="0" w:color="auto"/>
              <w:left w:val="nil"/>
              <w:bottom w:val="single" w:sz="4" w:space="0" w:color="auto"/>
              <w:right w:val="single" w:sz="4" w:space="0" w:color="auto"/>
            </w:tcBorders>
            <w:shd w:val="clear" w:color="auto" w:fill="4F81BD" w:themeFill="accent1"/>
            <w:noWrap/>
            <w:tcMar>
              <w:left w:w="57" w:type="dxa"/>
              <w:right w:w="57" w:type="dxa"/>
            </w:tcMar>
            <w:vAlign w:val="center"/>
            <w:hideMark/>
          </w:tcPr>
          <w:p w:rsidR="0077230C" w:rsidRPr="0077230C" w:rsidRDefault="0077230C" w:rsidP="0077230C">
            <w:pPr>
              <w:spacing w:line="240" w:lineRule="auto"/>
              <w:jc w:val="center"/>
              <w:rPr>
                <w:rFonts w:cs="Calibri"/>
                <w:b/>
                <w:bCs/>
                <w:color w:val="000000"/>
                <w:sz w:val="20"/>
                <w:szCs w:val="20"/>
                <w:lang w:val="en-US" w:eastAsia="en-US"/>
              </w:rPr>
            </w:pPr>
            <w:r w:rsidRPr="0077230C">
              <w:rPr>
                <w:rFonts w:cs="Calibri"/>
                <w:b/>
                <w:bCs/>
                <w:color w:val="000000"/>
                <w:sz w:val="20"/>
                <w:szCs w:val="20"/>
                <w:lang w:eastAsia="en-US"/>
              </w:rPr>
              <w:t>2018</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4F81BD" w:themeFill="accent1"/>
            <w:noWrap/>
            <w:tcMar>
              <w:left w:w="57" w:type="dxa"/>
              <w:right w:w="57" w:type="dxa"/>
            </w:tcMar>
            <w:vAlign w:val="bottom"/>
            <w:hideMark/>
          </w:tcPr>
          <w:p w:rsidR="0077230C" w:rsidRPr="0077230C" w:rsidRDefault="0077230C" w:rsidP="0077230C">
            <w:pPr>
              <w:spacing w:line="240" w:lineRule="auto"/>
              <w:jc w:val="left"/>
              <w:rPr>
                <w:rFonts w:cs="Calibri"/>
                <w:color w:val="000000"/>
                <w:sz w:val="20"/>
                <w:szCs w:val="20"/>
                <w:lang w:val="en-US" w:eastAsia="en-US"/>
              </w:rPr>
            </w:pPr>
            <w:r w:rsidRPr="0077230C">
              <w:rPr>
                <w:rFonts w:cs="Calibri"/>
                <w:color w:val="000000"/>
                <w:sz w:val="20"/>
                <w:szCs w:val="20"/>
                <w:lang w:val="en-US" w:eastAsia="en-US"/>
              </w:rPr>
              <w:t> </w:t>
            </w:r>
          </w:p>
        </w:tc>
        <w:tc>
          <w:tcPr>
            <w:tcW w:w="1097" w:type="dxa"/>
            <w:tcBorders>
              <w:top w:val="nil"/>
              <w:left w:val="nil"/>
              <w:bottom w:val="single" w:sz="4" w:space="0" w:color="auto"/>
              <w:right w:val="single" w:sz="4" w:space="0" w:color="auto"/>
            </w:tcBorders>
            <w:shd w:val="clear" w:color="auto" w:fill="4F81BD" w:themeFill="accent1"/>
            <w:noWrap/>
            <w:tcMar>
              <w:left w:w="57" w:type="dxa"/>
              <w:right w:w="57" w:type="dxa"/>
            </w:tcMar>
            <w:vAlign w:val="center"/>
            <w:hideMark/>
          </w:tcPr>
          <w:p w:rsidR="0077230C" w:rsidRPr="0077230C" w:rsidRDefault="0077230C" w:rsidP="0077230C">
            <w:pPr>
              <w:spacing w:line="240" w:lineRule="auto"/>
              <w:jc w:val="center"/>
              <w:rPr>
                <w:rFonts w:cs="Calibri"/>
                <w:b/>
                <w:bCs/>
                <w:color w:val="000000"/>
                <w:sz w:val="20"/>
                <w:szCs w:val="20"/>
                <w:lang w:val="en-US" w:eastAsia="en-US"/>
              </w:rPr>
            </w:pPr>
            <w:r w:rsidRPr="0077230C">
              <w:rPr>
                <w:rFonts w:cs="Calibri"/>
                <w:b/>
                <w:bCs/>
                <w:color w:val="000000"/>
                <w:sz w:val="20"/>
                <w:szCs w:val="20"/>
                <w:lang w:eastAsia="en-US"/>
              </w:rPr>
              <w:t>BGN '000</w:t>
            </w:r>
          </w:p>
        </w:tc>
        <w:tc>
          <w:tcPr>
            <w:tcW w:w="1275" w:type="dxa"/>
            <w:tcBorders>
              <w:top w:val="nil"/>
              <w:left w:val="nil"/>
              <w:bottom w:val="single" w:sz="4" w:space="0" w:color="auto"/>
              <w:right w:val="single" w:sz="4" w:space="0" w:color="auto"/>
            </w:tcBorders>
            <w:shd w:val="clear" w:color="auto" w:fill="4F81BD" w:themeFill="accent1"/>
            <w:noWrap/>
            <w:tcMar>
              <w:left w:w="57" w:type="dxa"/>
              <w:right w:w="57" w:type="dxa"/>
            </w:tcMar>
            <w:vAlign w:val="center"/>
            <w:hideMark/>
          </w:tcPr>
          <w:p w:rsidR="0077230C" w:rsidRPr="0077230C" w:rsidRDefault="0077230C" w:rsidP="0077230C">
            <w:pPr>
              <w:spacing w:line="240" w:lineRule="auto"/>
              <w:jc w:val="center"/>
              <w:rPr>
                <w:rFonts w:cs="Calibri"/>
                <w:b/>
                <w:bCs/>
                <w:color w:val="000000"/>
                <w:sz w:val="20"/>
                <w:szCs w:val="20"/>
                <w:lang w:val="en-US" w:eastAsia="en-US"/>
              </w:rPr>
            </w:pPr>
            <w:r w:rsidRPr="0077230C">
              <w:rPr>
                <w:rFonts w:cs="Calibri"/>
                <w:b/>
                <w:bCs/>
                <w:color w:val="000000"/>
                <w:sz w:val="20"/>
                <w:szCs w:val="20"/>
                <w:lang w:eastAsia="en-US"/>
              </w:rPr>
              <w:t>BGN '000</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 xml:space="preserve">Комисиони за сделки на Борсата </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984</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678</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 xml:space="preserve">Такси за регистрация на дружества </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517</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498</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 xml:space="preserve">Такси за информационно обслужване </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410</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val="en-US" w:eastAsia="en-US"/>
              </w:rPr>
              <w:t>505</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 xml:space="preserve">Такси за членство </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123</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121</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 xml:space="preserve">Такси за публикуване на съобщения </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108</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val="en-US" w:eastAsia="en-US"/>
              </w:rPr>
              <w:t>83</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 xml:space="preserve">Такси за промяна на параметри на емисии </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18</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22</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 xml:space="preserve">Такси за поддържане неприсъствени работни станции </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26</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26</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 xml:space="preserve">Такси за интернет търговия </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16</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15</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Такси за право на ползване на търговска марка</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21</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16</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 xml:space="preserve">Финансови санкции на членовете на Борсата </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4</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1</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 xml:space="preserve">Приходи от продажба и поддръжка на софтуер </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4</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0</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Приходи от такса оборот върху търгувано количество електрическа енергия</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3 816</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Годишна такса за участие в пазара на електроенергия</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1 116</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 xml:space="preserve">Такса </w:t>
            </w:r>
            <w:proofErr w:type="spellStart"/>
            <w:r w:rsidRPr="0077230C">
              <w:rPr>
                <w:rFonts w:cs="Calibri"/>
                <w:sz w:val="20"/>
                <w:szCs w:val="20"/>
                <w:lang w:eastAsia="en-US"/>
              </w:rPr>
              <w:t>сетълмент</w:t>
            </w:r>
            <w:proofErr w:type="spellEnd"/>
            <w:r w:rsidRPr="0077230C">
              <w:rPr>
                <w:rFonts w:cs="Calibri"/>
                <w:sz w:val="20"/>
                <w:szCs w:val="20"/>
                <w:lang w:eastAsia="en-US"/>
              </w:rPr>
              <w:t xml:space="preserve"> за сделки с електроенергия</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838</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Приходи от такса при регистрация на пазар на електроенергия</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372</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Такса иницииране на търг</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275</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Докладване на данни по REMIT</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244</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Приходи от такси обучение</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156</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sz w:val="20"/>
                <w:szCs w:val="20"/>
                <w:lang w:val="en-US" w:eastAsia="en-US"/>
              </w:rPr>
            </w:pPr>
            <w:r w:rsidRPr="0077230C">
              <w:rPr>
                <w:rFonts w:cs="Calibri"/>
                <w:sz w:val="20"/>
                <w:szCs w:val="20"/>
                <w:lang w:eastAsia="en-US"/>
              </w:rPr>
              <w:t>Други такси</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28</w:t>
            </w:r>
          </w:p>
        </w:tc>
      </w:tr>
      <w:tr w:rsidR="0077230C" w:rsidRPr="0077230C" w:rsidTr="0077230C">
        <w:trPr>
          <w:trHeight w:val="170"/>
        </w:trPr>
        <w:tc>
          <w:tcPr>
            <w:tcW w:w="67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b/>
                <w:bCs/>
                <w:sz w:val="20"/>
                <w:szCs w:val="20"/>
                <w:lang w:val="en-US" w:eastAsia="en-US"/>
              </w:rPr>
            </w:pPr>
            <w:r w:rsidRPr="0077230C">
              <w:rPr>
                <w:rFonts w:cs="Calibri"/>
                <w:b/>
                <w:bCs/>
                <w:sz w:val="20"/>
                <w:szCs w:val="20"/>
                <w:lang w:eastAsia="en-US"/>
              </w:rPr>
              <w:t>Общо</w:t>
            </w:r>
          </w:p>
        </w:tc>
        <w:tc>
          <w:tcPr>
            <w:tcW w:w="109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b/>
                <w:bCs/>
                <w:color w:val="000000"/>
                <w:sz w:val="20"/>
                <w:szCs w:val="20"/>
                <w:lang w:val="en-US" w:eastAsia="en-US"/>
              </w:rPr>
            </w:pPr>
            <w:r w:rsidRPr="0077230C">
              <w:rPr>
                <w:rFonts w:cs="Calibri"/>
                <w:b/>
                <w:bCs/>
                <w:color w:val="000000"/>
                <w:sz w:val="20"/>
                <w:szCs w:val="20"/>
                <w:lang w:eastAsia="en-US"/>
              </w:rPr>
              <w:t>2 231</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b/>
                <w:bCs/>
                <w:color w:val="000000"/>
                <w:sz w:val="18"/>
                <w:szCs w:val="18"/>
                <w:lang w:val="en-US" w:eastAsia="en-US"/>
              </w:rPr>
            </w:pPr>
            <w:r w:rsidRPr="0077230C">
              <w:rPr>
                <w:rFonts w:cs="Calibri"/>
                <w:b/>
                <w:bCs/>
                <w:color w:val="000000"/>
                <w:sz w:val="18"/>
                <w:szCs w:val="18"/>
                <w:lang w:eastAsia="en-US"/>
              </w:rPr>
              <w:t>8 810</w:t>
            </w:r>
          </w:p>
        </w:tc>
      </w:tr>
    </w:tbl>
    <w:p w:rsidR="007D0731" w:rsidRPr="000B697A" w:rsidRDefault="00010F33" w:rsidP="0016443B">
      <w:pPr>
        <w:pStyle w:val="SubNumbers"/>
        <w:rPr>
          <w:rFonts w:cs="Calibri"/>
        </w:rPr>
      </w:pPr>
      <w:bookmarkStart w:id="108" w:name="_Toc6923258"/>
      <w:r w:rsidRPr="000B697A">
        <w:rPr>
          <w:rFonts w:cs="Calibri"/>
        </w:rPr>
        <w:t>Информация относно приходите, разпределени по отделните категории дейности, вътрешни и външни пазари, както и информация за източниците за снабдяване с материали, необходими за производството на стоки или предоставянето на услуги с отразяване степента на зависимост по отношение на всеки отделен продавач или купувач/потребител, като в случай, че относителният дял на някой от тях надхвърля 10 на сто от разходите или приходите от продажби, се предоставя информация за всяко лице поотделно, за неговия дял в продажбите или покупките и връзките му с емитента.</w:t>
      </w:r>
      <w:bookmarkEnd w:id="108"/>
    </w:p>
    <w:p w:rsidR="0077230C" w:rsidRPr="000B697A" w:rsidRDefault="00832A44" w:rsidP="00EA458C">
      <w:pPr>
        <w:rPr>
          <w:rFonts w:cs="Calibri"/>
          <w:b/>
        </w:rPr>
      </w:pPr>
      <w:r w:rsidRPr="000B697A">
        <w:rPr>
          <w:rFonts w:cs="Calibri"/>
          <w:b/>
        </w:rPr>
        <w:t xml:space="preserve">Таблица </w:t>
      </w:r>
      <w:r w:rsidR="000965FA" w:rsidRPr="000B697A">
        <w:rPr>
          <w:rFonts w:cs="Calibri"/>
          <w:b/>
        </w:rPr>
        <w:t>11</w:t>
      </w:r>
      <w:r w:rsidRPr="000B697A">
        <w:rPr>
          <w:rFonts w:cs="Calibri"/>
          <w:b/>
        </w:rPr>
        <w:t>: С</w:t>
      </w:r>
      <w:r w:rsidR="002276AC" w:rsidRPr="000B697A">
        <w:rPr>
          <w:rFonts w:cs="Calibri"/>
          <w:b/>
        </w:rPr>
        <w:t>труктура на приходите за 201</w:t>
      </w:r>
      <w:r w:rsidR="0077230C" w:rsidRPr="000B697A">
        <w:rPr>
          <w:rFonts w:cs="Calibri"/>
          <w:b/>
        </w:rPr>
        <w:t>8</w:t>
      </w:r>
      <w:r w:rsidR="002276AC" w:rsidRPr="000B697A">
        <w:rPr>
          <w:rFonts w:cs="Calibri"/>
          <w:b/>
        </w:rPr>
        <w:t xml:space="preserve"> и сравнение:</w:t>
      </w:r>
    </w:p>
    <w:tbl>
      <w:tblPr>
        <w:tblW w:w="8655" w:type="dxa"/>
        <w:jc w:val="center"/>
        <w:tblLook w:val="04A0" w:firstRow="1" w:lastRow="0" w:firstColumn="1" w:lastColumn="0" w:noHBand="0" w:noVBand="1"/>
      </w:tblPr>
      <w:tblGrid>
        <w:gridCol w:w="2737"/>
        <w:gridCol w:w="1138"/>
        <w:gridCol w:w="960"/>
        <w:gridCol w:w="1200"/>
        <w:gridCol w:w="960"/>
        <w:gridCol w:w="1660"/>
      </w:tblGrid>
      <w:tr w:rsidR="0077230C" w:rsidRPr="0077230C" w:rsidTr="0077230C">
        <w:trPr>
          <w:trHeight w:val="170"/>
          <w:jc w:val="center"/>
        </w:trPr>
        <w:tc>
          <w:tcPr>
            <w:tcW w:w="2737" w:type="dxa"/>
            <w:tcBorders>
              <w:top w:val="single" w:sz="4" w:space="0" w:color="auto"/>
              <w:left w:val="single" w:sz="4" w:space="0" w:color="auto"/>
              <w:bottom w:val="nil"/>
              <w:right w:val="single" w:sz="4" w:space="0" w:color="auto"/>
            </w:tcBorders>
            <w:shd w:val="clear" w:color="000000" w:fill="4F81BD"/>
            <w:tcMar>
              <w:left w:w="57" w:type="dxa"/>
              <w:right w:w="57" w:type="dxa"/>
            </w:tcMar>
            <w:vAlign w:val="center"/>
            <w:hideMark/>
          </w:tcPr>
          <w:p w:rsidR="0077230C" w:rsidRPr="0077230C" w:rsidRDefault="0077230C" w:rsidP="0077230C">
            <w:pPr>
              <w:spacing w:line="240" w:lineRule="auto"/>
              <w:jc w:val="left"/>
              <w:rPr>
                <w:rFonts w:cs="Calibri"/>
                <w:color w:val="000000"/>
                <w:sz w:val="20"/>
                <w:szCs w:val="20"/>
                <w:lang w:val="en-US" w:eastAsia="en-US"/>
              </w:rPr>
            </w:pPr>
          </w:p>
        </w:tc>
        <w:tc>
          <w:tcPr>
            <w:tcW w:w="2098" w:type="dxa"/>
            <w:gridSpan w:val="2"/>
            <w:tcBorders>
              <w:top w:val="single" w:sz="4" w:space="0" w:color="auto"/>
              <w:left w:val="nil"/>
              <w:bottom w:val="single" w:sz="4" w:space="0" w:color="auto"/>
              <w:right w:val="single" w:sz="4" w:space="0" w:color="auto"/>
            </w:tcBorders>
            <w:shd w:val="clear" w:color="000000" w:fill="4F81BD"/>
            <w:tcMar>
              <w:left w:w="57" w:type="dxa"/>
              <w:right w:w="57" w:type="dxa"/>
            </w:tcMar>
            <w:vAlign w:val="center"/>
            <w:hideMark/>
          </w:tcPr>
          <w:p w:rsidR="0077230C" w:rsidRPr="0077230C" w:rsidRDefault="0077230C" w:rsidP="0077230C">
            <w:pPr>
              <w:spacing w:line="240" w:lineRule="auto"/>
              <w:jc w:val="center"/>
              <w:rPr>
                <w:rFonts w:cs="Calibri"/>
                <w:b/>
                <w:bCs/>
                <w:color w:val="FFFFFF"/>
                <w:sz w:val="20"/>
                <w:szCs w:val="20"/>
                <w:lang w:val="en-US" w:eastAsia="en-US"/>
              </w:rPr>
            </w:pPr>
            <w:r w:rsidRPr="0077230C">
              <w:rPr>
                <w:rFonts w:cs="Calibri"/>
                <w:b/>
                <w:bCs/>
                <w:color w:val="FFFFFF"/>
                <w:sz w:val="20"/>
                <w:szCs w:val="20"/>
                <w:lang w:eastAsia="en-US"/>
              </w:rPr>
              <w:t>2017</w:t>
            </w:r>
          </w:p>
        </w:tc>
        <w:tc>
          <w:tcPr>
            <w:tcW w:w="2160" w:type="dxa"/>
            <w:gridSpan w:val="2"/>
            <w:tcBorders>
              <w:top w:val="single" w:sz="4" w:space="0" w:color="auto"/>
              <w:left w:val="nil"/>
              <w:bottom w:val="single" w:sz="4" w:space="0" w:color="auto"/>
              <w:right w:val="single" w:sz="4" w:space="0" w:color="auto"/>
            </w:tcBorders>
            <w:shd w:val="clear" w:color="000000" w:fill="4F81BD"/>
            <w:tcMar>
              <w:left w:w="57" w:type="dxa"/>
              <w:right w:w="57" w:type="dxa"/>
            </w:tcMar>
            <w:vAlign w:val="center"/>
            <w:hideMark/>
          </w:tcPr>
          <w:p w:rsidR="0077230C" w:rsidRPr="0077230C" w:rsidRDefault="0077230C" w:rsidP="0077230C">
            <w:pPr>
              <w:spacing w:line="240" w:lineRule="auto"/>
              <w:jc w:val="center"/>
              <w:rPr>
                <w:rFonts w:cs="Calibri"/>
                <w:b/>
                <w:bCs/>
                <w:color w:val="FFFFFF"/>
                <w:sz w:val="20"/>
                <w:szCs w:val="20"/>
                <w:lang w:val="en-US" w:eastAsia="en-US"/>
              </w:rPr>
            </w:pPr>
            <w:r w:rsidRPr="0077230C">
              <w:rPr>
                <w:rFonts w:cs="Calibri"/>
                <w:b/>
                <w:bCs/>
                <w:color w:val="FFFFFF"/>
                <w:sz w:val="20"/>
                <w:szCs w:val="20"/>
                <w:lang w:eastAsia="en-US"/>
              </w:rPr>
              <w:t>2018</w:t>
            </w:r>
          </w:p>
        </w:tc>
        <w:tc>
          <w:tcPr>
            <w:tcW w:w="1660" w:type="dxa"/>
            <w:tcBorders>
              <w:top w:val="single" w:sz="4" w:space="0" w:color="auto"/>
              <w:left w:val="single" w:sz="4" w:space="0" w:color="auto"/>
              <w:right w:val="single" w:sz="4" w:space="0" w:color="auto"/>
            </w:tcBorders>
            <w:shd w:val="clear" w:color="000000" w:fill="4F81BD"/>
            <w:noWrap/>
            <w:tcMar>
              <w:left w:w="57" w:type="dxa"/>
              <w:right w:w="57" w:type="dxa"/>
            </w:tcMar>
            <w:vAlign w:val="center"/>
            <w:hideMark/>
          </w:tcPr>
          <w:p w:rsidR="0077230C" w:rsidRPr="0077230C" w:rsidRDefault="0077230C" w:rsidP="0077230C">
            <w:pPr>
              <w:spacing w:line="240" w:lineRule="auto"/>
              <w:jc w:val="center"/>
              <w:rPr>
                <w:rFonts w:cs="Calibri"/>
                <w:b/>
                <w:bCs/>
                <w:color w:val="FFFFFF"/>
                <w:sz w:val="20"/>
                <w:szCs w:val="20"/>
                <w:lang w:val="en-US" w:eastAsia="en-US"/>
              </w:rPr>
            </w:pPr>
            <w:r w:rsidRPr="0077230C">
              <w:rPr>
                <w:rFonts w:cs="Calibri"/>
                <w:b/>
                <w:bCs/>
                <w:color w:val="FFFFFF"/>
                <w:sz w:val="20"/>
                <w:szCs w:val="20"/>
                <w:lang w:eastAsia="en-US"/>
              </w:rPr>
              <w:t>промяна на</w:t>
            </w:r>
          </w:p>
        </w:tc>
      </w:tr>
      <w:tr w:rsidR="0077230C" w:rsidRPr="000B697A" w:rsidTr="0077230C">
        <w:trPr>
          <w:trHeight w:val="170"/>
          <w:jc w:val="center"/>
        </w:trPr>
        <w:tc>
          <w:tcPr>
            <w:tcW w:w="2737" w:type="dxa"/>
            <w:tcBorders>
              <w:top w:val="nil"/>
              <w:left w:val="single" w:sz="4" w:space="0" w:color="auto"/>
              <w:bottom w:val="single" w:sz="4" w:space="0" w:color="auto"/>
              <w:right w:val="single" w:sz="4" w:space="0" w:color="auto"/>
            </w:tcBorders>
            <w:shd w:val="clear" w:color="000000" w:fill="4F81BD"/>
            <w:tcMar>
              <w:left w:w="57" w:type="dxa"/>
              <w:right w:w="57" w:type="dxa"/>
            </w:tcMar>
            <w:vAlign w:val="center"/>
            <w:hideMark/>
          </w:tcPr>
          <w:p w:rsidR="0077230C" w:rsidRPr="0077230C" w:rsidRDefault="0077230C" w:rsidP="0077230C">
            <w:pPr>
              <w:spacing w:line="240" w:lineRule="auto"/>
              <w:jc w:val="left"/>
              <w:rPr>
                <w:rFonts w:cs="Calibri"/>
                <w:color w:val="000000"/>
                <w:sz w:val="20"/>
                <w:szCs w:val="20"/>
                <w:lang w:val="en-US" w:eastAsia="en-US"/>
              </w:rPr>
            </w:pPr>
            <w:r w:rsidRPr="0077230C">
              <w:rPr>
                <w:rFonts w:cs="Calibri"/>
                <w:color w:val="000000"/>
                <w:sz w:val="20"/>
                <w:szCs w:val="20"/>
                <w:lang w:val="en-US" w:eastAsia="en-US"/>
              </w:rPr>
              <w:t> </w:t>
            </w:r>
          </w:p>
        </w:tc>
        <w:tc>
          <w:tcPr>
            <w:tcW w:w="1138" w:type="dxa"/>
            <w:tcBorders>
              <w:top w:val="nil"/>
              <w:left w:val="nil"/>
              <w:bottom w:val="single" w:sz="4" w:space="0" w:color="auto"/>
              <w:right w:val="single" w:sz="4" w:space="0" w:color="auto"/>
            </w:tcBorders>
            <w:shd w:val="clear" w:color="000000" w:fill="4F81BD"/>
            <w:tcMar>
              <w:left w:w="57" w:type="dxa"/>
              <w:right w:w="57" w:type="dxa"/>
            </w:tcMar>
            <w:vAlign w:val="center"/>
            <w:hideMark/>
          </w:tcPr>
          <w:p w:rsidR="0077230C" w:rsidRPr="0077230C" w:rsidRDefault="0077230C" w:rsidP="0077230C">
            <w:pPr>
              <w:spacing w:line="240" w:lineRule="auto"/>
              <w:jc w:val="center"/>
              <w:rPr>
                <w:rFonts w:cs="Calibri"/>
                <w:b/>
                <w:bCs/>
                <w:color w:val="FFFFFF"/>
                <w:sz w:val="20"/>
                <w:szCs w:val="20"/>
                <w:lang w:val="en-US" w:eastAsia="en-US"/>
              </w:rPr>
            </w:pPr>
            <w:r w:rsidRPr="0077230C">
              <w:rPr>
                <w:rFonts w:cs="Calibri"/>
                <w:b/>
                <w:bCs/>
                <w:color w:val="FFFFFF"/>
                <w:sz w:val="20"/>
                <w:szCs w:val="20"/>
                <w:lang w:eastAsia="en-US"/>
              </w:rPr>
              <w:t>BGN '000</w:t>
            </w:r>
          </w:p>
        </w:tc>
        <w:tc>
          <w:tcPr>
            <w:tcW w:w="960" w:type="dxa"/>
            <w:tcBorders>
              <w:top w:val="nil"/>
              <w:left w:val="nil"/>
              <w:bottom w:val="single" w:sz="4" w:space="0" w:color="auto"/>
              <w:right w:val="single" w:sz="4" w:space="0" w:color="auto"/>
            </w:tcBorders>
            <w:shd w:val="clear" w:color="000000" w:fill="4F81BD"/>
            <w:tcMar>
              <w:left w:w="57" w:type="dxa"/>
              <w:right w:w="57" w:type="dxa"/>
            </w:tcMar>
            <w:vAlign w:val="center"/>
            <w:hideMark/>
          </w:tcPr>
          <w:p w:rsidR="0077230C" w:rsidRPr="0077230C" w:rsidRDefault="0077230C" w:rsidP="0077230C">
            <w:pPr>
              <w:spacing w:line="240" w:lineRule="auto"/>
              <w:jc w:val="center"/>
              <w:rPr>
                <w:rFonts w:cs="Calibri"/>
                <w:b/>
                <w:bCs/>
                <w:color w:val="FFFFFF"/>
                <w:sz w:val="20"/>
                <w:szCs w:val="20"/>
                <w:lang w:val="en-US" w:eastAsia="en-US"/>
              </w:rPr>
            </w:pPr>
            <w:r w:rsidRPr="0077230C">
              <w:rPr>
                <w:rFonts w:cs="Calibri"/>
                <w:b/>
                <w:bCs/>
                <w:color w:val="FFFFFF"/>
                <w:sz w:val="20"/>
                <w:szCs w:val="20"/>
                <w:lang w:eastAsia="en-US"/>
              </w:rPr>
              <w:t>структура</w:t>
            </w:r>
          </w:p>
        </w:tc>
        <w:tc>
          <w:tcPr>
            <w:tcW w:w="1200" w:type="dxa"/>
            <w:tcBorders>
              <w:top w:val="nil"/>
              <w:left w:val="nil"/>
              <w:bottom w:val="single" w:sz="4" w:space="0" w:color="auto"/>
              <w:right w:val="single" w:sz="4" w:space="0" w:color="auto"/>
            </w:tcBorders>
            <w:shd w:val="clear" w:color="000000" w:fill="4F81BD"/>
            <w:tcMar>
              <w:left w:w="57" w:type="dxa"/>
              <w:right w:w="57" w:type="dxa"/>
            </w:tcMar>
            <w:vAlign w:val="center"/>
            <w:hideMark/>
          </w:tcPr>
          <w:p w:rsidR="0077230C" w:rsidRPr="0077230C" w:rsidRDefault="0077230C" w:rsidP="0077230C">
            <w:pPr>
              <w:spacing w:line="240" w:lineRule="auto"/>
              <w:jc w:val="center"/>
              <w:rPr>
                <w:rFonts w:cs="Calibri"/>
                <w:b/>
                <w:bCs/>
                <w:color w:val="FFFFFF"/>
                <w:sz w:val="20"/>
                <w:szCs w:val="20"/>
                <w:lang w:val="en-US" w:eastAsia="en-US"/>
              </w:rPr>
            </w:pPr>
            <w:r w:rsidRPr="0077230C">
              <w:rPr>
                <w:rFonts w:cs="Calibri"/>
                <w:b/>
                <w:bCs/>
                <w:color w:val="FFFFFF"/>
                <w:sz w:val="20"/>
                <w:szCs w:val="20"/>
                <w:lang w:eastAsia="en-US"/>
              </w:rPr>
              <w:t>BGN '000</w:t>
            </w:r>
          </w:p>
        </w:tc>
        <w:tc>
          <w:tcPr>
            <w:tcW w:w="960" w:type="dxa"/>
            <w:tcBorders>
              <w:top w:val="nil"/>
              <w:left w:val="nil"/>
              <w:bottom w:val="single" w:sz="4" w:space="0" w:color="auto"/>
              <w:right w:val="single" w:sz="4" w:space="0" w:color="auto"/>
            </w:tcBorders>
            <w:shd w:val="clear" w:color="000000" w:fill="4F81BD"/>
            <w:tcMar>
              <w:left w:w="57" w:type="dxa"/>
              <w:right w:w="57" w:type="dxa"/>
            </w:tcMar>
            <w:vAlign w:val="center"/>
            <w:hideMark/>
          </w:tcPr>
          <w:p w:rsidR="0077230C" w:rsidRPr="0077230C" w:rsidRDefault="0077230C" w:rsidP="0077230C">
            <w:pPr>
              <w:spacing w:line="240" w:lineRule="auto"/>
              <w:jc w:val="center"/>
              <w:rPr>
                <w:rFonts w:cs="Calibri"/>
                <w:b/>
                <w:bCs/>
                <w:color w:val="FFFFFF"/>
                <w:sz w:val="20"/>
                <w:szCs w:val="20"/>
                <w:lang w:val="en-US" w:eastAsia="en-US"/>
              </w:rPr>
            </w:pPr>
            <w:r w:rsidRPr="0077230C">
              <w:rPr>
                <w:rFonts w:cs="Calibri"/>
                <w:b/>
                <w:bCs/>
                <w:color w:val="FFFFFF"/>
                <w:sz w:val="20"/>
                <w:szCs w:val="20"/>
                <w:lang w:eastAsia="en-US"/>
              </w:rPr>
              <w:t>структура</w:t>
            </w:r>
          </w:p>
        </w:tc>
        <w:tc>
          <w:tcPr>
            <w:tcW w:w="1660" w:type="dxa"/>
            <w:tcBorders>
              <w:top w:val="nil"/>
              <w:left w:val="single" w:sz="4" w:space="0" w:color="auto"/>
              <w:bottom w:val="single" w:sz="4" w:space="0" w:color="auto"/>
              <w:right w:val="single" w:sz="4" w:space="0" w:color="auto"/>
            </w:tcBorders>
            <w:shd w:val="clear" w:color="000000" w:fill="4F81BD"/>
            <w:tcMar>
              <w:left w:w="57" w:type="dxa"/>
              <w:right w:w="57" w:type="dxa"/>
            </w:tcMar>
            <w:vAlign w:val="center"/>
            <w:hideMark/>
          </w:tcPr>
          <w:p w:rsidR="0077230C" w:rsidRPr="0077230C" w:rsidRDefault="0077230C" w:rsidP="0077230C">
            <w:pPr>
              <w:spacing w:line="240" w:lineRule="auto"/>
              <w:jc w:val="center"/>
              <w:rPr>
                <w:rFonts w:cs="Calibri"/>
                <w:b/>
                <w:bCs/>
                <w:color w:val="FFFFFF"/>
                <w:sz w:val="20"/>
                <w:szCs w:val="20"/>
                <w:lang w:val="en-US" w:eastAsia="en-US"/>
              </w:rPr>
            </w:pPr>
            <w:r w:rsidRPr="0077230C">
              <w:rPr>
                <w:rFonts w:cs="Calibri"/>
                <w:b/>
                <w:bCs/>
                <w:color w:val="FFFFFF"/>
                <w:sz w:val="20"/>
                <w:szCs w:val="20"/>
                <w:lang w:eastAsia="en-US"/>
              </w:rPr>
              <w:t>годишна база</w:t>
            </w:r>
          </w:p>
        </w:tc>
      </w:tr>
      <w:tr w:rsidR="0077230C" w:rsidRPr="0077230C" w:rsidTr="0077230C">
        <w:trPr>
          <w:trHeight w:val="170"/>
          <w:jc w:val="center"/>
        </w:trPr>
        <w:tc>
          <w:tcPr>
            <w:tcW w:w="273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color w:val="000000"/>
                <w:sz w:val="20"/>
                <w:szCs w:val="20"/>
                <w:lang w:val="en-US" w:eastAsia="en-US"/>
              </w:rPr>
            </w:pPr>
            <w:r w:rsidRPr="0077230C">
              <w:rPr>
                <w:rFonts w:cs="Calibri"/>
                <w:color w:val="000000"/>
                <w:sz w:val="20"/>
                <w:szCs w:val="20"/>
                <w:lang w:eastAsia="en-US"/>
              </w:rPr>
              <w:t>Приходи от услуги</w:t>
            </w:r>
          </w:p>
        </w:tc>
        <w:tc>
          <w:tcPr>
            <w:tcW w:w="113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2 231</w:t>
            </w:r>
          </w:p>
        </w:tc>
        <w:tc>
          <w:tcPr>
            <w:tcW w:w="9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90,11%</w:t>
            </w:r>
          </w:p>
        </w:tc>
        <w:tc>
          <w:tcPr>
            <w:tcW w:w="120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8 810</w:t>
            </w:r>
          </w:p>
        </w:tc>
        <w:tc>
          <w:tcPr>
            <w:tcW w:w="9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89,56%</w:t>
            </w:r>
          </w:p>
        </w:tc>
        <w:tc>
          <w:tcPr>
            <w:tcW w:w="166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294,89%</w:t>
            </w:r>
          </w:p>
        </w:tc>
      </w:tr>
      <w:tr w:rsidR="0077230C" w:rsidRPr="0077230C" w:rsidTr="0077230C">
        <w:trPr>
          <w:trHeight w:val="170"/>
          <w:jc w:val="center"/>
        </w:trPr>
        <w:tc>
          <w:tcPr>
            <w:tcW w:w="273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color w:val="000000"/>
                <w:sz w:val="20"/>
                <w:szCs w:val="20"/>
                <w:lang w:val="en-US" w:eastAsia="en-US"/>
              </w:rPr>
            </w:pPr>
            <w:r w:rsidRPr="0077230C">
              <w:rPr>
                <w:rFonts w:cs="Calibri"/>
                <w:color w:val="000000"/>
                <w:sz w:val="20"/>
                <w:szCs w:val="20"/>
                <w:lang w:eastAsia="en-US"/>
              </w:rPr>
              <w:t>Други доходи от дейността</w:t>
            </w:r>
          </w:p>
        </w:tc>
        <w:tc>
          <w:tcPr>
            <w:tcW w:w="113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58</w:t>
            </w:r>
          </w:p>
        </w:tc>
        <w:tc>
          <w:tcPr>
            <w:tcW w:w="9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2,34%</w:t>
            </w:r>
          </w:p>
        </w:tc>
        <w:tc>
          <w:tcPr>
            <w:tcW w:w="120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357</w:t>
            </w:r>
          </w:p>
        </w:tc>
        <w:tc>
          <w:tcPr>
            <w:tcW w:w="9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3,63%</w:t>
            </w:r>
          </w:p>
        </w:tc>
        <w:tc>
          <w:tcPr>
            <w:tcW w:w="16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515,52%</w:t>
            </w:r>
          </w:p>
        </w:tc>
      </w:tr>
      <w:tr w:rsidR="0077230C" w:rsidRPr="0077230C" w:rsidTr="0077230C">
        <w:trPr>
          <w:trHeight w:val="170"/>
          <w:jc w:val="center"/>
        </w:trPr>
        <w:tc>
          <w:tcPr>
            <w:tcW w:w="273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color w:val="000000"/>
                <w:sz w:val="20"/>
                <w:szCs w:val="20"/>
                <w:lang w:val="en-US" w:eastAsia="en-US"/>
              </w:rPr>
            </w:pPr>
            <w:r w:rsidRPr="0077230C">
              <w:rPr>
                <w:rFonts w:cs="Calibri"/>
                <w:color w:val="000000"/>
                <w:sz w:val="20"/>
                <w:szCs w:val="20"/>
                <w:lang w:eastAsia="en-US"/>
              </w:rPr>
              <w:t>Финансови приходи</w:t>
            </w:r>
          </w:p>
        </w:tc>
        <w:tc>
          <w:tcPr>
            <w:tcW w:w="113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187</w:t>
            </w:r>
          </w:p>
        </w:tc>
        <w:tc>
          <w:tcPr>
            <w:tcW w:w="9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7,55%</w:t>
            </w:r>
          </w:p>
        </w:tc>
        <w:tc>
          <w:tcPr>
            <w:tcW w:w="120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670</w:t>
            </w:r>
          </w:p>
        </w:tc>
        <w:tc>
          <w:tcPr>
            <w:tcW w:w="9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6,81%</w:t>
            </w:r>
          </w:p>
        </w:tc>
        <w:tc>
          <w:tcPr>
            <w:tcW w:w="16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color w:val="000000"/>
                <w:sz w:val="20"/>
                <w:szCs w:val="20"/>
                <w:lang w:val="en-US" w:eastAsia="en-US"/>
              </w:rPr>
            </w:pPr>
            <w:r w:rsidRPr="0077230C">
              <w:rPr>
                <w:rFonts w:cs="Calibri"/>
                <w:color w:val="000000"/>
                <w:sz w:val="20"/>
                <w:szCs w:val="20"/>
                <w:lang w:eastAsia="en-US"/>
              </w:rPr>
              <w:t>258,29%</w:t>
            </w:r>
          </w:p>
        </w:tc>
      </w:tr>
      <w:tr w:rsidR="0077230C" w:rsidRPr="0077230C" w:rsidTr="0077230C">
        <w:trPr>
          <w:trHeight w:val="170"/>
          <w:jc w:val="center"/>
        </w:trPr>
        <w:tc>
          <w:tcPr>
            <w:tcW w:w="273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left"/>
              <w:rPr>
                <w:rFonts w:cs="Calibri"/>
                <w:b/>
                <w:bCs/>
                <w:color w:val="000000"/>
                <w:sz w:val="20"/>
                <w:szCs w:val="20"/>
                <w:lang w:val="en-US" w:eastAsia="en-US"/>
              </w:rPr>
            </w:pPr>
            <w:r w:rsidRPr="0077230C">
              <w:rPr>
                <w:rFonts w:cs="Calibri"/>
                <w:b/>
                <w:bCs/>
                <w:color w:val="000000"/>
                <w:sz w:val="20"/>
                <w:szCs w:val="20"/>
                <w:lang w:eastAsia="en-US"/>
              </w:rPr>
              <w:t>Общо</w:t>
            </w:r>
          </w:p>
        </w:tc>
        <w:tc>
          <w:tcPr>
            <w:tcW w:w="113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b/>
                <w:bCs/>
                <w:color w:val="000000"/>
                <w:sz w:val="20"/>
                <w:szCs w:val="20"/>
                <w:lang w:val="en-US" w:eastAsia="en-US"/>
              </w:rPr>
            </w:pPr>
            <w:r w:rsidRPr="0077230C">
              <w:rPr>
                <w:rFonts w:cs="Calibri"/>
                <w:b/>
                <w:bCs/>
                <w:color w:val="000000"/>
                <w:sz w:val="20"/>
                <w:szCs w:val="20"/>
                <w:lang w:eastAsia="en-US"/>
              </w:rPr>
              <w:t>2 476</w:t>
            </w:r>
          </w:p>
        </w:tc>
        <w:tc>
          <w:tcPr>
            <w:tcW w:w="9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rPr>
                <w:rFonts w:cs="Calibri"/>
                <w:color w:val="000000"/>
                <w:sz w:val="20"/>
                <w:szCs w:val="20"/>
                <w:lang w:val="en-US" w:eastAsia="en-US"/>
              </w:rPr>
            </w:pPr>
            <w:r w:rsidRPr="0077230C">
              <w:rPr>
                <w:rFonts w:cs="Calibri"/>
                <w:color w:val="000000"/>
                <w:sz w:val="20"/>
                <w:szCs w:val="20"/>
                <w:lang w:eastAsia="en-US"/>
              </w:rPr>
              <w:t> </w:t>
            </w:r>
          </w:p>
        </w:tc>
        <w:tc>
          <w:tcPr>
            <w:tcW w:w="120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b/>
                <w:bCs/>
                <w:color w:val="000000"/>
                <w:sz w:val="20"/>
                <w:szCs w:val="20"/>
                <w:lang w:val="en-US" w:eastAsia="en-US"/>
              </w:rPr>
            </w:pPr>
            <w:r w:rsidRPr="0077230C">
              <w:rPr>
                <w:rFonts w:cs="Calibri"/>
                <w:b/>
                <w:bCs/>
                <w:color w:val="000000"/>
                <w:sz w:val="20"/>
                <w:szCs w:val="20"/>
                <w:lang w:eastAsia="en-US"/>
              </w:rPr>
              <w:t>9 837</w:t>
            </w:r>
          </w:p>
        </w:tc>
        <w:tc>
          <w:tcPr>
            <w:tcW w:w="9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rPr>
                <w:rFonts w:cs="Calibri"/>
                <w:color w:val="000000"/>
                <w:sz w:val="20"/>
                <w:szCs w:val="20"/>
                <w:lang w:val="en-US" w:eastAsia="en-US"/>
              </w:rPr>
            </w:pPr>
            <w:r w:rsidRPr="0077230C">
              <w:rPr>
                <w:rFonts w:cs="Calibri"/>
                <w:color w:val="000000"/>
                <w:sz w:val="20"/>
                <w:szCs w:val="20"/>
                <w:lang w:eastAsia="en-US"/>
              </w:rPr>
              <w:t> </w:t>
            </w:r>
          </w:p>
        </w:tc>
        <w:tc>
          <w:tcPr>
            <w:tcW w:w="16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230C" w:rsidRPr="0077230C" w:rsidRDefault="0077230C" w:rsidP="0077230C">
            <w:pPr>
              <w:spacing w:line="240" w:lineRule="auto"/>
              <w:jc w:val="right"/>
              <w:rPr>
                <w:rFonts w:cs="Calibri"/>
                <w:b/>
                <w:bCs/>
                <w:color w:val="000000"/>
                <w:sz w:val="20"/>
                <w:szCs w:val="20"/>
                <w:lang w:val="en-US" w:eastAsia="en-US"/>
              </w:rPr>
            </w:pPr>
            <w:r w:rsidRPr="0077230C">
              <w:rPr>
                <w:rFonts w:cs="Calibri"/>
                <w:b/>
                <w:bCs/>
                <w:color w:val="000000"/>
                <w:sz w:val="20"/>
                <w:szCs w:val="20"/>
                <w:lang w:eastAsia="en-US"/>
              </w:rPr>
              <w:t>297,29%</w:t>
            </w:r>
          </w:p>
        </w:tc>
      </w:tr>
    </w:tbl>
    <w:p w:rsidR="002D7AD7" w:rsidRPr="000B697A" w:rsidRDefault="002D7AD7" w:rsidP="005B79B4">
      <w:pPr>
        <w:ind w:left="709"/>
        <w:rPr>
          <w:rFonts w:cs="Calibri"/>
          <w:highlight w:val="yellow"/>
        </w:rPr>
      </w:pPr>
    </w:p>
    <w:p w:rsidR="00C30661" w:rsidRPr="000B697A" w:rsidRDefault="008F4F65" w:rsidP="009F6E04">
      <w:pPr>
        <w:rPr>
          <w:rFonts w:cs="Calibri"/>
        </w:rPr>
      </w:pPr>
      <w:r w:rsidRPr="000B697A">
        <w:rPr>
          <w:rFonts w:cs="Calibri"/>
        </w:rPr>
        <w:t xml:space="preserve">Обстоен анализ на приходите на Групата </w:t>
      </w:r>
      <w:r w:rsidR="0083768E" w:rsidRPr="000B697A">
        <w:rPr>
          <w:rFonts w:cs="Calibri"/>
        </w:rPr>
        <w:t xml:space="preserve">е представен </w:t>
      </w:r>
      <w:r w:rsidRPr="000B697A">
        <w:rPr>
          <w:rFonts w:cs="Calibri"/>
        </w:rPr>
        <w:t xml:space="preserve">в т. </w:t>
      </w:r>
      <w:r w:rsidR="00004CA5">
        <w:fldChar w:fldCharType="begin"/>
      </w:r>
      <w:r w:rsidR="00004CA5">
        <w:instrText xml:space="preserve"> REF _Ref448922536 \r \h  \* MERGEFORMAT </w:instrText>
      </w:r>
      <w:r w:rsidR="00004CA5">
        <w:fldChar w:fldCharType="separate"/>
      </w:r>
      <w:r w:rsidR="00AA0D62" w:rsidRPr="00AA0D62">
        <w:rPr>
          <w:rFonts w:cs="Calibri"/>
        </w:rPr>
        <w:t>3.1.2</w:t>
      </w:r>
      <w:r w:rsidR="00004CA5">
        <w:fldChar w:fldCharType="end"/>
      </w:r>
      <w:r w:rsidR="008146FE" w:rsidRPr="000B697A">
        <w:rPr>
          <w:rFonts w:cs="Calibri"/>
        </w:rPr>
        <w:t>.</w:t>
      </w:r>
    </w:p>
    <w:p w:rsidR="00E94798" w:rsidRDefault="0077230C" w:rsidP="00E94798">
      <w:pPr>
        <w:rPr>
          <w:rFonts w:cs="Calibri"/>
        </w:rPr>
      </w:pPr>
      <w:r w:rsidRPr="000B697A">
        <w:rPr>
          <w:rFonts w:cs="Calibri"/>
          <w:szCs w:val="20"/>
        </w:rPr>
        <w:t xml:space="preserve">Към 31.12.2018 г. Групата е реализирала приходи от български клиенти в размер на </w:t>
      </w:r>
      <w:r w:rsidRPr="000B697A">
        <w:rPr>
          <w:rFonts w:cs="Calibri"/>
          <w:szCs w:val="20"/>
          <w:lang w:val="en-US"/>
        </w:rPr>
        <w:t>7,316</w:t>
      </w:r>
      <w:r w:rsidRPr="000B697A">
        <w:rPr>
          <w:rFonts w:cs="Calibri"/>
          <w:szCs w:val="20"/>
        </w:rPr>
        <w:t xml:space="preserve"> х. лв. (31.12.2017 г.:  1,857 х. лв.), а приходите от чуждестранни клиенти са в размер на </w:t>
      </w:r>
      <w:r w:rsidRPr="000B697A">
        <w:rPr>
          <w:rFonts w:cs="Calibri"/>
          <w:szCs w:val="20"/>
          <w:lang w:val="en-US"/>
        </w:rPr>
        <w:t>1,494</w:t>
      </w:r>
      <w:r w:rsidRPr="000B697A">
        <w:rPr>
          <w:rFonts w:cs="Calibri"/>
          <w:szCs w:val="20"/>
        </w:rPr>
        <w:t xml:space="preserve"> х. лв. (31.12.2017 г.: 374 х. лв.)</w:t>
      </w:r>
      <w:r w:rsidRPr="000B697A">
        <w:rPr>
          <w:rFonts w:cs="Calibri"/>
        </w:rPr>
        <w:t xml:space="preserve">. </w:t>
      </w:r>
      <w:r w:rsidR="00E94798" w:rsidRPr="000B697A">
        <w:rPr>
          <w:rFonts w:cs="Calibri"/>
        </w:rPr>
        <w:t xml:space="preserve">За осъществяване на предлаганите услуги </w:t>
      </w:r>
      <w:r w:rsidRPr="000B697A">
        <w:rPr>
          <w:rFonts w:cs="Calibri"/>
        </w:rPr>
        <w:t xml:space="preserve">група </w:t>
      </w:r>
      <w:r w:rsidR="00E94798" w:rsidRPr="000B697A">
        <w:rPr>
          <w:rFonts w:cs="Calibri"/>
        </w:rPr>
        <w:t>„Българска фондова борса“ използва само собствени средства и експертиза.</w:t>
      </w:r>
    </w:p>
    <w:p w:rsidR="0092787D" w:rsidRDefault="0092787D" w:rsidP="0092787D">
      <w:pPr>
        <w:rPr>
          <w:rFonts w:cs="Calibri"/>
          <w:highlight w:val="yellow"/>
        </w:rPr>
      </w:pPr>
    </w:p>
    <w:p w:rsidR="0092787D" w:rsidRPr="00C500EA" w:rsidRDefault="0092787D" w:rsidP="0092787D">
      <w:pPr>
        <w:rPr>
          <w:rFonts w:cs="Calibri"/>
        </w:rPr>
      </w:pPr>
      <w:r w:rsidRPr="00C500EA">
        <w:rPr>
          <w:rFonts w:cs="Calibri"/>
        </w:rPr>
        <w:t xml:space="preserve">През 2018-а година в приходите </w:t>
      </w:r>
      <w:r w:rsidR="00CB405F" w:rsidRPr="00C500EA">
        <w:rPr>
          <w:rFonts w:cs="Calibri"/>
        </w:rPr>
        <w:t>(вкл. Финансовите приходи) на Група БФБ АД</w:t>
      </w:r>
      <w:r w:rsidRPr="00C500EA">
        <w:rPr>
          <w:rFonts w:cs="Calibri"/>
        </w:rPr>
        <w:t xml:space="preserve"> няма  клиенти, които реализират над 10% от приходите на Група.</w:t>
      </w:r>
    </w:p>
    <w:p w:rsidR="0092787D" w:rsidRPr="00C500EA" w:rsidRDefault="0092787D" w:rsidP="00E94798">
      <w:pPr>
        <w:rPr>
          <w:rFonts w:cs="Calibri"/>
        </w:rPr>
      </w:pPr>
    </w:p>
    <w:p w:rsidR="0010330A" w:rsidRPr="00C500EA" w:rsidRDefault="0010330A" w:rsidP="0010330A">
      <w:pPr>
        <w:rPr>
          <w:rFonts w:cs="Calibri"/>
        </w:rPr>
      </w:pPr>
      <w:r w:rsidRPr="00C500EA">
        <w:rPr>
          <w:rFonts w:cs="Calibri"/>
        </w:rPr>
        <w:t>През 201</w:t>
      </w:r>
      <w:r w:rsidR="0092787D" w:rsidRPr="00C500EA">
        <w:rPr>
          <w:rFonts w:cs="Calibri"/>
        </w:rPr>
        <w:t>7</w:t>
      </w:r>
      <w:r w:rsidRPr="00C500EA">
        <w:rPr>
          <w:rFonts w:cs="Calibri"/>
        </w:rPr>
        <w:t xml:space="preserve">-а година делът на приходите от Дойче </w:t>
      </w:r>
      <w:proofErr w:type="spellStart"/>
      <w:r w:rsidRPr="00C500EA">
        <w:rPr>
          <w:rFonts w:cs="Calibri"/>
        </w:rPr>
        <w:t>Бьорзе</w:t>
      </w:r>
      <w:proofErr w:type="spellEnd"/>
      <w:r w:rsidRPr="00C500EA">
        <w:rPr>
          <w:rFonts w:cs="Calibri"/>
        </w:rPr>
        <w:t xml:space="preserve"> в общия размер на приходите на дружеството (вкл. Финансовите приходи), е 14,01%. През отчетния период няма други клиенти, които реализират над 10% от приходите на Борсата.</w:t>
      </w:r>
    </w:p>
    <w:p w:rsidR="00A21031" w:rsidRPr="00C500EA" w:rsidRDefault="00A21031" w:rsidP="00E94798">
      <w:pPr>
        <w:rPr>
          <w:rFonts w:cs="Calibri"/>
        </w:rPr>
      </w:pPr>
    </w:p>
    <w:p w:rsidR="0010330A" w:rsidRPr="00C500EA" w:rsidRDefault="0010330A" w:rsidP="0010330A">
      <w:pPr>
        <w:rPr>
          <w:rFonts w:cs="Calibri"/>
        </w:rPr>
      </w:pPr>
      <w:r w:rsidRPr="00C500EA">
        <w:rPr>
          <w:rFonts w:cs="Calibri"/>
        </w:rPr>
        <w:t>През 201</w:t>
      </w:r>
      <w:r w:rsidR="0092787D" w:rsidRPr="00C500EA">
        <w:rPr>
          <w:rFonts w:cs="Calibri"/>
        </w:rPr>
        <w:t>8 г</w:t>
      </w:r>
      <w:r w:rsidR="00CB405F" w:rsidRPr="00C500EA">
        <w:rPr>
          <w:rFonts w:cs="Calibri"/>
        </w:rPr>
        <w:t>одина</w:t>
      </w:r>
      <w:r w:rsidR="0092787D" w:rsidRPr="00C500EA">
        <w:rPr>
          <w:rFonts w:cs="Calibri"/>
        </w:rPr>
        <w:t xml:space="preserve"> </w:t>
      </w:r>
      <w:r w:rsidRPr="00C500EA">
        <w:rPr>
          <w:rFonts w:cs="Calibri"/>
        </w:rPr>
        <w:t xml:space="preserve"> </w:t>
      </w:r>
      <w:r w:rsidR="00CB405F" w:rsidRPr="00C500EA">
        <w:rPr>
          <w:rFonts w:cs="Calibri"/>
        </w:rPr>
        <w:t xml:space="preserve">в </w:t>
      </w:r>
      <w:r w:rsidRPr="00C500EA">
        <w:rPr>
          <w:rFonts w:cs="Calibri"/>
        </w:rPr>
        <w:t xml:space="preserve"> разходите (вкл. финансовите разходи) на </w:t>
      </w:r>
      <w:r w:rsidR="00CA7BAF" w:rsidRPr="00C500EA">
        <w:rPr>
          <w:rFonts w:cs="Calibri"/>
        </w:rPr>
        <w:t xml:space="preserve">Група </w:t>
      </w:r>
      <w:r w:rsidRPr="00C500EA">
        <w:rPr>
          <w:rFonts w:cs="Calibri"/>
        </w:rPr>
        <w:t>„БФБ“ АД  няма контрагент</w:t>
      </w:r>
      <w:r w:rsidR="00CB405F" w:rsidRPr="00C500EA">
        <w:rPr>
          <w:rFonts w:cs="Calibri"/>
        </w:rPr>
        <w:t>и</w:t>
      </w:r>
      <w:r w:rsidRPr="00C500EA">
        <w:rPr>
          <w:rFonts w:cs="Calibri"/>
        </w:rPr>
        <w:t>, разходите към ко</w:t>
      </w:r>
      <w:r w:rsidR="00CB405F" w:rsidRPr="00C500EA">
        <w:rPr>
          <w:rFonts w:cs="Calibri"/>
        </w:rPr>
        <w:t>и</w:t>
      </w:r>
      <w:r w:rsidRPr="00C500EA">
        <w:rPr>
          <w:rFonts w:cs="Calibri"/>
        </w:rPr>
        <w:t xml:space="preserve">то да надхвърлят 10% от общата сума на разходите на </w:t>
      </w:r>
      <w:r w:rsidR="00CB405F" w:rsidRPr="00C500EA">
        <w:rPr>
          <w:rFonts w:cs="Calibri"/>
        </w:rPr>
        <w:t>Групата</w:t>
      </w:r>
      <w:r w:rsidRPr="00C500EA">
        <w:rPr>
          <w:rFonts w:cs="Calibri"/>
        </w:rPr>
        <w:t>.</w:t>
      </w:r>
    </w:p>
    <w:p w:rsidR="00A21031" w:rsidRPr="00C500EA" w:rsidRDefault="00A21031" w:rsidP="0010330A">
      <w:pPr>
        <w:rPr>
          <w:rFonts w:cs="Calibri"/>
        </w:rPr>
      </w:pPr>
    </w:p>
    <w:p w:rsidR="00E94798" w:rsidRPr="000B697A" w:rsidRDefault="00E94798" w:rsidP="00E94798">
      <w:pPr>
        <w:rPr>
          <w:rFonts w:cs="Calibri"/>
        </w:rPr>
      </w:pPr>
      <w:r w:rsidRPr="00C500EA">
        <w:rPr>
          <w:rFonts w:cs="Calibri"/>
        </w:rPr>
        <w:t>През 2017 г. 16,01% от общата сума на разходите (вкл. финансовит</w:t>
      </w:r>
      <w:r w:rsidR="0077230C" w:rsidRPr="00C500EA">
        <w:rPr>
          <w:rFonts w:cs="Calibri"/>
        </w:rPr>
        <w:t>е разходи) са разходите на „БФБ</w:t>
      </w:r>
      <w:r w:rsidRPr="00C500EA">
        <w:rPr>
          <w:rFonts w:cs="Calibri"/>
        </w:rPr>
        <w:t xml:space="preserve">“ АД към Дойче </w:t>
      </w:r>
      <w:proofErr w:type="spellStart"/>
      <w:r w:rsidRPr="00C500EA">
        <w:rPr>
          <w:rFonts w:cs="Calibri"/>
        </w:rPr>
        <w:t>Бьорзе</w:t>
      </w:r>
      <w:proofErr w:type="spellEnd"/>
      <w:r w:rsidRPr="00C500EA">
        <w:rPr>
          <w:rFonts w:cs="Calibri"/>
        </w:rPr>
        <w:t xml:space="preserve"> във връзка със сключеното рамково споразумение за ползване на разработената и поддържана от нея търговска система </w:t>
      </w:r>
      <w:proofErr w:type="spellStart"/>
      <w:r w:rsidRPr="00C500EA">
        <w:rPr>
          <w:rFonts w:cs="Calibri"/>
        </w:rPr>
        <w:t>Xetra</w:t>
      </w:r>
      <w:proofErr w:type="spellEnd"/>
      <w:r w:rsidRPr="00C500EA">
        <w:rPr>
          <w:rFonts w:cs="Calibri"/>
        </w:rPr>
        <w:t xml:space="preserve"> и свързаните с него допълнителни споразумения. През 2017 г. няма друг контрагент, разходите към когото да надхвърлят 10% от о</w:t>
      </w:r>
      <w:r w:rsidR="0077230C" w:rsidRPr="00C500EA">
        <w:rPr>
          <w:rFonts w:cs="Calibri"/>
        </w:rPr>
        <w:t>бщата сума на разходите на „БФБ</w:t>
      </w:r>
      <w:r w:rsidRPr="00C500EA">
        <w:rPr>
          <w:rFonts w:cs="Calibri"/>
        </w:rPr>
        <w:t>“ АД.</w:t>
      </w:r>
    </w:p>
    <w:p w:rsidR="007D0731" w:rsidRPr="000B697A" w:rsidRDefault="00010F33" w:rsidP="0016443B">
      <w:pPr>
        <w:pStyle w:val="SubNumbers"/>
        <w:rPr>
          <w:rFonts w:cs="Calibri"/>
        </w:rPr>
      </w:pPr>
      <w:bookmarkStart w:id="109" w:name="_Toc6923259"/>
      <w:r w:rsidRPr="000B697A">
        <w:rPr>
          <w:rFonts w:cs="Calibri"/>
        </w:rPr>
        <w:t>Информация за сключени големи сделки и такива от съществено значение за дейността на Група Българска Фондова Борса</w:t>
      </w:r>
      <w:bookmarkEnd w:id="109"/>
    </w:p>
    <w:p w:rsidR="00420633" w:rsidRPr="000B697A" w:rsidRDefault="0077230C" w:rsidP="000965FA">
      <w:pPr>
        <w:rPr>
          <w:rFonts w:cs="Calibri"/>
        </w:rPr>
      </w:pPr>
      <w:r w:rsidRPr="000B697A">
        <w:rPr>
          <w:rFonts w:cs="Calibri"/>
        </w:rPr>
        <w:t>Както бе посочено в т</w:t>
      </w:r>
      <w:r w:rsidR="00C500EA">
        <w:rPr>
          <w:rFonts w:cs="Calibri"/>
          <w:lang w:val="en-US"/>
        </w:rPr>
        <w:t xml:space="preserve">. </w:t>
      </w:r>
      <w:r w:rsidR="00C500EA">
        <w:rPr>
          <w:rFonts w:cs="Calibri"/>
        </w:rPr>
        <w:fldChar w:fldCharType="begin"/>
      </w:r>
      <w:r w:rsidR="00C500EA">
        <w:rPr>
          <w:rFonts w:cs="Calibri"/>
        </w:rPr>
        <w:instrText xml:space="preserve"> REF _Ref6838380 \r \h </w:instrText>
      </w:r>
      <w:r w:rsidR="00C500EA">
        <w:rPr>
          <w:rFonts w:cs="Calibri"/>
        </w:rPr>
      </w:r>
      <w:r w:rsidR="00C500EA">
        <w:rPr>
          <w:rFonts w:cs="Calibri"/>
        </w:rPr>
        <w:fldChar w:fldCharType="separate"/>
      </w:r>
      <w:r w:rsidR="00AA0D62">
        <w:rPr>
          <w:rFonts w:cs="Calibri"/>
        </w:rPr>
        <w:t>2.8.3</w:t>
      </w:r>
      <w:r w:rsidR="00C500EA">
        <w:rPr>
          <w:rFonts w:cs="Calibri"/>
        </w:rPr>
        <w:fldChar w:fldCharType="end"/>
      </w:r>
      <w:r w:rsidRPr="000B697A">
        <w:rPr>
          <w:rFonts w:cs="Calibri"/>
        </w:rPr>
        <w:t>, договорът за придобиване на 100% от капитала на „Българската независима енергийна борса“ ЕАД беше приключена успешно. Подробна информация вижте по-горе</w:t>
      </w:r>
      <w:r w:rsidR="00420633" w:rsidRPr="000B697A">
        <w:rPr>
          <w:rFonts w:cs="Calibri"/>
        </w:rPr>
        <w:t>.</w:t>
      </w:r>
    </w:p>
    <w:p w:rsidR="00042518" w:rsidRPr="000B697A" w:rsidRDefault="00010F33" w:rsidP="0016443B">
      <w:pPr>
        <w:pStyle w:val="SubNumbers"/>
        <w:rPr>
          <w:rFonts w:cs="Calibri"/>
        </w:rPr>
      </w:pPr>
      <w:bookmarkStart w:id="110" w:name="_Toc6923260"/>
      <w:r w:rsidRPr="000B697A">
        <w:rPr>
          <w:rFonts w:cs="Calibri"/>
        </w:rPr>
        <w:t>Информация относно сделките, сключени между емитента и свързани лица, през отчетния период, предложения за сключване на такива сделки, както и сделки, които са извън обичайната му дейност или съществено се отклоняват от пазарните условия, по които емитентът или негово дъщерно дружество е страна с посочване на стойността на сделките, характера на свързаността и всяка информация, необходима за оценка на въздействието върху финансовото състояние на емитента.</w:t>
      </w:r>
      <w:bookmarkEnd w:id="110"/>
    </w:p>
    <w:p w:rsidR="00727A68" w:rsidRPr="000B697A" w:rsidRDefault="00727A68" w:rsidP="007C5282">
      <w:pPr>
        <w:rPr>
          <w:rFonts w:cs="Calibri"/>
          <w:i/>
        </w:rPr>
      </w:pPr>
      <w:r w:rsidRPr="000B697A">
        <w:rPr>
          <w:rFonts w:cs="Calibri"/>
          <w:i/>
        </w:rPr>
        <w:t xml:space="preserve">Основен собственик </w:t>
      </w:r>
    </w:p>
    <w:p w:rsidR="00727A68" w:rsidRPr="000B697A" w:rsidRDefault="00727A68" w:rsidP="001C05F0">
      <w:pPr>
        <w:widowControl w:val="0"/>
        <w:rPr>
          <w:rFonts w:cs="Calibri"/>
        </w:rPr>
      </w:pPr>
      <w:r w:rsidRPr="000B697A">
        <w:rPr>
          <w:rFonts w:cs="Calibri"/>
        </w:rPr>
        <w:t xml:space="preserve">Държавата чрез Министерство на финансите притежава 50,05 % от акциите в основния акционерен капитал на Борсата и упражнява контрол върху финансовата и оперативната </w:t>
      </w:r>
      <w:r w:rsidRPr="000B697A">
        <w:rPr>
          <w:rFonts w:cs="Calibri"/>
        </w:rPr>
        <w:lastRenderedPageBreak/>
        <w:t xml:space="preserve">политика на дружеството. </w:t>
      </w:r>
    </w:p>
    <w:p w:rsidR="00727A68" w:rsidRPr="000B697A" w:rsidRDefault="00727A68" w:rsidP="007C5282">
      <w:pPr>
        <w:ind w:firstLine="709"/>
        <w:rPr>
          <w:rFonts w:cs="Calibri"/>
          <w:i/>
        </w:rPr>
      </w:pPr>
    </w:p>
    <w:p w:rsidR="00727A68" w:rsidRPr="000B697A" w:rsidRDefault="00727A68" w:rsidP="007C5282">
      <w:pPr>
        <w:rPr>
          <w:rFonts w:cs="Calibri"/>
          <w:i/>
        </w:rPr>
      </w:pPr>
      <w:r w:rsidRPr="000B697A">
        <w:rPr>
          <w:rFonts w:cs="Calibri"/>
          <w:i/>
        </w:rPr>
        <w:t>Предприятие с квалифицирано участие от страна на държавата</w:t>
      </w:r>
      <w:r w:rsidR="003D057B" w:rsidRPr="000B697A">
        <w:rPr>
          <w:rFonts w:cs="Calibri"/>
          <w:i/>
        </w:rPr>
        <w:t xml:space="preserve"> </w:t>
      </w:r>
    </w:p>
    <w:p w:rsidR="00727A68" w:rsidRPr="000B697A" w:rsidRDefault="00727A68" w:rsidP="007C5282">
      <w:pPr>
        <w:rPr>
          <w:rFonts w:cs="Calibri"/>
        </w:rPr>
      </w:pPr>
      <w:r w:rsidRPr="000B697A">
        <w:rPr>
          <w:rFonts w:cs="Calibri"/>
        </w:rPr>
        <w:t>Държавата чрез Министерство на финансите притежава пряко 43.7 % от акциите в основния акционерен капитал на Централен депозитар АД и притежава значително влияние. Последното е свързано лице с Борсата, доколкото и в двете дружества държавата има квалифицирано участие. Българска Фондова Борса АД от своя страна също е акционер в Централен Депозитар АД с 6.61 % акционерно участие към 31.12.</w:t>
      </w:r>
      <w:r w:rsidR="007C7E4E" w:rsidRPr="000B697A">
        <w:rPr>
          <w:rFonts w:cs="Calibri"/>
        </w:rPr>
        <w:t>201</w:t>
      </w:r>
      <w:r w:rsidR="007C7E4E">
        <w:rPr>
          <w:rFonts w:cs="Calibri"/>
        </w:rPr>
        <w:t>8</w:t>
      </w:r>
      <w:r w:rsidR="007C7E4E" w:rsidRPr="000B697A">
        <w:rPr>
          <w:rFonts w:cs="Calibri"/>
        </w:rPr>
        <w:t xml:space="preserve"> </w:t>
      </w:r>
      <w:r w:rsidR="000965FA" w:rsidRPr="000B697A">
        <w:rPr>
          <w:rFonts w:cs="Calibri"/>
        </w:rPr>
        <w:t>г. (31.12.201</w:t>
      </w:r>
      <w:r w:rsidR="007C7E4E">
        <w:rPr>
          <w:rFonts w:cs="Calibri"/>
        </w:rPr>
        <w:t>7</w:t>
      </w:r>
      <w:r w:rsidRPr="000B697A">
        <w:rPr>
          <w:rFonts w:cs="Calibri"/>
        </w:rPr>
        <w:t xml:space="preserve"> г.: 6.61 %).</w:t>
      </w:r>
    </w:p>
    <w:p w:rsidR="00727A68" w:rsidRPr="000B697A" w:rsidRDefault="00727A68" w:rsidP="007C5282">
      <w:pPr>
        <w:ind w:firstLine="709"/>
        <w:rPr>
          <w:rFonts w:cs="Calibri"/>
          <w:i/>
        </w:rPr>
      </w:pPr>
    </w:p>
    <w:p w:rsidR="00727A68" w:rsidRPr="000B697A" w:rsidRDefault="00727A68" w:rsidP="00371F9E">
      <w:pPr>
        <w:rPr>
          <w:rFonts w:cs="Calibri"/>
          <w:i/>
        </w:rPr>
      </w:pPr>
      <w:r w:rsidRPr="000B697A">
        <w:rPr>
          <w:rFonts w:cs="Calibri"/>
          <w:i/>
        </w:rPr>
        <w:t>Предприятия, в които лице от ключовия управленски персонал на Борсата едновременно взема участие в ръководството на тези предприятия като изпълнителен директор или управител</w:t>
      </w:r>
    </w:p>
    <w:p w:rsidR="0002533C" w:rsidRPr="000B697A" w:rsidRDefault="0002533C" w:rsidP="0002533C">
      <w:pPr>
        <w:pStyle w:val="BodyText"/>
        <w:tabs>
          <w:tab w:val="left" w:pos="720"/>
        </w:tabs>
        <w:rPr>
          <w:rFonts w:cs="Calibri"/>
          <w:b/>
          <w:bCs/>
        </w:rPr>
      </w:pPr>
      <w:r w:rsidRPr="000B697A">
        <w:rPr>
          <w:rFonts w:cs="Calibri"/>
        </w:rPr>
        <w:t xml:space="preserve">Към 31.12.2018 г. предприятия, които имат подобна свързаност са: Юробанк България АД, Булстрад Живот Виена Иншурънс Груп АД, Сдружение СК „ДФС – Локомотив София“, Бенчмарк Груп АД, Бенчмарк Кредит АД; </w:t>
      </w:r>
      <w:proofErr w:type="spellStart"/>
      <w:r w:rsidRPr="000B697A">
        <w:rPr>
          <w:rFonts w:cs="Calibri"/>
        </w:rPr>
        <w:t>БенчМарк</w:t>
      </w:r>
      <w:proofErr w:type="spellEnd"/>
      <w:r w:rsidRPr="000B697A">
        <w:rPr>
          <w:rFonts w:cs="Calibri"/>
        </w:rPr>
        <w:t xml:space="preserve"> Финанс АД, ЛПБ Инвестиции ООД, ЛНБ Трейдинг ЕООД, Централен депозитар АД.</w:t>
      </w:r>
    </w:p>
    <w:p w:rsidR="00B605A5" w:rsidRPr="000B697A" w:rsidRDefault="0002533C" w:rsidP="0002533C">
      <w:pPr>
        <w:pStyle w:val="BodyText"/>
        <w:tabs>
          <w:tab w:val="left" w:pos="720"/>
        </w:tabs>
        <w:rPr>
          <w:rFonts w:cs="Calibri"/>
          <w:b/>
          <w:bCs/>
          <w:sz w:val="22"/>
        </w:rPr>
      </w:pPr>
      <w:r w:rsidRPr="000B697A">
        <w:rPr>
          <w:rFonts w:cs="Calibri"/>
        </w:rPr>
        <w:t xml:space="preserve">Към 31.12.2017 г. предприятия, които имат подобна свързаност са: „Юробанк България“ АД, „Бенчмарк </w:t>
      </w:r>
      <w:proofErr w:type="spellStart"/>
      <w:r w:rsidRPr="000B697A">
        <w:rPr>
          <w:rFonts w:cs="Calibri"/>
        </w:rPr>
        <w:t>финанс</w:t>
      </w:r>
      <w:proofErr w:type="spellEnd"/>
      <w:r w:rsidRPr="000B697A">
        <w:rPr>
          <w:rFonts w:cs="Calibri"/>
        </w:rPr>
        <w:t>“ АД, „Бенчмарк груп“ АД, „Бенчмарк кредит“ АД, „ЛПБ Инвестиции“ ООД, „ЛНБ Трейдинг“ ЕООД, „Централен депозитар“ АД</w:t>
      </w:r>
      <w:r w:rsidRPr="000B697A">
        <w:rPr>
          <w:rFonts w:cs="Calibri"/>
          <w:lang w:val="en-US"/>
        </w:rPr>
        <w:t xml:space="preserve"> </w:t>
      </w:r>
      <w:r w:rsidRPr="000B697A">
        <w:rPr>
          <w:rFonts w:cs="Calibri"/>
        </w:rPr>
        <w:t>и „Регистър на енергийните деривати и транзакции“ АД</w:t>
      </w:r>
      <w:r w:rsidR="00B605A5" w:rsidRPr="000B697A">
        <w:rPr>
          <w:rFonts w:cs="Calibri"/>
          <w:sz w:val="22"/>
        </w:rPr>
        <w:t>.</w:t>
      </w:r>
    </w:p>
    <w:p w:rsidR="00DF02DC" w:rsidRPr="000B697A" w:rsidRDefault="00DF02DC">
      <w:pPr>
        <w:jc w:val="left"/>
        <w:rPr>
          <w:rFonts w:cs="Calibri"/>
        </w:rPr>
      </w:pPr>
    </w:p>
    <w:p w:rsidR="00042518" w:rsidRPr="000B697A" w:rsidRDefault="00042518" w:rsidP="007C5282">
      <w:pPr>
        <w:rPr>
          <w:rFonts w:cs="Calibri"/>
          <w:i/>
        </w:rPr>
      </w:pPr>
      <w:r w:rsidRPr="000B697A">
        <w:rPr>
          <w:rFonts w:cs="Calibri"/>
          <w:i/>
        </w:rPr>
        <w:t>Сделки със свързани лица</w:t>
      </w:r>
    </w:p>
    <w:p w:rsidR="004A0525" w:rsidRPr="000B697A" w:rsidRDefault="00042518" w:rsidP="007C5282">
      <w:pPr>
        <w:rPr>
          <w:rFonts w:cs="Calibri"/>
        </w:rPr>
      </w:pPr>
      <w:r w:rsidRPr="000B697A">
        <w:rPr>
          <w:rFonts w:cs="Calibri"/>
        </w:rPr>
        <w:t>Общият размер на сделките със свързани лица са, както следва:</w:t>
      </w:r>
    </w:p>
    <w:p w:rsidR="001C05F0" w:rsidRPr="000B697A" w:rsidRDefault="003F70BD" w:rsidP="00281505">
      <w:pPr>
        <w:rPr>
          <w:rFonts w:cs="Calibri"/>
        </w:rPr>
      </w:pPr>
      <w:r w:rsidRPr="000B697A">
        <w:rPr>
          <w:rFonts w:cs="Calibri"/>
          <w:b/>
        </w:rPr>
        <w:t xml:space="preserve">Таблица </w:t>
      </w:r>
      <w:r w:rsidR="000965FA" w:rsidRPr="000B697A">
        <w:rPr>
          <w:rFonts w:cs="Calibri"/>
          <w:b/>
        </w:rPr>
        <w:t>12</w:t>
      </w:r>
      <w:r w:rsidRPr="000B697A">
        <w:rPr>
          <w:rFonts w:cs="Calibri"/>
          <w:b/>
        </w:rPr>
        <w:t>: сделки със свързани лица</w:t>
      </w:r>
    </w:p>
    <w:tbl>
      <w:tblPr>
        <w:tblW w:w="10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2275"/>
        <w:gridCol w:w="1032"/>
        <w:gridCol w:w="1032"/>
      </w:tblGrid>
      <w:tr w:rsidR="001C05F0" w:rsidRPr="000B697A" w:rsidTr="0096689B">
        <w:trPr>
          <w:trHeight w:val="170"/>
          <w:jc w:val="center"/>
        </w:trPr>
        <w:tc>
          <w:tcPr>
            <w:tcW w:w="5949" w:type="dxa"/>
            <w:shd w:val="clear" w:color="auto" w:fill="4F81BD" w:themeFill="accent1"/>
            <w:noWrap/>
            <w:tcMar>
              <w:left w:w="57" w:type="dxa"/>
              <w:right w:w="57" w:type="dxa"/>
            </w:tcMar>
            <w:vAlign w:val="center"/>
            <w:hideMark/>
          </w:tcPr>
          <w:p w:rsidR="001C05F0" w:rsidRPr="000B697A" w:rsidRDefault="001C05F0" w:rsidP="001C05F0">
            <w:pPr>
              <w:jc w:val="left"/>
              <w:rPr>
                <w:rFonts w:cs="Calibri"/>
                <w:b/>
                <w:bCs/>
                <w:color w:val="FFFFFF" w:themeColor="background1"/>
                <w:sz w:val="20"/>
                <w:szCs w:val="20"/>
                <w:lang w:eastAsia="en-US"/>
              </w:rPr>
            </w:pPr>
            <w:r w:rsidRPr="000B697A">
              <w:rPr>
                <w:rFonts w:cs="Calibri"/>
                <w:b/>
                <w:bCs/>
                <w:color w:val="FFFFFF" w:themeColor="background1"/>
                <w:sz w:val="20"/>
                <w:szCs w:val="20"/>
                <w:lang w:eastAsia="en-US"/>
              </w:rPr>
              <w:t>Продажби на свързани лица</w:t>
            </w:r>
          </w:p>
        </w:tc>
        <w:tc>
          <w:tcPr>
            <w:tcW w:w="2275" w:type="dxa"/>
            <w:shd w:val="clear" w:color="auto" w:fill="4F81BD" w:themeFill="accent1"/>
            <w:noWrap/>
            <w:tcMar>
              <w:left w:w="57" w:type="dxa"/>
              <w:right w:w="57" w:type="dxa"/>
            </w:tcMar>
            <w:vAlign w:val="center"/>
            <w:hideMark/>
          </w:tcPr>
          <w:p w:rsidR="001C05F0" w:rsidRPr="000B697A" w:rsidRDefault="001C05F0" w:rsidP="001C05F0">
            <w:pPr>
              <w:jc w:val="center"/>
              <w:rPr>
                <w:rFonts w:cs="Calibri"/>
                <w:b/>
                <w:bCs/>
                <w:color w:val="FFFFFF" w:themeColor="background1"/>
                <w:sz w:val="20"/>
                <w:szCs w:val="20"/>
                <w:lang w:eastAsia="en-US"/>
              </w:rPr>
            </w:pPr>
            <w:r w:rsidRPr="000B697A">
              <w:rPr>
                <w:rFonts w:cs="Calibri"/>
                <w:b/>
                <w:bCs/>
                <w:color w:val="FFFFFF" w:themeColor="background1"/>
                <w:sz w:val="20"/>
                <w:szCs w:val="20"/>
                <w:lang w:eastAsia="en-US"/>
              </w:rPr>
              <w:t>Свързано лице</w:t>
            </w:r>
          </w:p>
        </w:tc>
        <w:tc>
          <w:tcPr>
            <w:tcW w:w="1032" w:type="dxa"/>
            <w:shd w:val="clear" w:color="auto" w:fill="4F81BD" w:themeFill="accent1"/>
            <w:noWrap/>
            <w:tcMar>
              <w:left w:w="57" w:type="dxa"/>
              <w:right w:w="57" w:type="dxa"/>
            </w:tcMar>
            <w:vAlign w:val="center"/>
            <w:hideMark/>
          </w:tcPr>
          <w:p w:rsidR="001C05F0" w:rsidRPr="000B697A" w:rsidRDefault="001C05F0" w:rsidP="0002533C">
            <w:pPr>
              <w:jc w:val="right"/>
              <w:rPr>
                <w:rFonts w:cs="Calibri"/>
                <w:b/>
                <w:bCs/>
                <w:color w:val="FFFFFF" w:themeColor="background1"/>
                <w:sz w:val="20"/>
                <w:szCs w:val="20"/>
                <w:lang w:eastAsia="en-US"/>
              </w:rPr>
            </w:pPr>
            <w:r w:rsidRPr="000B697A">
              <w:rPr>
                <w:rFonts w:cs="Calibri"/>
                <w:b/>
                <w:bCs/>
                <w:color w:val="FFFFFF" w:themeColor="background1"/>
                <w:sz w:val="20"/>
                <w:szCs w:val="20"/>
                <w:lang w:eastAsia="en-US"/>
              </w:rPr>
              <w:t>31.12.201</w:t>
            </w:r>
            <w:r w:rsidR="0002533C" w:rsidRPr="000B697A">
              <w:rPr>
                <w:rFonts w:cs="Calibri"/>
                <w:b/>
                <w:bCs/>
                <w:color w:val="FFFFFF" w:themeColor="background1"/>
                <w:sz w:val="20"/>
                <w:szCs w:val="20"/>
                <w:lang w:eastAsia="en-US"/>
              </w:rPr>
              <w:t>7</w:t>
            </w:r>
          </w:p>
        </w:tc>
        <w:tc>
          <w:tcPr>
            <w:tcW w:w="1032" w:type="dxa"/>
            <w:shd w:val="clear" w:color="auto" w:fill="4F81BD" w:themeFill="accent1"/>
            <w:noWrap/>
            <w:tcMar>
              <w:left w:w="57" w:type="dxa"/>
              <w:right w:w="57" w:type="dxa"/>
            </w:tcMar>
            <w:vAlign w:val="center"/>
            <w:hideMark/>
          </w:tcPr>
          <w:p w:rsidR="001C05F0" w:rsidRPr="000B697A" w:rsidRDefault="001C05F0" w:rsidP="00B605A5">
            <w:pPr>
              <w:jc w:val="right"/>
              <w:rPr>
                <w:rFonts w:cs="Calibri"/>
                <w:b/>
                <w:bCs/>
                <w:color w:val="FFFFFF" w:themeColor="background1"/>
                <w:sz w:val="20"/>
                <w:szCs w:val="20"/>
                <w:lang w:eastAsia="en-US"/>
              </w:rPr>
            </w:pPr>
            <w:r w:rsidRPr="000B697A">
              <w:rPr>
                <w:rFonts w:cs="Calibri"/>
                <w:b/>
                <w:bCs/>
                <w:color w:val="FFFFFF" w:themeColor="background1"/>
                <w:sz w:val="20"/>
                <w:szCs w:val="20"/>
                <w:lang w:eastAsia="en-US"/>
              </w:rPr>
              <w:t>31.12.201</w:t>
            </w:r>
            <w:r w:rsidR="0002533C" w:rsidRPr="000B697A">
              <w:rPr>
                <w:rFonts w:cs="Calibri"/>
                <w:b/>
                <w:bCs/>
                <w:color w:val="FFFFFF" w:themeColor="background1"/>
                <w:sz w:val="20"/>
                <w:szCs w:val="20"/>
                <w:lang w:eastAsia="en-US"/>
              </w:rPr>
              <w:t>8</w:t>
            </w:r>
          </w:p>
        </w:tc>
      </w:tr>
      <w:tr w:rsidR="001C05F0" w:rsidRPr="000B697A" w:rsidTr="0096689B">
        <w:trPr>
          <w:trHeight w:val="170"/>
          <w:jc w:val="center"/>
        </w:trPr>
        <w:tc>
          <w:tcPr>
            <w:tcW w:w="5949" w:type="dxa"/>
            <w:shd w:val="clear" w:color="auto" w:fill="4F81BD" w:themeFill="accent1"/>
            <w:noWrap/>
            <w:tcMar>
              <w:left w:w="57" w:type="dxa"/>
              <w:right w:w="57" w:type="dxa"/>
            </w:tcMar>
            <w:hideMark/>
          </w:tcPr>
          <w:p w:rsidR="001C05F0" w:rsidRPr="000B697A" w:rsidRDefault="001C05F0" w:rsidP="001C05F0">
            <w:pPr>
              <w:jc w:val="left"/>
              <w:rPr>
                <w:rFonts w:cs="Calibri"/>
                <w:color w:val="FFFFFF" w:themeColor="background1"/>
                <w:sz w:val="20"/>
                <w:szCs w:val="20"/>
                <w:lang w:eastAsia="en-US"/>
              </w:rPr>
            </w:pPr>
          </w:p>
        </w:tc>
        <w:tc>
          <w:tcPr>
            <w:tcW w:w="2275" w:type="dxa"/>
            <w:shd w:val="clear" w:color="auto" w:fill="4F81BD" w:themeFill="accent1"/>
            <w:noWrap/>
            <w:tcMar>
              <w:left w:w="57" w:type="dxa"/>
              <w:right w:w="57" w:type="dxa"/>
            </w:tcMar>
            <w:vAlign w:val="bottom"/>
            <w:hideMark/>
          </w:tcPr>
          <w:p w:rsidR="001C05F0" w:rsidRPr="000B697A" w:rsidRDefault="001C05F0" w:rsidP="001C05F0">
            <w:pPr>
              <w:jc w:val="left"/>
              <w:rPr>
                <w:rFonts w:cs="Calibri"/>
                <w:color w:val="FFFFFF" w:themeColor="background1"/>
                <w:sz w:val="20"/>
                <w:szCs w:val="20"/>
                <w:lang w:eastAsia="en-US"/>
              </w:rPr>
            </w:pPr>
          </w:p>
        </w:tc>
        <w:tc>
          <w:tcPr>
            <w:tcW w:w="1032" w:type="dxa"/>
            <w:shd w:val="clear" w:color="auto" w:fill="4F81BD" w:themeFill="accent1"/>
            <w:noWrap/>
            <w:tcMar>
              <w:left w:w="57" w:type="dxa"/>
              <w:right w:w="57" w:type="dxa"/>
            </w:tcMar>
            <w:vAlign w:val="center"/>
            <w:hideMark/>
          </w:tcPr>
          <w:p w:rsidR="001C05F0" w:rsidRPr="000B697A" w:rsidRDefault="001C05F0" w:rsidP="001C05F0">
            <w:pPr>
              <w:jc w:val="right"/>
              <w:rPr>
                <w:rFonts w:cs="Calibri"/>
                <w:b/>
                <w:bCs/>
                <w:color w:val="FFFFFF" w:themeColor="background1"/>
                <w:sz w:val="20"/>
                <w:szCs w:val="20"/>
                <w:lang w:eastAsia="en-US"/>
              </w:rPr>
            </w:pPr>
            <w:r w:rsidRPr="000B697A">
              <w:rPr>
                <w:rFonts w:cs="Calibri"/>
                <w:b/>
                <w:bCs/>
                <w:color w:val="FFFFFF" w:themeColor="background1"/>
                <w:sz w:val="20"/>
                <w:szCs w:val="20"/>
                <w:lang w:eastAsia="en-US"/>
              </w:rPr>
              <w:t>BGN ‘000</w:t>
            </w:r>
          </w:p>
        </w:tc>
        <w:tc>
          <w:tcPr>
            <w:tcW w:w="1032" w:type="dxa"/>
            <w:shd w:val="clear" w:color="auto" w:fill="4F81BD" w:themeFill="accent1"/>
            <w:noWrap/>
            <w:tcMar>
              <w:left w:w="57" w:type="dxa"/>
              <w:right w:w="57" w:type="dxa"/>
            </w:tcMar>
            <w:vAlign w:val="center"/>
            <w:hideMark/>
          </w:tcPr>
          <w:p w:rsidR="001C05F0" w:rsidRPr="000B697A" w:rsidRDefault="001C05F0" w:rsidP="001C05F0">
            <w:pPr>
              <w:jc w:val="right"/>
              <w:rPr>
                <w:rFonts w:cs="Calibri"/>
                <w:b/>
                <w:bCs/>
                <w:color w:val="FFFFFF" w:themeColor="background1"/>
                <w:sz w:val="20"/>
                <w:szCs w:val="20"/>
                <w:lang w:eastAsia="en-US"/>
              </w:rPr>
            </w:pPr>
            <w:r w:rsidRPr="000B697A">
              <w:rPr>
                <w:rFonts w:cs="Calibri"/>
                <w:b/>
                <w:bCs/>
                <w:color w:val="FFFFFF" w:themeColor="background1"/>
                <w:sz w:val="20"/>
                <w:szCs w:val="20"/>
                <w:lang w:eastAsia="en-US"/>
              </w:rPr>
              <w:t>BGN ‘000</w:t>
            </w:r>
          </w:p>
        </w:tc>
      </w:tr>
      <w:tr w:rsidR="0002533C" w:rsidRPr="000B697A" w:rsidTr="0096689B">
        <w:trPr>
          <w:trHeight w:val="170"/>
          <w:jc w:val="center"/>
        </w:trPr>
        <w:tc>
          <w:tcPr>
            <w:tcW w:w="5949" w:type="dxa"/>
            <w:shd w:val="clear" w:color="auto" w:fill="auto"/>
            <w:noWrap/>
            <w:tcMar>
              <w:left w:w="57" w:type="dxa"/>
              <w:right w:w="57" w:type="dxa"/>
            </w:tcMar>
            <w:vAlign w:val="bottom"/>
            <w:hideMark/>
          </w:tcPr>
          <w:p w:rsidR="0002533C" w:rsidRPr="000B697A" w:rsidRDefault="0002533C" w:rsidP="0002533C">
            <w:pPr>
              <w:jc w:val="left"/>
              <w:rPr>
                <w:rFonts w:cs="Calibri"/>
                <w:color w:val="000000"/>
                <w:sz w:val="20"/>
                <w:szCs w:val="20"/>
                <w:lang w:eastAsia="en-US"/>
              </w:rPr>
            </w:pPr>
            <w:r w:rsidRPr="000B697A">
              <w:rPr>
                <w:rFonts w:cs="Calibri"/>
                <w:color w:val="000000"/>
                <w:sz w:val="20"/>
                <w:szCs w:val="20"/>
                <w:lang w:eastAsia="en-US"/>
              </w:rPr>
              <w:t>Такса сделки (комисиони), такса членство, такса интернет търговия</w:t>
            </w:r>
          </w:p>
        </w:tc>
        <w:tc>
          <w:tcPr>
            <w:tcW w:w="2275" w:type="dxa"/>
            <w:shd w:val="clear" w:color="auto" w:fill="auto"/>
            <w:noWrap/>
            <w:tcMar>
              <w:left w:w="57" w:type="dxa"/>
              <w:right w:w="57" w:type="dxa"/>
            </w:tcMar>
            <w:vAlign w:val="bottom"/>
            <w:hideMark/>
          </w:tcPr>
          <w:p w:rsidR="0002533C" w:rsidRPr="000B697A" w:rsidRDefault="0002533C" w:rsidP="0002533C">
            <w:pPr>
              <w:jc w:val="left"/>
              <w:rPr>
                <w:rFonts w:cs="Calibri"/>
                <w:color w:val="000000"/>
                <w:sz w:val="20"/>
                <w:szCs w:val="20"/>
                <w:lang w:eastAsia="en-US"/>
              </w:rPr>
            </w:pPr>
            <w:r w:rsidRPr="000B697A">
              <w:rPr>
                <w:rFonts w:cs="Calibri"/>
                <w:color w:val="000000"/>
                <w:sz w:val="20"/>
                <w:szCs w:val="20"/>
                <w:lang w:eastAsia="en-US"/>
              </w:rPr>
              <w:t>Бенчмарк Финанс АД</w:t>
            </w:r>
          </w:p>
        </w:tc>
        <w:tc>
          <w:tcPr>
            <w:tcW w:w="1032" w:type="dxa"/>
            <w:shd w:val="clear" w:color="auto" w:fill="auto"/>
            <w:noWrap/>
            <w:tcMar>
              <w:left w:w="57" w:type="dxa"/>
              <w:right w:w="57" w:type="dxa"/>
            </w:tcMar>
            <w:vAlign w:val="center"/>
            <w:hideMark/>
          </w:tcPr>
          <w:p w:rsidR="0002533C" w:rsidRPr="000B697A" w:rsidRDefault="0002533C" w:rsidP="0002533C">
            <w:pPr>
              <w:jc w:val="right"/>
              <w:rPr>
                <w:rFonts w:cs="Calibri"/>
                <w:color w:val="000000"/>
                <w:sz w:val="20"/>
                <w:szCs w:val="20"/>
                <w:lang w:eastAsia="en-US"/>
              </w:rPr>
            </w:pPr>
            <w:r w:rsidRPr="000B697A">
              <w:rPr>
                <w:rFonts w:cs="Calibri"/>
                <w:color w:val="000000"/>
                <w:sz w:val="20"/>
                <w:szCs w:val="20"/>
                <w:lang w:eastAsia="en-US"/>
              </w:rPr>
              <w:t>65</w:t>
            </w:r>
          </w:p>
        </w:tc>
        <w:tc>
          <w:tcPr>
            <w:tcW w:w="1032" w:type="dxa"/>
            <w:shd w:val="clear" w:color="auto" w:fill="auto"/>
            <w:noWrap/>
            <w:tcMar>
              <w:left w:w="57" w:type="dxa"/>
              <w:right w:w="57" w:type="dxa"/>
            </w:tcMar>
            <w:vAlign w:val="center"/>
            <w:hideMark/>
          </w:tcPr>
          <w:p w:rsidR="0002533C" w:rsidRPr="000B697A" w:rsidRDefault="0002533C" w:rsidP="0002533C">
            <w:pPr>
              <w:jc w:val="right"/>
              <w:rPr>
                <w:rFonts w:cs="Calibri"/>
                <w:color w:val="000000"/>
                <w:sz w:val="20"/>
                <w:szCs w:val="20"/>
                <w:lang w:eastAsia="en-US"/>
              </w:rPr>
            </w:pPr>
            <w:r w:rsidRPr="000B697A">
              <w:rPr>
                <w:rFonts w:cs="Calibri"/>
                <w:color w:val="000000"/>
                <w:sz w:val="20"/>
                <w:szCs w:val="20"/>
                <w:lang w:eastAsia="en-US"/>
              </w:rPr>
              <w:t>30</w:t>
            </w:r>
          </w:p>
        </w:tc>
      </w:tr>
      <w:tr w:rsidR="0002533C" w:rsidRPr="000B697A" w:rsidTr="0096689B">
        <w:trPr>
          <w:trHeight w:val="170"/>
          <w:jc w:val="center"/>
        </w:trPr>
        <w:tc>
          <w:tcPr>
            <w:tcW w:w="5949" w:type="dxa"/>
            <w:shd w:val="clear" w:color="auto" w:fill="auto"/>
            <w:noWrap/>
            <w:tcMar>
              <w:left w:w="57" w:type="dxa"/>
              <w:right w:w="57" w:type="dxa"/>
            </w:tcMar>
            <w:vAlign w:val="bottom"/>
            <w:hideMark/>
          </w:tcPr>
          <w:p w:rsidR="0002533C" w:rsidRPr="000B697A" w:rsidRDefault="0002533C" w:rsidP="0002533C">
            <w:pPr>
              <w:jc w:val="left"/>
              <w:rPr>
                <w:rFonts w:cs="Calibri"/>
                <w:color w:val="000000"/>
                <w:sz w:val="20"/>
                <w:szCs w:val="20"/>
                <w:lang w:eastAsia="en-US"/>
              </w:rPr>
            </w:pPr>
            <w:r w:rsidRPr="000B697A">
              <w:rPr>
                <w:rFonts w:cs="Calibri"/>
                <w:color w:val="000000"/>
                <w:sz w:val="20"/>
                <w:szCs w:val="20"/>
                <w:lang w:eastAsia="en-US"/>
              </w:rPr>
              <w:t xml:space="preserve">Такса сделки (комисиони), такса членство, такса интернет търговия </w:t>
            </w:r>
          </w:p>
        </w:tc>
        <w:tc>
          <w:tcPr>
            <w:tcW w:w="2275" w:type="dxa"/>
            <w:shd w:val="clear" w:color="auto" w:fill="auto"/>
            <w:noWrap/>
            <w:tcMar>
              <w:left w:w="57" w:type="dxa"/>
              <w:right w:w="57" w:type="dxa"/>
            </w:tcMar>
            <w:vAlign w:val="bottom"/>
            <w:hideMark/>
          </w:tcPr>
          <w:p w:rsidR="0002533C" w:rsidRPr="000B697A" w:rsidRDefault="0002533C" w:rsidP="0002533C">
            <w:pPr>
              <w:jc w:val="left"/>
              <w:rPr>
                <w:rFonts w:cs="Calibri"/>
                <w:color w:val="000000"/>
                <w:sz w:val="20"/>
                <w:szCs w:val="20"/>
                <w:lang w:eastAsia="en-US"/>
              </w:rPr>
            </w:pPr>
            <w:r w:rsidRPr="000B697A">
              <w:rPr>
                <w:rFonts w:cs="Calibri"/>
                <w:color w:val="000000"/>
                <w:sz w:val="20"/>
                <w:szCs w:val="20"/>
                <w:lang w:eastAsia="en-US"/>
              </w:rPr>
              <w:t>Юробанк България АД</w:t>
            </w:r>
          </w:p>
        </w:tc>
        <w:tc>
          <w:tcPr>
            <w:tcW w:w="1032" w:type="dxa"/>
            <w:shd w:val="clear" w:color="auto" w:fill="auto"/>
            <w:noWrap/>
            <w:tcMar>
              <w:left w:w="57" w:type="dxa"/>
              <w:right w:w="57" w:type="dxa"/>
            </w:tcMar>
            <w:vAlign w:val="center"/>
            <w:hideMark/>
          </w:tcPr>
          <w:p w:rsidR="0002533C" w:rsidRPr="000B697A" w:rsidRDefault="0002533C" w:rsidP="0002533C">
            <w:pPr>
              <w:jc w:val="right"/>
              <w:rPr>
                <w:rFonts w:cs="Calibri"/>
                <w:color w:val="000000"/>
                <w:sz w:val="20"/>
                <w:szCs w:val="20"/>
                <w:lang w:eastAsia="en-US"/>
              </w:rPr>
            </w:pPr>
            <w:r w:rsidRPr="000B697A">
              <w:rPr>
                <w:rFonts w:cs="Calibri"/>
                <w:color w:val="000000"/>
                <w:sz w:val="20"/>
                <w:szCs w:val="20"/>
                <w:lang w:eastAsia="en-US"/>
              </w:rPr>
              <w:t>8</w:t>
            </w:r>
          </w:p>
        </w:tc>
        <w:tc>
          <w:tcPr>
            <w:tcW w:w="1032" w:type="dxa"/>
            <w:shd w:val="clear" w:color="auto" w:fill="auto"/>
            <w:noWrap/>
            <w:tcMar>
              <w:left w:w="57" w:type="dxa"/>
              <w:right w:w="57" w:type="dxa"/>
            </w:tcMar>
            <w:vAlign w:val="center"/>
            <w:hideMark/>
          </w:tcPr>
          <w:p w:rsidR="0002533C" w:rsidRPr="000B697A" w:rsidRDefault="0002533C" w:rsidP="0002533C">
            <w:pPr>
              <w:jc w:val="right"/>
              <w:rPr>
                <w:rFonts w:cs="Calibri"/>
                <w:color w:val="000000"/>
                <w:sz w:val="20"/>
                <w:szCs w:val="20"/>
                <w:lang w:eastAsia="en-US"/>
              </w:rPr>
            </w:pPr>
            <w:r w:rsidRPr="000B697A">
              <w:rPr>
                <w:rFonts w:cs="Calibri"/>
                <w:color w:val="000000"/>
                <w:sz w:val="20"/>
                <w:szCs w:val="20"/>
                <w:lang w:eastAsia="en-US"/>
              </w:rPr>
              <w:t>7</w:t>
            </w:r>
          </w:p>
        </w:tc>
      </w:tr>
      <w:tr w:rsidR="0002533C" w:rsidRPr="000B697A" w:rsidTr="0096689B">
        <w:trPr>
          <w:trHeight w:val="170"/>
          <w:jc w:val="center"/>
        </w:trPr>
        <w:tc>
          <w:tcPr>
            <w:tcW w:w="5949" w:type="dxa"/>
            <w:shd w:val="clear" w:color="auto" w:fill="auto"/>
            <w:noWrap/>
            <w:tcMar>
              <w:left w:w="57" w:type="dxa"/>
              <w:right w:w="57" w:type="dxa"/>
            </w:tcMar>
            <w:vAlign w:val="bottom"/>
            <w:hideMark/>
          </w:tcPr>
          <w:p w:rsidR="0002533C" w:rsidRPr="000B697A" w:rsidRDefault="0002533C" w:rsidP="0002533C">
            <w:pPr>
              <w:jc w:val="left"/>
              <w:rPr>
                <w:rFonts w:cs="Calibri"/>
                <w:color w:val="000000"/>
                <w:sz w:val="20"/>
                <w:szCs w:val="20"/>
                <w:lang w:eastAsia="en-US"/>
              </w:rPr>
            </w:pPr>
            <w:r w:rsidRPr="000B697A">
              <w:rPr>
                <w:rFonts w:cs="Calibri"/>
                <w:color w:val="000000"/>
                <w:sz w:val="20"/>
                <w:szCs w:val="20"/>
                <w:lang w:eastAsia="en-US"/>
              </w:rPr>
              <w:t>Получен дивидент</w:t>
            </w:r>
          </w:p>
        </w:tc>
        <w:tc>
          <w:tcPr>
            <w:tcW w:w="2275" w:type="dxa"/>
            <w:shd w:val="clear" w:color="auto" w:fill="auto"/>
            <w:noWrap/>
            <w:tcMar>
              <w:left w:w="57" w:type="dxa"/>
              <w:right w:w="57" w:type="dxa"/>
            </w:tcMar>
            <w:vAlign w:val="bottom"/>
            <w:hideMark/>
          </w:tcPr>
          <w:p w:rsidR="0002533C" w:rsidRPr="000B697A" w:rsidRDefault="0002533C" w:rsidP="0002533C">
            <w:pPr>
              <w:jc w:val="left"/>
              <w:rPr>
                <w:rFonts w:cs="Calibri"/>
                <w:color w:val="000000"/>
                <w:sz w:val="20"/>
                <w:szCs w:val="20"/>
                <w:lang w:eastAsia="en-US"/>
              </w:rPr>
            </w:pPr>
            <w:r w:rsidRPr="000B697A">
              <w:rPr>
                <w:rFonts w:cs="Calibri"/>
                <w:color w:val="000000"/>
                <w:sz w:val="20"/>
                <w:szCs w:val="20"/>
                <w:lang w:eastAsia="en-US"/>
              </w:rPr>
              <w:t>Централен депозитар АД</w:t>
            </w:r>
          </w:p>
        </w:tc>
        <w:tc>
          <w:tcPr>
            <w:tcW w:w="1032" w:type="dxa"/>
            <w:shd w:val="clear" w:color="auto" w:fill="auto"/>
            <w:noWrap/>
            <w:tcMar>
              <w:left w:w="57" w:type="dxa"/>
              <w:right w:w="57" w:type="dxa"/>
            </w:tcMar>
            <w:vAlign w:val="center"/>
            <w:hideMark/>
          </w:tcPr>
          <w:p w:rsidR="0002533C" w:rsidRPr="000B697A" w:rsidRDefault="0002533C" w:rsidP="0002533C">
            <w:pPr>
              <w:jc w:val="right"/>
              <w:rPr>
                <w:rFonts w:cs="Calibri"/>
                <w:color w:val="000000"/>
                <w:sz w:val="20"/>
                <w:szCs w:val="20"/>
                <w:lang w:eastAsia="en-US"/>
              </w:rPr>
            </w:pPr>
            <w:r w:rsidRPr="000B697A">
              <w:rPr>
                <w:rFonts w:cs="Calibri"/>
                <w:color w:val="000000"/>
                <w:sz w:val="20"/>
                <w:szCs w:val="20"/>
                <w:lang w:eastAsia="en-US"/>
              </w:rPr>
              <w:t>3</w:t>
            </w:r>
          </w:p>
        </w:tc>
        <w:tc>
          <w:tcPr>
            <w:tcW w:w="1032" w:type="dxa"/>
            <w:shd w:val="clear" w:color="auto" w:fill="auto"/>
            <w:noWrap/>
            <w:tcMar>
              <w:left w:w="57" w:type="dxa"/>
              <w:right w:w="57" w:type="dxa"/>
            </w:tcMar>
            <w:vAlign w:val="center"/>
            <w:hideMark/>
          </w:tcPr>
          <w:p w:rsidR="0002533C" w:rsidRPr="000B697A" w:rsidRDefault="0002533C" w:rsidP="0002533C">
            <w:pPr>
              <w:jc w:val="right"/>
              <w:rPr>
                <w:rFonts w:cs="Calibri"/>
                <w:color w:val="000000"/>
                <w:sz w:val="20"/>
                <w:szCs w:val="20"/>
                <w:lang w:eastAsia="en-US"/>
              </w:rPr>
            </w:pPr>
            <w:r w:rsidRPr="000B697A">
              <w:rPr>
                <w:rFonts w:cs="Calibri"/>
                <w:color w:val="000000"/>
                <w:sz w:val="20"/>
                <w:szCs w:val="20"/>
                <w:lang w:eastAsia="en-US"/>
              </w:rPr>
              <w:t>-</w:t>
            </w:r>
          </w:p>
        </w:tc>
      </w:tr>
      <w:tr w:rsidR="0002533C" w:rsidRPr="000B697A" w:rsidTr="0096689B">
        <w:trPr>
          <w:trHeight w:val="170"/>
          <w:jc w:val="center"/>
        </w:trPr>
        <w:tc>
          <w:tcPr>
            <w:tcW w:w="5949" w:type="dxa"/>
            <w:shd w:val="clear" w:color="auto" w:fill="auto"/>
            <w:noWrap/>
            <w:tcMar>
              <w:left w:w="57" w:type="dxa"/>
              <w:right w:w="57" w:type="dxa"/>
            </w:tcMar>
            <w:vAlign w:val="bottom"/>
            <w:hideMark/>
          </w:tcPr>
          <w:p w:rsidR="0002533C" w:rsidRPr="000B697A" w:rsidRDefault="0002533C" w:rsidP="0002533C">
            <w:pPr>
              <w:jc w:val="left"/>
              <w:rPr>
                <w:rFonts w:cs="Calibri"/>
                <w:b/>
                <w:bCs/>
                <w:color w:val="000000"/>
                <w:sz w:val="20"/>
                <w:szCs w:val="20"/>
                <w:lang w:eastAsia="en-US"/>
              </w:rPr>
            </w:pPr>
            <w:r w:rsidRPr="000B697A">
              <w:rPr>
                <w:rFonts w:cs="Calibri"/>
                <w:b/>
                <w:bCs/>
                <w:color w:val="000000"/>
                <w:sz w:val="20"/>
                <w:szCs w:val="20"/>
                <w:lang w:eastAsia="en-US"/>
              </w:rPr>
              <w:t>Общо</w:t>
            </w:r>
          </w:p>
        </w:tc>
        <w:tc>
          <w:tcPr>
            <w:tcW w:w="2275" w:type="dxa"/>
            <w:shd w:val="clear" w:color="auto" w:fill="auto"/>
            <w:noWrap/>
            <w:tcMar>
              <w:left w:w="57" w:type="dxa"/>
              <w:right w:w="57" w:type="dxa"/>
            </w:tcMar>
            <w:vAlign w:val="bottom"/>
            <w:hideMark/>
          </w:tcPr>
          <w:p w:rsidR="0002533C" w:rsidRPr="000B697A" w:rsidRDefault="0002533C" w:rsidP="0002533C">
            <w:pPr>
              <w:jc w:val="left"/>
              <w:rPr>
                <w:rFonts w:cs="Calibri"/>
                <w:color w:val="000000"/>
                <w:sz w:val="20"/>
                <w:szCs w:val="20"/>
                <w:lang w:eastAsia="en-US"/>
              </w:rPr>
            </w:pPr>
          </w:p>
        </w:tc>
        <w:tc>
          <w:tcPr>
            <w:tcW w:w="1032" w:type="dxa"/>
            <w:shd w:val="clear" w:color="auto" w:fill="auto"/>
            <w:noWrap/>
            <w:tcMar>
              <w:left w:w="57" w:type="dxa"/>
              <w:right w:w="57" w:type="dxa"/>
            </w:tcMar>
            <w:vAlign w:val="center"/>
            <w:hideMark/>
          </w:tcPr>
          <w:p w:rsidR="0002533C" w:rsidRPr="000B697A" w:rsidRDefault="0002533C" w:rsidP="0002533C">
            <w:pPr>
              <w:jc w:val="right"/>
              <w:rPr>
                <w:rFonts w:cs="Calibri"/>
                <w:b/>
                <w:bCs/>
                <w:color w:val="000000"/>
                <w:sz w:val="20"/>
                <w:szCs w:val="20"/>
                <w:lang w:eastAsia="en-US"/>
              </w:rPr>
            </w:pPr>
            <w:r w:rsidRPr="000B697A">
              <w:rPr>
                <w:rFonts w:cs="Calibri"/>
                <w:b/>
                <w:bCs/>
                <w:color w:val="000000"/>
                <w:sz w:val="20"/>
                <w:szCs w:val="20"/>
                <w:lang w:eastAsia="en-US"/>
              </w:rPr>
              <w:t>76</w:t>
            </w:r>
          </w:p>
        </w:tc>
        <w:tc>
          <w:tcPr>
            <w:tcW w:w="1032" w:type="dxa"/>
            <w:shd w:val="clear" w:color="auto" w:fill="auto"/>
            <w:noWrap/>
            <w:tcMar>
              <w:left w:w="57" w:type="dxa"/>
              <w:right w:w="57" w:type="dxa"/>
            </w:tcMar>
            <w:vAlign w:val="center"/>
            <w:hideMark/>
          </w:tcPr>
          <w:p w:rsidR="0002533C" w:rsidRPr="000B697A" w:rsidRDefault="0002533C" w:rsidP="0002533C">
            <w:pPr>
              <w:jc w:val="right"/>
              <w:rPr>
                <w:rFonts w:cs="Calibri"/>
                <w:b/>
                <w:bCs/>
                <w:color w:val="000000"/>
                <w:sz w:val="20"/>
                <w:szCs w:val="20"/>
                <w:lang w:eastAsia="en-US"/>
              </w:rPr>
            </w:pPr>
            <w:r w:rsidRPr="000B697A">
              <w:rPr>
                <w:rFonts w:cs="Calibri"/>
                <w:b/>
                <w:bCs/>
                <w:color w:val="000000"/>
                <w:sz w:val="20"/>
                <w:szCs w:val="20"/>
                <w:lang w:eastAsia="en-US"/>
              </w:rPr>
              <w:t>37</w:t>
            </w:r>
          </w:p>
        </w:tc>
      </w:tr>
    </w:tbl>
    <w:p w:rsidR="003F70BD" w:rsidRPr="000B697A" w:rsidRDefault="003F70BD" w:rsidP="00281505">
      <w:pPr>
        <w:rPr>
          <w:rFonts w:cs="Calibri"/>
        </w:rPr>
      </w:pPr>
    </w:p>
    <w:tbl>
      <w:tblPr>
        <w:tblW w:w="10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2711"/>
        <w:gridCol w:w="1239"/>
        <w:gridCol w:w="1239"/>
      </w:tblGrid>
      <w:tr w:rsidR="001C05F0" w:rsidRPr="000B697A" w:rsidTr="001C05F0">
        <w:trPr>
          <w:trHeight w:val="170"/>
          <w:jc w:val="center"/>
        </w:trPr>
        <w:tc>
          <w:tcPr>
            <w:tcW w:w="5168" w:type="dxa"/>
            <w:shd w:val="clear" w:color="auto" w:fill="4F81BD" w:themeFill="accent1"/>
            <w:noWrap/>
            <w:tcMar>
              <w:left w:w="57" w:type="dxa"/>
              <w:right w:w="57" w:type="dxa"/>
            </w:tcMar>
            <w:vAlign w:val="center"/>
            <w:hideMark/>
          </w:tcPr>
          <w:p w:rsidR="001C05F0" w:rsidRPr="000B697A" w:rsidRDefault="001C05F0" w:rsidP="001C05F0">
            <w:pPr>
              <w:jc w:val="left"/>
              <w:rPr>
                <w:rFonts w:cs="Calibri"/>
                <w:b/>
                <w:bCs/>
                <w:color w:val="FFFFFF" w:themeColor="background1"/>
                <w:sz w:val="20"/>
                <w:szCs w:val="20"/>
                <w:lang w:eastAsia="en-US"/>
              </w:rPr>
            </w:pPr>
            <w:r w:rsidRPr="000B697A">
              <w:rPr>
                <w:rFonts w:cs="Calibri"/>
                <w:b/>
                <w:bCs/>
                <w:color w:val="FFFFFF" w:themeColor="background1"/>
                <w:sz w:val="20"/>
                <w:szCs w:val="20"/>
                <w:lang w:eastAsia="en-US"/>
              </w:rPr>
              <w:t>Доставки от свързани лица</w:t>
            </w:r>
          </w:p>
        </w:tc>
        <w:tc>
          <w:tcPr>
            <w:tcW w:w="2711" w:type="dxa"/>
            <w:shd w:val="clear" w:color="auto" w:fill="4F81BD" w:themeFill="accent1"/>
            <w:noWrap/>
            <w:tcMar>
              <w:left w:w="57" w:type="dxa"/>
              <w:right w:w="57" w:type="dxa"/>
            </w:tcMar>
            <w:vAlign w:val="center"/>
            <w:hideMark/>
          </w:tcPr>
          <w:p w:rsidR="001C05F0" w:rsidRPr="000B697A" w:rsidRDefault="001C05F0" w:rsidP="001C05F0">
            <w:pPr>
              <w:jc w:val="center"/>
              <w:rPr>
                <w:rFonts w:cs="Calibri"/>
                <w:b/>
                <w:bCs/>
                <w:color w:val="FFFFFF" w:themeColor="background1"/>
                <w:sz w:val="20"/>
                <w:szCs w:val="20"/>
                <w:lang w:eastAsia="en-US"/>
              </w:rPr>
            </w:pPr>
            <w:r w:rsidRPr="000B697A">
              <w:rPr>
                <w:rFonts w:cs="Calibri"/>
                <w:b/>
                <w:bCs/>
                <w:color w:val="FFFFFF" w:themeColor="background1"/>
                <w:sz w:val="20"/>
                <w:szCs w:val="20"/>
                <w:lang w:eastAsia="en-US"/>
              </w:rPr>
              <w:t>Свързано лице</w:t>
            </w:r>
          </w:p>
        </w:tc>
        <w:tc>
          <w:tcPr>
            <w:tcW w:w="1239" w:type="dxa"/>
            <w:shd w:val="clear" w:color="auto" w:fill="4F81BD" w:themeFill="accent1"/>
            <w:noWrap/>
            <w:tcMar>
              <w:left w:w="57" w:type="dxa"/>
              <w:right w:w="57" w:type="dxa"/>
            </w:tcMar>
            <w:vAlign w:val="center"/>
            <w:hideMark/>
          </w:tcPr>
          <w:p w:rsidR="001C05F0" w:rsidRPr="000B697A" w:rsidRDefault="001C05F0" w:rsidP="00F31A96">
            <w:pPr>
              <w:jc w:val="right"/>
              <w:rPr>
                <w:rFonts w:cs="Calibri"/>
                <w:b/>
                <w:bCs/>
                <w:color w:val="FFFFFF" w:themeColor="background1"/>
                <w:sz w:val="20"/>
                <w:szCs w:val="20"/>
                <w:lang w:val="en-US" w:eastAsia="en-US"/>
              </w:rPr>
            </w:pPr>
            <w:r w:rsidRPr="000B697A">
              <w:rPr>
                <w:rFonts w:cs="Calibri"/>
                <w:b/>
                <w:bCs/>
                <w:color w:val="FFFFFF" w:themeColor="background1"/>
                <w:sz w:val="20"/>
                <w:szCs w:val="20"/>
                <w:lang w:eastAsia="en-US"/>
              </w:rPr>
              <w:t>31.12.201</w:t>
            </w:r>
            <w:r w:rsidR="004B394F">
              <w:rPr>
                <w:rFonts w:cs="Calibri"/>
                <w:b/>
                <w:bCs/>
                <w:color w:val="FFFFFF" w:themeColor="background1"/>
                <w:sz w:val="20"/>
                <w:szCs w:val="20"/>
                <w:lang w:eastAsia="en-US"/>
              </w:rPr>
              <w:t>7</w:t>
            </w:r>
          </w:p>
        </w:tc>
        <w:tc>
          <w:tcPr>
            <w:tcW w:w="1239" w:type="dxa"/>
            <w:shd w:val="clear" w:color="auto" w:fill="4F81BD" w:themeFill="accent1"/>
            <w:noWrap/>
            <w:tcMar>
              <w:left w:w="57" w:type="dxa"/>
              <w:right w:w="57" w:type="dxa"/>
            </w:tcMar>
            <w:vAlign w:val="center"/>
            <w:hideMark/>
          </w:tcPr>
          <w:p w:rsidR="001C05F0" w:rsidRPr="000B697A" w:rsidRDefault="001C05F0" w:rsidP="001C05F0">
            <w:pPr>
              <w:jc w:val="right"/>
              <w:rPr>
                <w:rFonts w:cs="Calibri"/>
                <w:b/>
                <w:bCs/>
                <w:color w:val="FFFFFF" w:themeColor="background1"/>
                <w:sz w:val="20"/>
                <w:szCs w:val="20"/>
                <w:lang w:eastAsia="en-US"/>
              </w:rPr>
            </w:pPr>
            <w:r w:rsidRPr="000B697A">
              <w:rPr>
                <w:rFonts w:cs="Calibri"/>
                <w:b/>
                <w:bCs/>
                <w:color w:val="FFFFFF" w:themeColor="background1"/>
                <w:sz w:val="20"/>
                <w:szCs w:val="20"/>
                <w:lang w:eastAsia="en-US"/>
              </w:rPr>
              <w:t>31.12.201</w:t>
            </w:r>
            <w:r w:rsidR="004B394F">
              <w:rPr>
                <w:rFonts w:cs="Calibri"/>
                <w:b/>
                <w:bCs/>
                <w:color w:val="FFFFFF" w:themeColor="background1"/>
                <w:sz w:val="20"/>
                <w:szCs w:val="20"/>
                <w:lang w:eastAsia="en-US"/>
              </w:rPr>
              <w:t>8</w:t>
            </w:r>
          </w:p>
        </w:tc>
      </w:tr>
      <w:tr w:rsidR="001C05F0" w:rsidRPr="000B697A" w:rsidTr="001C05F0">
        <w:trPr>
          <w:trHeight w:val="170"/>
          <w:jc w:val="center"/>
        </w:trPr>
        <w:tc>
          <w:tcPr>
            <w:tcW w:w="5168" w:type="dxa"/>
            <w:shd w:val="clear" w:color="auto" w:fill="4F81BD" w:themeFill="accent1"/>
            <w:noWrap/>
            <w:tcMar>
              <w:left w:w="57" w:type="dxa"/>
              <w:right w:w="57" w:type="dxa"/>
            </w:tcMar>
            <w:vAlign w:val="bottom"/>
            <w:hideMark/>
          </w:tcPr>
          <w:p w:rsidR="001C05F0" w:rsidRPr="000B697A" w:rsidRDefault="001C05F0" w:rsidP="001C05F0">
            <w:pPr>
              <w:jc w:val="left"/>
              <w:rPr>
                <w:rFonts w:cs="Calibri"/>
                <w:color w:val="FFFFFF" w:themeColor="background1"/>
                <w:sz w:val="20"/>
                <w:szCs w:val="20"/>
                <w:lang w:eastAsia="en-US"/>
              </w:rPr>
            </w:pPr>
          </w:p>
        </w:tc>
        <w:tc>
          <w:tcPr>
            <w:tcW w:w="2711" w:type="dxa"/>
            <w:shd w:val="clear" w:color="auto" w:fill="4F81BD" w:themeFill="accent1"/>
            <w:noWrap/>
            <w:tcMar>
              <w:left w:w="57" w:type="dxa"/>
              <w:right w:w="57" w:type="dxa"/>
            </w:tcMar>
            <w:vAlign w:val="bottom"/>
            <w:hideMark/>
          </w:tcPr>
          <w:p w:rsidR="001C05F0" w:rsidRPr="000B697A" w:rsidRDefault="001C05F0" w:rsidP="001C05F0">
            <w:pPr>
              <w:jc w:val="left"/>
              <w:rPr>
                <w:rFonts w:cs="Calibri"/>
                <w:color w:val="FFFFFF" w:themeColor="background1"/>
                <w:sz w:val="20"/>
                <w:szCs w:val="20"/>
                <w:lang w:eastAsia="en-US"/>
              </w:rPr>
            </w:pPr>
          </w:p>
        </w:tc>
        <w:tc>
          <w:tcPr>
            <w:tcW w:w="1239" w:type="dxa"/>
            <w:shd w:val="clear" w:color="auto" w:fill="4F81BD" w:themeFill="accent1"/>
            <w:noWrap/>
            <w:tcMar>
              <w:left w:w="57" w:type="dxa"/>
              <w:right w:w="57" w:type="dxa"/>
            </w:tcMar>
            <w:vAlign w:val="center"/>
            <w:hideMark/>
          </w:tcPr>
          <w:p w:rsidR="001C05F0" w:rsidRPr="000B697A" w:rsidRDefault="001C05F0" w:rsidP="001C05F0">
            <w:pPr>
              <w:jc w:val="right"/>
              <w:rPr>
                <w:rFonts w:cs="Calibri"/>
                <w:b/>
                <w:bCs/>
                <w:color w:val="FFFFFF" w:themeColor="background1"/>
                <w:sz w:val="20"/>
                <w:szCs w:val="20"/>
                <w:lang w:eastAsia="en-US"/>
              </w:rPr>
            </w:pPr>
            <w:r w:rsidRPr="000B697A">
              <w:rPr>
                <w:rFonts w:cs="Calibri"/>
                <w:b/>
                <w:bCs/>
                <w:color w:val="FFFFFF" w:themeColor="background1"/>
                <w:sz w:val="20"/>
                <w:szCs w:val="20"/>
                <w:lang w:eastAsia="en-US"/>
              </w:rPr>
              <w:t>BGN ‘000</w:t>
            </w:r>
          </w:p>
        </w:tc>
        <w:tc>
          <w:tcPr>
            <w:tcW w:w="1239" w:type="dxa"/>
            <w:shd w:val="clear" w:color="auto" w:fill="4F81BD" w:themeFill="accent1"/>
            <w:noWrap/>
            <w:tcMar>
              <w:left w:w="57" w:type="dxa"/>
              <w:right w:w="57" w:type="dxa"/>
            </w:tcMar>
            <w:vAlign w:val="center"/>
            <w:hideMark/>
          </w:tcPr>
          <w:p w:rsidR="001C05F0" w:rsidRPr="000B697A" w:rsidRDefault="001C05F0" w:rsidP="001C05F0">
            <w:pPr>
              <w:jc w:val="right"/>
              <w:rPr>
                <w:rFonts w:cs="Calibri"/>
                <w:b/>
                <w:bCs/>
                <w:color w:val="FFFFFF" w:themeColor="background1"/>
                <w:sz w:val="20"/>
                <w:szCs w:val="20"/>
                <w:lang w:eastAsia="en-US"/>
              </w:rPr>
            </w:pPr>
            <w:r w:rsidRPr="000B697A">
              <w:rPr>
                <w:rFonts w:cs="Calibri"/>
                <w:b/>
                <w:bCs/>
                <w:color w:val="FFFFFF" w:themeColor="background1"/>
                <w:sz w:val="20"/>
                <w:szCs w:val="20"/>
                <w:lang w:eastAsia="en-US"/>
              </w:rPr>
              <w:t>BGN ‘000</w:t>
            </w:r>
          </w:p>
        </w:tc>
      </w:tr>
      <w:tr w:rsidR="00B605A5" w:rsidRPr="000B697A" w:rsidTr="001C05F0">
        <w:trPr>
          <w:trHeight w:val="170"/>
          <w:jc w:val="center"/>
        </w:trPr>
        <w:tc>
          <w:tcPr>
            <w:tcW w:w="5168" w:type="dxa"/>
            <w:shd w:val="clear" w:color="auto" w:fill="auto"/>
            <w:noWrap/>
            <w:tcMar>
              <w:left w:w="57" w:type="dxa"/>
              <w:right w:w="57" w:type="dxa"/>
            </w:tcMar>
            <w:vAlign w:val="center"/>
            <w:hideMark/>
          </w:tcPr>
          <w:p w:rsidR="00B605A5" w:rsidRPr="000B697A" w:rsidRDefault="00B605A5" w:rsidP="001C05F0">
            <w:pPr>
              <w:jc w:val="left"/>
              <w:rPr>
                <w:rFonts w:cs="Calibri"/>
                <w:color w:val="000000"/>
                <w:sz w:val="20"/>
                <w:szCs w:val="20"/>
                <w:lang w:eastAsia="en-US"/>
              </w:rPr>
            </w:pPr>
            <w:r w:rsidRPr="000B697A">
              <w:rPr>
                <w:rFonts w:cs="Calibri"/>
                <w:color w:val="000000"/>
                <w:sz w:val="20"/>
                <w:szCs w:val="20"/>
                <w:lang w:eastAsia="en-US"/>
              </w:rPr>
              <w:t>Информационно обслужване</w:t>
            </w:r>
          </w:p>
        </w:tc>
        <w:tc>
          <w:tcPr>
            <w:tcW w:w="2711" w:type="dxa"/>
            <w:shd w:val="clear" w:color="auto" w:fill="auto"/>
            <w:noWrap/>
            <w:tcMar>
              <w:left w:w="57" w:type="dxa"/>
              <w:right w:w="57" w:type="dxa"/>
            </w:tcMar>
            <w:vAlign w:val="center"/>
            <w:hideMark/>
          </w:tcPr>
          <w:p w:rsidR="00B605A5" w:rsidRPr="000B697A" w:rsidRDefault="00B605A5" w:rsidP="001C05F0">
            <w:pPr>
              <w:jc w:val="left"/>
              <w:rPr>
                <w:rFonts w:cs="Calibri"/>
                <w:color w:val="000000"/>
                <w:sz w:val="20"/>
                <w:szCs w:val="20"/>
                <w:lang w:eastAsia="en-US"/>
              </w:rPr>
            </w:pPr>
            <w:r w:rsidRPr="000B697A">
              <w:rPr>
                <w:rFonts w:cs="Calibri"/>
                <w:color w:val="000000"/>
                <w:sz w:val="20"/>
                <w:szCs w:val="20"/>
                <w:lang w:eastAsia="en-US"/>
              </w:rPr>
              <w:t>Централен депозитар АД</w:t>
            </w:r>
          </w:p>
        </w:tc>
        <w:tc>
          <w:tcPr>
            <w:tcW w:w="1239" w:type="dxa"/>
            <w:shd w:val="clear" w:color="auto" w:fill="auto"/>
            <w:noWrap/>
            <w:tcMar>
              <w:left w:w="57" w:type="dxa"/>
              <w:right w:w="57" w:type="dxa"/>
            </w:tcMar>
            <w:vAlign w:val="center"/>
            <w:hideMark/>
          </w:tcPr>
          <w:p w:rsidR="00B605A5" w:rsidRPr="000B697A" w:rsidRDefault="0002533C" w:rsidP="008835B2">
            <w:pPr>
              <w:jc w:val="right"/>
              <w:rPr>
                <w:rFonts w:cs="Calibri"/>
                <w:color w:val="000000"/>
                <w:sz w:val="20"/>
                <w:szCs w:val="20"/>
                <w:lang w:eastAsia="en-US"/>
              </w:rPr>
            </w:pPr>
            <w:r w:rsidRPr="000B697A">
              <w:rPr>
                <w:rFonts w:cs="Calibri"/>
                <w:color w:val="000000"/>
                <w:sz w:val="20"/>
                <w:szCs w:val="20"/>
                <w:lang w:eastAsia="en-US"/>
              </w:rPr>
              <w:t>4</w:t>
            </w:r>
          </w:p>
        </w:tc>
        <w:tc>
          <w:tcPr>
            <w:tcW w:w="1239" w:type="dxa"/>
            <w:shd w:val="clear" w:color="auto" w:fill="auto"/>
            <w:noWrap/>
            <w:tcMar>
              <w:left w:w="57" w:type="dxa"/>
              <w:right w:w="57" w:type="dxa"/>
            </w:tcMar>
            <w:vAlign w:val="center"/>
            <w:hideMark/>
          </w:tcPr>
          <w:p w:rsidR="00B605A5" w:rsidRPr="000B697A" w:rsidRDefault="0002533C" w:rsidP="001C05F0">
            <w:pPr>
              <w:jc w:val="right"/>
              <w:rPr>
                <w:rFonts w:cs="Calibri"/>
                <w:color w:val="000000"/>
                <w:sz w:val="20"/>
                <w:szCs w:val="20"/>
                <w:lang w:eastAsia="en-US"/>
              </w:rPr>
            </w:pPr>
            <w:r w:rsidRPr="000B697A">
              <w:rPr>
                <w:rFonts w:cs="Calibri"/>
                <w:color w:val="000000"/>
                <w:sz w:val="20"/>
                <w:szCs w:val="20"/>
                <w:lang w:eastAsia="en-US"/>
              </w:rPr>
              <w:t>5</w:t>
            </w:r>
          </w:p>
        </w:tc>
      </w:tr>
      <w:tr w:rsidR="00B605A5" w:rsidRPr="000B697A" w:rsidTr="001C05F0">
        <w:trPr>
          <w:trHeight w:val="170"/>
          <w:jc w:val="center"/>
        </w:trPr>
        <w:tc>
          <w:tcPr>
            <w:tcW w:w="5168" w:type="dxa"/>
            <w:shd w:val="clear" w:color="auto" w:fill="auto"/>
            <w:noWrap/>
            <w:tcMar>
              <w:left w:w="57" w:type="dxa"/>
              <w:right w:w="57" w:type="dxa"/>
            </w:tcMar>
            <w:vAlign w:val="center"/>
            <w:hideMark/>
          </w:tcPr>
          <w:p w:rsidR="00B605A5" w:rsidRPr="000B697A" w:rsidRDefault="00B605A5" w:rsidP="001C05F0">
            <w:pPr>
              <w:jc w:val="left"/>
              <w:rPr>
                <w:rFonts w:cs="Calibri"/>
                <w:color w:val="000000"/>
                <w:sz w:val="20"/>
                <w:szCs w:val="20"/>
                <w:lang w:eastAsia="en-US"/>
              </w:rPr>
            </w:pPr>
            <w:r w:rsidRPr="000B697A">
              <w:rPr>
                <w:rFonts w:cs="Calibri"/>
                <w:color w:val="000000"/>
                <w:sz w:val="20"/>
                <w:szCs w:val="20"/>
                <w:lang w:eastAsia="en-US"/>
              </w:rPr>
              <w:t xml:space="preserve">Такса </w:t>
            </w:r>
            <w:proofErr w:type="spellStart"/>
            <w:r w:rsidRPr="000B697A">
              <w:rPr>
                <w:rFonts w:cs="Calibri"/>
                <w:color w:val="000000"/>
                <w:sz w:val="20"/>
                <w:szCs w:val="20"/>
                <w:lang w:eastAsia="en-US"/>
              </w:rPr>
              <w:t>попечителски</w:t>
            </w:r>
            <w:proofErr w:type="spellEnd"/>
            <w:r w:rsidRPr="000B697A">
              <w:rPr>
                <w:rFonts w:cs="Calibri"/>
                <w:color w:val="000000"/>
                <w:sz w:val="20"/>
                <w:szCs w:val="20"/>
                <w:lang w:eastAsia="en-US"/>
              </w:rPr>
              <w:t xml:space="preserve"> услуги </w:t>
            </w:r>
          </w:p>
        </w:tc>
        <w:tc>
          <w:tcPr>
            <w:tcW w:w="2711" w:type="dxa"/>
            <w:shd w:val="clear" w:color="auto" w:fill="auto"/>
            <w:noWrap/>
            <w:tcMar>
              <w:left w:w="57" w:type="dxa"/>
              <w:right w:w="57" w:type="dxa"/>
            </w:tcMar>
            <w:vAlign w:val="center"/>
            <w:hideMark/>
          </w:tcPr>
          <w:p w:rsidR="00B605A5" w:rsidRPr="000B697A" w:rsidRDefault="00B605A5" w:rsidP="001C05F0">
            <w:pPr>
              <w:jc w:val="left"/>
              <w:rPr>
                <w:rFonts w:cs="Calibri"/>
                <w:color w:val="000000"/>
                <w:sz w:val="20"/>
                <w:szCs w:val="20"/>
                <w:lang w:eastAsia="en-US"/>
              </w:rPr>
            </w:pPr>
            <w:r w:rsidRPr="000B697A">
              <w:rPr>
                <w:rFonts w:cs="Calibri"/>
                <w:color w:val="000000"/>
                <w:sz w:val="20"/>
                <w:szCs w:val="20"/>
                <w:lang w:eastAsia="en-US"/>
              </w:rPr>
              <w:t>Юробанк България АД</w:t>
            </w:r>
          </w:p>
        </w:tc>
        <w:tc>
          <w:tcPr>
            <w:tcW w:w="1239" w:type="dxa"/>
            <w:shd w:val="clear" w:color="auto" w:fill="auto"/>
            <w:noWrap/>
            <w:tcMar>
              <w:left w:w="57" w:type="dxa"/>
              <w:right w:w="57" w:type="dxa"/>
            </w:tcMar>
            <w:vAlign w:val="center"/>
            <w:hideMark/>
          </w:tcPr>
          <w:p w:rsidR="00B605A5" w:rsidRPr="000B697A" w:rsidRDefault="0002533C" w:rsidP="008835B2">
            <w:pPr>
              <w:jc w:val="right"/>
              <w:rPr>
                <w:rFonts w:cs="Calibri"/>
                <w:color w:val="000000"/>
                <w:sz w:val="20"/>
                <w:szCs w:val="20"/>
                <w:lang w:eastAsia="en-US"/>
              </w:rPr>
            </w:pPr>
            <w:r w:rsidRPr="000B697A">
              <w:rPr>
                <w:rFonts w:cs="Calibri"/>
                <w:color w:val="000000"/>
                <w:sz w:val="20"/>
                <w:szCs w:val="20"/>
                <w:lang w:eastAsia="en-US"/>
              </w:rPr>
              <w:t>3</w:t>
            </w:r>
          </w:p>
        </w:tc>
        <w:tc>
          <w:tcPr>
            <w:tcW w:w="1239" w:type="dxa"/>
            <w:shd w:val="clear" w:color="auto" w:fill="auto"/>
            <w:noWrap/>
            <w:tcMar>
              <w:left w:w="57" w:type="dxa"/>
              <w:right w:w="57" w:type="dxa"/>
            </w:tcMar>
            <w:vAlign w:val="center"/>
            <w:hideMark/>
          </w:tcPr>
          <w:p w:rsidR="00B605A5" w:rsidRPr="000B697A" w:rsidRDefault="0002533C" w:rsidP="001C05F0">
            <w:pPr>
              <w:jc w:val="right"/>
              <w:rPr>
                <w:rFonts w:cs="Calibri"/>
                <w:color w:val="000000"/>
                <w:sz w:val="20"/>
                <w:szCs w:val="20"/>
                <w:lang w:eastAsia="en-US"/>
              </w:rPr>
            </w:pPr>
            <w:r w:rsidRPr="000B697A">
              <w:rPr>
                <w:rFonts w:cs="Calibri"/>
                <w:color w:val="000000"/>
                <w:sz w:val="20"/>
                <w:szCs w:val="20"/>
                <w:lang w:eastAsia="en-US"/>
              </w:rPr>
              <w:t>1</w:t>
            </w:r>
          </w:p>
        </w:tc>
      </w:tr>
      <w:tr w:rsidR="0002533C" w:rsidRPr="000B697A" w:rsidTr="001C05F0">
        <w:trPr>
          <w:trHeight w:val="170"/>
          <w:jc w:val="center"/>
        </w:trPr>
        <w:tc>
          <w:tcPr>
            <w:tcW w:w="5168" w:type="dxa"/>
            <w:shd w:val="clear" w:color="auto" w:fill="auto"/>
            <w:noWrap/>
            <w:tcMar>
              <w:left w:w="57" w:type="dxa"/>
              <w:right w:w="57" w:type="dxa"/>
            </w:tcMar>
            <w:vAlign w:val="center"/>
          </w:tcPr>
          <w:p w:rsidR="0002533C" w:rsidRPr="000B697A" w:rsidRDefault="0002533C" w:rsidP="001C05F0">
            <w:pPr>
              <w:jc w:val="left"/>
              <w:rPr>
                <w:rFonts w:cs="Calibri"/>
                <w:color w:val="000000"/>
                <w:sz w:val="20"/>
                <w:szCs w:val="20"/>
                <w:lang w:eastAsia="en-US"/>
              </w:rPr>
            </w:pPr>
            <w:r w:rsidRPr="000B697A">
              <w:rPr>
                <w:rFonts w:cs="Calibri"/>
                <w:color w:val="000000"/>
                <w:sz w:val="20"/>
                <w:szCs w:val="20"/>
                <w:lang w:eastAsia="en-US"/>
              </w:rPr>
              <w:t>Такса финансиране на мероприятие</w:t>
            </w:r>
          </w:p>
        </w:tc>
        <w:tc>
          <w:tcPr>
            <w:tcW w:w="2711" w:type="dxa"/>
            <w:shd w:val="clear" w:color="auto" w:fill="auto"/>
            <w:noWrap/>
            <w:tcMar>
              <w:left w:w="57" w:type="dxa"/>
              <w:right w:w="57" w:type="dxa"/>
            </w:tcMar>
            <w:vAlign w:val="center"/>
          </w:tcPr>
          <w:p w:rsidR="0002533C" w:rsidRPr="000B697A" w:rsidRDefault="0002533C" w:rsidP="001C05F0">
            <w:pPr>
              <w:jc w:val="left"/>
              <w:rPr>
                <w:rFonts w:cs="Calibri"/>
                <w:color w:val="000000"/>
                <w:sz w:val="20"/>
                <w:szCs w:val="20"/>
                <w:lang w:eastAsia="en-US"/>
              </w:rPr>
            </w:pPr>
            <w:r w:rsidRPr="000B697A">
              <w:rPr>
                <w:rFonts w:cs="Calibri"/>
                <w:color w:val="000000"/>
                <w:sz w:val="20"/>
                <w:szCs w:val="20"/>
                <w:lang w:eastAsia="en-US"/>
              </w:rPr>
              <w:t>НККУ</w:t>
            </w:r>
          </w:p>
        </w:tc>
        <w:tc>
          <w:tcPr>
            <w:tcW w:w="1239" w:type="dxa"/>
            <w:shd w:val="clear" w:color="auto" w:fill="auto"/>
            <w:noWrap/>
            <w:tcMar>
              <w:left w:w="57" w:type="dxa"/>
              <w:right w:w="57" w:type="dxa"/>
            </w:tcMar>
            <w:vAlign w:val="center"/>
          </w:tcPr>
          <w:p w:rsidR="0002533C" w:rsidRPr="000B697A" w:rsidRDefault="0002533C" w:rsidP="008835B2">
            <w:pPr>
              <w:jc w:val="right"/>
              <w:rPr>
                <w:rFonts w:cs="Calibri"/>
                <w:color w:val="000000"/>
                <w:sz w:val="20"/>
                <w:szCs w:val="20"/>
                <w:lang w:eastAsia="en-US"/>
              </w:rPr>
            </w:pPr>
            <w:r w:rsidRPr="000B697A">
              <w:rPr>
                <w:rFonts w:cs="Calibri"/>
                <w:color w:val="000000"/>
                <w:sz w:val="20"/>
                <w:szCs w:val="20"/>
                <w:lang w:eastAsia="en-US"/>
              </w:rPr>
              <w:t>-</w:t>
            </w:r>
          </w:p>
        </w:tc>
        <w:tc>
          <w:tcPr>
            <w:tcW w:w="1239" w:type="dxa"/>
            <w:shd w:val="clear" w:color="auto" w:fill="auto"/>
            <w:noWrap/>
            <w:tcMar>
              <w:left w:w="57" w:type="dxa"/>
              <w:right w:w="57" w:type="dxa"/>
            </w:tcMar>
            <w:vAlign w:val="center"/>
          </w:tcPr>
          <w:p w:rsidR="0002533C" w:rsidRPr="000B697A" w:rsidRDefault="0002533C" w:rsidP="001C05F0">
            <w:pPr>
              <w:jc w:val="right"/>
              <w:rPr>
                <w:rFonts w:cs="Calibri"/>
                <w:color w:val="000000"/>
                <w:sz w:val="20"/>
                <w:szCs w:val="20"/>
                <w:lang w:eastAsia="en-US"/>
              </w:rPr>
            </w:pPr>
            <w:r w:rsidRPr="000B697A">
              <w:rPr>
                <w:rFonts w:cs="Calibri"/>
                <w:color w:val="000000"/>
                <w:sz w:val="20"/>
                <w:szCs w:val="20"/>
                <w:lang w:eastAsia="en-US"/>
              </w:rPr>
              <w:t>8</w:t>
            </w:r>
          </w:p>
        </w:tc>
      </w:tr>
      <w:tr w:rsidR="00B605A5" w:rsidRPr="000B697A" w:rsidTr="001C05F0">
        <w:trPr>
          <w:trHeight w:val="170"/>
          <w:jc w:val="center"/>
        </w:trPr>
        <w:tc>
          <w:tcPr>
            <w:tcW w:w="5168" w:type="dxa"/>
            <w:shd w:val="clear" w:color="auto" w:fill="auto"/>
            <w:noWrap/>
            <w:tcMar>
              <w:left w:w="57" w:type="dxa"/>
              <w:right w:w="57" w:type="dxa"/>
            </w:tcMar>
            <w:vAlign w:val="center"/>
            <w:hideMark/>
          </w:tcPr>
          <w:p w:rsidR="00B605A5" w:rsidRPr="000B697A" w:rsidRDefault="00B605A5" w:rsidP="001C05F0">
            <w:pPr>
              <w:jc w:val="left"/>
              <w:rPr>
                <w:rFonts w:cs="Calibri"/>
                <w:b/>
                <w:bCs/>
                <w:color w:val="000000"/>
                <w:sz w:val="20"/>
                <w:szCs w:val="20"/>
                <w:lang w:eastAsia="en-US"/>
              </w:rPr>
            </w:pPr>
            <w:r w:rsidRPr="000B697A">
              <w:rPr>
                <w:rFonts w:cs="Calibri"/>
                <w:b/>
                <w:bCs/>
                <w:color w:val="000000"/>
                <w:sz w:val="20"/>
                <w:szCs w:val="20"/>
                <w:lang w:eastAsia="en-US"/>
              </w:rPr>
              <w:t>Общо</w:t>
            </w:r>
          </w:p>
        </w:tc>
        <w:tc>
          <w:tcPr>
            <w:tcW w:w="2711" w:type="dxa"/>
            <w:shd w:val="clear" w:color="auto" w:fill="auto"/>
            <w:noWrap/>
            <w:tcMar>
              <w:left w:w="57" w:type="dxa"/>
              <w:right w:w="57" w:type="dxa"/>
            </w:tcMar>
            <w:vAlign w:val="bottom"/>
            <w:hideMark/>
          </w:tcPr>
          <w:p w:rsidR="00B605A5" w:rsidRPr="000B697A" w:rsidRDefault="00B605A5" w:rsidP="001C05F0">
            <w:pPr>
              <w:jc w:val="left"/>
              <w:rPr>
                <w:rFonts w:cs="Calibri"/>
                <w:color w:val="000000"/>
                <w:sz w:val="20"/>
                <w:szCs w:val="20"/>
                <w:lang w:eastAsia="en-US"/>
              </w:rPr>
            </w:pPr>
          </w:p>
        </w:tc>
        <w:tc>
          <w:tcPr>
            <w:tcW w:w="1239" w:type="dxa"/>
            <w:shd w:val="clear" w:color="auto" w:fill="auto"/>
            <w:noWrap/>
            <w:tcMar>
              <w:left w:w="57" w:type="dxa"/>
              <w:right w:w="57" w:type="dxa"/>
            </w:tcMar>
            <w:vAlign w:val="center"/>
            <w:hideMark/>
          </w:tcPr>
          <w:p w:rsidR="00B605A5" w:rsidRPr="000B697A" w:rsidRDefault="0002533C" w:rsidP="008835B2">
            <w:pPr>
              <w:jc w:val="right"/>
              <w:rPr>
                <w:rFonts w:cs="Calibri"/>
                <w:b/>
                <w:bCs/>
                <w:color w:val="000000"/>
                <w:sz w:val="20"/>
                <w:szCs w:val="20"/>
                <w:lang w:eastAsia="en-US"/>
              </w:rPr>
            </w:pPr>
            <w:r w:rsidRPr="000B697A">
              <w:rPr>
                <w:rFonts w:cs="Calibri"/>
                <w:b/>
                <w:bCs/>
                <w:color w:val="000000"/>
                <w:sz w:val="20"/>
                <w:szCs w:val="20"/>
                <w:lang w:eastAsia="en-US"/>
              </w:rPr>
              <w:t>7</w:t>
            </w:r>
          </w:p>
        </w:tc>
        <w:tc>
          <w:tcPr>
            <w:tcW w:w="1239" w:type="dxa"/>
            <w:shd w:val="clear" w:color="auto" w:fill="auto"/>
            <w:noWrap/>
            <w:tcMar>
              <w:left w:w="57" w:type="dxa"/>
              <w:right w:w="57" w:type="dxa"/>
            </w:tcMar>
            <w:vAlign w:val="center"/>
            <w:hideMark/>
          </w:tcPr>
          <w:p w:rsidR="00B605A5" w:rsidRPr="000B697A" w:rsidRDefault="0002533C" w:rsidP="001C05F0">
            <w:pPr>
              <w:jc w:val="right"/>
              <w:rPr>
                <w:rFonts w:cs="Calibri"/>
                <w:b/>
                <w:bCs/>
                <w:color w:val="000000"/>
                <w:sz w:val="20"/>
                <w:szCs w:val="20"/>
                <w:lang w:eastAsia="en-US"/>
              </w:rPr>
            </w:pPr>
            <w:r w:rsidRPr="000B697A">
              <w:rPr>
                <w:rFonts w:cs="Calibri"/>
                <w:b/>
                <w:bCs/>
                <w:color w:val="000000"/>
                <w:sz w:val="20"/>
                <w:szCs w:val="20"/>
                <w:lang w:eastAsia="en-US"/>
              </w:rPr>
              <w:t>14</w:t>
            </w:r>
          </w:p>
        </w:tc>
      </w:tr>
    </w:tbl>
    <w:p w:rsidR="007C5282" w:rsidRPr="000B697A" w:rsidRDefault="007C5282" w:rsidP="00281505">
      <w:pPr>
        <w:pStyle w:val="BodyText"/>
        <w:rPr>
          <w:rFonts w:cs="Calibri"/>
        </w:rPr>
      </w:pPr>
    </w:p>
    <w:p w:rsidR="009926BC" w:rsidRPr="000B697A" w:rsidRDefault="009926BC" w:rsidP="00281505">
      <w:pPr>
        <w:pStyle w:val="BodyText"/>
        <w:rPr>
          <w:rFonts w:cs="Calibri"/>
          <w:i/>
          <w:sz w:val="22"/>
        </w:rPr>
      </w:pPr>
      <w:r w:rsidRPr="000B697A">
        <w:rPr>
          <w:rFonts w:cs="Calibri"/>
          <w:i/>
          <w:sz w:val="22"/>
        </w:rPr>
        <w:t>Разчети със свързани лица</w:t>
      </w:r>
    </w:p>
    <w:p w:rsidR="000965FA" w:rsidRPr="000B697A" w:rsidRDefault="00727A68" w:rsidP="00B0359D">
      <w:pPr>
        <w:pStyle w:val="BodyText"/>
        <w:rPr>
          <w:rFonts w:cs="Calibri"/>
          <w:sz w:val="22"/>
          <w:szCs w:val="18"/>
        </w:rPr>
      </w:pPr>
      <w:r w:rsidRPr="000B697A">
        <w:rPr>
          <w:rFonts w:cs="Calibri"/>
          <w:sz w:val="22"/>
          <w:szCs w:val="18"/>
        </w:rPr>
        <w:t>Разчетните взаимоотношения със свързани лица включват вземания по продажби към 31.12.201</w:t>
      </w:r>
      <w:r w:rsidR="0002533C" w:rsidRPr="000B697A">
        <w:rPr>
          <w:rFonts w:cs="Calibri"/>
          <w:sz w:val="22"/>
          <w:szCs w:val="18"/>
        </w:rPr>
        <w:t>8</w:t>
      </w:r>
      <w:r w:rsidRPr="000B697A">
        <w:rPr>
          <w:rFonts w:cs="Calibri"/>
          <w:sz w:val="22"/>
          <w:szCs w:val="18"/>
        </w:rPr>
        <w:t xml:space="preserve"> г. в размер на </w:t>
      </w:r>
      <w:r w:rsidR="0002533C" w:rsidRPr="000B697A">
        <w:rPr>
          <w:rFonts w:cs="Calibri"/>
          <w:sz w:val="22"/>
          <w:szCs w:val="18"/>
        </w:rPr>
        <w:t>1 х.</w:t>
      </w:r>
      <w:r w:rsidRPr="000B697A">
        <w:rPr>
          <w:rFonts w:cs="Calibri"/>
          <w:sz w:val="22"/>
          <w:szCs w:val="18"/>
        </w:rPr>
        <w:t xml:space="preserve"> лв. (31.12.201</w:t>
      </w:r>
      <w:r w:rsidR="0002533C" w:rsidRPr="000B697A">
        <w:rPr>
          <w:rFonts w:cs="Calibri"/>
          <w:sz w:val="22"/>
          <w:szCs w:val="18"/>
        </w:rPr>
        <w:t>7</w:t>
      </w:r>
      <w:r w:rsidRPr="000B697A">
        <w:rPr>
          <w:rFonts w:cs="Calibri"/>
          <w:sz w:val="22"/>
          <w:szCs w:val="18"/>
        </w:rPr>
        <w:t xml:space="preserve"> г</w:t>
      </w:r>
      <w:r w:rsidR="00541757" w:rsidRPr="000B697A">
        <w:rPr>
          <w:rFonts w:cs="Calibri"/>
          <w:sz w:val="22"/>
          <w:szCs w:val="18"/>
        </w:rPr>
        <w:t>.</w:t>
      </w:r>
      <w:r w:rsidR="0002533C" w:rsidRPr="000B697A">
        <w:rPr>
          <w:rFonts w:cs="Calibri"/>
          <w:sz w:val="22"/>
          <w:szCs w:val="18"/>
        </w:rPr>
        <w:t xml:space="preserve">: 1 </w:t>
      </w:r>
      <w:proofErr w:type="spellStart"/>
      <w:r w:rsidRPr="000B697A">
        <w:rPr>
          <w:rFonts w:cs="Calibri"/>
          <w:sz w:val="22"/>
          <w:szCs w:val="18"/>
        </w:rPr>
        <w:t>х.лв</w:t>
      </w:r>
      <w:proofErr w:type="spellEnd"/>
      <w:r w:rsidRPr="000B697A">
        <w:rPr>
          <w:rFonts w:cs="Calibri"/>
          <w:sz w:val="22"/>
          <w:szCs w:val="18"/>
        </w:rPr>
        <w:t>.).</w:t>
      </w:r>
    </w:p>
    <w:p w:rsidR="007D0731" w:rsidRPr="000B697A" w:rsidRDefault="009926BC" w:rsidP="0016443B">
      <w:pPr>
        <w:pStyle w:val="SubNumbers"/>
        <w:rPr>
          <w:rFonts w:cs="Calibri"/>
        </w:rPr>
      </w:pPr>
      <w:bookmarkStart w:id="111" w:name="_Toc6923261"/>
      <w:r w:rsidRPr="000B697A">
        <w:rPr>
          <w:rFonts w:cs="Calibri"/>
        </w:rPr>
        <w:lastRenderedPageBreak/>
        <w:t>Информация за събития с необичаен за емитента характер, имащи съществено влияние върху дейността му, и реализираните от него приходи и извършени разходи; оценка за влиянието им върху резултатите през текущата година.</w:t>
      </w:r>
      <w:bookmarkEnd w:id="111"/>
    </w:p>
    <w:p w:rsidR="00E94798" w:rsidRPr="000B697A" w:rsidRDefault="0002533C" w:rsidP="00E94798">
      <w:pPr>
        <w:widowControl w:val="0"/>
        <w:rPr>
          <w:rFonts w:cs="Calibri"/>
        </w:rPr>
      </w:pPr>
      <w:r w:rsidRPr="000B697A">
        <w:rPr>
          <w:rFonts w:cs="Calibri"/>
        </w:rPr>
        <w:t xml:space="preserve">Основно влияние върху реализираните от „Българска фондова борса“ АД приходи и през 2018 г. продължава да оказва финансовата криза и обусловената от нея ниска инвеститорска активност на капиталовия пазар. </w:t>
      </w:r>
      <w:proofErr w:type="spellStart"/>
      <w:r w:rsidRPr="000B697A">
        <w:rPr>
          <w:rFonts w:cs="Calibri"/>
          <w:lang w:val="en-US"/>
        </w:rPr>
        <w:t>Очаква</w:t>
      </w:r>
      <w:proofErr w:type="spellEnd"/>
      <w:r w:rsidRPr="000B697A">
        <w:rPr>
          <w:rFonts w:cs="Calibri"/>
          <w:lang w:val="en-US"/>
        </w:rPr>
        <w:t xml:space="preserve"> </w:t>
      </w:r>
      <w:proofErr w:type="spellStart"/>
      <w:r w:rsidRPr="000B697A">
        <w:rPr>
          <w:rFonts w:cs="Calibri"/>
          <w:lang w:val="en-US"/>
        </w:rPr>
        <w:t>се</w:t>
      </w:r>
      <w:proofErr w:type="spellEnd"/>
      <w:r w:rsidRPr="000B697A">
        <w:rPr>
          <w:rFonts w:cs="Calibri"/>
          <w:lang w:val="en-US"/>
        </w:rPr>
        <w:t xml:space="preserve"> </w:t>
      </w:r>
      <w:proofErr w:type="spellStart"/>
      <w:r w:rsidRPr="000B697A">
        <w:rPr>
          <w:rFonts w:cs="Calibri"/>
          <w:lang w:val="en-US"/>
        </w:rPr>
        <w:t>стартиралите</w:t>
      </w:r>
      <w:proofErr w:type="spellEnd"/>
      <w:r w:rsidRPr="000B697A">
        <w:rPr>
          <w:rFonts w:cs="Calibri"/>
          <w:lang w:val="en-US"/>
        </w:rPr>
        <w:t xml:space="preserve"> </w:t>
      </w:r>
      <w:proofErr w:type="spellStart"/>
      <w:r w:rsidRPr="000B697A">
        <w:rPr>
          <w:rFonts w:cs="Calibri"/>
          <w:lang w:val="en-US"/>
        </w:rPr>
        <w:t>през</w:t>
      </w:r>
      <w:proofErr w:type="spellEnd"/>
      <w:r w:rsidRPr="000B697A">
        <w:rPr>
          <w:rFonts w:cs="Calibri"/>
          <w:lang w:val="en-US"/>
        </w:rPr>
        <w:t xml:space="preserve"> 2018 </w:t>
      </w:r>
      <w:proofErr w:type="spellStart"/>
      <w:r w:rsidRPr="000B697A">
        <w:rPr>
          <w:rFonts w:cs="Calibri"/>
          <w:lang w:val="en-US"/>
        </w:rPr>
        <w:t>година</w:t>
      </w:r>
      <w:proofErr w:type="spellEnd"/>
      <w:r w:rsidRPr="000B697A">
        <w:rPr>
          <w:rFonts w:cs="Calibri"/>
          <w:lang w:val="en-US"/>
        </w:rPr>
        <w:t xml:space="preserve"> </w:t>
      </w:r>
      <w:proofErr w:type="spellStart"/>
      <w:r w:rsidRPr="000B697A">
        <w:rPr>
          <w:rFonts w:cs="Calibri"/>
          <w:lang w:val="en-US"/>
        </w:rPr>
        <w:t>пазар</w:t>
      </w:r>
      <w:proofErr w:type="spellEnd"/>
      <w:r w:rsidRPr="000B697A">
        <w:rPr>
          <w:rFonts w:cs="Calibri"/>
          <w:lang w:val="en-US"/>
        </w:rPr>
        <w:t xml:space="preserve"> </w:t>
      </w:r>
      <w:proofErr w:type="spellStart"/>
      <w:r w:rsidRPr="000B697A">
        <w:rPr>
          <w:rFonts w:cs="Calibri"/>
          <w:lang w:val="en-US"/>
        </w:rPr>
        <w:t>за</w:t>
      </w:r>
      <w:proofErr w:type="spellEnd"/>
      <w:r w:rsidRPr="000B697A">
        <w:rPr>
          <w:rFonts w:cs="Calibri"/>
          <w:lang w:val="en-US"/>
        </w:rPr>
        <w:t xml:space="preserve"> </w:t>
      </w:r>
      <w:proofErr w:type="spellStart"/>
      <w:r w:rsidRPr="000B697A">
        <w:rPr>
          <w:rFonts w:cs="Calibri"/>
          <w:lang w:val="en-US"/>
        </w:rPr>
        <w:t>растеж</w:t>
      </w:r>
      <w:proofErr w:type="spellEnd"/>
      <w:r w:rsidRPr="000B697A">
        <w:rPr>
          <w:rFonts w:cs="Calibri"/>
          <w:lang w:val="en-US"/>
        </w:rPr>
        <w:t xml:space="preserve"> н</w:t>
      </w:r>
      <w:r w:rsidRPr="000B697A">
        <w:rPr>
          <w:rFonts w:cs="Calibri"/>
        </w:rPr>
        <w:t>а Малки и средни предприятия и останалите инициативи на Борсата да окажат положителен ефект върху пазара на финансови инструменти в дългосрочен план</w:t>
      </w:r>
      <w:r w:rsidR="00E94798" w:rsidRPr="000B697A">
        <w:rPr>
          <w:rFonts w:cs="Calibri"/>
        </w:rPr>
        <w:t>.</w:t>
      </w:r>
      <w:r w:rsidRPr="000B697A">
        <w:rPr>
          <w:rFonts w:cs="Calibri"/>
        </w:rPr>
        <w:t xml:space="preserve"> Проектите, осъществявани от </w:t>
      </w:r>
      <w:r w:rsidR="00677A59" w:rsidRPr="000B697A">
        <w:rPr>
          <w:rFonts w:cs="Calibri"/>
        </w:rPr>
        <w:t>дъ</w:t>
      </w:r>
      <w:r w:rsidR="00677A59">
        <w:rPr>
          <w:rFonts w:cs="Calibri"/>
        </w:rPr>
        <w:t>щ</w:t>
      </w:r>
      <w:r w:rsidR="00677A59" w:rsidRPr="000B697A">
        <w:rPr>
          <w:rFonts w:cs="Calibri"/>
        </w:rPr>
        <w:t xml:space="preserve">ерното </w:t>
      </w:r>
      <w:r w:rsidRPr="000B697A">
        <w:rPr>
          <w:rFonts w:cs="Calibri"/>
        </w:rPr>
        <w:t xml:space="preserve">дружество „Българска независима </w:t>
      </w:r>
      <w:r w:rsidR="00677A59" w:rsidRPr="000B697A">
        <w:rPr>
          <w:rFonts w:cs="Calibri"/>
        </w:rPr>
        <w:t>енерги</w:t>
      </w:r>
      <w:r w:rsidR="00677A59">
        <w:rPr>
          <w:rFonts w:cs="Calibri"/>
        </w:rPr>
        <w:t>й</w:t>
      </w:r>
      <w:r w:rsidR="00677A59" w:rsidRPr="000B697A">
        <w:rPr>
          <w:rFonts w:cs="Calibri"/>
        </w:rPr>
        <w:t xml:space="preserve">на </w:t>
      </w:r>
      <w:r w:rsidRPr="000B697A">
        <w:rPr>
          <w:rFonts w:cs="Calibri"/>
        </w:rPr>
        <w:t xml:space="preserve">борса“ АД, описани по-горе в т. </w:t>
      </w:r>
      <w:r w:rsidR="00004CA5">
        <w:fldChar w:fldCharType="begin"/>
      </w:r>
      <w:r w:rsidR="00004CA5">
        <w:instrText xml:space="preserve"> REF _Ref6522906 \r \h  \* MERGEFORMAT </w:instrText>
      </w:r>
      <w:r w:rsidR="00004CA5">
        <w:fldChar w:fldCharType="separate"/>
      </w:r>
      <w:r w:rsidR="00AA0D62" w:rsidRPr="00AA0D62">
        <w:rPr>
          <w:rFonts w:cs="Calibri"/>
        </w:rPr>
        <w:t>2.15</w:t>
      </w:r>
      <w:r w:rsidR="00004CA5">
        <w:fldChar w:fldCharType="end"/>
      </w:r>
      <w:r w:rsidRPr="000B697A">
        <w:rPr>
          <w:rFonts w:cs="Calibri"/>
        </w:rPr>
        <w:t xml:space="preserve"> също оказват положително влияние върху приходите на Групата.</w:t>
      </w:r>
    </w:p>
    <w:p w:rsidR="001D30EF" w:rsidRPr="000B697A" w:rsidRDefault="00E94798" w:rsidP="00E94798">
      <w:pPr>
        <w:widowControl w:val="0"/>
        <w:rPr>
          <w:rFonts w:cs="Calibri"/>
        </w:rPr>
      </w:pPr>
      <w:r w:rsidRPr="000B697A">
        <w:rPr>
          <w:rFonts w:cs="Calibri"/>
        </w:rPr>
        <w:t xml:space="preserve">Ръстът на приходите от </w:t>
      </w:r>
      <w:r w:rsidR="0002533C" w:rsidRPr="000B697A">
        <w:rPr>
          <w:rFonts w:cs="Calibri"/>
        </w:rPr>
        <w:t>295% спрямо 2017</w:t>
      </w:r>
      <w:r w:rsidRPr="000B697A">
        <w:rPr>
          <w:rFonts w:cs="Calibri"/>
        </w:rPr>
        <w:t xml:space="preserve"> г. се дължи основно на </w:t>
      </w:r>
      <w:r w:rsidR="0002533C" w:rsidRPr="000B697A">
        <w:rPr>
          <w:rFonts w:cs="Calibri"/>
        </w:rPr>
        <w:t xml:space="preserve">придобиването на дъщерното дружество „Българска независима енергийна борса“ ЕАД и консолидирането на неговите приходи. </w:t>
      </w:r>
      <w:r w:rsidRPr="000B697A">
        <w:rPr>
          <w:rFonts w:cs="Calibri"/>
        </w:rPr>
        <w:t xml:space="preserve">Като цяло печалбата от оперативна дейност е в следствие на </w:t>
      </w:r>
      <w:r w:rsidR="0002533C" w:rsidRPr="000B697A">
        <w:rPr>
          <w:rFonts w:cs="Calibri"/>
        </w:rPr>
        <w:t xml:space="preserve">намаление на приходите на дружеството-майка и </w:t>
      </w:r>
      <w:r w:rsidRPr="000B697A">
        <w:rPr>
          <w:rFonts w:cs="Calibri"/>
        </w:rPr>
        <w:t xml:space="preserve">повишената стойност на приходите </w:t>
      </w:r>
      <w:r w:rsidR="0002533C" w:rsidRPr="000B697A">
        <w:rPr>
          <w:rFonts w:cs="Calibri"/>
        </w:rPr>
        <w:t>на дъщерното дружество БНЕБ</w:t>
      </w:r>
      <w:r w:rsidRPr="000B697A">
        <w:rPr>
          <w:rFonts w:cs="Calibri"/>
        </w:rPr>
        <w:t>.</w:t>
      </w:r>
    </w:p>
    <w:p w:rsidR="007D0731" w:rsidRPr="000B697A" w:rsidRDefault="00010F33" w:rsidP="0016443B">
      <w:pPr>
        <w:pStyle w:val="SubNumbers"/>
        <w:rPr>
          <w:rFonts w:cs="Calibri"/>
        </w:rPr>
      </w:pPr>
      <w:bookmarkStart w:id="112" w:name="_Toc6923262"/>
      <w:r w:rsidRPr="000B697A">
        <w:rPr>
          <w:rFonts w:cs="Calibri"/>
        </w:rPr>
        <w:t>Информация за сделки, водени извънбалансово</w:t>
      </w:r>
      <w:bookmarkEnd w:id="112"/>
    </w:p>
    <w:p w:rsidR="008A5369" w:rsidRPr="000B697A" w:rsidRDefault="00010F33" w:rsidP="00371F9E">
      <w:pPr>
        <w:rPr>
          <w:rFonts w:cs="Calibri"/>
        </w:rPr>
      </w:pPr>
      <w:r w:rsidRPr="000B697A">
        <w:rPr>
          <w:rFonts w:cs="Calibri"/>
        </w:rPr>
        <w:t>Група Българска фондова Борса не е извършвала сделки, които да се водят извънбалансово.</w:t>
      </w:r>
    </w:p>
    <w:p w:rsidR="007D0731" w:rsidRPr="000B697A" w:rsidRDefault="00010F33" w:rsidP="0016443B">
      <w:pPr>
        <w:pStyle w:val="SubNumbers"/>
        <w:rPr>
          <w:rFonts w:cs="Calibri"/>
        </w:rPr>
      </w:pPr>
      <w:bookmarkStart w:id="113" w:name="_Ref448932438"/>
      <w:bookmarkStart w:id="114" w:name="_Toc6923263"/>
      <w:r w:rsidRPr="000B697A">
        <w:rPr>
          <w:rFonts w:cs="Calibri"/>
        </w:rPr>
        <w:t>Информация за дялови участия на емитента, за основните му инвестиции в страната и чужбина (в ценни книжа, финансови инструменти, нематериални активи и недвижими имоти), както и инвестициите в дялови ценни книжа извън неговата икономическа група и източниците/начините на финансиране</w:t>
      </w:r>
      <w:bookmarkEnd w:id="113"/>
      <w:bookmarkEnd w:id="114"/>
    </w:p>
    <w:p w:rsidR="007D0731" w:rsidRPr="000B697A" w:rsidRDefault="00010F33" w:rsidP="00985E8C">
      <w:pPr>
        <w:pStyle w:val="SubSubNumber"/>
        <w:outlineLvl w:val="9"/>
        <w:rPr>
          <w:rFonts w:cs="Calibri"/>
        </w:rPr>
      </w:pPr>
      <w:bookmarkStart w:id="115" w:name="_Toc323038322"/>
      <w:bookmarkStart w:id="116" w:name="_Toc323038328"/>
      <w:bookmarkStart w:id="117" w:name="_Toc319337937"/>
      <w:bookmarkEnd w:id="115"/>
      <w:bookmarkEnd w:id="116"/>
      <w:r w:rsidRPr="000B697A">
        <w:rPr>
          <w:rFonts w:cs="Calibri"/>
        </w:rPr>
        <w:t>Инвестиции в асоциирани предприятия</w:t>
      </w:r>
      <w:bookmarkEnd w:id="117"/>
    </w:p>
    <w:p w:rsidR="007D0731" w:rsidRPr="000B697A" w:rsidRDefault="00DD4931" w:rsidP="00846D25">
      <w:pPr>
        <w:pStyle w:val="BodyTextIndent2"/>
        <w:ind w:left="0"/>
        <w:rPr>
          <w:rFonts w:cs="Calibri"/>
          <w:sz w:val="22"/>
        </w:rPr>
      </w:pPr>
      <w:r w:rsidRPr="000B697A">
        <w:rPr>
          <w:rFonts w:cs="Calibri"/>
          <w:sz w:val="22"/>
        </w:rPr>
        <w:t>Към 31.12.201</w:t>
      </w:r>
      <w:r w:rsidR="00B605A5" w:rsidRPr="000B697A">
        <w:rPr>
          <w:rFonts w:cs="Calibri"/>
          <w:sz w:val="22"/>
        </w:rPr>
        <w:t>7</w:t>
      </w:r>
      <w:r w:rsidR="007116DC" w:rsidRPr="000B697A">
        <w:rPr>
          <w:rFonts w:cs="Calibri"/>
          <w:sz w:val="22"/>
        </w:rPr>
        <w:t xml:space="preserve"> г. </w:t>
      </w:r>
      <w:r w:rsidR="00474D5E" w:rsidRPr="000B697A">
        <w:rPr>
          <w:rFonts w:cs="Calibri"/>
          <w:sz w:val="22"/>
        </w:rPr>
        <w:t xml:space="preserve">Група </w:t>
      </w:r>
      <w:r w:rsidR="007116DC" w:rsidRPr="000B697A">
        <w:rPr>
          <w:rFonts w:cs="Calibri"/>
          <w:sz w:val="22"/>
        </w:rPr>
        <w:t>БФБ няма инвестиции в асоциирани предприятия</w:t>
      </w:r>
      <w:r w:rsidR="00D901EA" w:rsidRPr="000B697A">
        <w:rPr>
          <w:rFonts w:cs="Calibri"/>
          <w:sz w:val="22"/>
        </w:rPr>
        <w:t>.</w:t>
      </w:r>
    </w:p>
    <w:p w:rsidR="0096446E" w:rsidRPr="000B697A" w:rsidRDefault="0096446E" w:rsidP="00985E8C">
      <w:pPr>
        <w:pStyle w:val="SubSubNumber"/>
        <w:outlineLvl w:val="9"/>
        <w:rPr>
          <w:rFonts w:cs="Calibri"/>
        </w:rPr>
      </w:pPr>
      <w:bookmarkStart w:id="118" w:name="_Toc415091826"/>
      <w:r w:rsidRPr="000B697A">
        <w:rPr>
          <w:rFonts w:cs="Calibri"/>
        </w:rPr>
        <w:t xml:space="preserve">Инвестиции в </w:t>
      </w:r>
      <w:bookmarkEnd w:id="118"/>
      <w:r w:rsidRPr="000B697A">
        <w:rPr>
          <w:rFonts w:cs="Calibri"/>
        </w:rPr>
        <w:t>съвместни дружества</w:t>
      </w:r>
    </w:p>
    <w:p w:rsidR="00E94798" w:rsidRPr="000B697A" w:rsidRDefault="00E94798" w:rsidP="00E94798">
      <w:pPr>
        <w:pStyle w:val="BodyText2"/>
        <w:spacing w:after="0" w:line="276" w:lineRule="auto"/>
        <w:rPr>
          <w:rFonts w:cs="Calibri"/>
        </w:rPr>
      </w:pPr>
      <w:r w:rsidRPr="000B697A">
        <w:rPr>
          <w:rFonts w:cs="Calibri"/>
        </w:rPr>
        <w:t>На 15.04.2014 г. по силата на сключено съвместно споразумение между Българска фондова борса АД, Македонска Борса за ценни книжа АД, Скопие и Загребска Борса АД е учредено съвместно дружество СЕЕ Линк ДОО, Скопие със седалище ул. Орце Николов 75, Скопие, Македония. Основният предмет на дейност на дружеството е извършването на услуги във връзка с компютри и информационни технологии. Регистрираният капитал на СЕЕ</w:t>
      </w:r>
      <w:r w:rsidR="00A8663D" w:rsidRPr="000B697A">
        <w:rPr>
          <w:rFonts w:cs="Calibri"/>
        </w:rPr>
        <w:t xml:space="preserve"> Линк ДОО, Скопие към 31.12.2018</w:t>
      </w:r>
      <w:r w:rsidRPr="000B697A">
        <w:rPr>
          <w:rFonts w:cs="Calibri"/>
        </w:rPr>
        <w:t xml:space="preserve"> г. е в ра</w:t>
      </w:r>
      <w:r w:rsidR="00A8663D" w:rsidRPr="000B697A">
        <w:rPr>
          <w:rFonts w:cs="Calibri"/>
        </w:rPr>
        <w:t>змер на 157 х. лв. (31.12.2017</w:t>
      </w:r>
      <w:r w:rsidRPr="000B697A">
        <w:rPr>
          <w:rFonts w:cs="Calibri"/>
        </w:rPr>
        <w:t xml:space="preserve"> г. - 157 х. лв.). През м. февруари 2015 г. и м. декември 2015 г. е извършено увеличение на основния капитал на съвместното дружество съответно с 57 хил. лева и 79 хил. лева. Съгласно условията на споразумението всяка една от страните притежава 33,33 % от капитала на учреденото дружество.</w:t>
      </w:r>
    </w:p>
    <w:p w:rsidR="00E94798" w:rsidRPr="000B697A" w:rsidRDefault="00A8663D" w:rsidP="00E94798">
      <w:pPr>
        <w:pStyle w:val="BodyText2"/>
        <w:spacing w:after="0" w:line="276" w:lineRule="auto"/>
        <w:rPr>
          <w:rFonts w:cs="Calibri"/>
        </w:rPr>
      </w:pPr>
      <w:r w:rsidRPr="000B697A">
        <w:rPr>
          <w:rFonts w:cs="Calibri"/>
        </w:rPr>
        <w:t>Към 31.12.2018</w:t>
      </w:r>
      <w:r w:rsidR="00E94798" w:rsidRPr="000B697A">
        <w:rPr>
          <w:rFonts w:cs="Calibri"/>
        </w:rPr>
        <w:t xml:space="preserve"> г. стойността на инвестицията в съвместното д</w:t>
      </w:r>
      <w:r w:rsidRPr="000B697A">
        <w:rPr>
          <w:rFonts w:cs="Calibri"/>
        </w:rPr>
        <w:t>ружество е 53 х. лв. (31.12.2017</w:t>
      </w:r>
      <w:r w:rsidR="00E94798" w:rsidRPr="000B697A">
        <w:rPr>
          <w:rFonts w:cs="Calibri"/>
        </w:rPr>
        <w:t xml:space="preserve"> г.: 53 х. лв.), оценена по историческа цена на придобиване (себестойност).</w:t>
      </w:r>
    </w:p>
    <w:p w:rsidR="0091013F" w:rsidRPr="000B697A" w:rsidRDefault="00A8663D" w:rsidP="00C442DF">
      <w:pPr>
        <w:widowControl w:val="0"/>
        <w:rPr>
          <w:rFonts w:cs="Calibri"/>
          <w:szCs w:val="24"/>
        </w:rPr>
      </w:pPr>
      <w:r w:rsidRPr="000B697A">
        <w:rPr>
          <w:rFonts w:cs="Calibri"/>
        </w:rPr>
        <w:t>Към 31.12.2018</w:t>
      </w:r>
      <w:r w:rsidR="00E94798" w:rsidRPr="000B697A">
        <w:rPr>
          <w:rFonts w:cs="Calibri"/>
        </w:rPr>
        <w:t xml:space="preserve"> г. стойността на участието на Групата в съвместното дружество, оценено по</w:t>
      </w:r>
      <w:r w:rsidRPr="000B697A">
        <w:rPr>
          <w:rFonts w:cs="Calibri"/>
        </w:rPr>
        <w:t xml:space="preserve"> </w:t>
      </w:r>
      <w:r w:rsidRPr="000B697A">
        <w:rPr>
          <w:rFonts w:cs="Calibri"/>
        </w:rPr>
        <w:lastRenderedPageBreak/>
        <w:t>метода на собствения капитал е</w:t>
      </w:r>
      <w:r w:rsidR="00E94798" w:rsidRPr="000B697A">
        <w:rPr>
          <w:rFonts w:cs="Calibri"/>
        </w:rPr>
        <w:t xml:space="preserve"> </w:t>
      </w:r>
      <w:r w:rsidRPr="000B697A">
        <w:rPr>
          <w:rFonts w:cs="Calibri"/>
        </w:rPr>
        <w:t>11</w:t>
      </w:r>
      <w:r w:rsidR="00E94798" w:rsidRPr="000B697A">
        <w:rPr>
          <w:rFonts w:cs="Calibri"/>
        </w:rPr>
        <w:t xml:space="preserve"> х. лв. (31.12.201</w:t>
      </w:r>
      <w:r w:rsidRPr="000B697A">
        <w:rPr>
          <w:rFonts w:cs="Calibri"/>
        </w:rPr>
        <w:t>7</w:t>
      </w:r>
      <w:r w:rsidR="00E94798" w:rsidRPr="000B697A">
        <w:rPr>
          <w:rFonts w:cs="Calibri"/>
        </w:rPr>
        <w:t xml:space="preserve"> г.: </w:t>
      </w:r>
      <w:r w:rsidRPr="000B697A">
        <w:rPr>
          <w:rFonts w:cs="Calibri"/>
        </w:rPr>
        <w:t>32</w:t>
      </w:r>
      <w:r w:rsidR="00E94798" w:rsidRPr="000B697A">
        <w:rPr>
          <w:rFonts w:cs="Calibri"/>
        </w:rPr>
        <w:t xml:space="preserve"> х. лв.)</w:t>
      </w:r>
      <w:r w:rsidR="00C442DF" w:rsidRPr="000B697A">
        <w:rPr>
          <w:rFonts w:cs="Calibri"/>
          <w:szCs w:val="24"/>
        </w:rPr>
        <w:t>.</w:t>
      </w:r>
    </w:p>
    <w:p w:rsidR="007D0731" w:rsidRPr="000B697A" w:rsidRDefault="00A8663D" w:rsidP="00985E8C">
      <w:pPr>
        <w:pStyle w:val="SubSubNumber"/>
        <w:outlineLvl w:val="9"/>
        <w:rPr>
          <w:rFonts w:cs="Calibri"/>
        </w:rPr>
      </w:pPr>
      <w:r w:rsidRPr="000B697A">
        <w:rPr>
          <w:rFonts w:cs="Calibri"/>
        </w:rPr>
        <w:t>Финансови активи, оценявани по справедлива стойност</w:t>
      </w:r>
    </w:p>
    <w:p w:rsidR="00DD4931" w:rsidRPr="000B697A" w:rsidRDefault="00DD4931" w:rsidP="00371F9E">
      <w:pPr>
        <w:rPr>
          <w:rFonts w:cs="Calibri"/>
        </w:rPr>
      </w:pPr>
      <w:r w:rsidRPr="000B697A">
        <w:rPr>
          <w:rFonts w:cs="Calibri"/>
        </w:rPr>
        <w:t xml:space="preserve">Към 31 декември </w:t>
      </w:r>
      <w:r w:rsidR="00D7098F" w:rsidRPr="000B697A">
        <w:rPr>
          <w:rFonts w:cs="Calibri"/>
        </w:rPr>
        <w:t>201</w:t>
      </w:r>
      <w:r w:rsidR="00D7098F">
        <w:rPr>
          <w:rFonts w:cs="Calibri"/>
        </w:rPr>
        <w:t>8</w:t>
      </w:r>
      <w:r w:rsidR="00D7098F" w:rsidRPr="000B697A">
        <w:rPr>
          <w:rFonts w:cs="Calibri"/>
        </w:rPr>
        <w:t xml:space="preserve"> </w:t>
      </w:r>
      <w:r w:rsidRPr="000B697A">
        <w:rPr>
          <w:rFonts w:cs="Calibri"/>
        </w:rPr>
        <w:t xml:space="preserve">г. балансовата стойност на </w:t>
      </w:r>
      <w:r w:rsidR="005A0B08" w:rsidRPr="000B697A">
        <w:rPr>
          <w:rFonts w:cs="Calibri"/>
        </w:rPr>
        <w:t xml:space="preserve">инвестициите </w:t>
      </w:r>
      <w:r w:rsidR="00006CD3" w:rsidRPr="000B697A">
        <w:rPr>
          <w:rFonts w:cs="Calibri"/>
        </w:rPr>
        <w:t xml:space="preserve">на Групата </w:t>
      </w:r>
      <w:r w:rsidR="005A0B08" w:rsidRPr="000B697A">
        <w:rPr>
          <w:rFonts w:cs="Calibri"/>
        </w:rPr>
        <w:t xml:space="preserve">във </w:t>
      </w:r>
      <w:r w:rsidRPr="000B697A">
        <w:rPr>
          <w:rFonts w:cs="Calibri"/>
        </w:rPr>
        <w:t>финансови активи на разположение за продажба включва:</w:t>
      </w:r>
    </w:p>
    <w:p w:rsidR="008D4EB0" w:rsidRPr="000B697A" w:rsidRDefault="000965FA" w:rsidP="00371F9E">
      <w:pPr>
        <w:rPr>
          <w:rFonts w:cs="Calibri"/>
          <w:b/>
        </w:rPr>
      </w:pPr>
      <w:r w:rsidRPr="000B697A">
        <w:rPr>
          <w:rFonts w:cs="Calibri"/>
          <w:b/>
        </w:rPr>
        <w:t>Таблица 13</w:t>
      </w:r>
      <w:r w:rsidR="008D4EB0" w:rsidRPr="000B697A">
        <w:rPr>
          <w:rFonts w:cs="Calibri"/>
          <w:b/>
        </w:rPr>
        <w:t xml:space="preserve"> – финансови активи на разположение за продажба:</w:t>
      </w:r>
    </w:p>
    <w:tbl>
      <w:tblPr>
        <w:tblW w:w="10317" w:type="dxa"/>
        <w:jc w:val="center"/>
        <w:tblLook w:val="04A0" w:firstRow="1" w:lastRow="0" w:firstColumn="1" w:lastColumn="0" w:noHBand="0" w:noVBand="1"/>
      </w:tblPr>
      <w:tblGrid>
        <w:gridCol w:w="7907"/>
        <w:gridCol w:w="1181"/>
        <w:gridCol w:w="1229"/>
      </w:tblGrid>
      <w:tr w:rsidR="00A8663D" w:rsidRPr="000B697A" w:rsidTr="00A8663D">
        <w:trPr>
          <w:trHeight w:val="170"/>
          <w:jc w:val="center"/>
        </w:trPr>
        <w:tc>
          <w:tcPr>
            <w:tcW w:w="7907" w:type="dxa"/>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A8663D" w:rsidRPr="000B697A" w:rsidRDefault="00A8663D" w:rsidP="00A8663D">
            <w:pPr>
              <w:jc w:val="left"/>
              <w:rPr>
                <w:rFonts w:cs="Calibri"/>
                <w:color w:val="FFFFFF"/>
                <w:sz w:val="20"/>
                <w:szCs w:val="20"/>
                <w:lang w:eastAsia="en-US"/>
              </w:rPr>
            </w:pPr>
          </w:p>
        </w:tc>
        <w:tc>
          <w:tcPr>
            <w:tcW w:w="1181" w:type="dxa"/>
            <w:tcBorders>
              <w:top w:val="single" w:sz="4" w:space="0" w:color="auto"/>
              <w:left w:val="nil"/>
              <w:bottom w:val="single" w:sz="4" w:space="0" w:color="auto"/>
              <w:right w:val="nil"/>
            </w:tcBorders>
            <w:shd w:val="clear" w:color="000000" w:fill="4F81BD"/>
            <w:vAlign w:val="center"/>
          </w:tcPr>
          <w:p w:rsidR="00A8663D" w:rsidRPr="000B697A" w:rsidRDefault="00A8663D" w:rsidP="00A8663D">
            <w:pPr>
              <w:jc w:val="center"/>
              <w:rPr>
                <w:rFonts w:cs="Calibri"/>
                <w:b/>
                <w:bCs/>
                <w:color w:val="FFFFFF"/>
                <w:sz w:val="20"/>
                <w:szCs w:val="20"/>
                <w:lang w:eastAsia="en-US"/>
              </w:rPr>
            </w:pPr>
            <w:r w:rsidRPr="000B697A">
              <w:rPr>
                <w:rFonts w:cs="Calibri"/>
                <w:b/>
                <w:bCs/>
                <w:color w:val="FFFFFF"/>
                <w:sz w:val="20"/>
                <w:szCs w:val="20"/>
                <w:lang w:eastAsia="en-US"/>
              </w:rPr>
              <w:t>31.12.2017</w:t>
            </w:r>
          </w:p>
        </w:tc>
        <w:tc>
          <w:tcPr>
            <w:tcW w:w="1229"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A8663D" w:rsidRPr="000B697A" w:rsidRDefault="00A8663D" w:rsidP="00A8663D">
            <w:pPr>
              <w:jc w:val="center"/>
              <w:rPr>
                <w:rFonts w:cs="Calibri"/>
                <w:b/>
                <w:bCs/>
                <w:color w:val="FFFFFF"/>
                <w:sz w:val="20"/>
                <w:szCs w:val="20"/>
                <w:lang w:eastAsia="en-US"/>
              </w:rPr>
            </w:pPr>
            <w:r w:rsidRPr="000B697A">
              <w:rPr>
                <w:rFonts w:cs="Calibri"/>
                <w:b/>
                <w:bCs/>
                <w:color w:val="FFFFFF"/>
                <w:sz w:val="20"/>
                <w:szCs w:val="20"/>
                <w:lang w:eastAsia="en-US"/>
              </w:rPr>
              <w:t>31.12.201</w:t>
            </w:r>
            <w:r w:rsidR="00D7098F">
              <w:rPr>
                <w:rFonts w:cs="Calibri"/>
                <w:b/>
                <w:bCs/>
                <w:color w:val="FFFFFF"/>
                <w:sz w:val="20"/>
                <w:szCs w:val="20"/>
                <w:lang w:eastAsia="en-US"/>
              </w:rPr>
              <w:t>8</w:t>
            </w:r>
          </w:p>
        </w:tc>
      </w:tr>
      <w:tr w:rsidR="00A8663D" w:rsidRPr="000B697A" w:rsidTr="00A8663D">
        <w:trPr>
          <w:trHeight w:val="170"/>
          <w:jc w:val="center"/>
        </w:trPr>
        <w:tc>
          <w:tcPr>
            <w:tcW w:w="7907" w:type="dxa"/>
            <w:tcBorders>
              <w:top w:val="nil"/>
              <w:left w:val="single" w:sz="4" w:space="0" w:color="auto"/>
              <w:bottom w:val="single" w:sz="4" w:space="0" w:color="auto"/>
              <w:right w:val="single" w:sz="4" w:space="0" w:color="auto"/>
            </w:tcBorders>
            <w:shd w:val="clear" w:color="000000" w:fill="4F81BD"/>
            <w:noWrap/>
            <w:vAlign w:val="bottom"/>
            <w:hideMark/>
          </w:tcPr>
          <w:p w:rsidR="00A8663D" w:rsidRPr="000B697A" w:rsidRDefault="00A8663D" w:rsidP="00A8663D">
            <w:pPr>
              <w:jc w:val="left"/>
              <w:rPr>
                <w:rFonts w:cs="Calibri"/>
                <w:color w:val="FFFFFF"/>
                <w:sz w:val="20"/>
                <w:szCs w:val="20"/>
                <w:lang w:eastAsia="en-US"/>
              </w:rPr>
            </w:pPr>
          </w:p>
        </w:tc>
        <w:tc>
          <w:tcPr>
            <w:tcW w:w="1181" w:type="dxa"/>
            <w:tcBorders>
              <w:top w:val="nil"/>
              <w:left w:val="nil"/>
              <w:bottom w:val="single" w:sz="4" w:space="0" w:color="auto"/>
              <w:right w:val="nil"/>
            </w:tcBorders>
            <w:shd w:val="clear" w:color="000000" w:fill="4F81BD"/>
            <w:vAlign w:val="center"/>
          </w:tcPr>
          <w:p w:rsidR="00A8663D" w:rsidRPr="000B697A" w:rsidRDefault="00A8663D" w:rsidP="00A8663D">
            <w:pPr>
              <w:jc w:val="center"/>
              <w:rPr>
                <w:rFonts w:cs="Calibri"/>
                <w:b/>
                <w:bCs/>
                <w:color w:val="FFFFFF"/>
                <w:sz w:val="20"/>
                <w:szCs w:val="20"/>
                <w:lang w:eastAsia="en-US"/>
              </w:rPr>
            </w:pPr>
            <w:r w:rsidRPr="000B697A">
              <w:rPr>
                <w:rFonts w:cs="Calibri"/>
                <w:b/>
                <w:bCs/>
                <w:color w:val="FFFFFF"/>
                <w:sz w:val="20"/>
                <w:szCs w:val="20"/>
                <w:lang w:eastAsia="en-US"/>
              </w:rPr>
              <w:t>BGN'000</w:t>
            </w:r>
          </w:p>
        </w:tc>
        <w:tc>
          <w:tcPr>
            <w:tcW w:w="1229"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A8663D" w:rsidRPr="000B697A" w:rsidRDefault="00A8663D" w:rsidP="00A8663D">
            <w:pPr>
              <w:jc w:val="center"/>
              <w:rPr>
                <w:rFonts w:cs="Calibri"/>
                <w:b/>
                <w:bCs/>
                <w:color w:val="FFFFFF"/>
                <w:sz w:val="20"/>
                <w:szCs w:val="20"/>
                <w:lang w:eastAsia="en-US"/>
              </w:rPr>
            </w:pPr>
            <w:r w:rsidRPr="000B697A">
              <w:rPr>
                <w:rFonts w:cs="Calibri"/>
                <w:b/>
                <w:bCs/>
                <w:color w:val="FFFFFF"/>
                <w:sz w:val="20"/>
                <w:szCs w:val="20"/>
                <w:lang w:eastAsia="en-US"/>
              </w:rPr>
              <w:t>BGN'000</w:t>
            </w:r>
          </w:p>
        </w:tc>
      </w:tr>
      <w:tr w:rsidR="00A8663D" w:rsidRPr="000B697A" w:rsidTr="00A8663D">
        <w:trPr>
          <w:trHeight w:val="170"/>
          <w:jc w:val="center"/>
        </w:trPr>
        <w:tc>
          <w:tcPr>
            <w:tcW w:w="7907" w:type="dxa"/>
            <w:tcBorders>
              <w:top w:val="nil"/>
              <w:left w:val="single" w:sz="4" w:space="0" w:color="auto"/>
              <w:bottom w:val="single" w:sz="4" w:space="0" w:color="auto"/>
              <w:right w:val="single" w:sz="4" w:space="0" w:color="auto"/>
            </w:tcBorders>
            <w:shd w:val="clear" w:color="auto" w:fill="auto"/>
            <w:vAlign w:val="center"/>
            <w:hideMark/>
          </w:tcPr>
          <w:p w:rsidR="00A8663D" w:rsidRPr="000B697A" w:rsidRDefault="00A8663D" w:rsidP="00A8663D">
            <w:pPr>
              <w:jc w:val="left"/>
              <w:rPr>
                <w:rFonts w:cs="Calibri"/>
                <w:color w:val="000000"/>
                <w:sz w:val="20"/>
                <w:szCs w:val="20"/>
                <w:lang w:eastAsia="en-US"/>
              </w:rPr>
            </w:pPr>
            <w:r w:rsidRPr="000B697A">
              <w:rPr>
                <w:rFonts w:cs="Calibri"/>
                <w:color w:val="000000"/>
                <w:sz w:val="20"/>
                <w:szCs w:val="20"/>
                <w:lang w:eastAsia="en-US"/>
              </w:rPr>
              <w:t>Дългови инструменти, оценявани по справедлива стойност през друг всеобхватен доход</w:t>
            </w:r>
          </w:p>
        </w:tc>
        <w:tc>
          <w:tcPr>
            <w:tcW w:w="1181" w:type="dxa"/>
            <w:tcBorders>
              <w:top w:val="nil"/>
              <w:left w:val="nil"/>
              <w:bottom w:val="single" w:sz="4" w:space="0" w:color="auto"/>
              <w:right w:val="nil"/>
            </w:tcBorders>
            <w:vAlign w:val="bottom"/>
          </w:tcPr>
          <w:p w:rsidR="00A8663D" w:rsidRPr="000B697A" w:rsidRDefault="00A8663D" w:rsidP="00A8663D">
            <w:pPr>
              <w:jc w:val="right"/>
              <w:rPr>
                <w:rFonts w:cs="Calibri"/>
                <w:color w:val="000000"/>
                <w:sz w:val="20"/>
                <w:szCs w:val="20"/>
                <w:lang w:eastAsia="en-US"/>
              </w:rPr>
            </w:pP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663D" w:rsidRPr="000B697A" w:rsidRDefault="00A8663D" w:rsidP="00A8663D">
            <w:pPr>
              <w:jc w:val="right"/>
              <w:rPr>
                <w:rFonts w:cs="Calibri"/>
                <w:color w:val="000000"/>
                <w:sz w:val="20"/>
                <w:szCs w:val="20"/>
                <w:lang w:eastAsia="en-US"/>
              </w:rPr>
            </w:pPr>
          </w:p>
        </w:tc>
      </w:tr>
      <w:tr w:rsidR="00A8663D" w:rsidRPr="000B697A" w:rsidTr="00A8663D">
        <w:trPr>
          <w:trHeight w:val="170"/>
          <w:jc w:val="center"/>
        </w:trPr>
        <w:tc>
          <w:tcPr>
            <w:tcW w:w="7907" w:type="dxa"/>
            <w:tcBorders>
              <w:top w:val="nil"/>
              <w:left w:val="single" w:sz="4" w:space="0" w:color="auto"/>
              <w:bottom w:val="single" w:sz="4" w:space="0" w:color="auto"/>
              <w:right w:val="single" w:sz="4" w:space="0" w:color="auto"/>
            </w:tcBorders>
            <w:shd w:val="clear" w:color="auto" w:fill="auto"/>
            <w:vAlign w:val="center"/>
            <w:hideMark/>
          </w:tcPr>
          <w:p w:rsidR="00A8663D" w:rsidRPr="000B697A" w:rsidRDefault="00A8663D" w:rsidP="00A8663D">
            <w:pPr>
              <w:jc w:val="left"/>
              <w:rPr>
                <w:rFonts w:cs="Calibri"/>
                <w:color w:val="000000"/>
                <w:sz w:val="20"/>
                <w:szCs w:val="20"/>
                <w:lang w:eastAsia="en-US"/>
              </w:rPr>
            </w:pPr>
            <w:r w:rsidRPr="000B697A">
              <w:rPr>
                <w:rFonts w:cs="Calibri"/>
                <w:color w:val="000000"/>
                <w:sz w:val="20"/>
                <w:szCs w:val="20"/>
                <w:lang w:eastAsia="en-US"/>
              </w:rPr>
              <w:t xml:space="preserve">Инвестиции в дългови ценни книжа </w:t>
            </w:r>
          </w:p>
        </w:tc>
        <w:tc>
          <w:tcPr>
            <w:tcW w:w="1181" w:type="dxa"/>
            <w:tcBorders>
              <w:top w:val="nil"/>
              <w:left w:val="nil"/>
              <w:bottom w:val="single" w:sz="4" w:space="0" w:color="auto"/>
              <w:right w:val="nil"/>
            </w:tcBorders>
            <w:vAlign w:val="bottom"/>
          </w:tcPr>
          <w:p w:rsidR="00A8663D" w:rsidRPr="000B697A" w:rsidRDefault="00A8663D" w:rsidP="00A8663D">
            <w:pPr>
              <w:jc w:val="right"/>
              <w:rPr>
                <w:rFonts w:cs="Calibri"/>
                <w:color w:val="000000"/>
                <w:sz w:val="20"/>
                <w:szCs w:val="20"/>
                <w:lang w:eastAsia="en-US"/>
              </w:rPr>
            </w:pPr>
            <w:r w:rsidRPr="000B697A">
              <w:rPr>
                <w:rFonts w:cs="Calibri"/>
                <w:color w:val="000000"/>
                <w:sz w:val="20"/>
                <w:szCs w:val="20"/>
                <w:lang w:eastAsia="en-US"/>
              </w:rPr>
              <w:t>2 035</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8663D" w:rsidRPr="000B697A" w:rsidRDefault="00A8663D" w:rsidP="00A8663D">
            <w:pPr>
              <w:jc w:val="right"/>
              <w:rPr>
                <w:rFonts w:cs="Calibri"/>
                <w:color w:val="000000"/>
                <w:sz w:val="20"/>
                <w:szCs w:val="20"/>
                <w:lang w:eastAsia="en-US"/>
              </w:rPr>
            </w:pPr>
            <w:r w:rsidRPr="000B697A">
              <w:rPr>
                <w:rFonts w:cs="Calibri"/>
                <w:color w:val="000000"/>
                <w:sz w:val="20"/>
                <w:szCs w:val="20"/>
                <w:lang w:eastAsia="en-US"/>
              </w:rPr>
              <w:t>1 972</w:t>
            </w:r>
          </w:p>
        </w:tc>
      </w:tr>
      <w:tr w:rsidR="00A8663D" w:rsidRPr="000B697A" w:rsidTr="00A8663D">
        <w:trPr>
          <w:trHeight w:val="170"/>
          <w:jc w:val="center"/>
        </w:trPr>
        <w:tc>
          <w:tcPr>
            <w:tcW w:w="7907" w:type="dxa"/>
            <w:tcBorders>
              <w:top w:val="nil"/>
              <w:left w:val="single" w:sz="4" w:space="0" w:color="auto"/>
              <w:bottom w:val="single" w:sz="4" w:space="0" w:color="auto"/>
              <w:right w:val="single" w:sz="4" w:space="0" w:color="auto"/>
            </w:tcBorders>
            <w:shd w:val="clear" w:color="auto" w:fill="auto"/>
            <w:vAlign w:val="center"/>
            <w:hideMark/>
          </w:tcPr>
          <w:p w:rsidR="00A8663D" w:rsidRPr="000B697A" w:rsidRDefault="00A8663D" w:rsidP="00A8663D">
            <w:pPr>
              <w:jc w:val="left"/>
              <w:rPr>
                <w:rFonts w:cs="Calibri"/>
                <w:b/>
                <w:bCs/>
                <w:color w:val="000000"/>
                <w:sz w:val="20"/>
                <w:szCs w:val="20"/>
                <w:lang w:eastAsia="en-US"/>
              </w:rPr>
            </w:pPr>
            <w:r w:rsidRPr="000B697A">
              <w:rPr>
                <w:rFonts w:cs="Calibri"/>
                <w:b/>
                <w:bCs/>
                <w:color w:val="000000"/>
                <w:sz w:val="20"/>
                <w:szCs w:val="20"/>
                <w:lang w:eastAsia="en-US"/>
              </w:rPr>
              <w:t>Общо</w:t>
            </w:r>
          </w:p>
        </w:tc>
        <w:tc>
          <w:tcPr>
            <w:tcW w:w="1181" w:type="dxa"/>
            <w:tcBorders>
              <w:top w:val="nil"/>
              <w:left w:val="nil"/>
              <w:bottom w:val="single" w:sz="4" w:space="0" w:color="auto"/>
              <w:right w:val="nil"/>
            </w:tcBorders>
            <w:vAlign w:val="bottom"/>
          </w:tcPr>
          <w:p w:rsidR="00A8663D" w:rsidRPr="000B697A" w:rsidRDefault="00A8663D" w:rsidP="00A8663D">
            <w:pPr>
              <w:jc w:val="right"/>
              <w:rPr>
                <w:rFonts w:cs="Calibri"/>
                <w:b/>
                <w:bCs/>
                <w:color w:val="000000"/>
                <w:sz w:val="20"/>
                <w:szCs w:val="20"/>
                <w:lang w:eastAsia="en-US"/>
              </w:rPr>
            </w:pPr>
            <w:r w:rsidRPr="000B697A">
              <w:rPr>
                <w:rFonts w:cs="Calibri"/>
                <w:b/>
                <w:bCs/>
                <w:color w:val="000000"/>
                <w:sz w:val="20"/>
                <w:szCs w:val="20"/>
                <w:lang w:eastAsia="en-US"/>
              </w:rPr>
              <w:t>2 035</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8663D" w:rsidRPr="000B697A" w:rsidRDefault="00A8663D" w:rsidP="00A8663D">
            <w:pPr>
              <w:jc w:val="right"/>
              <w:rPr>
                <w:rFonts w:cs="Calibri"/>
                <w:b/>
                <w:bCs/>
                <w:color w:val="000000"/>
                <w:sz w:val="20"/>
                <w:szCs w:val="20"/>
                <w:lang w:eastAsia="en-US"/>
              </w:rPr>
            </w:pPr>
            <w:r w:rsidRPr="000B697A">
              <w:rPr>
                <w:rFonts w:cs="Calibri"/>
                <w:b/>
                <w:color w:val="000000"/>
                <w:sz w:val="20"/>
                <w:szCs w:val="20"/>
                <w:lang w:eastAsia="en-US"/>
              </w:rPr>
              <w:t>1 972</w:t>
            </w:r>
          </w:p>
        </w:tc>
      </w:tr>
    </w:tbl>
    <w:p w:rsidR="00A8663D" w:rsidRPr="000B697A" w:rsidRDefault="00A8663D" w:rsidP="00A8663D">
      <w:pPr>
        <w:rPr>
          <w:rFonts w:cs="Calibri"/>
        </w:rPr>
      </w:pPr>
      <w:r w:rsidRPr="000B697A">
        <w:rPr>
          <w:rFonts w:cs="Calibri"/>
        </w:rPr>
        <w:t xml:space="preserve">Инвестициите в дългови ценни книжа с фиксирани или определяеми плащания и фиксирани матуритетни дати включват инвестиции в две емисии държавни ценни книжа - облигации, закупени с премия, издадени от Министерство на финансите на </w:t>
      </w:r>
      <w:proofErr w:type="spellStart"/>
      <w:r w:rsidRPr="000B697A">
        <w:rPr>
          <w:rFonts w:cs="Calibri"/>
        </w:rPr>
        <w:t>РБългария</w:t>
      </w:r>
      <w:proofErr w:type="spellEnd"/>
      <w:r w:rsidRPr="000B697A">
        <w:rPr>
          <w:rFonts w:cs="Calibri"/>
        </w:rPr>
        <w:t>, както следва:</w:t>
      </w:r>
    </w:p>
    <w:tbl>
      <w:tblPr>
        <w:tblW w:w="52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828"/>
        <w:gridCol w:w="815"/>
        <w:gridCol w:w="1393"/>
        <w:gridCol w:w="1163"/>
        <w:gridCol w:w="1222"/>
        <w:gridCol w:w="967"/>
        <w:gridCol w:w="1405"/>
        <w:gridCol w:w="1391"/>
      </w:tblGrid>
      <w:tr w:rsidR="00A8663D" w:rsidRPr="000B697A" w:rsidTr="00910AE6">
        <w:trPr>
          <w:trHeight w:val="170"/>
          <w:jc w:val="center"/>
        </w:trPr>
        <w:tc>
          <w:tcPr>
            <w:tcW w:w="897" w:type="pct"/>
            <w:shd w:val="clear" w:color="auto" w:fill="4F81BD" w:themeFill="accent1"/>
            <w:tcMar>
              <w:left w:w="57" w:type="dxa"/>
              <w:right w:w="57" w:type="dxa"/>
            </w:tcMar>
            <w:hideMark/>
          </w:tcPr>
          <w:p w:rsidR="00A8663D" w:rsidRPr="000B697A" w:rsidRDefault="00A8663D" w:rsidP="00910AE6">
            <w:pPr>
              <w:pStyle w:val="a4"/>
              <w:rPr>
                <w:rFonts w:ascii="Calibri" w:hAnsi="Calibri" w:cs="Calibri"/>
                <w:color w:val="FFFFFF" w:themeColor="background1"/>
                <w:szCs w:val="20"/>
              </w:rPr>
            </w:pPr>
            <w:r w:rsidRPr="000B697A">
              <w:rPr>
                <w:rFonts w:ascii="Calibri" w:hAnsi="Calibri" w:cs="Calibri"/>
                <w:color w:val="FFFFFF" w:themeColor="background1"/>
                <w:szCs w:val="20"/>
              </w:rPr>
              <w:t>Емисия</w:t>
            </w:r>
          </w:p>
        </w:tc>
        <w:tc>
          <w:tcPr>
            <w:tcW w:w="400" w:type="pct"/>
            <w:shd w:val="clear" w:color="auto" w:fill="4F81BD" w:themeFill="accent1"/>
            <w:tcMar>
              <w:left w:w="57" w:type="dxa"/>
              <w:right w:w="57" w:type="dxa"/>
            </w:tcMar>
            <w:hideMark/>
          </w:tcPr>
          <w:p w:rsidR="00A8663D" w:rsidRPr="000B697A" w:rsidRDefault="00A8663D" w:rsidP="00910AE6">
            <w:pPr>
              <w:pStyle w:val="a4"/>
              <w:rPr>
                <w:rFonts w:ascii="Calibri" w:hAnsi="Calibri" w:cs="Calibri"/>
                <w:color w:val="FFFFFF" w:themeColor="background1"/>
                <w:szCs w:val="20"/>
              </w:rPr>
            </w:pPr>
            <w:r w:rsidRPr="000B697A">
              <w:rPr>
                <w:rFonts w:ascii="Calibri" w:hAnsi="Calibri" w:cs="Calibri"/>
                <w:color w:val="FFFFFF" w:themeColor="background1"/>
                <w:szCs w:val="20"/>
              </w:rPr>
              <w:t>Валута</w:t>
            </w:r>
          </w:p>
        </w:tc>
        <w:tc>
          <w:tcPr>
            <w:tcW w:w="684" w:type="pct"/>
            <w:shd w:val="clear" w:color="auto" w:fill="4F81BD" w:themeFill="accent1"/>
            <w:tcMar>
              <w:left w:w="57" w:type="dxa"/>
              <w:right w:w="57" w:type="dxa"/>
            </w:tcMar>
            <w:hideMark/>
          </w:tcPr>
          <w:p w:rsidR="00A8663D" w:rsidRPr="000B697A" w:rsidRDefault="00A8663D" w:rsidP="00910AE6">
            <w:pPr>
              <w:pStyle w:val="a4"/>
              <w:rPr>
                <w:rFonts w:ascii="Calibri" w:hAnsi="Calibri" w:cs="Calibri"/>
                <w:color w:val="FFFFFF" w:themeColor="background1"/>
                <w:szCs w:val="20"/>
              </w:rPr>
            </w:pPr>
            <w:r w:rsidRPr="000B697A">
              <w:rPr>
                <w:rFonts w:ascii="Calibri" w:hAnsi="Calibri" w:cs="Calibri"/>
                <w:color w:val="FFFFFF" w:themeColor="background1"/>
                <w:szCs w:val="20"/>
              </w:rPr>
              <w:t>Дата на издаване</w:t>
            </w:r>
          </w:p>
        </w:tc>
        <w:tc>
          <w:tcPr>
            <w:tcW w:w="571" w:type="pct"/>
            <w:shd w:val="clear" w:color="auto" w:fill="4F81BD" w:themeFill="accent1"/>
            <w:tcMar>
              <w:left w:w="57" w:type="dxa"/>
              <w:right w:w="57" w:type="dxa"/>
            </w:tcMar>
            <w:hideMark/>
          </w:tcPr>
          <w:p w:rsidR="00A8663D" w:rsidRPr="000B697A" w:rsidRDefault="00A8663D" w:rsidP="00910AE6">
            <w:pPr>
              <w:pStyle w:val="a4"/>
              <w:rPr>
                <w:rFonts w:ascii="Calibri" w:hAnsi="Calibri" w:cs="Calibri"/>
                <w:color w:val="FFFFFF" w:themeColor="background1"/>
                <w:szCs w:val="20"/>
              </w:rPr>
            </w:pPr>
            <w:r w:rsidRPr="000B697A">
              <w:rPr>
                <w:rFonts w:ascii="Calibri" w:hAnsi="Calibri" w:cs="Calibri"/>
                <w:color w:val="FFFFFF" w:themeColor="background1"/>
                <w:szCs w:val="20"/>
              </w:rPr>
              <w:t>Дата на падеж</w:t>
            </w:r>
          </w:p>
        </w:tc>
        <w:tc>
          <w:tcPr>
            <w:tcW w:w="600" w:type="pct"/>
            <w:shd w:val="clear" w:color="auto" w:fill="4F81BD" w:themeFill="accent1"/>
            <w:tcMar>
              <w:left w:w="57" w:type="dxa"/>
              <w:right w:w="57" w:type="dxa"/>
            </w:tcMar>
            <w:hideMark/>
          </w:tcPr>
          <w:p w:rsidR="00A8663D" w:rsidRPr="000B697A" w:rsidRDefault="00A8663D" w:rsidP="00910AE6">
            <w:pPr>
              <w:pStyle w:val="a4"/>
              <w:rPr>
                <w:rFonts w:ascii="Calibri" w:hAnsi="Calibri" w:cs="Calibri"/>
                <w:color w:val="FFFFFF" w:themeColor="background1"/>
                <w:szCs w:val="20"/>
              </w:rPr>
            </w:pPr>
            <w:r w:rsidRPr="000B697A">
              <w:rPr>
                <w:rFonts w:ascii="Calibri" w:hAnsi="Calibri" w:cs="Calibri"/>
                <w:color w:val="FFFFFF" w:themeColor="background1"/>
                <w:szCs w:val="20"/>
              </w:rPr>
              <w:t>Лихва по купон %</w:t>
            </w:r>
          </w:p>
        </w:tc>
        <w:tc>
          <w:tcPr>
            <w:tcW w:w="475" w:type="pct"/>
            <w:shd w:val="clear" w:color="auto" w:fill="4F81BD" w:themeFill="accent1"/>
            <w:tcMar>
              <w:left w:w="57" w:type="dxa"/>
              <w:right w:w="57" w:type="dxa"/>
            </w:tcMar>
            <w:hideMark/>
          </w:tcPr>
          <w:p w:rsidR="00A8663D" w:rsidRPr="000B697A" w:rsidRDefault="00A8663D" w:rsidP="00910AE6">
            <w:pPr>
              <w:pStyle w:val="a4"/>
              <w:rPr>
                <w:rFonts w:ascii="Calibri" w:hAnsi="Calibri" w:cs="Calibri"/>
                <w:color w:val="FFFFFF" w:themeColor="background1"/>
                <w:szCs w:val="20"/>
              </w:rPr>
            </w:pPr>
            <w:r w:rsidRPr="000B697A">
              <w:rPr>
                <w:rFonts w:ascii="Calibri" w:hAnsi="Calibri" w:cs="Calibri"/>
                <w:color w:val="FFFFFF" w:themeColor="background1"/>
                <w:szCs w:val="20"/>
              </w:rPr>
              <w:t>Номинал ‘000</w:t>
            </w:r>
          </w:p>
        </w:tc>
        <w:tc>
          <w:tcPr>
            <w:tcW w:w="690" w:type="pct"/>
            <w:shd w:val="clear" w:color="auto" w:fill="4F81BD" w:themeFill="accent1"/>
            <w:tcMar>
              <w:left w:w="57" w:type="dxa"/>
              <w:right w:w="57" w:type="dxa"/>
            </w:tcMar>
            <w:hideMark/>
          </w:tcPr>
          <w:p w:rsidR="00A8663D" w:rsidRPr="000B697A" w:rsidRDefault="00A8663D" w:rsidP="00910AE6">
            <w:pPr>
              <w:pStyle w:val="a4"/>
              <w:rPr>
                <w:rFonts w:ascii="Calibri" w:hAnsi="Calibri" w:cs="Calibri"/>
                <w:color w:val="FFFFFF" w:themeColor="background1"/>
                <w:szCs w:val="20"/>
              </w:rPr>
            </w:pPr>
            <w:r w:rsidRPr="000B697A">
              <w:rPr>
                <w:rFonts w:ascii="Calibri" w:hAnsi="Calibri" w:cs="Calibri"/>
                <w:color w:val="FFFFFF" w:themeColor="background1"/>
                <w:szCs w:val="20"/>
              </w:rPr>
              <w:t>Справедлива стойност ‘000</w:t>
            </w:r>
          </w:p>
        </w:tc>
        <w:tc>
          <w:tcPr>
            <w:tcW w:w="683" w:type="pct"/>
            <w:shd w:val="clear" w:color="auto" w:fill="4F81BD" w:themeFill="accent1"/>
            <w:tcMar>
              <w:left w:w="57" w:type="dxa"/>
              <w:right w:w="57" w:type="dxa"/>
            </w:tcMar>
            <w:hideMark/>
          </w:tcPr>
          <w:p w:rsidR="00A8663D" w:rsidRPr="000B697A" w:rsidRDefault="00A8663D" w:rsidP="00910AE6">
            <w:pPr>
              <w:pStyle w:val="a4"/>
              <w:rPr>
                <w:rFonts w:ascii="Calibri" w:hAnsi="Calibri" w:cs="Calibri"/>
                <w:color w:val="FFFFFF" w:themeColor="background1"/>
                <w:szCs w:val="20"/>
              </w:rPr>
            </w:pPr>
            <w:r w:rsidRPr="000B697A">
              <w:rPr>
                <w:rFonts w:ascii="Calibri" w:hAnsi="Calibri" w:cs="Calibri"/>
                <w:color w:val="FFFFFF" w:themeColor="background1"/>
                <w:szCs w:val="20"/>
              </w:rPr>
              <w:t>Справедлива стойност ’000</w:t>
            </w:r>
          </w:p>
        </w:tc>
      </w:tr>
      <w:tr w:rsidR="00A8663D" w:rsidRPr="000B697A" w:rsidTr="00910AE6">
        <w:trPr>
          <w:trHeight w:val="170"/>
          <w:jc w:val="center"/>
        </w:trPr>
        <w:tc>
          <w:tcPr>
            <w:tcW w:w="897" w:type="pct"/>
            <w:shd w:val="clear" w:color="auto" w:fill="auto"/>
            <w:noWrap/>
            <w:tcMar>
              <w:left w:w="57" w:type="dxa"/>
              <w:right w:w="57" w:type="dxa"/>
            </w:tcMar>
            <w:hideMark/>
          </w:tcPr>
          <w:p w:rsidR="00A8663D" w:rsidRPr="000B697A" w:rsidRDefault="00A8663D" w:rsidP="00910AE6">
            <w:pPr>
              <w:pStyle w:val="a5"/>
              <w:jc w:val="both"/>
              <w:rPr>
                <w:rFonts w:ascii="Calibri" w:hAnsi="Calibri" w:cs="Calibri"/>
                <w:color w:val="auto"/>
                <w:szCs w:val="20"/>
              </w:rPr>
            </w:pPr>
            <w:r w:rsidRPr="000B697A">
              <w:rPr>
                <w:rFonts w:ascii="Calibri" w:hAnsi="Calibri" w:cs="Calibri"/>
                <w:color w:val="auto"/>
                <w:szCs w:val="20"/>
              </w:rPr>
              <w:t>BG2040210218</w:t>
            </w:r>
          </w:p>
        </w:tc>
        <w:tc>
          <w:tcPr>
            <w:tcW w:w="400" w:type="pct"/>
            <w:shd w:val="clear" w:color="auto" w:fill="auto"/>
            <w:noWrap/>
            <w:tcMar>
              <w:left w:w="57" w:type="dxa"/>
              <w:right w:w="57" w:type="dxa"/>
            </w:tcMar>
            <w:hideMark/>
          </w:tcPr>
          <w:p w:rsidR="00A8663D" w:rsidRPr="000B697A" w:rsidRDefault="00A8663D" w:rsidP="00910AE6">
            <w:pPr>
              <w:pStyle w:val="a5"/>
              <w:jc w:val="both"/>
              <w:rPr>
                <w:rFonts w:ascii="Calibri" w:hAnsi="Calibri" w:cs="Calibri"/>
                <w:color w:val="auto"/>
                <w:szCs w:val="20"/>
              </w:rPr>
            </w:pPr>
            <w:r w:rsidRPr="000B697A">
              <w:rPr>
                <w:rFonts w:ascii="Calibri" w:hAnsi="Calibri" w:cs="Calibri"/>
                <w:color w:val="auto"/>
                <w:szCs w:val="20"/>
              </w:rPr>
              <w:t>Евро</w:t>
            </w:r>
          </w:p>
        </w:tc>
        <w:tc>
          <w:tcPr>
            <w:tcW w:w="684" w:type="pct"/>
            <w:shd w:val="clear" w:color="auto" w:fill="auto"/>
            <w:noWrap/>
            <w:tcMar>
              <w:left w:w="57" w:type="dxa"/>
              <w:right w:w="57" w:type="dxa"/>
            </w:tcMar>
            <w:hideMark/>
          </w:tcPr>
          <w:p w:rsidR="00A8663D" w:rsidRPr="000B697A" w:rsidRDefault="00A8663D" w:rsidP="00910AE6">
            <w:pPr>
              <w:pStyle w:val="a5"/>
              <w:jc w:val="both"/>
              <w:rPr>
                <w:rFonts w:ascii="Calibri" w:hAnsi="Calibri" w:cs="Calibri"/>
                <w:color w:val="auto"/>
                <w:szCs w:val="20"/>
              </w:rPr>
            </w:pPr>
            <w:r w:rsidRPr="000B697A">
              <w:rPr>
                <w:rFonts w:ascii="Calibri" w:hAnsi="Calibri" w:cs="Calibri"/>
                <w:color w:val="auto"/>
                <w:szCs w:val="20"/>
              </w:rPr>
              <w:t>29.10.2010</w:t>
            </w:r>
          </w:p>
        </w:tc>
        <w:tc>
          <w:tcPr>
            <w:tcW w:w="571" w:type="pct"/>
            <w:shd w:val="clear" w:color="auto" w:fill="auto"/>
            <w:noWrap/>
            <w:tcMar>
              <w:left w:w="57" w:type="dxa"/>
              <w:right w:w="57" w:type="dxa"/>
            </w:tcMar>
            <w:hideMark/>
          </w:tcPr>
          <w:p w:rsidR="00A8663D" w:rsidRPr="000B697A" w:rsidRDefault="00A8663D" w:rsidP="00910AE6">
            <w:pPr>
              <w:pStyle w:val="a5"/>
              <w:jc w:val="both"/>
              <w:rPr>
                <w:rFonts w:ascii="Calibri" w:hAnsi="Calibri" w:cs="Calibri"/>
                <w:color w:val="auto"/>
                <w:szCs w:val="20"/>
              </w:rPr>
            </w:pPr>
            <w:r w:rsidRPr="000B697A">
              <w:rPr>
                <w:rFonts w:ascii="Calibri" w:hAnsi="Calibri" w:cs="Calibri"/>
                <w:color w:val="auto"/>
                <w:szCs w:val="20"/>
              </w:rPr>
              <w:t>29.09.2025</w:t>
            </w:r>
          </w:p>
        </w:tc>
        <w:tc>
          <w:tcPr>
            <w:tcW w:w="600" w:type="pct"/>
            <w:shd w:val="clear" w:color="auto" w:fill="auto"/>
            <w:noWrap/>
            <w:tcMar>
              <w:left w:w="57" w:type="dxa"/>
              <w:right w:w="57" w:type="dxa"/>
            </w:tcMar>
            <w:hideMark/>
          </w:tcPr>
          <w:p w:rsidR="00A8663D" w:rsidRPr="000B697A" w:rsidRDefault="00A8663D" w:rsidP="00910AE6">
            <w:pPr>
              <w:pStyle w:val="a6"/>
              <w:rPr>
                <w:rFonts w:ascii="Calibri" w:hAnsi="Calibri" w:cs="Calibri"/>
                <w:szCs w:val="20"/>
              </w:rPr>
            </w:pPr>
            <w:r w:rsidRPr="000B697A">
              <w:rPr>
                <w:rFonts w:ascii="Calibri" w:hAnsi="Calibri" w:cs="Calibri"/>
                <w:szCs w:val="20"/>
              </w:rPr>
              <w:t>5.75%</w:t>
            </w:r>
          </w:p>
        </w:tc>
        <w:tc>
          <w:tcPr>
            <w:tcW w:w="475" w:type="pct"/>
            <w:shd w:val="clear" w:color="auto" w:fill="auto"/>
            <w:noWrap/>
            <w:tcMar>
              <w:left w:w="57" w:type="dxa"/>
              <w:right w:w="57" w:type="dxa"/>
            </w:tcMar>
            <w:hideMark/>
          </w:tcPr>
          <w:p w:rsidR="00A8663D" w:rsidRPr="000B697A" w:rsidRDefault="00A8663D" w:rsidP="00910AE6">
            <w:pPr>
              <w:pStyle w:val="a6"/>
              <w:rPr>
                <w:rFonts w:ascii="Calibri" w:hAnsi="Calibri" w:cs="Calibri"/>
                <w:szCs w:val="20"/>
              </w:rPr>
            </w:pPr>
            <w:r w:rsidRPr="000B697A">
              <w:rPr>
                <w:rFonts w:ascii="Calibri" w:hAnsi="Calibri" w:cs="Calibri"/>
                <w:szCs w:val="20"/>
              </w:rPr>
              <w:t>500 EUR</w:t>
            </w:r>
          </w:p>
        </w:tc>
        <w:tc>
          <w:tcPr>
            <w:tcW w:w="690" w:type="pct"/>
            <w:shd w:val="clear" w:color="auto" w:fill="auto"/>
            <w:noWrap/>
            <w:tcMar>
              <w:left w:w="57" w:type="dxa"/>
              <w:right w:w="57" w:type="dxa"/>
            </w:tcMar>
            <w:hideMark/>
          </w:tcPr>
          <w:p w:rsidR="00A8663D" w:rsidRPr="000B697A" w:rsidRDefault="00A8663D" w:rsidP="00910AE6">
            <w:pPr>
              <w:pStyle w:val="a6"/>
              <w:rPr>
                <w:rFonts w:ascii="Calibri" w:hAnsi="Calibri" w:cs="Calibri"/>
                <w:szCs w:val="20"/>
              </w:rPr>
            </w:pPr>
            <w:r w:rsidRPr="000B697A">
              <w:rPr>
                <w:rFonts w:ascii="Calibri" w:hAnsi="Calibri" w:cs="Calibri"/>
                <w:szCs w:val="20"/>
              </w:rPr>
              <w:t>673 EUR</w:t>
            </w:r>
          </w:p>
        </w:tc>
        <w:tc>
          <w:tcPr>
            <w:tcW w:w="683" w:type="pct"/>
            <w:shd w:val="clear" w:color="auto" w:fill="auto"/>
            <w:noWrap/>
            <w:tcMar>
              <w:left w:w="57" w:type="dxa"/>
              <w:right w:w="57" w:type="dxa"/>
            </w:tcMar>
            <w:hideMark/>
          </w:tcPr>
          <w:p w:rsidR="00A8663D" w:rsidRPr="000B697A" w:rsidRDefault="00A8663D" w:rsidP="00910AE6">
            <w:pPr>
              <w:pStyle w:val="a6"/>
              <w:rPr>
                <w:rFonts w:ascii="Calibri" w:hAnsi="Calibri" w:cs="Calibri"/>
                <w:szCs w:val="20"/>
              </w:rPr>
            </w:pPr>
            <w:r w:rsidRPr="000B697A">
              <w:rPr>
                <w:rFonts w:ascii="Calibri" w:hAnsi="Calibri" w:cs="Calibri"/>
                <w:szCs w:val="20"/>
              </w:rPr>
              <w:t>1,316</w:t>
            </w:r>
          </w:p>
        </w:tc>
      </w:tr>
      <w:tr w:rsidR="00A8663D" w:rsidRPr="000B697A" w:rsidTr="00910AE6">
        <w:trPr>
          <w:trHeight w:val="170"/>
          <w:jc w:val="center"/>
        </w:trPr>
        <w:tc>
          <w:tcPr>
            <w:tcW w:w="897" w:type="pct"/>
            <w:shd w:val="clear" w:color="auto" w:fill="auto"/>
            <w:noWrap/>
            <w:tcMar>
              <w:left w:w="57" w:type="dxa"/>
              <w:right w:w="57" w:type="dxa"/>
            </w:tcMar>
            <w:hideMark/>
          </w:tcPr>
          <w:p w:rsidR="00A8663D" w:rsidRPr="000B697A" w:rsidRDefault="00A8663D" w:rsidP="00910AE6">
            <w:pPr>
              <w:pStyle w:val="a5"/>
              <w:jc w:val="both"/>
              <w:rPr>
                <w:rFonts w:ascii="Calibri" w:hAnsi="Calibri" w:cs="Calibri"/>
                <w:color w:val="auto"/>
                <w:szCs w:val="20"/>
              </w:rPr>
            </w:pPr>
            <w:r w:rsidRPr="000B697A">
              <w:rPr>
                <w:rFonts w:ascii="Calibri" w:hAnsi="Calibri" w:cs="Calibri"/>
                <w:color w:val="auto"/>
                <w:szCs w:val="20"/>
              </w:rPr>
              <w:t>BG2040012218</w:t>
            </w:r>
          </w:p>
        </w:tc>
        <w:tc>
          <w:tcPr>
            <w:tcW w:w="400" w:type="pct"/>
            <w:shd w:val="clear" w:color="auto" w:fill="auto"/>
            <w:noWrap/>
            <w:tcMar>
              <w:left w:w="57" w:type="dxa"/>
              <w:right w:w="57" w:type="dxa"/>
            </w:tcMar>
            <w:hideMark/>
          </w:tcPr>
          <w:p w:rsidR="00A8663D" w:rsidRPr="000B697A" w:rsidRDefault="00A8663D" w:rsidP="00910AE6">
            <w:pPr>
              <w:pStyle w:val="a5"/>
              <w:jc w:val="both"/>
              <w:rPr>
                <w:rFonts w:ascii="Calibri" w:hAnsi="Calibri" w:cs="Calibri"/>
                <w:color w:val="auto"/>
                <w:szCs w:val="20"/>
              </w:rPr>
            </w:pPr>
            <w:r w:rsidRPr="000B697A">
              <w:rPr>
                <w:rFonts w:ascii="Calibri" w:hAnsi="Calibri" w:cs="Calibri"/>
                <w:color w:val="auto"/>
                <w:szCs w:val="20"/>
              </w:rPr>
              <w:t>Лева</w:t>
            </w:r>
          </w:p>
        </w:tc>
        <w:tc>
          <w:tcPr>
            <w:tcW w:w="684" w:type="pct"/>
            <w:shd w:val="clear" w:color="auto" w:fill="auto"/>
            <w:noWrap/>
            <w:tcMar>
              <w:left w:w="57" w:type="dxa"/>
              <w:right w:w="57" w:type="dxa"/>
            </w:tcMar>
            <w:hideMark/>
          </w:tcPr>
          <w:p w:rsidR="00A8663D" w:rsidRPr="000B697A" w:rsidRDefault="00A8663D" w:rsidP="00910AE6">
            <w:pPr>
              <w:pStyle w:val="a5"/>
              <w:jc w:val="both"/>
              <w:rPr>
                <w:rFonts w:ascii="Calibri" w:hAnsi="Calibri" w:cs="Calibri"/>
                <w:color w:val="auto"/>
                <w:szCs w:val="20"/>
              </w:rPr>
            </w:pPr>
            <w:r w:rsidRPr="000B697A">
              <w:rPr>
                <w:rFonts w:ascii="Calibri" w:hAnsi="Calibri" w:cs="Calibri"/>
                <w:color w:val="auto"/>
                <w:szCs w:val="20"/>
              </w:rPr>
              <w:t>11.01.2012</w:t>
            </w:r>
          </w:p>
        </w:tc>
        <w:tc>
          <w:tcPr>
            <w:tcW w:w="571" w:type="pct"/>
            <w:shd w:val="clear" w:color="auto" w:fill="auto"/>
            <w:noWrap/>
            <w:tcMar>
              <w:left w:w="57" w:type="dxa"/>
              <w:right w:w="57" w:type="dxa"/>
            </w:tcMar>
            <w:hideMark/>
          </w:tcPr>
          <w:p w:rsidR="00A8663D" w:rsidRPr="000B697A" w:rsidRDefault="00A8663D" w:rsidP="00910AE6">
            <w:pPr>
              <w:pStyle w:val="a5"/>
              <w:jc w:val="both"/>
              <w:rPr>
                <w:rFonts w:ascii="Calibri" w:hAnsi="Calibri" w:cs="Calibri"/>
                <w:color w:val="auto"/>
                <w:szCs w:val="20"/>
              </w:rPr>
            </w:pPr>
            <w:r w:rsidRPr="000B697A">
              <w:rPr>
                <w:rFonts w:ascii="Calibri" w:hAnsi="Calibri" w:cs="Calibri"/>
                <w:color w:val="auto"/>
                <w:szCs w:val="20"/>
              </w:rPr>
              <w:t>11.07.2022</w:t>
            </w:r>
          </w:p>
        </w:tc>
        <w:tc>
          <w:tcPr>
            <w:tcW w:w="600" w:type="pct"/>
            <w:shd w:val="clear" w:color="auto" w:fill="auto"/>
            <w:noWrap/>
            <w:tcMar>
              <w:left w:w="57" w:type="dxa"/>
              <w:right w:w="57" w:type="dxa"/>
            </w:tcMar>
            <w:hideMark/>
          </w:tcPr>
          <w:p w:rsidR="00A8663D" w:rsidRPr="000B697A" w:rsidRDefault="00A8663D" w:rsidP="00910AE6">
            <w:pPr>
              <w:pStyle w:val="a6"/>
              <w:rPr>
                <w:rFonts w:ascii="Calibri" w:hAnsi="Calibri" w:cs="Calibri"/>
                <w:szCs w:val="20"/>
              </w:rPr>
            </w:pPr>
            <w:r w:rsidRPr="000B697A">
              <w:rPr>
                <w:rFonts w:ascii="Calibri" w:hAnsi="Calibri" w:cs="Calibri"/>
                <w:szCs w:val="20"/>
              </w:rPr>
              <w:t>5.00%</w:t>
            </w:r>
          </w:p>
        </w:tc>
        <w:tc>
          <w:tcPr>
            <w:tcW w:w="475" w:type="pct"/>
            <w:shd w:val="clear" w:color="auto" w:fill="auto"/>
            <w:noWrap/>
            <w:tcMar>
              <w:left w:w="57" w:type="dxa"/>
              <w:right w:w="57" w:type="dxa"/>
            </w:tcMar>
            <w:hideMark/>
          </w:tcPr>
          <w:p w:rsidR="00A8663D" w:rsidRPr="000B697A" w:rsidRDefault="00A8663D" w:rsidP="00910AE6">
            <w:pPr>
              <w:pStyle w:val="a6"/>
              <w:rPr>
                <w:rFonts w:ascii="Calibri" w:hAnsi="Calibri" w:cs="Calibri"/>
                <w:szCs w:val="20"/>
              </w:rPr>
            </w:pPr>
            <w:r w:rsidRPr="000B697A">
              <w:rPr>
                <w:rFonts w:ascii="Calibri" w:hAnsi="Calibri" w:cs="Calibri"/>
                <w:szCs w:val="20"/>
              </w:rPr>
              <w:t>550 BGN</w:t>
            </w:r>
          </w:p>
        </w:tc>
        <w:tc>
          <w:tcPr>
            <w:tcW w:w="690" w:type="pct"/>
            <w:shd w:val="clear" w:color="auto" w:fill="auto"/>
            <w:noWrap/>
            <w:tcMar>
              <w:left w:w="57" w:type="dxa"/>
              <w:right w:w="57" w:type="dxa"/>
            </w:tcMar>
            <w:hideMark/>
          </w:tcPr>
          <w:p w:rsidR="00A8663D" w:rsidRPr="000B697A" w:rsidRDefault="00A8663D" w:rsidP="00910AE6">
            <w:pPr>
              <w:pStyle w:val="a6"/>
              <w:rPr>
                <w:rFonts w:ascii="Calibri" w:hAnsi="Calibri" w:cs="Calibri"/>
                <w:szCs w:val="20"/>
              </w:rPr>
            </w:pPr>
            <w:r w:rsidRPr="000B697A">
              <w:rPr>
                <w:rFonts w:ascii="Calibri" w:hAnsi="Calibri" w:cs="Calibri"/>
                <w:szCs w:val="20"/>
              </w:rPr>
              <w:t> 656 BGN</w:t>
            </w:r>
          </w:p>
        </w:tc>
        <w:tc>
          <w:tcPr>
            <w:tcW w:w="683" w:type="pct"/>
            <w:shd w:val="clear" w:color="auto" w:fill="auto"/>
            <w:noWrap/>
            <w:tcMar>
              <w:left w:w="57" w:type="dxa"/>
              <w:right w:w="57" w:type="dxa"/>
            </w:tcMar>
            <w:hideMark/>
          </w:tcPr>
          <w:p w:rsidR="00A8663D" w:rsidRPr="000B697A" w:rsidRDefault="00A8663D" w:rsidP="00910AE6">
            <w:pPr>
              <w:pStyle w:val="a6"/>
              <w:rPr>
                <w:rFonts w:ascii="Calibri" w:hAnsi="Calibri" w:cs="Calibri"/>
                <w:szCs w:val="20"/>
              </w:rPr>
            </w:pPr>
            <w:r w:rsidRPr="000B697A">
              <w:rPr>
                <w:rFonts w:ascii="Calibri" w:hAnsi="Calibri" w:cs="Calibri"/>
                <w:szCs w:val="20"/>
              </w:rPr>
              <w:t>656</w:t>
            </w:r>
          </w:p>
        </w:tc>
      </w:tr>
      <w:tr w:rsidR="00A8663D" w:rsidRPr="000B697A" w:rsidTr="00910AE6">
        <w:trPr>
          <w:trHeight w:val="170"/>
          <w:jc w:val="center"/>
        </w:trPr>
        <w:tc>
          <w:tcPr>
            <w:tcW w:w="897" w:type="pct"/>
            <w:shd w:val="clear" w:color="auto" w:fill="auto"/>
            <w:noWrap/>
            <w:tcMar>
              <w:left w:w="57" w:type="dxa"/>
              <w:right w:w="57" w:type="dxa"/>
            </w:tcMar>
            <w:vAlign w:val="bottom"/>
            <w:hideMark/>
          </w:tcPr>
          <w:p w:rsidR="00A8663D" w:rsidRPr="000B697A" w:rsidRDefault="00A8663D" w:rsidP="00910AE6">
            <w:pPr>
              <w:pStyle w:val="a5"/>
              <w:jc w:val="both"/>
              <w:rPr>
                <w:rFonts w:ascii="Calibri" w:hAnsi="Calibri" w:cs="Calibri"/>
                <w:b/>
                <w:color w:val="auto"/>
                <w:szCs w:val="20"/>
              </w:rPr>
            </w:pPr>
          </w:p>
        </w:tc>
        <w:tc>
          <w:tcPr>
            <w:tcW w:w="400" w:type="pct"/>
            <w:shd w:val="clear" w:color="auto" w:fill="auto"/>
            <w:noWrap/>
            <w:tcMar>
              <w:left w:w="57" w:type="dxa"/>
              <w:right w:w="57" w:type="dxa"/>
            </w:tcMar>
            <w:vAlign w:val="bottom"/>
            <w:hideMark/>
          </w:tcPr>
          <w:p w:rsidR="00A8663D" w:rsidRPr="000B697A" w:rsidRDefault="00A8663D" w:rsidP="00910AE6">
            <w:pPr>
              <w:pStyle w:val="a5"/>
              <w:jc w:val="both"/>
              <w:rPr>
                <w:rFonts w:ascii="Calibri" w:hAnsi="Calibri" w:cs="Calibri"/>
                <w:b/>
                <w:color w:val="auto"/>
                <w:szCs w:val="20"/>
              </w:rPr>
            </w:pPr>
          </w:p>
        </w:tc>
        <w:tc>
          <w:tcPr>
            <w:tcW w:w="684" w:type="pct"/>
            <w:shd w:val="clear" w:color="auto" w:fill="auto"/>
            <w:noWrap/>
            <w:tcMar>
              <w:left w:w="57" w:type="dxa"/>
              <w:right w:w="57" w:type="dxa"/>
            </w:tcMar>
            <w:vAlign w:val="bottom"/>
            <w:hideMark/>
          </w:tcPr>
          <w:p w:rsidR="00A8663D" w:rsidRPr="000B697A" w:rsidRDefault="00A8663D" w:rsidP="00910AE6">
            <w:pPr>
              <w:pStyle w:val="a5"/>
              <w:jc w:val="both"/>
              <w:rPr>
                <w:rFonts w:ascii="Calibri" w:hAnsi="Calibri" w:cs="Calibri"/>
                <w:b/>
                <w:color w:val="auto"/>
                <w:szCs w:val="20"/>
              </w:rPr>
            </w:pPr>
          </w:p>
        </w:tc>
        <w:tc>
          <w:tcPr>
            <w:tcW w:w="571" w:type="pct"/>
            <w:shd w:val="clear" w:color="auto" w:fill="auto"/>
            <w:noWrap/>
            <w:tcMar>
              <w:left w:w="57" w:type="dxa"/>
              <w:right w:w="57" w:type="dxa"/>
            </w:tcMar>
            <w:vAlign w:val="bottom"/>
            <w:hideMark/>
          </w:tcPr>
          <w:p w:rsidR="00A8663D" w:rsidRPr="000B697A" w:rsidRDefault="00A8663D" w:rsidP="00910AE6">
            <w:pPr>
              <w:pStyle w:val="a5"/>
              <w:jc w:val="both"/>
              <w:rPr>
                <w:rFonts w:ascii="Calibri" w:hAnsi="Calibri" w:cs="Calibri"/>
                <w:b/>
                <w:color w:val="auto"/>
                <w:szCs w:val="20"/>
              </w:rPr>
            </w:pPr>
          </w:p>
        </w:tc>
        <w:tc>
          <w:tcPr>
            <w:tcW w:w="600" w:type="pct"/>
            <w:shd w:val="clear" w:color="auto" w:fill="auto"/>
            <w:noWrap/>
            <w:tcMar>
              <w:left w:w="57" w:type="dxa"/>
              <w:right w:w="57" w:type="dxa"/>
            </w:tcMar>
            <w:vAlign w:val="bottom"/>
            <w:hideMark/>
          </w:tcPr>
          <w:p w:rsidR="00A8663D" w:rsidRPr="000B697A" w:rsidRDefault="00A8663D" w:rsidP="00910AE6">
            <w:pPr>
              <w:pStyle w:val="a6"/>
              <w:rPr>
                <w:rFonts w:ascii="Calibri" w:hAnsi="Calibri" w:cs="Calibri"/>
                <w:szCs w:val="20"/>
              </w:rPr>
            </w:pPr>
          </w:p>
        </w:tc>
        <w:tc>
          <w:tcPr>
            <w:tcW w:w="475" w:type="pct"/>
            <w:shd w:val="clear" w:color="auto" w:fill="auto"/>
            <w:noWrap/>
            <w:tcMar>
              <w:left w:w="57" w:type="dxa"/>
              <w:right w:w="57" w:type="dxa"/>
            </w:tcMar>
            <w:vAlign w:val="bottom"/>
            <w:hideMark/>
          </w:tcPr>
          <w:p w:rsidR="00A8663D" w:rsidRPr="000B697A" w:rsidRDefault="00A8663D" w:rsidP="00910AE6">
            <w:pPr>
              <w:pStyle w:val="a6"/>
              <w:rPr>
                <w:rFonts w:ascii="Calibri" w:hAnsi="Calibri" w:cs="Calibri"/>
                <w:szCs w:val="20"/>
              </w:rPr>
            </w:pPr>
          </w:p>
        </w:tc>
        <w:tc>
          <w:tcPr>
            <w:tcW w:w="690" w:type="pct"/>
            <w:shd w:val="clear" w:color="auto" w:fill="auto"/>
            <w:noWrap/>
            <w:tcMar>
              <w:left w:w="57" w:type="dxa"/>
              <w:right w:w="57" w:type="dxa"/>
            </w:tcMar>
            <w:vAlign w:val="bottom"/>
            <w:hideMark/>
          </w:tcPr>
          <w:p w:rsidR="00A8663D" w:rsidRPr="000B697A" w:rsidRDefault="00A8663D" w:rsidP="00910AE6">
            <w:pPr>
              <w:pStyle w:val="a6"/>
              <w:rPr>
                <w:rFonts w:ascii="Calibri" w:hAnsi="Calibri" w:cs="Calibri"/>
                <w:szCs w:val="20"/>
              </w:rPr>
            </w:pPr>
          </w:p>
        </w:tc>
        <w:tc>
          <w:tcPr>
            <w:tcW w:w="683" w:type="pct"/>
            <w:shd w:val="clear" w:color="auto" w:fill="auto"/>
            <w:noWrap/>
            <w:tcMar>
              <w:left w:w="57" w:type="dxa"/>
              <w:right w:w="57" w:type="dxa"/>
            </w:tcMar>
            <w:hideMark/>
          </w:tcPr>
          <w:p w:rsidR="00A8663D" w:rsidRPr="000B697A" w:rsidRDefault="00A8663D" w:rsidP="00910AE6">
            <w:pPr>
              <w:pStyle w:val="a6"/>
              <w:rPr>
                <w:rFonts w:ascii="Calibri" w:hAnsi="Calibri" w:cs="Calibri"/>
                <w:b/>
                <w:szCs w:val="20"/>
              </w:rPr>
            </w:pPr>
            <w:r w:rsidRPr="000B697A">
              <w:rPr>
                <w:rFonts w:ascii="Calibri" w:hAnsi="Calibri" w:cs="Calibri"/>
                <w:b/>
                <w:szCs w:val="20"/>
              </w:rPr>
              <w:t>1,972</w:t>
            </w:r>
          </w:p>
        </w:tc>
      </w:tr>
    </w:tbl>
    <w:p w:rsidR="00A8663D" w:rsidRPr="000B697A" w:rsidRDefault="00A8663D" w:rsidP="00A8663D">
      <w:pPr>
        <w:rPr>
          <w:rFonts w:cs="Calibri"/>
        </w:rPr>
      </w:pPr>
      <w:r w:rsidRPr="000B697A">
        <w:rPr>
          <w:rFonts w:cs="Calibri"/>
        </w:rPr>
        <w:t>Върху държавните ценни книжа е учреден първи по ред особен залог във връзка с договор за банковата гаранция за плащане по договор за покупка на акциите на Българска независима енергийна борса ЕАД.</w:t>
      </w:r>
    </w:p>
    <w:p w:rsidR="00A8663D" w:rsidRPr="000B697A" w:rsidRDefault="00A8663D" w:rsidP="00006CD3">
      <w:pPr>
        <w:rPr>
          <w:rFonts w:cs="Calibri"/>
          <w:lang w:eastAsia="en-US"/>
        </w:rPr>
      </w:pPr>
    </w:p>
    <w:p w:rsidR="00A8663D" w:rsidRPr="000B697A" w:rsidRDefault="00A8663D" w:rsidP="00A8663D">
      <w:pPr>
        <w:rPr>
          <w:rFonts w:cs="Calibri"/>
        </w:rPr>
      </w:pPr>
      <w:r w:rsidRPr="000B697A">
        <w:rPr>
          <w:rFonts w:cs="Calibri"/>
        </w:rPr>
        <w:t>Към 31.12.2017 г. инвестициите са представени съгласно счетоводната политика като финансови активи на разположение за продажба</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831"/>
        <w:gridCol w:w="886"/>
        <w:gridCol w:w="1294"/>
        <w:gridCol w:w="1226"/>
        <w:gridCol w:w="1058"/>
        <w:gridCol w:w="1215"/>
        <w:gridCol w:w="1436"/>
        <w:gridCol w:w="1402"/>
      </w:tblGrid>
      <w:tr w:rsidR="00A8663D" w:rsidRPr="000B697A" w:rsidTr="00910AE6">
        <w:trPr>
          <w:trHeight w:val="170"/>
          <w:jc w:val="center"/>
        </w:trPr>
        <w:tc>
          <w:tcPr>
            <w:tcW w:w="1831" w:type="dxa"/>
            <w:shd w:val="clear" w:color="auto" w:fill="4F81BD" w:themeFill="accent1"/>
            <w:hideMark/>
          </w:tcPr>
          <w:p w:rsidR="00A8663D" w:rsidRPr="000B697A" w:rsidRDefault="00A8663D" w:rsidP="00910AE6">
            <w:pPr>
              <w:pStyle w:val="a4"/>
              <w:rPr>
                <w:rFonts w:ascii="Calibri" w:hAnsi="Calibri" w:cs="Calibri"/>
                <w:color w:val="FFFFFF" w:themeColor="background1"/>
              </w:rPr>
            </w:pPr>
            <w:r w:rsidRPr="000B697A">
              <w:rPr>
                <w:rFonts w:ascii="Calibri" w:hAnsi="Calibri" w:cs="Calibri"/>
                <w:color w:val="FFFFFF" w:themeColor="background1"/>
              </w:rPr>
              <w:t>Емисия</w:t>
            </w:r>
          </w:p>
        </w:tc>
        <w:tc>
          <w:tcPr>
            <w:tcW w:w="886" w:type="dxa"/>
            <w:shd w:val="clear" w:color="auto" w:fill="4F81BD" w:themeFill="accent1"/>
            <w:hideMark/>
          </w:tcPr>
          <w:p w:rsidR="00A8663D" w:rsidRPr="000B697A" w:rsidRDefault="00A8663D" w:rsidP="00910AE6">
            <w:pPr>
              <w:pStyle w:val="a4"/>
              <w:rPr>
                <w:rFonts w:ascii="Calibri" w:hAnsi="Calibri" w:cs="Calibri"/>
                <w:color w:val="FFFFFF" w:themeColor="background1"/>
              </w:rPr>
            </w:pPr>
            <w:r w:rsidRPr="000B697A">
              <w:rPr>
                <w:rFonts w:ascii="Calibri" w:hAnsi="Calibri" w:cs="Calibri"/>
                <w:color w:val="FFFFFF" w:themeColor="background1"/>
              </w:rPr>
              <w:t>Валута</w:t>
            </w:r>
          </w:p>
        </w:tc>
        <w:tc>
          <w:tcPr>
            <w:tcW w:w="1294" w:type="dxa"/>
            <w:shd w:val="clear" w:color="auto" w:fill="4F81BD" w:themeFill="accent1"/>
            <w:hideMark/>
          </w:tcPr>
          <w:p w:rsidR="00A8663D" w:rsidRPr="000B697A" w:rsidRDefault="00A8663D" w:rsidP="00910AE6">
            <w:pPr>
              <w:pStyle w:val="a4"/>
              <w:rPr>
                <w:rFonts w:ascii="Calibri" w:hAnsi="Calibri" w:cs="Calibri"/>
                <w:color w:val="FFFFFF" w:themeColor="background1"/>
              </w:rPr>
            </w:pPr>
            <w:r w:rsidRPr="000B697A">
              <w:rPr>
                <w:rFonts w:ascii="Calibri" w:hAnsi="Calibri" w:cs="Calibri"/>
                <w:color w:val="FFFFFF" w:themeColor="background1"/>
              </w:rPr>
              <w:t>Дата на издаване</w:t>
            </w:r>
          </w:p>
        </w:tc>
        <w:tc>
          <w:tcPr>
            <w:tcW w:w="1226" w:type="dxa"/>
            <w:shd w:val="clear" w:color="auto" w:fill="4F81BD" w:themeFill="accent1"/>
            <w:hideMark/>
          </w:tcPr>
          <w:p w:rsidR="00A8663D" w:rsidRPr="000B697A" w:rsidRDefault="00A8663D" w:rsidP="00910AE6">
            <w:pPr>
              <w:pStyle w:val="a4"/>
              <w:rPr>
                <w:rFonts w:ascii="Calibri" w:hAnsi="Calibri" w:cs="Calibri"/>
                <w:color w:val="FFFFFF" w:themeColor="background1"/>
              </w:rPr>
            </w:pPr>
            <w:r w:rsidRPr="000B697A">
              <w:rPr>
                <w:rFonts w:ascii="Calibri" w:hAnsi="Calibri" w:cs="Calibri"/>
                <w:color w:val="FFFFFF" w:themeColor="background1"/>
              </w:rPr>
              <w:t>Дата на падеж</w:t>
            </w:r>
          </w:p>
        </w:tc>
        <w:tc>
          <w:tcPr>
            <w:tcW w:w="1058" w:type="dxa"/>
            <w:shd w:val="clear" w:color="auto" w:fill="4F81BD" w:themeFill="accent1"/>
            <w:hideMark/>
          </w:tcPr>
          <w:p w:rsidR="00A8663D" w:rsidRPr="000B697A" w:rsidRDefault="00A8663D" w:rsidP="00910AE6">
            <w:pPr>
              <w:pStyle w:val="a4"/>
              <w:rPr>
                <w:rFonts w:ascii="Calibri" w:hAnsi="Calibri" w:cs="Calibri"/>
                <w:color w:val="FFFFFF" w:themeColor="background1"/>
              </w:rPr>
            </w:pPr>
            <w:r w:rsidRPr="000B697A">
              <w:rPr>
                <w:rFonts w:ascii="Calibri" w:hAnsi="Calibri" w:cs="Calibri"/>
                <w:color w:val="FFFFFF" w:themeColor="background1"/>
              </w:rPr>
              <w:t>Лихва по купон %</w:t>
            </w:r>
          </w:p>
        </w:tc>
        <w:tc>
          <w:tcPr>
            <w:tcW w:w="1215" w:type="dxa"/>
            <w:shd w:val="clear" w:color="auto" w:fill="4F81BD" w:themeFill="accent1"/>
            <w:hideMark/>
          </w:tcPr>
          <w:p w:rsidR="00A8663D" w:rsidRPr="000B697A" w:rsidRDefault="00A8663D" w:rsidP="00910AE6">
            <w:pPr>
              <w:pStyle w:val="a4"/>
              <w:rPr>
                <w:rFonts w:ascii="Calibri" w:hAnsi="Calibri" w:cs="Calibri"/>
                <w:color w:val="FFFFFF" w:themeColor="background1"/>
              </w:rPr>
            </w:pPr>
            <w:r w:rsidRPr="000B697A">
              <w:rPr>
                <w:rFonts w:ascii="Calibri" w:hAnsi="Calibri" w:cs="Calibri"/>
                <w:color w:val="FFFFFF" w:themeColor="background1"/>
              </w:rPr>
              <w:t>Номинал ‘000</w:t>
            </w:r>
          </w:p>
        </w:tc>
        <w:tc>
          <w:tcPr>
            <w:tcW w:w="1436" w:type="dxa"/>
            <w:shd w:val="clear" w:color="auto" w:fill="4F81BD" w:themeFill="accent1"/>
            <w:hideMark/>
          </w:tcPr>
          <w:p w:rsidR="00A8663D" w:rsidRPr="000B697A" w:rsidRDefault="00A8663D" w:rsidP="00910AE6">
            <w:pPr>
              <w:pStyle w:val="a4"/>
              <w:rPr>
                <w:rFonts w:ascii="Calibri" w:hAnsi="Calibri" w:cs="Calibri"/>
                <w:color w:val="FFFFFF" w:themeColor="background1"/>
              </w:rPr>
            </w:pPr>
            <w:r w:rsidRPr="000B697A">
              <w:rPr>
                <w:rFonts w:ascii="Calibri" w:hAnsi="Calibri" w:cs="Calibri"/>
                <w:color w:val="FFFFFF" w:themeColor="background1"/>
              </w:rPr>
              <w:t>Справедлива стойност ‘000</w:t>
            </w:r>
          </w:p>
        </w:tc>
        <w:tc>
          <w:tcPr>
            <w:tcW w:w="1402" w:type="dxa"/>
            <w:shd w:val="clear" w:color="auto" w:fill="4F81BD" w:themeFill="accent1"/>
            <w:hideMark/>
          </w:tcPr>
          <w:p w:rsidR="00A8663D" w:rsidRPr="000B697A" w:rsidRDefault="00A8663D" w:rsidP="00910AE6">
            <w:pPr>
              <w:pStyle w:val="a4"/>
              <w:rPr>
                <w:rFonts w:ascii="Calibri" w:hAnsi="Calibri" w:cs="Calibri"/>
                <w:color w:val="FFFFFF" w:themeColor="background1"/>
              </w:rPr>
            </w:pPr>
            <w:r w:rsidRPr="000B697A">
              <w:rPr>
                <w:rFonts w:ascii="Calibri" w:hAnsi="Calibri" w:cs="Calibri"/>
                <w:color w:val="FFFFFF" w:themeColor="background1"/>
              </w:rPr>
              <w:t>Справедлива стойност ‘000</w:t>
            </w:r>
          </w:p>
        </w:tc>
      </w:tr>
      <w:tr w:rsidR="00A8663D" w:rsidRPr="000B697A" w:rsidTr="00910AE6">
        <w:trPr>
          <w:trHeight w:val="170"/>
          <w:jc w:val="center"/>
        </w:trPr>
        <w:tc>
          <w:tcPr>
            <w:tcW w:w="1831" w:type="dxa"/>
            <w:shd w:val="clear" w:color="auto" w:fill="auto"/>
            <w:hideMark/>
          </w:tcPr>
          <w:p w:rsidR="00A8663D" w:rsidRPr="000B697A" w:rsidRDefault="00A8663D" w:rsidP="00910AE6">
            <w:pPr>
              <w:pStyle w:val="a5"/>
              <w:rPr>
                <w:rFonts w:ascii="Calibri" w:hAnsi="Calibri" w:cs="Calibri"/>
              </w:rPr>
            </w:pPr>
            <w:r w:rsidRPr="000B697A">
              <w:rPr>
                <w:rFonts w:ascii="Calibri" w:hAnsi="Calibri" w:cs="Calibri"/>
              </w:rPr>
              <w:t>BG2040210218</w:t>
            </w:r>
          </w:p>
        </w:tc>
        <w:tc>
          <w:tcPr>
            <w:tcW w:w="886" w:type="dxa"/>
            <w:shd w:val="clear" w:color="auto" w:fill="auto"/>
            <w:hideMark/>
          </w:tcPr>
          <w:p w:rsidR="00A8663D" w:rsidRPr="000B697A" w:rsidRDefault="00A8663D" w:rsidP="00910AE6">
            <w:pPr>
              <w:pStyle w:val="a5"/>
              <w:jc w:val="center"/>
              <w:rPr>
                <w:rFonts w:ascii="Calibri" w:hAnsi="Calibri" w:cs="Calibri"/>
              </w:rPr>
            </w:pPr>
            <w:r w:rsidRPr="000B697A">
              <w:rPr>
                <w:rFonts w:ascii="Calibri" w:hAnsi="Calibri" w:cs="Calibri"/>
              </w:rPr>
              <w:t>Евро</w:t>
            </w:r>
          </w:p>
        </w:tc>
        <w:tc>
          <w:tcPr>
            <w:tcW w:w="1294" w:type="dxa"/>
            <w:shd w:val="clear" w:color="auto" w:fill="auto"/>
            <w:hideMark/>
          </w:tcPr>
          <w:p w:rsidR="00A8663D" w:rsidRPr="000B697A" w:rsidRDefault="00A8663D" w:rsidP="00910AE6">
            <w:pPr>
              <w:pStyle w:val="a5"/>
              <w:jc w:val="center"/>
              <w:rPr>
                <w:rFonts w:ascii="Calibri" w:hAnsi="Calibri" w:cs="Calibri"/>
              </w:rPr>
            </w:pPr>
            <w:r w:rsidRPr="000B697A">
              <w:rPr>
                <w:rFonts w:ascii="Calibri" w:hAnsi="Calibri" w:cs="Calibri"/>
              </w:rPr>
              <w:t>29.10.2010</w:t>
            </w:r>
          </w:p>
        </w:tc>
        <w:tc>
          <w:tcPr>
            <w:tcW w:w="1226" w:type="dxa"/>
            <w:shd w:val="clear" w:color="auto" w:fill="auto"/>
            <w:hideMark/>
          </w:tcPr>
          <w:p w:rsidR="00A8663D" w:rsidRPr="000B697A" w:rsidRDefault="00A8663D" w:rsidP="00910AE6">
            <w:pPr>
              <w:pStyle w:val="a5"/>
              <w:jc w:val="center"/>
              <w:rPr>
                <w:rFonts w:ascii="Calibri" w:hAnsi="Calibri" w:cs="Calibri"/>
              </w:rPr>
            </w:pPr>
            <w:r w:rsidRPr="000B697A">
              <w:rPr>
                <w:rFonts w:ascii="Calibri" w:hAnsi="Calibri" w:cs="Calibri"/>
              </w:rPr>
              <w:t>29.09.2025</w:t>
            </w:r>
          </w:p>
        </w:tc>
        <w:tc>
          <w:tcPr>
            <w:tcW w:w="1058" w:type="dxa"/>
            <w:shd w:val="clear" w:color="auto" w:fill="auto"/>
            <w:hideMark/>
          </w:tcPr>
          <w:p w:rsidR="00A8663D" w:rsidRPr="000B697A" w:rsidRDefault="00A8663D" w:rsidP="00910AE6">
            <w:pPr>
              <w:pStyle w:val="a6"/>
              <w:rPr>
                <w:rFonts w:ascii="Calibri" w:hAnsi="Calibri" w:cs="Calibri"/>
              </w:rPr>
            </w:pPr>
            <w:r w:rsidRPr="000B697A">
              <w:rPr>
                <w:rFonts w:ascii="Calibri" w:hAnsi="Calibri" w:cs="Calibri"/>
                <w:szCs w:val="20"/>
              </w:rPr>
              <w:t>5.75%</w:t>
            </w:r>
          </w:p>
        </w:tc>
        <w:tc>
          <w:tcPr>
            <w:tcW w:w="1215" w:type="dxa"/>
            <w:shd w:val="clear" w:color="auto" w:fill="auto"/>
            <w:hideMark/>
          </w:tcPr>
          <w:p w:rsidR="00A8663D" w:rsidRPr="000B697A" w:rsidRDefault="00A8663D" w:rsidP="00910AE6">
            <w:pPr>
              <w:pStyle w:val="a6"/>
              <w:rPr>
                <w:rFonts w:ascii="Calibri" w:hAnsi="Calibri" w:cs="Calibri"/>
              </w:rPr>
            </w:pPr>
            <w:r w:rsidRPr="000B697A">
              <w:rPr>
                <w:rFonts w:ascii="Calibri" w:hAnsi="Calibri" w:cs="Calibri"/>
                <w:szCs w:val="20"/>
              </w:rPr>
              <w:t>500 EUR</w:t>
            </w:r>
          </w:p>
        </w:tc>
        <w:tc>
          <w:tcPr>
            <w:tcW w:w="1436" w:type="dxa"/>
            <w:shd w:val="clear" w:color="auto" w:fill="auto"/>
            <w:hideMark/>
          </w:tcPr>
          <w:p w:rsidR="00A8663D" w:rsidRPr="000B697A" w:rsidRDefault="00A8663D" w:rsidP="00910AE6">
            <w:pPr>
              <w:pStyle w:val="a6"/>
              <w:rPr>
                <w:rFonts w:ascii="Calibri" w:hAnsi="Calibri" w:cs="Calibri"/>
              </w:rPr>
            </w:pPr>
            <w:r w:rsidRPr="000B697A">
              <w:rPr>
                <w:rFonts w:ascii="Calibri" w:hAnsi="Calibri" w:cs="Calibri"/>
                <w:szCs w:val="20"/>
              </w:rPr>
              <w:t xml:space="preserve"> 692 EUR</w:t>
            </w:r>
          </w:p>
        </w:tc>
        <w:tc>
          <w:tcPr>
            <w:tcW w:w="1402" w:type="dxa"/>
            <w:shd w:val="clear" w:color="auto" w:fill="auto"/>
            <w:hideMark/>
          </w:tcPr>
          <w:p w:rsidR="00A8663D" w:rsidRPr="000B697A" w:rsidRDefault="00A8663D" w:rsidP="00910AE6">
            <w:pPr>
              <w:pStyle w:val="a6"/>
              <w:rPr>
                <w:rFonts w:ascii="Calibri" w:hAnsi="Calibri" w:cs="Calibri"/>
              </w:rPr>
            </w:pPr>
            <w:r w:rsidRPr="000B697A">
              <w:rPr>
                <w:rFonts w:ascii="Calibri" w:hAnsi="Calibri" w:cs="Calibri"/>
                <w:szCs w:val="20"/>
              </w:rPr>
              <w:t>1,353</w:t>
            </w:r>
          </w:p>
        </w:tc>
      </w:tr>
      <w:tr w:rsidR="00A8663D" w:rsidRPr="000B697A" w:rsidTr="00910AE6">
        <w:trPr>
          <w:trHeight w:val="170"/>
          <w:jc w:val="center"/>
        </w:trPr>
        <w:tc>
          <w:tcPr>
            <w:tcW w:w="1831" w:type="dxa"/>
            <w:shd w:val="clear" w:color="auto" w:fill="auto"/>
            <w:hideMark/>
          </w:tcPr>
          <w:p w:rsidR="00A8663D" w:rsidRPr="000B697A" w:rsidRDefault="00A8663D" w:rsidP="00910AE6">
            <w:pPr>
              <w:pStyle w:val="a5"/>
              <w:rPr>
                <w:rFonts w:ascii="Calibri" w:hAnsi="Calibri" w:cs="Calibri"/>
              </w:rPr>
            </w:pPr>
            <w:r w:rsidRPr="000B697A">
              <w:rPr>
                <w:rFonts w:ascii="Calibri" w:hAnsi="Calibri" w:cs="Calibri"/>
              </w:rPr>
              <w:t>BG2040012218</w:t>
            </w:r>
          </w:p>
        </w:tc>
        <w:tc>
          <w:tcPr>
            <w:tcW w:w="886" w:type="dxa"/>
            <w:shd w:val="clear" w:color="auto" w:fill="auto"/>
            <w:hideMark/>
          </w:tcPr>
          <w:p w:rsidR="00A8663D" w:rsidRPr="000B697A" w:rsidRDefault="00A8663D" w:rsidP="00910AE6">
            <w:pPr>
              <w:pStyle w:val="a5"/>
              <w:jc w:val="center"/>
              <w:rPr>
                <w:rFonts w:ascii="Calibri" w:hAnsi="Calibri" w:cs="Calibri"/>
              </w:rPr>
            </w:pPr>
            <w:r w:rsidRPr="000B697A">
              <w:rPr>
                <w:rFonts w:ascii="Calibri" w:hAnsi="Calibri" w:cs="Calibri"/>
              </w:rPr>
              <w:t>Лева</w:t>
            </w:r>
          </w:p>
        </w:tc>
        <w:tc>
          <w:tcPr>
            <w:tcW w:w="1294" w:type="dxa"/>
            <w:shd w:val="clear" w:color="auto" w:fill="auto"/>
            <w:hideMark/>
          </w:tcPr>
          <w:p w:rsidR="00A8663D" w:rsidRPr="000B697A" w:rsidRDefault="00A8663D" w:rsidP="00910AE6">
            <w:pPr>
              <w:pStyle w:val="a5"/>
              <w:jc w:val="center"/>
              <w:rPr>
                <w:rFonts w:ascii="Calibri" w:hAnsi="Calibri" w:cs="Calibri"/>
              </w:rPr>
            </w:pPr>
            <w:r w:rsidRPr="000B697A">
              <w:rPr>
                <w:rFonts w:ascii="Calibri" w:hAnsi="Calibri" w:cs="Calibri"/>
              </w:rPr>
              <w:t>11.01.2012</w:t>
            </w:r>
          </w:p>
        </w:tc>
        <w:tc>
          <w:tcPr>
            <w:tcW w:w="1226" w:type="dxa"/>
            <w:shd w:val="clear" w:color="auto" w:fill="auto"/>
            <w:hideMark/>
          </w:tcPr>
          <w:p w:rsidR="00A8663D" w:rsidRPr="000B697A" w:rsidRDefault="00A8663D" w:rsidP="00910AE6">
            <w:pPr>
              <w:pStyle w:val="a5"/>
              <w:jc w:val="center"/>
              <w:rPr>
                <w:rFonts w:ascii="Calibri" w:hAnsi="Calibri" w:cs="Calibri"/>
              </w:rPr>
            </w:pPr>
            <w:r w:rsidRPr="000B697A">
              <w:rPr>
                <w:rFonts w:ascii="Calibri" w:hAnsi="Calibri" w:cs="Calibri"/>
              </w:rPr>
              <w:t>11.07.2022</w:t>
            </w:r>
          </w:p>
        </w:tc>
        <w:tc>
          <w:tcPr>
            <w:tcW w:w="1058" w:type="dxa"/>
            <w:shd w:val="clear" w:color="auto" w:fill="auto"/>
            <w:hideMark/>
          </w:tcPr>
          <w:p w:rsidR="00A8663D" w:rsidRPr="000B697A" w:rsidRDefault="00A8663D" w:rsidP="00910AE6">
            <w:pPr>
              <w:pStyle w:val="a6"/>
              <w:rPr>
                <w:rFonts w:ascii="Calibri" w:hAnsi="Calibri" w:cs="Calibri"/>
              </w:rPr>
            </w:pPr>
            <w:r w:rsidRPr="000B697A">
              <w:rPr>
                <w:rFonts w:ascii="Calibri" w:hAnsi="Calibri" w:cs="Calibri"/>
                <w:szCs w:val="20"/>
              </w:rPr>
              <w:t>5.00%</w:t>
            </w:r>
          </w:p>
        </w:tc>
        <w:tc>
          <w:tcPr>
            <w:tcW w:w="1215" w:type="dxa"/>
            <w:shd w:val="clear" w:color="auto" w:fill="auto"/>
            <w:hideMark/>
          </w:tcPr>
          <w:p w:rsidR="00A8663D" w:rsidRPr="000B697A" w:rsidRDefault="00A8663D" w:rsidP="00910AE6">
            <w:pPr>
              <w:pStyle w:val="a6"/>
              <w:rPr>
                <w:rFonts w:ascii="Calibri" w:hAnsi="Calibri" w:cs="Calibri"/>
              </w:rPr>
            </w:pPr>
            <w:r w:rsidRPr="000B697A">
              <w:rPr>
                <w:rFonts w:ascii="Calibri" w:hAnsi="Calibri" w:cs="Calibri"/>
                <w:szCs w:val="20"/>
              </w:rPr>
              <w:t>550 BGN</w:t>
            </w:r>
          </w:p>
        </w:tc>
        <w:tc>
          <w:tcPr>
            <w:tcW w:w="1436" w:type="dxa"/>
            <w:shd w:val="clear" w:color="auto" w:fill="auto"/>
            <w:hideMark/>
          </w:tcPr>
          <w:p w:rsidR="00A8663D" w:rsidRPr="000B697A" w:rsidRDefault="00A8663D" w:rsidP="00910AE6">
            <w:pPr>
              <w:pStyle w:val="a6"/>
              <w:rPr>
                <w:rFonts w:ascii="Calibri" w:hAnsi="Calibri" w:cs="Calibri"/>
              </w:rPr>
            </w:pPr>
            <w:r w:rsidRPr="000B697A">
              <w:rPr>
                <w:rFonts w:ascii="Calibri" w:hAnsi="Calibri" w:cs="Calibri"/>
                <w:szCs w:val="20"/>
              </w:rPr>
              <w:t xml:space="preserve"> 682 BGN</w:t>
            </w:r>
          </w:p>
        </w:tc>
        <w:tc>
          <w:tcPr>
            <w:tcW w:w="1402" w:type="dxa"/>
            <w:shd w:val="clear" w:color="auto" w:fill="auto"/>
            <w:hideMark/>
          </w:tcPr>
          <w:p w:rsidR="00A8663D" w:rsidRPr="000B697A" w:rsidRDefault="00A8663D" w:rsidP="00910AE6">
            <w:pPr>
              <w:pStyle w:val="a6"/>
              <w:rPr>
                <w:rFonts w:ascii="Calibri" w:hAnsi="Calibri" w:cs="Calibri"/>
              </w:rPr>
            </w:pPr>
            <w:r w:rsidRPr="000B697A">
              <w:rPr>
                <w:rFonts w:ascii="Calibri" w:hAnsi="Calibri" w:cs="Calibri"/>
                <w:szCs w:val="20"/>
              </w:rPr>
              <w:t>682</w:t>
            </w:r>
          </w:p>
        </w:tc>
      </w:tr>
      <w:tr w:rsidR="00A8663D" w:rsidRPr="000B697A" w:rsidTr="00910AE6">
        <w:trPr>
          <w:trHeight w:val="170"/>
          <w:jc w:val="center"/>
        </w:trPr>
        <w:tc>
          <w:tcPr>
            <w:tcW w:w="1831" w:type="dxa"/>
            <w:shd w:val="clear" w:color="auto" w:fill="auto"/>
            <w:noWrap/>
            <w:vAlign w:val="bottom"/>
            <w:hideMark/>
          </w:tcPr>
          <w:p w:rsidR="00A8663D" w:rsidRPr="000B697A" w:rsidRDefault="00A8663D" w:rsidP="00910AE6">
            <w:pPr>
              <w:pStyle w:val="a5"/>
              <w:rPr>
                <w:rFonts w:ascii="Calibri" w:hAnsi="Calibri" w:cs="Calibri"/>
                <w:b/>
              </w:rPr>
            </w:pPr>
          </w:p>
        </w:tc>
        <w:tc>
          <w:tcPr>
            <w:tcW w:w="886" w:type="dxa"/>
            <w:shd w:val="clear" w:color="auto" w:fill="auto"/>
            <w:noWrap/>
            <w:vAlign w:val="bottom"/>
            <w:hideMark/>
          </w:tcPr>
          <w:p w:rsidR="00A8663D" w:rsidRPr="000B697A" w:rsidRDefault="00A8663D" w:rsidP="00910AE6">
            <w:pPr>
              <w:pStyle w:val="a5"/>
              <w:rPr>
                <w:rFonts w:ascii="Calibri" w:hAnsi="Calibri" w:cs="Calibri"/>
                <w:b/>
              </w:rPr>
            </w:pPr>
          </w:p>
        </w:tc>
        <w:tc>
          <w:tcPr>
            <w:tcW w:w="1294" w:type="dxa"/>
            <w:shd w:val="clear" w:color="auto" w:fill="auto"/>
            <w:noWrap/>
            <w:vAlign w:val="bottom"/>
            <w:hideMark/>
          </w:tcPr>
          <w:p w:rsidR="00A8663D" w:rsidRPr="000B697A" w:rsidRDefault="00A8663D" w:rsidP="00910AE6">
            <w:pPr>
              <w:pStyle w:val="a5"/>
              <w:rPr>
                <w:rFonts w:ascii="Calibri" w:hAnsi="Calibri" w:cs="Calibri"/>
                <w:b/>
              </w:rPr>
            </w:pPr>
          </w:p>
        </w:tc>
        <w:tc>
          <w:tcPr>
            <w:tcW w:w="1226" w:type="dxa"/>
            <w:shd w:val="clear" w:color="auto" w:fill="auto"/>
            <w:noWrap/>
            <w:vAlign w:val="bottom"/>
            <w:hideMark/>
          </w:tcPr>
          <w:p w:rsidR="00A8663D" w:rsidRPr="000B697A" w:rsidRDefault="00A8663D" w:rsidP="00910AE6">
            <w:pPr>
              <w:pStyle w:val="a5"/>
              <w:rPr>
                <w:rFonts w:ascii="Calibri" w:hAnsi="Calibri" w:cs="Calibri"/>
                <w:b/>
              </w:rPr>
            </w:pPr>
          </w:p>
        </w:tc>
        <w:tc>
          <w:tcPr>
            <w:tcW w:w="1058" w:type="dxa"/>
            <w:shd w:val="clear" w:color="auto" w:fill="auto"/>
            <w:noWrap/>
            <w:vAlign w:val="bottom"/>
            <w:hideMark/>
          </w:tcPr>
          <w:p w:rsidR="00A8663D" w:rsidRPr="000B697A" w:rsidRDefault="00A8663D" w:rsidP="00910AE6">
            <w:pPr>
              <w:pStyle w:val="a6"/>
              <w:rPr>
                <w:rFonts w:ascii="Calibri" w:hAnsi="Calibri" w:cs="Calibri"/>
                <w:b/>
              </w:rPr>
            </w:pPr>
          </w:p>
        </w:tc>
        <w:tc>
          <w:tcPr>
            <w:tcW w:w="1215" w:type="dxa"/>
            <w:shd w:val="clear" w:color="auto" w:fill="auto"/>
            <w:noWrap/>
            <w:vAlign w:val="bottom"/>
            <w:hideMark/>
          </w:tcPr>
          <w:p w:rsidR="00A8663D" w:rsidRPr="000B697A" w:rsidRDefault="00A8663D" w:rsidP="00910AE6">
            <w:pPr>
              <w:pStyle w:val="a6"/>
              <w:rPr>
                <w:rFonts w:ascii="Calibri" w:hAnsi="Calibri" w:cs="Calibri"/>
                <w:b/>
              </w:rPr>
            </w:pPr>
          </w:p>
        </w:tc>
        <w:tc>
          <w:tcPr>
            <w:tcW w:w="1436" w:type="dxa"/>
            <w:shd w:val="clear" w:color="auto" w:fill="auto"/>
            <w:noWrap/>
            <w:vAlign w:val="bottom"/>
            <w:hideMark/>
          </w:tcPr>
          <w:p w:rsidR="00A8663D" w:rsidRPr="000B697A" w:rsidRDefault="00A8663D" w:rsidP="00910AE6">
            <w:pPr>
              <w:pStyle w:val="a6"/>
              <w:rPr>
                <w:rFonts w:ascii="Calibri" w:hAnsi="Calibri" w:cs="Calibri"/>
                <w:b/>
              </w:rPr>
            </w:pPr>
          </w:p>
        </w:tc>
        <w:tc>
          <w:tcPr>
            <w:tcW w:w="1402" w:type="dxa"/>
            <w:shd w:val="clear" w:color="auto" w:fill="auto"/>
            <w:hideMark/>
          </w:tcPr>
          <w:p w:rsidR="00A8663D" w:rsidRPr="000B697A" w:rsidRDefault="00A8663D" w:rsidP="00910AE6">
            <w:pPr>
              <w:pStyle w:val="a6"/>
              <w:rPr>
                <w:rFonts w:ascii="Calibri" w:hAnsi="Calibri" w:cs="Calibri"/>
                <w:b/>
              </w:rPr>
            </w:pPr>
            <w:r w:rsidRPr="000B697A">
              <w:rPr>
                <w:rFonts w:ascii="Calibri" w:hAnsi="Calibri" w:cs="Calibri"/>
                <w:b/>
              </w:rPr>
              <w:t>2 035</w:t>
            </w:r>
          </w:p>
        </w:tc>
      </w:tr>
    </w:tbl>
    <w:p w:rsidR="00A8663D" w:rsidRPr="000B697A" w:rsidRDefault="00A8663D" w:rsidP="00006CD3">
      <w:pPr>
        <w:rPr>
          <w:rFonts w:cs="Calibri"/>
          <w:lang w:eastAsia="en-US"/>
        </w:rPr>
      </w:pPr>
    </w:p>
    <w:p w:rsidR="00B0359D" w:rsidRPr="000B697A" w:rsidRDefault="003857F4" w:rsidP="00006CD3">
      <w:pPr>
        <w:rPr>
          <w:rFonts w:cs="Calibri"/>
          <w:lang w:eastAsia="en-US"/>
        </w:rPr>
      </w:pPr>
      <w:r w:rsidRPr="000B697A">
        <w:rPr>
          <w:rFonts w:cs="Calibri"/>
          <w:lang w:eastAsia="en-US"/>
        </w:rPr>
        <w:t>Годишният ефективен лихвен процент по облигациите в евро е 3.86 %, а по облигациите в лева 3.32 %. Падежът на купонните плащания на облигациите в евро е два пъти в годината на 29.03 и 29.09 до датата на п</w:t>
      </w:r>
      <w:r w:rsidR="00647CFF" w:rsidRPr="000B697A">
        <w:rPr>
          <w:rFonts w:cs="Calibri"/>
          <w:lang w:eastAsia="en-US"/>
        </w:rPr>
        <w:t xml:space="preserve">адежа, а на облигациите в лева - </w:t>
      </w:r>
      <w:r w:rsidRPr="000B697A">
        <w:rPr>
          <w:rFonts w:cs="Calibri"/>
          <w:lang w:eastAsia="en-US"/>
        </w:rPr>
        <w:t>два пъти в годината на 11</w:t>
      </w:r>
      <w:r w:rsidR="00006CD3" w:rsidRPr="000B697A">
        <w:rPr>
          <w:rFonts w:cs="Calibri"/>
          <w:lang w:eastAsia="en-US"/>
        </w:rPr>
        <w:t>.01 и 11.07 до датата на падежа.</w:t>
      </w:r>
    </w:p>
    <w:p w:rsidR="00006CD3" w:rsidRPr="000B697A" w:rsidRDefault="00006CD3" w:rsidP="00006CD3">
      <w:pPr>
        <w:rPr>
          <w:rFonts w:cs="Calibri"/>
          <w:lang w:eastAsia="en-US"/>
        </w:rPr>
      </w:pPr>
    </w:p>
    <w:p w:rsidR="00006CD3" w:rsidRPr="000B697A" w:rsidRDefault="00006CD3" w:rsidP="00006CD3">
      <w:pPr>
        <w:rPr>
          <w:rFonts w:cs="Calibri"/>
        </w:rPr>
      </w:pPr>
      <w:r w:rsidRPr="000B697A">
        <w:rPr>
          <w:rFonts w:cs="Calibri"/>
        </w:rPr>
        <w:t xml:space="preserve">Към 31 декември </w:t>
      </w:r>
      <w:r w:rsidR="00F41E1B" w:rsidRPr="000B697A">
        <w:rPr>
          <w:rFonts w:cs="Calibri"/>
        </w:rPr>
        <w:t>201</w:t>
      </w:r>
      <w:r w:rsidR="00934274">
        <w:rPr>
          <w:rFonts w:cs="Calibri"/>
        </w:rPr>
        <w:t>8</w:t>
      </w:r>
      <w:r w:rsidR="00C442DF" w:rsidRPr="000B697A">
        <w:rPr>
          <w:rFonts w:cs="Calibri"/>
        </w:rPr>
        <w:t xml:space="preserve"> година </w:t>
      </w:r>
      <w:r w:rsidRPr="000B697A">
        <w:rPr>
          <w:rFonts w:cs="Calibri"/>
        </w:rPr>
        <w:t>Групата притежава инвестиции в акции и дялове в капитала на други дружества и предприятия (малцинствено участие), както следва</w:t>
      </w:r>
      <w:r w:rsidR="001848D4" w:rsidRPr="000B697A">
        <w:rPr>
          <w:rFonts w:cs="Calibri"/>
        </w:rPr>
        <w:t>:</w:t>
      </w:r>
    </w:p>
    <w:p w:rsidR="00F41E1B" w:rsidRPr="000B697A" w:rsidRDefault="000965FA" w:rsidP="00006CD3">
      <w:pPr>
        <w:rPr>
          <w:rFonts w:cs="Calibri"/>
          <w:b/>
          <w:color w:val="000000"/>
        </w:rPr>
      </w:pPr>
      <w:r w:rsidRPr="000B697A">
        <w:rPr>
          <w:rFonts w:cs="Calibri"/>
          <w:b/>
          <w:color w:val="000000"/>
        </w:rPr>
        <w:t>Таблица 14</w:t>
      </w:r>
      <w:r w:rsidR="001848D4" w:rsidRPr="000B697A">
        <w:rPr>
          <w:rFonts w:cs="Calibri"/>
          <w:b/>
          <w:color w:val="000000"/>
        </w:rPr>
        <w:t xml:space="preserve"> – малцинствено участие:</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8"/>
        <w:gridCol w:w="1331"/>
        <w:gridCol w:w="1188"/>
        <w:gridCol w:w="1331"/>
        <w:gridCol w:w="1021"/>
      </w:tblGrid>
      <w:tr w:rsidR="00A8663D" w:rsidRPr="000B697A" w:rsidTr="00A8663D">
        <w:trPr>
          <w:trHeight w:val="170"/>
          <w:jc w:val="center"/>
        </w:trPr>
        <w:tc>
          <w:tcPr>
            <w:tcW w:w="2471" w:type="pct"/>
            <w:shd w:val="clear" w:color="auto" w:fill="4F81BD" w:themeFill="accent1"/>
            <w:hideMark/>
          </w:tcPr>
          <w:p w:rsidR="00A8663D" w:rsidRPr="000B697A" w:rsidRDefault="00A8663D" w:rsidP="00A8663D">
            <w:pPr>
              <w:pStyle w:val="a4"/>
              <w:rPr>
                <w:rFonts w:ascii="Calibri" w:hAnsi="Calibri" w:cs="Calibri"/>
                <w:color w:val="FFFFFF" w:themeColor="background1"/>
              </w:rPr>
            </w:pPr>
            <w:r w:rsidRPr="000B697A">
              <w:rPr>
                <w:rFonts w:ascii="Calibri" w:hAnsi="Calibri" w:cs="Calibri"/>
                <w:color w:val="FFFFFF" w:themeColor="background1"/>
              </w:rPr>
              <w:t>Дружество</w:t>
            </w:r>
          </w:p>
        </w:tc>
        <w:tc>
          <w:tcPr>
            <w:tcW w:w="691" w:type="pct"/>
            <w:shd w:val="clear" w:color="auto" w:fill="4F81BD" w:themeFill="accent1"/>
          </w:tcPr>
          <w:p w:rsidR="00A8663D" w:rsidRPr="000B697A" w:rsidRDefault="00A8663D" w:rsidP="00A8663D">
            <w:pPr>
              <w:pStyle w:val="a4"/>
              <w:jc w:val="right"/>
              <w:rPr>
                <w:rFonts w:ascii="Calibri" w:hAnsi="Calibri" w:cs="Calibri"/>
                <w:color w:val="FFFFFF" w:themeColor="background1"/>
              </w:rPr>
            </w:pPr>
            <w:r w:rsidRPr="000B697A">
              <w:rPr>
                <w:rFonts w:ascii="Calibri" w:hAnsi="Calibri" w:cs="Calibri"/>
                <w:color w:val="FFFFFF" w:themeColor="background1"/>
              </w:rPr>
              <w:t>31.12.2017</w:t>
            </w:r>
          </w:p>
        </w:tc>
        <w:tc>
          <w:tcPr>
            <w:tcW w:w="617" w:type="pct"/>
            <w:shd w:val="clear" w:color="auto" w:fill="4F81BD" w:themeFill="accent1"/>
          </w:tcPr>
          <w:p w:rsidR="00A8663D" w:rsidRPr="000B697A" w:rsidRDefault="00A8663D" w:rsidP="00A8663D">
            <w:pPr>
              <w:pStyle w:val="a4"/>
              <w:jc w:val="right"/>
              <w:rPr>
                <w:rFonts w:ascii="Calibri" w:hAnsi="Calibri" w:cs="Calibri"/>
                <w:color w:val="FFFFFF" w:themeColor="background1"/>
              </w:rPr>
            </w:pPr>
            <w:r w:rsidRPr="000B697A">
              <w:rPr>
                <w:rFonts w:ascii="Calibri" w:hAnsi="Calibri" w:cs="Calibri"/>
                <w:color w:val="FFFFFF" w:themeColor="background1"/>
              </w:rPr>
              <w:t>%</w:t>
            </w:r>
          </w:p>
        </w:tc>
        <w:tc>
          <w:tcPr>
            <w:tcW w:w="691" w:type="pct"/>
            <w:shd w:val="clear" w:color="auto" w:fill="4F81BD" w:themeFill="accent1"/>
            <w:hideMark/>
          </w:tcPr>
          <w:p w:rsidR="00A8663D" w:rsidRPr="000B697A" w:rsidRDefault="00A8663D" w:rsidP="00A8663D">
            <w:pPr>
              <w:pStyle w:val="a4"/>
              <w:jc w:val="right"/>
              <w:rPr>
                <w:rFonts w:ascii="Calibri" w:hAnsi="Calibri" w:cs="Calibri"/>
                <w:color w:val="FFFFFF" w:themeColor="background1"/>
              </w:rPr>
            </w:pPr>
            <w:r w:rsidRPr="000B697A">
              <w:rPr>
                <w:rFonts w:ascii="Calibri" w:hAnsi="Calibri" w:cs="Calibri"/>
                <w:color w:val="FFFFFF" w:themeColor="background1"/>
              </w:rPr>
              <w:t>31.12.2018</w:t>
            </w:r>
          </w:p>
        </w:tc>
        <w:tc>
          <w:tcPr>
            <w:tcW w:w="530" w:type="pct"/>
            <w:shd w:val="clear" w:color="auto" w:fill="4F81BD" w:themeFill="accent1"/>
            <w:hideMark/>
          </w:tcPr>
          <w:p w:rsidR="00A8663D" w:rsidRPr="000B697A" w:rsidRDefault="00A8663D" w:rsidP="00A8663D">
            <w:pPr>
              <w:pStyle w:val="a4"/>
              <w:rPr>
                <w:rFonts w:ascii="Calibri" w:hAnsi="Calibri" w:cs="Calibri"/>
                <w:color w:val="FFFFFF" w:themeColor="background1"/>
              </w:rPr>
            </w:pPr>
            <w:r w:rsidRPr="000B697A">
              <w:rPr>
                <w:rFonts w:ascii="Calibri" w:hAnsi="Calibri" w:cs="Calibri"/>
                <w:color w:val="FFFFFF" w:themeColor="background1"/>
              </w:rPr>
              <w:t>%</w:t>
            </w:r>
          </w:p>
        </w:tc>
      </w:tr>
      <w:tr w:rsidR="00A8663D" w:rsidRPr="000B697A" w:rsidTr="00A8663D">
        <w:trPr>
          <w:trHeight w:val="170"/>
          <w:jc w:val="center"/>
        </w:trPr>
        <w:tc>
          <w:tcPr>
            <w:tcW w:w="2471" w:type="pct"/>
            <w:shd w:val="clear" w:color="auto" w:fill="4F81BD" w:themeFill="accent1"/>
            <w:hideMark/>
          </w:tcPr>
          <w:p w:rsidR="00A8663D" w:rsidRPr="000B697A" w:rsidRDefault="00A8663D" w:rsidP="00A8663D">
            <w:pPr>
              <w:pStyle w:val="a4"/>
              <w:rPr>
                <w:rFonts w:ascii="Calibri" w:hAnsi="Calibri" w:cs="Calibri"/>
                <w:color w:val="FFFFFF" w:themeColor="background1"/>
              </w:rPr>
            </w:pPr>
          </w:p>
        </w:tc>
        <w:tc>
          <w:tcPr>
            <w:tcW w:w="691" w:type="pct"/>
            <w:shd w:val="clear" w:color="auto" w:fill="4F81BD" w:themeFill="accent1"/>
          </w:tcPr>
          <w:p w:rsidR="00A8663D" w:rsidRPr="000B697A" w:rsidRDefault="00A8663D" w:rsidP="00A8663D">
            <w:pPr>
              <w:pStyle w:val="a4"/>
              <w:jc w:val="right"/>
              <w:rPr>
                <w:rFonts w:ascii="Calibri" w:hAnsi="Calibri" w:cs="Calibri"/>
                <w:color w:val="FFFFFF" w:themeColor="background1"/>
              </w:rPr>
            </w:pPr>
            <w:r w:rsidRPr="000B697A">
              <w:rPr>
                <w:rFonts w:ascii="Calibri" w:hAnsi="Calibri" w:cs="Calibri"/>
                <w:color w:val="FFFFFF" w:themeColor="background1"/>
              </w:rPr>
              <w:t>BGN '000</w:t>
            </w:r>
          </w:p>
        </w:tc>
        <w:tc>
          <w:tcPr>
            <w:tcW w:w="617" w:type="pct"/>
            <w:shd w:val="clear" w:color="auto" w:fill="4F81BD" w:themeFill="accent1"/>
          </w:tcPr>
          <w:p w:rsidR="00A8663D" w:rsidRPr="000B697A" w:rsidRDefault="00A8663D" w:rsidP="00A8663D">
            <w:pPr>
              <w:pStyle w:val="a4"/>
              <w:jc w:val="right"/>
              <w:rPr>
                <w:rFonts w:ascii="Calibri" w:hAnsi="Calibri" w:cs="Calibri"/>
                <w:color w:val="FFFFFF" w:themeColor="background1"/>
              </w:rPr>
            </w:pPr>
            <w:r w:rsidRPr="000B697A">
              <w:rPr>
                <w:rFonts w:ascii="Calibri" w:hAnsi="Calibri" w:cs="Calibri"/>
                <w:color w:val="FFFFFF" w:themeColor="background1"/>
              </w:rPr>
              <w:t>Участие</w:t>
            </w:r>
          </w:p>
        </w:tc>
        <w:tc>
          <w:tcPr>
            <w:tcW w:w="691" w:type="pct"/>
            <w:shd w:val="clear" w:color="auto" w:fill="4F81BD" w:themeFill="accent1"/>
            <w:hideMark/>
          </w:tcPr>
          <w:p w:rsidR="00A8663D" w:rsidRPr="000B697A" w:rsidRDefault="00A8663D" w:rsidP="00A8663D">
            <w:pPr>
              <w:pStyle w:val="a4"/>
              <w:jc w:val="right"/>
              <w:rPr>
                <w:rFonts w:ascii="Calibri" w:hAnsi="Calibri" w:cs="Calibri"/>
                <w:color w:val="FFFFFF" w:themeColor="background1"/>
              </w:rPr>
            </w:pPr>
            <w:r w:rsidRPr="000B697A">
              <w:rPr>
                <w:rFonts w:ascii="Calibri" w:hAnsi="Calibri" w:cs="Calibri"/>
                <w:color w:val="FFFFFF" w:themeColor="background1"/>
              </w:rPr>
              <w:t>BGN '000</w:t>
            </w:r>
          </w:p>
        </w:tc>
        <w:tc>
          <w:tcPr>
            <w:tcW w:w="530" w:type="pct"/>
            <w:shd w:val="clear" w:color="auto" w:fill="4F81BD" w:themeFill="accent1"/>
            <w:hideMark/>
          </w:tcPr>
          <w:p w:rsidR="00A8663D" w:rsidRPr="000B697A" w:rsidRDefault="00A8663D" w:rsidP="00A8663D">
            <w:pPr>
              <w:pStyle w:val="a4"/>
              <w:rPr>
                <w:rFonts w:ascii="Calibri" w:hAnsi="Calibri" w:cs="Calibri"/>
                <w:color w:val="FFFFFF" w:themeColor="background1"/>
              </w:rPr>
            </w:pPr>
            <w:r w:rsidRPr="000B697A">
              <w:rPr>
                <w:rFonts w:ascii="Calibri" w:hAnsi="Calibri" w:cs="Calibri"/>
                <w:color w:val="FFFFFF" w:themeColor="background1"/>
              </w:rPr>
              <w:t>Участие</w:t>
            </w:r>
          </w:p>
        </w:tc>
      </w:tr>
      <w:tr w:rsidR="00A8663D" w:rsidRPr="000B697A" w:rsidTr="00A8663D">
        <w:trPr>
          <w:trHeight w:val="170"/>
          <w:jc w:val="center"/>
        </w:trPr>
        <w:tc>
          <w:tcPr>
            <w:tcW w:w="2471" w:type="pct"/>
            <w:shd w:val="clear" w:color="auto" w:fill="auto"/>
            <w:hideMark/>
          </w:tcPr>
          <w:p w:rsidR="00A8663D" w:rsidRPr="000B697A" w:rsidRDefault="00A8663D" w:rsidP="00A8663D">
            <w:pPr>
              <w:pStyle w:val="a5"/>
              <w:rPr>
                <w:rFonts w:ascii="Calibri" w:hAnsi="Calibri" w:cs="Calibri"/>
                <w:color w:val="auto"/>
              </w:rPr>
            </w:pPr>
            <w:r w:rsidRPr="000B697A">
              <w:rPr>
                <w:rFonts w:ascii="Calibri" w:hAnsi="Calibri" w:cs="Calibri"/>
                <w:color w:val="auto"/>
              </w:rPr>
              <w:t>Централен депозитар АД</w:t>
            </w:r>
          </w:p>
        </w:tc>
        <w:tc>
          <w:tcPr>
            <w:tcW w:w="691" w:type="pct"/>
          </w:tcPr>
          <w:p w:rsidR="00A8663D" w:rsidRPr="000B697A" w:rsidRDefault="00A8663D" w:rsidP="00A8663D">
            <w:pPr>
              <w:pStyle w:val="a6"/>
              <w:rPr>
                <w:rFonts w:ascii="Calibri" w:hAnsi="Calibri" w:cs="Calibri"/>
                <w:color w:val="auto"/>
              </w:rPr>
            </w:pPr>
            <w:r w:rsidRPr="000B697A">
              <w:rPr>
                <w:rFonts w:ascii="Calibri" w:hAnsi="Calibri" w:cs="Calibri"/>
                <w:color w:val="auto"/>
              </w:rPr>
              <w:t>323</w:t>
            </w:r>
          </w:p>
        </w:tc>
        <w:tc>
          <w:tcPr>
            <w:tcW w:w="617" w:type="pct"/>
          </w:tcPr>
          <w:p w:rsidR="00A8663D" w:rsidRPr="000B697A" w:rsidRDefault="00A8663D" w:rsidP="00A8663D">
            <w:pPr>
              <w:pStyle w:val="a6"/>
              <w:rPr>
                <w:rFonts w:ascii="Calibri" w:hAnsi="Calibri" w:cs="Calibri"/>
                <w:color w:val="auto"/>
              </w:rPr>
            </w:pPr>
            <w:r w:rsidRPr="000B697A">
              <w:rPr>
                <w:rFonts w:ascii="Calibri" w:hAnsi="Calibri" w:cs="Calibri"/>
                <w:color w:val="auto"/>
              </w:rPr>
              <w:t>6,61</w:t>
            </w:r>
          </w:p>
        </w:tc>
        <w:tc>
          <w:tcPr>
            <w:tcW w:w="691" w:type="pct"/>
            <w:shd w:val="clear" w:color="auto" w:fill="auto"/>
            <w:hideMark/>
          </w:tcPr>
          <w:p w:rsidR="00A8663D" w:rsidRPr="000B697A" w:rsidRDefault="00A8663D" w:rsidP="00A8663D">
            <w:pPr>
              <w:pStyle w:val="a6"/>
              <w:rPr>
                <w:rFonts w:ascii="Calibri" w:hAnsi="Calibri" w:cs="Calibri"/>
                <w:color w:val="auto"/>
              </w:rPr>
            </w:pPr>
            <w:r w:rsidRPr="000B697A">
              <w:rPr>
                <w:rFonts w:ascii="Calibri" w:hAnsi="Calibri" w:cs="Calibri"/>
                <w:color w:val="auto"/>
              </w:rPr>
              <w:t>319</w:t>
            </w:r>
          </w:p>
        </w:tc>
        <w:tc>
          <w:tcPr>
            <w:tcW w:w="530" w:type="pct"/>
            <w:shd w:val="clear" w:color="auto" w:fill="auto"/>
            <w:hideMark/>
          </w:tcPr>
          <w:p w:rsidR="00A8663D" w:rsidRPr="000B697A" w:rsidRDefault="00A8663D" w:rsidP="00A8663D">
            <w:pPr>
              <w:pStyle w:val="a6"/>
              <w:rPr>
                <w:rFonts w:ascii="Calibri" w:hAnsi="Calibri" w:cs="Calibri"/>
                <w:color w:val="auto"/>
              </w:rPr>
            </w:pPr>
            <w:r w:rsidRPr="000B697A">
              <w:rPr>
                <w:rFonts w:ascii="Calibri" w:hAnsi="Calibri" w:cs="Calibri"/>
                <w:color w:val="auto"/>
              </w:rPr>
              <w:t>6,61</w:t>
            </w:r>
          </w:p>
        </w:tc>
      </w:tr>
      <w:tr w:rsidR="00A8663D" w:rsidRPr="000B697A" w:rsidTr="00A8663D">
        <w:trPr>
          <w:trHeight w:val="170"/>
          <w:jc w:val="center"/>
        </w:trPr>
        <w:tc>
          <w:tcPr>
            <w:tcW w:w="2471" w:type="pct"/>
            <w:shd w:val="clear" w:color="auto" w:fill="auto"/>
            <w:hideMark/>
          </w:tcPr>
          <w:p w:rsidR="00A8663D" w:rsidRPr="000B697A" w:rsidRDefault="00A8663D" w:rsidP="00A8663D">
            <w:pPr>
              <w:pStyle w:val="a5"/>
              <w:rPr>
                <w:rFonts w:ascii="Calibri" w:hAnsi="Calibri" w:cs="Calibri"/>
              </w:rPr>
            </w:pPr>
            <w:r w:rsidRPr="000B697A">
              <w:rPr>
                <w:rFonts w:ascii="Calibri" w:hAnsi="Calibri" w:cs="Calibri"/>
              </w:rPr>
              <w:t>Сдружение Български инвестиционен форум</w:t>
            </w:r>
          </w:p>
        </w:tc>
        <w:tc>
          <w:tcPr>
            <w:tcW w:w="691" w:type="pct"/>
          </w:tcPr>
          <w:p w:rsidR="00A8663D" w:rsidRPr="000B697A" w:rsidRDefault="00A8663D" w:rsidP="00A8663D">
            <w:pPr>
              <w:pStyle w:val="a6"/>
              <w:rPr>
                <w:rFonts w:ascii="Calibri" w:hAnsi="Calibri" w:cs="Calibri"/>
              </w:rPr>
            </w:pPr>
            <w:r w:rsidRPr="000B697A">
              <w:rPr>
                <w:rFonts w:ascii="Calibri" w:hAnsi="Calibri" w:cs="Calibri"/>
              </w:rPr>
              <w:t>5</w:t>
            </w:r>
          </w:p>
        </w:tc>
        <w:tc>
          <w:tcPr>
            <w:tcW w:w="617" w:type="pct"/>
          </w:tcPr>
          <w:p w:rsidR="00A8663D" w:rsidRPr="000B697A" w:rsidRDefault="00A8663D" w:rsidP="00A8663D">
            <w:pPr>
              <w:pStyle w:val="a6"/>
              <w:rPr>
                <w:rFonts w:ascii="Calibri" w:hAnsi="Calibri" w:cs="Calibri"/>
              </w:rPr>
            </w:pPr>
          </w:p>
        </w:tc>
        <w:tc>
          <w:tcPr>
            <w:tcW w:w="691" w:type="pct"/>
            <w:shd w:val="clear" w:color="auto" w:fill="auto"/>
            <w:hideMark/>
          </w:tcPr>
          <w:p w:rsidR="00A8663D" w:rsidRPr="000B697A" w:rsidRDefault="00A8663D" w:rsidP="00A8663D">
            <w:pPr>
              <w:pStyle w:val="a6"/>
              <w:rPr>
                <w:rFonts w:ascii="Calibri" w:hAnsi="Calibri" w:cs="Calibri"/>
              </w:rPr>
            </w:pPr>
            <w:r w:rsidRPr="000B697A">
              <w:rPr>
                <w:rFonts w:ascii="Calibri" w:hAnsi="Calibri" w:cs="Calibri"/>
              </w:rPr>
              <w:t>5</w:t>
            </w:r>
          </w:p>
        </w:tc>
        <w:tc>
          <w:tcPr>
            <w:tcW w:w="530" w:type="pct"/>
            <w:shd w:val="clear" w:color="auto" w:fill="auto"/>
            <w:hideMark/>
          </w:tcPr>
          <w:p w:rsidR="00A8663D" w:rsidRPr="000B697A" w:rsidRDefault="00A8663D" w:rsidP="00A8663D">
            <w:pPr>
              <w:pStyle w:val="a6"/>
              <w:rPr>
                <w:rFonts w:ascii="Calibri" w:hAnsi="Calibri" w:cs="Calibri"/>
              </w:rPr>
            </w:pPr>
          </w:p>
        </w:tc>
      </w:tr>
      <w:tr w:rsidR="00A8663D" w:rsidRPr="000B697A" w:rsidTr="00A8663D">
        <w:trPr>
          <w:trHeight w:val="170"/>
          <w:jc w:val="center"/>
        </w:trPr>
        <w:tc>
          <w:tcPr>
            <w:tcW w:w="2471" w:type="pct"/>
            <w:shd w:val="clear" w:color="auto" w:fill="auto"/>
            <w:hideMark/>
          </w:tcPr>
          <w:p w:rsidR="00A8663D" w:rsidRPr="000B697A" w:rsidRDefault="00A8663D" w:rsidP="00A8663D">
            <w:pPr>
              <w:pStyle w:val="a5"/>
              <w:rPr>
                <w:rFonts w:ascii="Calibri" w:hAnsi="Calibri" w:cs="Calibri"/>
                <w:b/>
              </w:rPr>
            </w:pPr>
            <w:r w:rsidRPr="000B697A">
              <w:rPr>
                <w:rFonts w:ascii="Calibri" w:hAnsi="Calibri" w:cs="Calibri"/>
                <w:b/>
              </w:rPr>
              <w:t>Общо</w:t>
            </w:r>
          </w:p>
        </w:tc>
        <w:tc>
          <w:tcPr>
            <w:tcW w:w="691" w:type="pct"/>
          </w:tcPr>
          <w:p w:rsidR="00A8663D" w:rsidRPr="000B697A" w:rsidRDefault="00A8663D" w:rsidP="00A8663D">
            <w:pPr>
              <w:pStyle w:val="a6"/>
              <w:rPr>
                <w:rFonts w:ascii="Calibri" w:hAnsi="Calibri" w:cs="Calibri"/>
                <w:b/>
              </w:rPr>
            </w:pPr>
            <w:r w:rsidRPr="000B697A">
              <w:rPr>
                <w:rFonts w:ascii="Calibri" w:hAnsi="Calibri" w:cs="Calibri"/>
                <w:b/>
              </w:rPr>
              <w:t>328</w:t>
            </w:r>
          </w:p>
        </w:tc>
        <w:tc>
          <w:tcPr>
            <w:tcW w:w="617" w:type="pct"/>
          </w:tcPr>
          <w:p w:rsidR="00A8663D" w:rsidRPr="000B697A" w:rsidRDefault="00A8663D" w:rsidP="00A8663D">
            <w:pPr>
              <w:pStyle w:val="a6"/>
              <w:rPr>
                <w:rFonts w:ascii="Calibri" w:hAnsi="Calibri" w:cs="Calibri"/>
                <w:b/>
              </w:rPr>
            </w:pPr>
          </w:p>
        </w:tc>
        <w:tc>
          <w:tcPr>
            <w:tcW w:w="691" w:type="pct"/>
            <w:shd w:val="clear" w:color="auto" w:fill="auto"/>
            <w:hideMark/>
          </w:tcPr>
          <w:p w:rsidR="00A8663D" w:rsidRPr="000B697A" w:rsidRDefault="000B697A" w:rsidP="00A8663D">
            <w:pPr>
              <w:pStyle w:val="a6"/>
              <w:rPr>
                <w:rFonts w:ascii="Calibri" w:hAnsi="Calibri" w:cs="Calibri"/>
                <w:b/>
              </w:rPr>
            </w:pPr>
            <w:r w:rsidRPr="000B697A">
              <w:rPr>
                <w:rFonts w:ascii="Calibri" w:hAnsi="Calibri" w:cs="Calibri"/>
                <w:b/>
              </w:rPr>
              <w:t>324</w:t>
            </w:r>
          </w:p>
        </w:tc>
        <w:tc>
          <w:tcPr>
            <w:tcW w:w="530" w:type="pct"/>
            <w:shd w:val="clear" w:color="auto" w:fill="auto"/>
            <w:hideMark/>
          </w:tcPr>
          <w:p w:rsidR="00A8663D" w:rsidRPr="000B697A" w:rsidRDefault="00A8663D" w:rsidP="00A8663D">
            <w:pPr>
              <w:pStyle w:val="a6"/>
              <w:rPr>
                <w:rFonts w:ascii="Calibri" w:hAnsi="Calibri" w:cs="Calibri"/>
                <w:b/>
              </w:rPr>
            </w:pPr>
          </w:p>
        </w:tc>
      </w:tr>
    </w:tbl>
    <w:p w:rsidR="0091013F" w:rsidRPr="000B697A" w:rsidRDefault="00DD4931" w:rsidP="007A4609">
      <w:pPr>
        <w:rPr>
          <w:rFonts w:cs="Calibri"/>
        </w:rPr>
      </w:pPr>
      <w:r w:rsidRPr="000B697A">
        <w:rPr>
          <w:rFonts w:cs="Calibri"/>
        </w:rPr>
        <w:lastRenderedPageBreak/>
        <w:t>Инвестицията в Сдружение Български инвестиционен форум е оценена и представена по цена на придобиване.</w:t>
      </w:r>
    </w:p>
    <w:p w:rsidR="007D0731" w:rsidRPr="000B697A" w:rsidRDefault="00010F33" w:rsidP="00985E8C">
      <w:pPr>
        <w:pStyle w:val="SubSubNumber"/>
        <w:outlineLvl w:val="9"/>
        <w:rPr>
          <w:rFonts w:cs="Calibri"/>
        </w:rPr>
      </w:pPr>
      <w:r w:rsidRPr="000B697A">
        <w:rPr>
          <w:rFonts w:cs="Calibri"/>
        </w:rPr>
        <w:t xml:space="preserve">Финансови активи </w:t>
      </w:r>
      <w:r w:rsidR="00541757" w:rsidRPr="000B697A">
        <w:rPr>
          <w:rFonts w:cs="Calibri"/>
        </w:rPr>
        <w:t>държани до падеж</w:t>
      </w:r>
    </w:p>
    <w:p w:rsidR="00C442DF" w:rsidRPr="000B697A" w:rsidRDefault="00B53439" w:rsidP="00C442DF">
      <w:pPr>
        <w:rPr>
          <w:rFonts w:cs="Calibri"/>
        </w:rPr>
      </w:pPr>
      <w:r w:rsidRPr="000B697A">
        <w:rPr>
          <w:rFonts w:cs="Calibri"/>
        </w:rPr>
        <w:t xml:space="preserve">Към </w:t>
      </w:r>
      <w:r w:rsidR="00A06DB0" w:rsidRPr="000B697A">
        <w:rPr>
          <w:rFonts w:cs="Calibri"/>
        </w:rPr>
        <w:t>31 декември 201</w:t>
      </w:r>
      <w:r w:rsidR="00F41E1B" w:rsidRPr="000B697A">
        <w:rPr>
          <w:rFonts w:cs="Calibri"/>
        </w:rPr>
        <w:t>7</w:t>
      </w:r>
      <w:r w:rsidR="00A06DB0" w:rsidRPr="000B697A">
        <w:rPr>
          <w:rFonts w:cs="Calibri"/>
        </w:rPr>
        <w:t xml:space="preserve"> година </w:t>
      </w:r>
      <w:r w:rsidR="005A0B08" w:rsidRPr="000B697A">
        <w:rPr>
          <w:rFonts w:cs="Calibri"/>
        </w:rPr>
        <w:t xml:space="preserve">Групата </w:t>
      </w:r>
      <w:r w:rsidR="00A06DB0" w:rsidRPr="000B697A">
        <w:rPr>
          <w:rFonts w:cs="Calibri"/>
        </w:rPr>
        <w:t>притежава държавни ценни книжа - евро облигации, закупени със сконто</w:t>
      </w:r>
      <w:r w:rsidR="00C442DF" w:rsidRPr="000B697A">
        <w:rPr>
          <w:rFonts w:cs="Calibri"/>
        </w:rPr>
        <w:t xml:space="preserve"> и премия</w:t>
      </w:r>
      <w:r w:rsidR="00A06DB0" w:rsidRPr="000B697A">
        <w:rPr>
          <w:rFonts w:cs="Calibri"/>
        </w:rPr>
        <w:t>, издадени от Министерство на финансите на Република България, както следва:</w:t>
      </w:r>
    </w:p>
    <w:p w:rsidR="00F41E1B" w:rsidRPr="000B697A" w:rsidRDefault="00F41E1B" w:rsidP="000B697A">
      <w:pPr>
        <w:pStyle w:val="a7"/>
      </w:pPr>
      <w:r w:rsidRPr="000B697A">
        <w:t>31.12.2017 г.</w:t>
      </w:r>
    </w:p>
    <w:tbl>
      <w:tblPr>
        <w:tblW w:w="10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723"/>
        <w:gridCol w:w="1220"/>
        <w:gridCol w:w="1103"/>
        <w:gridCol w:w="1233"/>
        <w:gridCol w:w="1258"/>
        <w:gridCol w:w="1271"/>
        <w:gridCol w:w="1446"/>
        <w:gridCol w:w="1300"/>
      </w:tblGrid>
      <w:tr w:rsidR="00F41E1B" w:rsidRPr="000B697A" w:rsidTr="0045294E">
        <w:trPr>
          <w:trHeight w:val="293"/>
          <w:jc w:val="center"/>
        </w:trPr>
        <w:tc>
          <w:tcPr>
            <w:tcW w:w="1723" w:type="dxa"/>
            <w:vMerge w:val="restart"/>
            <w:shd w:val="clear" w:color="auto" w:fill="4F81BD" w:themeFill="accent1"/>
            <w:hideMark/>
          </w:tcPr>
          <w:p w:rsidR="00F41E1B" w:rsidRPr="000B697A" w:rsidRDefault="00F41E1B" w:rsidP="0045294E">
            <w:pPr>
              <w:pStyle w:val="a4"/>
              <w:rPr>
                <w:rFonts w:ascii="Calibri" w:hAnsi="Calibri" w:cs="Calibri"/>
                <w:color w:val="FFFFFF" w:themeColor="background1"/>
                <w:szCs w:val="20"/>
              </w:rPr>
            </w:pPr>
            <w:r w:rsidRPr="000B697A">
              <w:rPr>
                <w:rFonts w:ascii="Calibri" w:hAnsi="Calibri" w:cs="Calibri"/>
                <w:color w:val="FFFFFF" w:themeColor="background1"/>
                <w:szCs w:val="20"/>
              </w:rPr>
              <w:t>Емисия</w:t>
            </w:r>
          </w:p>
        </w:tc>
        <w:tc>
          <w:tcPr>
            <w:tcW w:w="1220" w:type="dxa"/>
            <w:vMerge w:val="restart"/>
            <w:shd w:val="clear" w:color="auto" w:fill="4F81BD" w:themeFill="accent1"/>
            <w:hideMark/>
          </w:tcPr>
          <w:p w:rsidR="00F41E1B" w:rsidRPr="000B697A" w:rsidRDefault="00F41E1B" w:rsidP="0045294E">
            <w:pPr>
              <w:pStyle w:val="a4"/>
              <w:rPr>
                <w:rFonts w:ascii="Calibri" w:hAnsi="Calibri" w:cs="Calibri"/>
                <w:color w:val="FFFFFF" w:themeColor="background1"/>
                <w:szCs w:val="20"/>
              </w:rPr>
            </w:pPr>
            <w:r w:rsidRPr="000B697A">
              <w:rPr>
                <w:rFonts w:ascii="Calibri" w:hAnsi="Calibri" w:cs="Calibri"/>
                <w:color w:val="FFFFFF" w:themeColor="background1"/>
                <w:szCs w:val="20"/>
              </w:rPr>
              <w:t>Дата на издаване</w:t>
            </w:r>
          </w:p>
        </w:tc>
        <w:tc>
          <w:tcPr>
            <w:tcW w:w="1103" w:type="dxa"/>
            <w:vMerge w:val="restart"/>
            <w:shd w:val="clear" w:color="auto" w:fill="4F81BD" w:themeFill="accent1"/>
            <w:hideMark/>
          </w:tcPr>
          <w:p w:rsidR="00F41E1B" w:rsidRPr="000B697A" w:rsidRDefault="00F41E1B" w:rsidP="0045294E">
            <w:pPr>
              <w:pStyle w:val="a4"/>
              <w:rPr>
                <w:rFonts w:ascii="Calibri" w:hAnsi="Calibri" w:cs="Calibri"/>
                <w:color w:val="FFFFFF" w:themeColor="background1"/>
                <w:szCs w:val="20"/>
              </w:rPr>
            </w:pPr>
            <w:r w:rsidRPr="000B697A">
              <w:rPr>
                <w:rFonts w:ascii="Calibri" w:hAnsi="Calibri" w:cs="Calibri"/>
                <w:color w:val="FFFFFF" w:themeColor="background1"/>
                <w:szCs w:val="20"/>
              </w:rPr>
              <w:t>Падеж</w:t>
            </w:r>
          </w:p>
        </w:tc>
        <w:tc>
          <w:tcPr>
            <w:tcW w:w="1233" w:type="dxa"/>
            <w:vMerge w:val="restart"/>
            <w:shd w:val="clear" w:color="auto" w:fill="4F81BD" w:themeFill="accent1"/>
            <w:hideMark/>
          </w:tcPr>
          <w:p w:rsidR="00F41E1B" w:rsidRPr="000B697A" w:rsidRDefault="00F41E1B" w:rsidP="0045294E">
            <w:pPr>
              <w:pStyle w:val="a4"/>
              <w:rPr>
                <w:rFonts w:ascii="Calibri" w:hAnsi="Calibri" w:cs="Calibri"/>
                <w:color w:val="FFFFFF" w:themeColor="background1"/>
                <w:szCs w:val="20"/>
              </w:rPr>
            </w:pPr>
            <w:r w:rsidRPr="000B697A">
              <w:rPr>
                <w:rFonts w:ascii="Calibri" w:hAnsi="Calibri" w:cs="Calibri"/>
                <w:color w:val="FFFFFF" w:themeColor="background1"/>
                <w:szCs w:val="20"/>
              </w:rPr>
              <w:t>Лихва по купон</w:t>
            </w:r>
          </w:p>
        </w:tc>
        <w:tc>
          <w:tcPr>
            <w:tcW w:w="1258" w:type="dxa"/>
            <w:vMerge w:val="restart"/>
            <w:shd w:val="clear" w:color="auto" w:fill="4F81BD" w:themeFill="accent1"/>
            <w:hideMark/>
          </w:tcPr>
          <w:p w:rsidR="00F41E1B" w:rsidRPr="000B697A" w:rsidRDefault="00F41E1B" w:rsidP="0045294E">
            <w:pPr>
              <w:pStyle w:val="a4"/>
              <w:rPr>
                <w:rFonts w:ascii="Calibri" w:hAnsi="Calibri" w:cs="Calibri"/>
                <w:color w:val="FFFFFF" w:themeColor="background1"/>
                <w:szCs w:val="20"/>
              </w:rPr>
            </w:pPr>
            <w:r w:rsidRPr="000B697A">
              <w:rPr>
                <w:rFonts w:ascii="Calibri" w:hAnsi="Calibri" w:cs="Calibri"/>
                <w:color w:val="FFFFFF" w:themeColor="background1"/>
                <w:szCs w:val="20"/>
              </w:rPr>
              <w:t>Номинал на главница</w:t>
            </w:r>
          </w:p>
        </w:tc>
        <w:tc>
          <w:tcPr>
            <w:tcW w:w="1271" w:type="dxa"/>
            <w:vMerge w:val="restart"/>
            <w:shd w:val="clear" w:color="auto" w:fill="4F81BD" w:themeFill="accent1"/>
            <w:hideMark/>
          </w:tcPr>
          <w:p w:rsidR="00F41E1B" w:rsidRPr="000B697A" w:rsidRDefault="00F41E1B" w:rsidP="0045294E">
            <w:pPr>
              <w:pStyle w:val="a4"/>
              <w:rPr>
                <w:rFonts w:ascii="Calibri" w:hAnsi="Calibri" w:cs="Calibri"/>
                <w:color w:val="FFFFFF" w:themeColor="background1"/>
                <w:szCs w:val="20"/>
              </w:rPr>
            </w:pPr>
            <w:r w:rsidRPr="000B697A">
              <w:rPr>
                <w:rFonts w:ascii="Calibri" w:hAnsi="Calibri" w:cs="Calibri"/>
                <w:color w:val="FFFFFF" w:themeColor="background1"/>
                <w:szCs w:val="20"/>
              </w:rPr>
              <w:t>Балансова стойност</w:t>
            </w:r>
          </w:p>
        </w:tc>
        <w:tc>
          <w:tcPr>
            <w:tcW w:w="1446" w:type="dxa"/>
            <w:vMerge w:val="restart"/>
            <w:shd w:val="clear" w:color="auto" w:fill="4F81BD" w:themeFill="accent1"/>
            <w:hideMark/>
          </w:tcPr>
          <w:p w:rsidR="00F41E1B" w:rsidRPr="000B697A" w:rsidRDefault="00F41E1B" w:rsidP="0045294E">
            <w:pPr>
              <w:pStyle w:val="a4"/>
              <w:rPr>
                <w:rFonts w:ascii="Calibri" w:hAnsi="Calibri" w:cs="Calibri"/>
                <w:color w:val="FFFFFF" w:themeColor="background1"/>
                <w:szCs w:val="20"/>
              </w:rPr>
            </w:pPr>
            <w:r w:rsidRPr="000B697A">
              <w:rPr>
                <w:rFonts w:ascii="Calibri" w:hAnsi="Calibri" w:cs="Calibri"/>
                <w:color w:val="FFFFFF" w:themeColor="background1"/>
                <w:szCs w:val="20"/>
              </w:rPr>
              <w:t>Балансова стойност</w:t>
            </w:r>
          </w:p>
        </w:tc>
        <w:tc>
          <w:tcPr>
            <w:tcW w:w="1300" w:type="dxa"/>
            <w:vMerge w:val="restart"/>
            <w:shd w:val="clear" w:color="auto" w:fill="4F81BD" w:themeFill="accent1"/>
            <w:hideMark/>
          </w:tcPr>
          <w:p w:rsidR="00F41E1B" w:rsidRPr="000B697A" w:rsidRDefault="00F41E1B" w:rsidP="0045294E">
            <w:pPr>
              <w:pStyle w:val="a4"/>
              <w:rPr>
                <w:rFonts w:ascii="Calibri" w:hAnsi="Calibri" w:cs="Calibri"/>
                <w:color w:val="FFFFFF" w:themeColor="background1"/>
                <w:szCs w:val="20"/>
              </w:rPr>
            </w:pPr>
            <w:r w:rsidRPr="000B697A">
              <w:rPr>
                <w:rFonts w:ascii="Calibri" w:hAnsi="Calibri" w:cs="Calibri"/>
                <w:color w:val="FFFFFF" w:themeColor="background1"/>
                <w:szCs w:val="20"/>
              </w:rPr>
              <w:t>Справедлива стойност</w:t>
            </w:r>
          </w:p>
        </w:tc>
      </w:tr>
      <w:tr w:rsidR="00F41E1B" w:rsidRPr="000B697A" w:rsidTr="0045294E">
        <w:trPr>
          <w:trHeight w:val="293"/>
          <w:jc w:val="center"/>
        </w:trPr>
        <w:tc>
          <w:tcPr>
            <w:tcW w:w="1723" w:type="dxa"/>
            <w:vMerge/>
            <w:shd w:val="clear" w:color="auto" w:fill="4F81BD" w:themeFill="accent1"/>
            <w:vAlign w:val="center"/>
            <w:hideMark/>
          </w:tcPr>
          <w:p w:rsidR="00F41E1B" w:rsidRPr="000B697A" w:rsidRDefault="00F41E1B" w:rsidP="0045294E">
            <w:pPr>
              <w:rPr>
                <w:rFonts w:cs="Calibri"/>
                <w:color w:val="FFFFFF" w:themeColor="background1"/>
                <w:sz w:val="20"/>
                <w:szCs w:val="20"/>
              </w:rPr>
            </w:pPr>
          </w:p>
        </w:tc>
        <w:tc>
          <w:tcPr>
            <w:tcW w:w="1220" w:type="dxa"/>
            <w:vMerge/>
            <w:shd w:val="clear" w:color="auto" w:fill="4F81BD" w:themeFill="accent1"/>
            <w:vAlign w:val="center"/>
            <w:hideMark/>
          </w:tcPr>
          <w:p w:rsidR="00F41E1B" w:rsidRPr="000B697A" w:rsidRDefault="00F41E1B" w:rsidP="0045294E">
            <w:pPr>
              <w:rPr>
                <w:rFonts w:cs="Calibri"/>
                <w:color w:val="FFFFFF" w:themeColor="background1"/>
                <w:sz w:val="20"/>
                <w:szCs w:val="20"/>
              </w:rPr>
            </w:pPr>
          </w:p>
        </w:tc>
        <w:tc>
          <w:tcPr>
            <w:tcW w:w="1103" w:type="dxa"/>
            <w:vMerge/>
            <w:shd w:val="clear" w:color="auto" w:fill="4F81BD" w:themeFill="accent1"/>
            <w:vAlign w:val="center"/>
            <w:hideMark/>
          </w:tcPr>
          <w:p w:rsidR="00F41E1B" w:rsidRPr="000B697A" w:rsidRDefault="00F41E1B" w:rsidP="0045294E">
            <w:pPr>
              <w:rPr>
                <w:rFonts w:cs="Calibri"/>
                <w:color w:val="FFFFFF" w:themeColor="background1"/>
                <w:sz w:val="20"/>
                <w:szCs w:val="20"/>
              </w:rPr>
            </w:pPr>
          </w:p>
        </w:tc>
        <w:tc>
          <w:tcPr>
            <w:tcW w:w="1233" w:type="dxa"/>
            <w:vMerge/>
            <w:shd w:val="clear" w:color="auto" w:fill="4F81BD" w:themeFill="accent1"/>
            <w:vAlign w:val="center"/>
            <w:hideMark/>
          </w:tcPr>
          <w:p w:rsidR="00F41E1B" w:rsidRPr="000B697A" w:rsidRDefault="00F41E1B" w:rsidP="0045294E">
            <w:pPr>
              <w:rPr>
                <w:rFonts w:cs="Calibri"/>
                <w:color w:val="FFFFFF" w:themeColor="background1"/>
                <w:sz w:val="20"/>
                <w:szCs w:val="20"/>
              </w:rPr>
            </w:pPr>
          </w:p>
        </w:tc>
        <w:tc>
          <w:tcPr>
            <w:tcW w:w="1258" w:type="dxa"/>
            <w:vMerge/>
            <w:shd w:val="clear" w:color="auto" w:fill="4F81BD" w:themeFill="accent1"/>
            <w:vAlign w:val="center"/>
            <w:hideMark/>
          </w:tcPr>
          <w:p w:rsidR="00F41E1B" w:rsidRPr="000B697A" w:rsidRDefault="00F41E1B" w:rsidP="0045294E">
            <w:pPr>
              <w:rPr>
                <w:rFonts w:cs="Calibri"/>
                <w:color w:val="FFFFFF" w:themeColor="background1"/>
                <w:sz w:val="20"/>
                <w:szCs w:val="20"/>
              </w:rPr>
            </w:pPr>
          </w:p>
        </w:tc>
        <w:tc>
          <w:tcPr>
            <w:tcW w:w="1271" w:type="dxa"/>
            <w:vMerge/>
            <w:shd w:val="clear" w:color="auto" w:fill="4F81BD" w:themeFill="accent1"/>
            <w:vAlign w:val="center"/>
            <w:hideMark/>
          </w:tcPr>
          <w:p w:rsidR="00F41E1B" w:rsidRPr="000B697A" w:rsidRDefault="00F41E1B" w:rsidP="0045294E">
            <w:pPr>
              <w:rPr>
                <w:rFonts w:cs="Calibri"/>
                <w:color w:val="FFFFFF" w:themeColor="background1"/>
                <w:sz w:val="20"/>
                <w:szCs w:val="20"/>
              </w:rPr>
            </w:pPr>
          </w:p>
        </w:tc>
        <w:tc>
          <w:tcPr>
            <w:tcW w:w="1446" w:type="dxa"/>
            <w:vMerge/>
            <w:shd w:val="clear" w:color="auto" w:fill="4F81BD" w:themeFill="accent1"/>
            <w:vAlign w:val="center"/>
            <w:hideMark/>
          </w:tcPr>
          <w:p w:rsidR="00F41E1B" w:rsidRPr="000B697A" w:rsidRDefault="00F41E1B" w:rsidP="0045294E">
            <w:pPr>
              <w:rPr>
                <w:rFonts w:cs="Calibri"/>
                <w:color w:val="FFFFFF" w:themeColor="background1"/>
                <w:sz w:val="20"/>
                <w:szCs w:val="20"/>
              </w:rPr>
            </w:pPr>
          </w:p>
        </w:tc>
        <w:tc>
          <w:tcPr>
            <w:tcW w:w="1300" w:type="dxa"/>
            <w:vMerge/>
            <w:shd w:val="clear" w:color="auto" w:fill="4F81BD" w:themeFill="accent1"/>
            <w:vAlign w:val="center"/>
            <w:hideMark/>
          </w:tcPr>
          <w:p w:rsidR="00F41E1B" w:rsidRPr="000B697A" w:rsidRDefault="00F41E1B" w:rsidP="0045294E">
            <w:pPr>
              <w:rPr>
                <w:rFonts w:cs="Calibri"/>
                <w:color w:val="FFFFFF" w:themeColor="background1"/>
                <w:sz w:val="20"/>
                <w:szCs w:val="20"/>
              </w:rPr>
            </w:pPr>
          </w:p>
        </w:tc>
      </w:tr>
      <w:tr w:rsidR="00F41E1B" w:rsidRPr="000B697A" w:rsidTr="0045294E">
        <w:trPr>
          <w:trHeight w:val="170"/>
          <w:jc w:val="center"/>
        </w:trPr>
        <w:tc>
          <w:tcPr>
            <w:tcW w:w="1723" w:type="dxa"/>
            <w:shd w:val="clear" w:color="auto" w:fill="4F81BD" w:themeFill="accent1"/>
            <w:hideMark/>
          </w:tcPr>
          <w:p w:rsidR="00F41E1B" w:rsidRPr="000B697A" w:rsidRDefault="00F41E1B" w:rsidP="0045294E">
            <w:pPr>
              <w:pStyle w:val="a5"/>
              <w:jc w:val="center"/>
              <w:rPr>
                <w:rFonts w:ascii="Calibri" w:hAnsi="Calibri" w:cs="Calibri"/>
                <w:color w:val="FFFFFF" w:themeColor="background1"/>
                <w:szCs w:val="20"/>
              </w:rPr>
            </w:pPr>
          </w:p>
        </w:tc>
        <w:tc>
          <w:tcPr>
            <w:tcW w:w="1220" w:type="dxa"/>
            <w:shd w:val="clear" w:color="auto" w:fill="4F81BD" w:themeFill="accent1"/>
            <w:hideMark/>
          </w:tcPr>
          <w:p w:rsidR="00F41E1B" w:rsidRPr="000B697A" w:rsidRDefault="00F41E1B" w:rsidP="0045294E">
            <w:pPr>
              <w:pStyle w:val="a5"/>
              <w:jc w:val="center"/>
              <w:rPr>
                <w:rFonts w:ascii="Calibri" w:hAnsi="Calibri" w:cs="Calibri"/>
                <w:color w:val="FFFFFF" w:themeColor="background1"/>
                <w:szCs w:val="20"/>
              </w:rPr>
            </w:pPr>
          </w:p>
        </w:tc>
        <w:tc>
          <w:tcPr>
            <w:tcW w:w="1103" w:type="dxa"/>
            <w:shd w:val="clear" w:color="auto" w:fill="4F81BD" w:themeFill="accent1"/>
            <w:hideMark/>
          </w:tcPr>
          <w:p w:rsidR="00F41E1B" w:rsidRPr="000B697A" w:rsidRDefault="00F41E1B" w:rsidP="0045294E">
            <w:pPr>
              <w:pStyle w:val="a5"/>
              <w:jc w:val="center"/>
              <w:rPr>
                <w:rFonts w:ascii="Calibri" w:hAnsi="Calibri" w:cs="Calibri"/>
                <w:color w:val="FFFFFF" w:themeColor="background1"/>
                <w:szCs w:val="20"/>
              </w:rPr>
            </w:pPr>
          </w:p>
        </w:tc>
        <w:tc>
          <w:tcPr>
            <w:tcW w:w="1233" w:type="dxa"/>
            <w:shd w:val="clear" w:color="auto" w:fill="4F81BD" w:themeFill="accent1"/>
            <w:hideMark/>
          </w:tcPr>
          <w:p w:rsidR="00F41E1B" w:rsidRPr="000B697A" w:rsidRDefault="00F41E1B" w:rsidP="0045294E">
            <w:pPr>
              <w:pStyle w:val="a5"/>
              <w:jc w:val="center"/>
              <w:rPr>
                <w:rFonts w:ascii="Calibri" w:hAnsi="Calibri" w:cs="Calibri"/>
                <w:color w:val="FFFFFF" w:themeColor="background1"/>
                <w:szCs w:val="20"/>
              </w:rPr>
            </w:pPr>
            <w:r w:rsidRPr="000B697A">
              <w:rPr>
                <w:rFonts w:ascii="Calibri" w:hAnsi="Calibri" w:cs="Calibri"/>
                <w:color w:val="FFFFFF" w:themeColor="background1"/>
                <w:szCs w:val="20"/>
              </w:rPr>
              <w:t>%</w:t>
            </w:r>
          </w:p>
        </w:tc>
        <w:tc>
          <w:tcPr>
            <w:tcW w:w="1258" w:type="dxa"/>
            <w:shd w:val="clear" w:color="auto" w:fill="4F81BD" w:themeFill="accent1"/>
            <w:hideMark/>
          </w:tcPr>
          <w:p w:rsidR="00F41E1B" w:rsidRPr="000B697A" w:rsidRDefault="00F41E1B" w:rsidP="0045294E">
            <w:pPr>
              <w:pStyle w:val="a5"/>
              <w:jc w:val="center"/>
              <w:rPr>
                <w:rFonts w:ascii="Calibri" w:hAnsi="Calibri" w:cs="Calibri"/>
                <w:color w:val="FFFFFF" w:themeColor="background1"/>
                <w:szCs w:val="20"/>
              </w:rPr>
            </w:pPr>
            <w:r w:rsidRPr="000B697A">
              <w:rPr>
                <w:rFonts w:ascii="Calibri" w:hAnsi="Calibri" w:cs="Calibri"/>
                <w:color w:val="FFFFFF" w:themeColor="background1"/>
                <w:szCs w:val="20"/>
              </w:rPr>
              <w:t>EUR ‘000</w:t>
            </w:r>
          </w:p>
        </w:tc>
        <w:tc>
          <w:tcPr>
            <w:tcW w:w="1271" w:type="dxa"/>
            <w:shd w:val="clear" w:color="auto" w:fill="4F81BD" w:themeFill="accent1"/>
            <w:hideMark/>
          </w:tcPr>
          <w:p w:rsidR="00F41E1B" w:rsidRPr="000B697A" w:rsidRDefault="00F41E1B" w:rsidP="0045294E">
            <w:pPr>
              <w:pStyle w:val="a5"/>
              <w:jc w:val="center"/>
              <w:rPr>
                <w:rFonts w:ascii="Calibri" w:hAnsi="Calibri" w:cs="Calibri"/>
                <w:color w:val="FFFFFF" w:themeColor="background1"/>
                <w:szCs w:val="20"/>
              </w:rPr>
            </w:pPr>
            <w:r w:rsidRPr="000B697A">
              <w:rPr>
                <w:rFonts w:ascii="Calibri" w:hAnsi="Calibri" w:cs="Calibri"/>
                <w:color w:val="FFFFFF" w:themeColor="background1"/>
                <w:szCs w:val="20"/>
              </w:rPr>
              <w:t>EUR ‘000</w:t>
            </w:r>
          </w:p>
        </w:tc>
        <w:tc>
          <w:tcPr>
            <w:tcW w:w="1446" w:type="dxa"/>
            <w:shd w:val="clear" w:color="auto" w:fill="4F81BD" w:themeFill="accent1"/>
            <w:hideMark/>
          </w:tcPr>
          <w:p w:rsidR="00F41E1B" w:rsidRPr="000B697A" w:rsidRDefault="00F41E1B" w:rsidP="0045294E">
            <w:pPr>
              <w:pStyle w:val="a5"/>
              <w:jc w:val="center"/>
              <w:rPr>
                <w:rFonts w:ascii="Calibri" w:hAnsi="Calibri" w:cs="Calibri"/>
                <w:color w:val="FFFFFF" w:themeColor="background1"/>
                <w:szCs w:val="20"/>
              </w:rPr>
            </w:pPr>
            <w:r w:rsidRPr="000B697A">
              <w:rPr>
                <w:rFonts w:ascii="Calibri" w:hAnsi="Calibri" w:cs="Calibri"/>
                <w:color w:val="FFFFFF" w:themeColor="background1"/>
                <w:szCs w:val="20"/>
              </w:rPr>
              <w:t>BGN’000</w:t>
            </w:r>
          </w:p>
        </w:tc>
        <w:tc>
          <w:tcPr>
            <w:tcW w:w="1300" w:type="dxa"/>
            <w:shd w:val="clear" w:color="auto" w:fill="4F81BD" w:themeFill="accent1"/>
            <w:hideMark/>
          </w:tcPr>
          <w:p w:rsidR="00F41E1B" w:rsidRPr="000B697A" w:rsidRDefault="00F41E1B" w:rsidP="0045294E">
            <w:pPr>
              <w:pStyle w:val="a5"/>
              <w:jc w:val="center"/>
              <w:rPr>
                <w:rFonts w:ascii="Calibri" w:hAnsi="Calibri" w:cs="Calibri"/>
                <w:color w:val="FFFFFF" w:themeColor="background1"/>
                <w:szCs w:val="20"/>
              </w:rPr>
            </w:pPr>
            <w:r w:rsidRPr="000B697A">
              <w:rPr>
                <w:rFonts w:ascii="Calibri" w:hAnsi="Calibri" w:cs="Calibri"/>
                <w:color w:val="FFFFFF" w:themeColor="background1"/>
                <w:szCs w:val="20"/>
              </w:rPr>
              <w:t>BGN’000</w:t>
            </w:r>
          </w:p>
        </w:tc>
      </w:tr>
      <w:tr w:rsidR="00F41E1B" w:rsidRPr="000B697A" w:rsidTr="0045294E">
        <w:trPr>
          <w:trHeight w:val="170"/>
          <w:jc w:val="center"/>
        </w:trPr>
        <w:tc>
          <w:tcPr>
            <w:tcW w:w="1723" w:type="dxa"/>
            <w:shd w:val="clear" w:color="auto" w:fill="auto"/>
            <w:hideMark/>
          </w:tcPr>
          <w:p w:rsidR="00F41E1B" w:rsidRPr="000B697A" w:rsidRDefault="00F41E1B" w:rsidP="0045294E">
            <w:pPr>
              <w:pStyle w:val="a5"/>
              <w:rPr>
                <w:rFonts w:ascii="Calibri" w:hAnsi="Calibri" w:cs="Calibri"/>
                <w:szCs w:val="20"/>
              </w:rPr>
            </w:pPr>
            <w:r w:rsidRPr="000B697A">
              <w:rPr>
                <w:rFonts w:ascii="Calibri" w:hAnsi="Calibri" w:cs="Calibri"/>
                <w:szCs w:val="20"/>
              </w:rPr>
              <w:t>XS1083844503</w:t>
            </w:r>
          </w:p>
        </w:tc>
        <w:tc>
          <w:tcPr>
            <w:tcW w:w="1220" w:type="dxa"/>
            <w:shd w:val="clear" w:color="auto" w:fill="auto"/>
            <w:hideMark/>
          </w:tcPr>
          <w:p w:rsidR="00F41E1B" w:rsidRPr="000B697A" w:rsidRDefault="00F41E1B" w:rsidP="0045294E">
            <w:pPr>
              <w:pStyle w:val="a6"/>
              <w:rPr>
                <w:rFonts w:ascii="Calibri" w:hAnsi="Calibri" w:cs="Calibri"/>
                <w:szCs w:val="20"/>
              </w:rPr>
            </w:pPr>
            <w:r w:rsidRPr="000B697A">
              <w:rPr>
                <w:rFonts w:ascii="Calibri" w:hAnsi="Calibri" w:cs="Calibri"/>
                <w:szCs w:val="20"/>
              </w:rPr>
              <w:t>03.07.2014</w:t>
            </w:r>
          </w:p>
        </w:tc>
        <w:tc>
          <w:tcPr>
            <w:tcW w:w="1103" w:type="dxa"/>
            <w:shd w:val="clear" w:color="auto" w:fill="auto"/>
            <w:hideMark/>
          </w:tcPr>
          <w:p w:rsidR="00F41E1B" w:rsidRPr="000B697A" w:rsidRDefault="00F41E1B" w:rsidP="0045294E">
            <w:pPr>
              <w:pStyle w:val="a6"/>
              <w:rPr>
                <w:rFonts w:ascii="Calibri" w:hAnsi="Calibri" w:cs="Calibri"/>
                <w:szCs w:val="20"/>
              </w:rPr>
            </w:pPr>
            <w:r w:rsidRPr="000B697A">
              <w:rPr>
                <w:rFonts w:ascii="Calibri" w:hAnsi="Calibri" w:cs="Calibri"/>
                <w:szCs w:val="20"/>
              </w:rPr>
              <w:t>03.09.2024</w:t>
            </w:r>
          </w:p>
        </w:tc>
        <w:tc>
          <w:tcPr>
            <w:tcW w:w="1233" w:type="dxa"/>
            <w:shd w:val="clear" w:color="auto" w:fill="auto"/>
            <w:hideMark/>
          </w:tcPr>
          <w:p w:rsidR="00F41E1B" w:rsidRPr="000B697A" w:rsidRDefault="00F41E1B" w:rsidP="0045294E">
            <w:pPr>
              <w:pStyle w:val="a6"/>
              <w:rPr>
                <w:rFonts w:ascii="Calibri" w:hAnsi="Calibri" w:cs="Calibri"/>
                <w:szCs w:val="20"/>
              </w:rPr>
            </w:pPr>
            <w:r w:rsidRPr="000B697A">
              <w:rPr>
                <w:rFonts w:ascii="Calibri" w:hAnsi="Calibri" w:cs="Calibri"/>
                <w:szCs w:val="20"/>
              </w:rPr>
              <w:t>2.95%</w:t>
            </w:r>
          </w:p>
        </w:tc>
        <w:tc>
          <w:tcPr>
            <w:tcW w:w="1258" w:type="dxa"/>
            <w:shd w:val="clear" w:color="auto" w:fill="auto"/>
            <w:hideMark/>
          </w:tcPr>
          <w:p w:rsidR="00F41E1B" w:rsidRPr="000B697A" w:rsidRDefault="00F41E1B" w:rsidP="0045294E">
            <w:pPr>
              <w:pStyle w:val="a6"/>
              <w:rPr>
                <w:rFonts w:ascii="Calibri" w:hAnsi="Calibri" w:cs="Calibri"/>
                <w:szCs w:val="20"/>
              </w:rPr>
            </w:pPr>
            <w:r w:rsidRPr="000B697A">
              <w:rPr>
                <w:rFonts w:ascii="Calibri" w:hAnsi="Calibri" w:cs="Calibri"/>
                <w:szCs w:val="20"/>
              </w:rPr>
              <w:t>1 535</w:t>
            </w:r>
          </w:p>
        </w:tc>
        <w:tc>
          <w:tcPr>
            <w:tcW w:w="1271" w:type="dxa"/>
            <w:shd w:val="clear" w:color="auto" w:fill="auto"/>
            <w:hideMark/>
          </w:tcPr>
          <w:p w:rsidR="00F41E1B" w:rsidRPr="000B697A" w:rsidRDefault="00F41E1B" w:rsidP="0045294E">
            <w:pPr>
              <w:pStyle w:val="a6"/>
              <w:rPr>
                <w:rFonts w:ascii="Calibri" w:hAnsi="Calibri" w:cs="Calibri"/>
                <w:szCs w:val="20"/>
              </w:rPr>
            </w:pPr>
            <w:r w:rsidRPr="000B697A">
              <w:rPr>
                <w:rFonts w:ascii="Calibri" w:hAnsi="Calibri" w:cs="Calibri"/>
                <w:szCs w:val="20"/>
              </w:rPr>
              <w:t>1 534</w:t>
            </w:r>
          </w:p>
        </w:tc>
        <w:tc>
          <w:tcPr>
            <w:tcW w:w="1446" w:type="dxa"/>
            <w:shd w:val="clear" w:color="auto" w:fill="auto"/>
            <w:hideMark/>
          </w:tcPr>
          <w:p w:rsidR="00F41E1B" w:rsidRPr="000B697A" w:rsidRDefault="00F41E1B" w:rsidP="0045294E">
            <w:pPr>
              <w:pStyle w:val="a6"/>
              <w:rPr>
                <w:rFonts w:ascii="Calibri" w:hAnsi="Calibri" w:cs="Calibri"/>
                <w:szCs w:val="20"/>
              </w:rPr>
            </w:pPr>
            <w:r w:rsidRPr="000B697A">
              <w:rPr>
                <w:rFonts w:ascii="Calibri" w:hAnsi="Calibri" w:cs="Calibri"/>
                <w:szCs w:val="20"/>
              </w:rPr>
              <w:t>2 999</w:t>
            </w:r>
          </w:p>
        </w:tc>
        <w:tc>
          <w:tcPr>
            <w:tcW w:w="1300" w:type="dxa"/>
            <w:shd w:val="clear" w:color="auto" w:fill="auto"/>
            <w:hideMark/>
          </w:tcPr>
          <w:p w:rsidR="00F41E1B" w:rsidRPr="000B697A" w:rsidRDefault="00F41E1B" w:rsidP="0045294E">
            <w:pPr>
              <w:pStyle w:val="a6"/>
              <w:rPr>
                <w:rFonts w:ascii="Calibri" w:hAnsi="Calibri" w:cs="Calibri"/>
                <w:color w:val="auto"/>
                <w:szCs w:val="20"/>
              </w:rPr>
            </w:pPr>
            <w:r w:rsidRPr="000B697A">
              <w:rPr>
                <w:rFonts w:ascii="Calibri" w:hAnsi="Calibri" w:cs="Calibri"/>
                <w:color w:val="auto"/>
                <w:szCs w:val="20"/>
              </w:rPr>
              <w:t>3 454</w:t>
            </w:r>
          </w:p>
        </w:tc>
      </w:tr>
      <w:tr w:rsidR="00F41E1B" w:rsidRPr="000B697A" w:rsidTr="0045294E">
        <w:trPr>
          <w:trHeight w:val="170"/>
          <w:jc w:val="center"/>
        </w:trPr>
        <w:tc>
          <w:tcPr>
            <w:tcW w:w="1723" w:type="dxa"/>
            <w:shd w:val="clear" w:color="auto" w:fill="auto"/>
            <w:hideMark/>
          </w:tcPr>
          <w:p w:rsidR="00F41E1B" w:rsidRPr="000B697A" w:rsidRDefault="00F41E1B" w:rsidP="0045294E">
            <w:pPr>
              <w:pStyle w:val="a5"/>
              <w:rPr>
                <w:rFonts w:ascii="Calibri" w:hAnsi="Calibri" w:cs="Calibri"/>
                <w:szCs w:val="20"/>
              </w:rPr>
            </w:pPr>
            <w:r w:rsidRPr="000B697A">
              <w:rPr>
                <w:rFonts w:ascii="Calibri" w:hAnsi="Calibri" w:cs="Calibri"/>
                <w:szCs w:val="20"/>
              </w:rPr>
              <w:t>XS1208855889</w:t>
            </w:r>
          </w:p>
        </w:tc>
        <w:tc>
          <w:tcPr>
            <w:tcW w:w="1220" w:type="dxa"/>
            <w:shd w:val="clear" w:color="auto" w:fill="auto"/>
            <w:hideMark/>
          </w:tcPr>
          <w:p w:rsidR="00F41E1B" w:rsidRPr="000B697A" w:rsidRDefault="00F41E1B" w:rsidP="0045294E">
            <w:pPr>
              <w:pStyle w:val="a6"/>
              <w:rPr>
                <w:rFonts w:ascii="Calibri" w:hAnsi="Calibri" w:cs="Calibri"/>
                <w:szCs w:val="20"/>
              </w:rPr>
            </w:pPr>
            <w:r w:rsidRPr="000B697A">
              <w:rPr>
                <w:rFonts w:ascii="Calibri" w:hAnsi="Calibri" w:cs="Calibri"/>
                <w:szCs w:val="20"/>
              </w:rPr>
              <w:t>26.03.2015</w:t>
            </w:r>
          </w:p>
        </w:tc>
        <w:tc>
          <w:tcPr>
            <w:tcW w:w="1103" w:type="dxa"/>
            <w:shd w:val="clear" w:color="auto" w:fill="auto"/>
            <w:hideMark/>
          </w:tcPr>
          <w:p w:rsidR="00F41E1B" w:rsidRPr="000B697A" w:rsidRDefault="00F41E1B" w:rsidP="0045294E">
            <w:pPr>
              <w:pStyle w:val="a6"/>
              <w:rPr>
                <w:rFonts w:ascii="Calibri" w:hAnsi="Calibri" w:cs="Calibri"/>
                <w:szCs w:val="20"/>
              </w:rPr>
            </w:pPr>
            <w:r w:rsidRPr="000B697A">
              <w:rPr>
                <w:rFonts w:ascii="Calibri" w:hAnsi="Calibri" w:cs="Calibri"/>
                <w:szCs w:val="20"/>
              </w:rPr>
              <w:t>26.03.2027</w:t>
            </w:r>
          </w:p>
        </w:tc>
        <w:tc>
          <w:tcPr>
            <w:tcW w:w="1233" w:type="dxa"/>
            <w:shd w:val="clear" w:color="auto" w:fill="auto"/>
            <w:hideMark/>
          </w:tcPr>
          <w:p w:rsidR="00F41E1B" w:rsidRPr="000B697A" w:rsidRDefault="00F41E1B" w:rsidP="0045294E">
            <w:pPr>
              <w:pStyle w:val="a6"/>
              <w:rPr>
                <w:rFonts w:ascii="Calibri" w:hAnsi="Calibri" w:cs="Calibri"/>
                <w:szCs w:val="20"/>
              </w:rPr>
            </w:pPr>
            <w:r w:rsidRPr="000B697A">
              <w:rPr>
                <w:rFonts w:ascii="Calibri" w:hAnsi="Calibri" w:cs="Calibri"/>
                <w:szCs w:val="20"/>
              </w:rPr>
              <w:t>2.63%</w:t>
            </w:r>
          </w:p>
        </w:tc>
        <w:tc>
          <w:tcPr>
            <w:tcW w:w="1258" w:type="dxa"/>
            <w:shd w:val="clear" w:color="auto" w:fill="auto"/>
            <w:hideMark/>
          </w:tcPr>
          <w:p w:rsidR="00F41E1B" w:rsidRPr="000B697A" w:rsidRDefault="00F41E1B" w:rsidP="0045294E">
            <w:pPr>
              <w:pStyle w:val="a6"/>
              <w:rPr>
                <w:rFonts w:ascii="Calibri" w:hAnsi="Calibri" w:cs="Calibri"/>
                <w:szCs w:val="20"/>
              </w:rPr>
            </w:pPr>
            <w:r w:rsidRPr="000B697A">
              <w:rPr>
                <w:rFonts w:ascii="Calibri" w:hAnsi="Calibri" w:cs="Calibri"/>
                <w:szCs w:val="20"/>
              </w:rPr>
              <w:t>520</w:t>
            </w:r>
          </w:p>
        </w:tc>
        <w:tc>
          <w:tcPr>
            <w:tcW w:w="1271" w:type="dxa"/>
            <w:shd w:val="clear" w:color="auto" w:fill="auto"/>
            <w:hideMark/>
          </w:tcPr>
          <w:p w:rsidR="00F41E1B" w:rsidRPr="000B697A" w:rsidRDefault="00F41E1B" w:rsidP="0045294E">
            <w:pPr>
              <w:pStyle w:val="a6"/>
              <w:widowControl w:val="0"/>
              <w:ind w:firstLine="709"/>
              <w:rPr>
                <w:rFonts w:ascii="Calibri" w:hAnsi="Calibri" w:cs="Calibri"/>
                <w:szCs w:val="20"/>
              </w:rPr>
            </w:pPr>
            <w:r w:rsidRPr="000B697A">
              <w:rPr>
                <w:rFonts w:ascii="Calibri" w:hAnsi="Calibri" w:cs="Calibri"/>
                <w:szCs w:val="20"/>
              </w:rPr>
              <w:t>521</w:t>
            </w:r>
          </w:p>
        </w:tc>
        <w:tc>
          <w:tcPr>
            <w:tcW w:w="1446" w:type="dxa"/>
            <w:shd w:val="clear" w:color="auto" w:fill="auto"/>
            <w:hideMark/>
          </w:tcPr>
          <w:p w:rsidR="00F41E1B" w:rsidRPr="000B697A" w:rsidRDefault="00F41E1B" w:rsidP="0045294E">
            <w:pPr>
              <w:pStyle w:val="a6"/>
              <w:rPr>
                <w:rFonts w:ascii="Calibri" w:hAnsi="Calibri" w:cs="Calibri"/>
              </w:rPr>
            </w:pPr>
            <w:r w:rsidRPr="000B697A">
              <w:rPr>
                <w:rFonts w:ascii="Calibri" w:hAnsi="Calibri" w:cs="Calibri"/>
              </w:rPr>
              <w:t>1 019</w:t>
            </w:r>
          </w:p>
        </w:tc>
        <w:tc>
          <w:tcPr>
            <w:tcW w:w="1300" w:type="dxa"/>
            <w:shd w:val="clear" w:color="auto" w:fill="auto"/>
            <w:hideMark/>
          </w:tcPr>
          <w:p w:rsidR="00F41E1B" w:rsidRPr="000B697A" w:rsidRDefault="00F41E1B" w:rsidP="0045294E">
            <w:pPr>
              <w:pStyle w:val="a6"/>
              <w:widowControl w:val="0"/>
              <w:ind w:firstLine="709"/>
              <w:rPr>
                <w:rFonts w:ascii="Calibri" w:hAnsi="Calibri" w:cs="Calibri"/>
                <w:color w:val="auto"/>
                <w:szCs w:val="20"/>
              </w:rPr>
            </w:pPr>
            <w:r w:rsidRPr="000B697A">
              <w:rPr>
                <w:rFonts w:ascii="Calibri" w:hAnsi="Calibri" w:cs="Calibri"/>
                <w:color w:val="auto"/>
                <w:szCs w:val="20"/>
              </w:rPr>
              <w:t>1 152</w:t>
            </w:r>
          </w:p>
        </w:tc>
      </w:tr>
      <w:tr w:rsidR="00F41E1B" w:rsidRPr="000B697A" w:rsidTr="0045294E">
        <w:trPr>
          <w:trHeight w:val="170"/>
          <w:jc w:val="center"/>
        </w:trPr>
        <w:tc>
          <w:tcPr>
            <w:tcW w:w="1723" w:type="dxa"/>
            <w:shd w:val="clear" w:color="auto" w:fill="auto"/>
            <w:hideMark/>
          </w:tcPr>
          <w:p w:rsidR="00F41E1B" w:rsidRPr="000B697A" w:rsidRDefault="00F41E1B" w:rsidP="0045294E">
            <w:pPr>
              <w:pStyle w:val="a5"/>
              <w:jc w:val="center"/>
              <w:rPr>
                <w:rFonts w:ascii="Calibri" w:hAnsi="Calibri" w:cs="Calibri"/>
                <w:szCs w:val="20"/>
              </w:rPr>
            </w:pPr>
          </w:p>
        </w:tc>
        <w:tc>
          <w:tcPr>
            <w:tcW w:w="1220" w:type="dxa"/>
            <w:shd w:val="clear" w:color="auto" w:fill="auto"/>
            <w:hideMark/>
          </w:tcPr>
          <w:p w:rsidR="00F41E1B" w:rsidRPr="000B697A" w:rsidRDefault="00F41E1B" w:rsidP="0045294E">
            <w:pPr>
              <w:pStyle w:val="a6"/>
              <w:jc w:val="center"/>
              <w:rPr>
                <w:rFonts w:ascii="Calibri" w:hAnsi="Calibri" w:cs="Calibri"/>
                <w:szCs w:val="20"/>
              </w:rPr>
            </w:pPr>
          </w:p>
        </w:tc>
        <w:tc>
          <w:tcPr>
            <w:tcW w:w="1103" w:type="dxa"/>
            <w:shd w:val="clear" w:color="auto" w:fill="auto"/>
            <w:hideMark/>
          </w:tcPr>
          <w:p w:rsidR="00F41E1B" w:rsidRPr="000B697A" w:rsidRDefault="00F41E1B" w:rsidP="0045294E">
            <w:pPr>
              <w:pStyle w:val="a6"/>
              <w:jc w:val="center"/>
              <w:rPr>
                <w:rFonts w:ascii="Calibri" w:hAnsi="Calibri" w:cs="Calibri"/>
                <w:szCs w:val="20"/>
              </w:rPr>
            </w:pPr>
          </w:p>
        </w:tc>
        <w:tc>
          <w:tcPr>
            <w:tcW w:w="1233" w:type="dxa"/>
            <w:shd w:val="clear" w:color="auto" w:fill="auto"/>
            <w:hideMark/>
          </w:tcPr>
          <w:p w:rsidR="00F41E1B" w:rsidRPr="000B697A" w:rsidRDefault="00F41E1B" w:rsidP="0045294E">
            <w:pPr>
              <w:pStyle w:val="a6"/>
              <w:jc w:val="center"/>
              <w:rPr>
                <w:rFonts w:ascii="Calibri" w:hAnsi="Calibri" w:cs="Calibri"/>
                <w:szCs w:val="20"/>
              </w:rPr>
            </w:pPr>
          </w:p>
        </w:tc>
        <w:tc>
          <w:tcPr>
            <w:tcW w:w="1258" w:type="dxa"/>
            <w:shd w:val="clear" w:color="auto" w:fill="auto"/>
            <w:hideMark/>
          </w:tcPr>
          <w:p w:rsidR="00F41E1B" w:rsidRPr="000B697A" w:rsidRDefault="00F41E1B" w:rsidP="0045294E">
            <w:pPr>
              <w:pStyle w:val="a6"/>
              <w:jc w:val="center"/>
              <w:rPr>
                <w:rFonts w:ascii="Calibri" w:hAnsi="Calibri" w:cs="Calibri"/>
                <w:szCs w:val="20"/>
              </w:rPr>
            </w:pPr>
          </w:p>
        </w:tc>
        <w:tc>
          <w:tcPr>
            <w:tcW w:w="1271" w:type="dxa"/>
            <w:shd w:val="clear" w:color="auto" w:fill="auto"/>
            <w:hideMark/>
          </w:tcPr>
          <w:p w:rsidR="00F41E1B" w:rsidRPr="000B697A" w:rsidRDefault="00F41E1B" w:rsidP="0045294E">
            <w:pPr>
              <w:pStyle w:val="a6"/>
              <w:jc w:val="center"/>
              <w:rPr>
                <w:rFonts w:ascii="Calibri" w:hAnsi="Calibri" w:cs="Calibri"/>
                <w:szCs w:val="20"/>
              </w:rPr>
            </w:pPr>
          </w:p>
        </w:tc>
        <w:tc>
          <w:tcPr>
            <w:tcW w:w="1446" w:type="dxa"/>
            <w:shd w:val="clear" w:color="auto" w:fill="auto"/>
            <w:hideMark/>
          </w:tcPr>
          <w:p w:rsidR="00F41E1B" w:rsidRPr="000B697A" w:rsidRDefault="00F41E1B" w:rsidP="0045294E">
            <w:pPr>
              <w:pStyle w:val="a6"/>
              <w:rPr>
                <w:rFonts w:ascii="Calibri" w:hAnsi="Calibri" w:cs="Calibri"/>
                <w:b/>
                <w:szCs w:val="20"/>
              </w:rPr>
            </w:pPr>
            <w:r w:rsidRPr="000B697A">
              <w:rPr>
                <w:rFonts w:ascii="Calibri" w:hAnsi="Calibri" w:cs="Calibri"/>
                <w:b/>
                <w:szCs w:val="20"/>
              </w:rPr>
              <w:t>4 018</w:t>
            </w:r>
          </w:p>
        </w:tc>
        <w:tc>
          <w:tcPr>
            <w:tcW w:w="1300" w:type="dxa"/>
            <w:shd w:val="clear" w:color="auto" w:fill="auto"/>
            <w:hideMark/>
          </w:tcPr>
          <w:p w:rsidR="00F41E1B" w:rsidRPr="000B697A" w:rsidRDefault="00F41E1B" w:rsidP="0045294E">
            <w:pPr>
              <w:pStyle w:val="a6"/>
              <w:widowControl w:val="0"/>
              <w:ind w:firstLine="709"/>
              <w:rPr>
                <w:rFonts w:ascii="Calibri" w:hAnsi="Calibri" w:cs="Calibri"/>
                <w:b/>
                <w:color w:val="auto"/>
                <w:szCs w:val="20"/>
              </w:rPr>
            </w:pPr>
            <w:r w:rsidRPr="000B697A">
              <w:rPr>
                <w:rFonts w:ascii="Calibri" w:hAnsi="Calibri" w:cs="Calibri"/>
                <w:b/>
                <w:color w:val="auto"/>
                <w:szCs w:val="20"/>
              </w:rPr>
              <w:t>4 606</w:t>
            </w:r>
          </w:p>
        </w:tc>
      </w:tr>
    </w:tbl>
    <w:p w:rsidR="00C442DF" w:rsidRPr="000B697A" w:rsidRDefault="00C442DF" w:rsidP="000B697A">
      <w:pPr>
        <w:pStyle w:val="a7"/>
      </w:pPr>
      <w:r w:rsidRPr="000B697A">
        <w:t>31.12.2016 г.</w:t>
      </w: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592"/>
        <w:gridCol w:w="1220"/>
        <w:gridCol w:w="1103"/>
        <w:gridCol w:w="1013"/>
        <w:gridCol w:w="1450"/>
        <w:gridCol w:w="1271"/>
        <w:gridCol w:w="1446"/>
        <w:gridCol w:w="1300"/>
      </w:tblGrid>
      <w:tr w:rsidR="00C442DF" w:rsidRPr="000B697A" w:rsidTr="004B15D6">
        <w:trPr>
          <w:trHeight w:val="293"/>
          <w:jc w:val="center"/>
        </w:trPr>
        <w:tc>
          <w:tcPr>
            <w:tcW w:w="1592" w:type="dxa"/>
            <w:vMerge w:val="restart"/>
            <w:shd w:val="clear" w:color="auto" w:fill="4F81BD" w:themeFill="accent1"/>
            <w:hideMark/>
          </w:tcPr>
          <w:p w:rsidR="00C442DF" w:rsidRPr="000B697A" w:rsidRDefault="00C442DF" w:rsidP="004B15D6">
            <w:pPr>
              <w:pStyle w:val="a4"/>
              <w:rPr>
                <w:rFonts w:ascii="Calibri" w:hAnsi="Calibri" w:cs="Calibri"/>
                <w:color w:val="FFFFFF" w:themeColor="background1"/>
                <w:szCs w:val="20"/>
              </w:rPr>
            </w:pPr>
            <w:r w:rsidRPr="000B697A">
              <w:rPr>
                <w:rFonts w:ascii="Calibri" w:hAnsi="Calibri" w:cs="Calibri"/>
                <w:color w:val="FFFFFF" w:themeColor="background1"/>
                <w:szCs w:val="20"/>
              </w:rPr>
              <w:t>Емисия</w:t>
            </w:r>
          </w:p>
        </w:tc>
        <w:tc>
          <w:tcPr>
            <w:tcW w:w="1220" w:type="dxa"/>
            <w:vMerge w:val="restart"/>
            <w:shd w:val="clear" w:color="auto" w:fill="4F81BD" w:themeFill="accent1"/>
            <w:hideMark/>
          </w:tcPr>
          <w:p w:rsidR="00C442DF" w:rsidRPr="000B697A" w:rsidRDefault="00C442DF" w:rsidP="004B15D6">
            <w:pPr>
              <w:pStyle w:val="a4"/>
              <w:rPr>
                <w:rFonts w:ascii="Calibri" w:hAnsi="Calibri" w:cs="Calibri"/>
                <w:color w:val="FFFFFF" w:themeColor="background1"/>
                <w:szCs w:val="20"/>
              </w:rPr>
            </w:pPr>
            <w:r w:rsidRPr="000B697A">
              <w:rPr>
                <w:rFonts w:ascii="Calibri" w:hAnsi="Calibri" w:cs="Calibri"/>
                <w:color w:val="FFFFFF" w:themeColor="background1"/>
                <w:szCs w:val="20"/>
              </w:rPr>
              <w:t>Дата на издаване</w:t>
            </w:r>
          </w:p>
        </w:tc>
        <w:tc>
          <w:tcPr>
            <w:tcW w:w="1103" w:type="dxa"/>
            <w:vMerge w:val="restart"/>
            <w:shd w:val="clear" w:color="auto" w:fill="4F81BD" w:themeFill="accent1"/>
            <w:hideMark/>
          </w:tcPr>
          <w:p w:rsidR="00C442DF" w:rsidRPr="000B697A" w:rsidRDefault="00C442DF" w:rsidP="004B15D6">
            <w:pPr>
              <w:pStyle w:val="a4"/>
              <w:rPr>
                <w:rFonts w:ascii="Calibri" w:hAnsi="Calibri" w:cs="Calibri"/>
                <w:color w:val="FFFFFF" w:themeColor="background1"/>
                <w:szCs w:val="20"/>
              </w:rPr>
            </w:pPr>
            <w:r w:rsidRPr="000B697A">
              <w:rPr>
                <w:rFonts w:ascii="Calibri" w:hAnsi="Calibri" w:cs="Calibri"/>
                <w:color w:val="FFFFFF" w:themeColor="background1"/>
                <w:szCs w:val="20"/>
              </w:rPr>
              <w:t>Падеж</w:t>
            </w:r>
          </w:p>
        </w:tc>
        <w:tc>
          <w:tcPr>
            <w:tcW w:w="1013" w:type="dxa"/>
            <w:vMerge w:val="restart"/>
            <w:shd w:val="clear" w:color="auto" w:fill="4F81BD" w:themeFill="accent1"/>
            <w:hideMark/>
          </w:tcPr>
          <w:p w:rsidR="00C442DF" w:rsidRPr="000B697A" w:rsidRDefault="00C442DF" w:rsidP="004B15D6">
            <w:pPr>
              <w:pStyle w:val="a4"/>
              <w:rPr>
                <w:rFonts w:ascii="Calibri" w:hAnsi="Calibri" w:cs="Calibri"/>
                <w:color w:val="FFFFFF" w:themeColor="background1"/>
                <w:szCs w:val="20"/>
              </w:rPr>
            </w:pPr>
            <w:r w:rsidRPr="000B697A">
              <w:rPr>
                <w:rFonts w:ascii="Calibri" w:hAnsi="Calibri" w:cs="Calibri"/>
                <w:color w:val="FFFFFF" w:themeColor="background1"/>
                <w:szCs w:val="20"/>
              </w:rPr>
              <w:t>Лихва по купон</w:t>
            </w:r>
          </w:p>
        </w:tc>
        <w:tc>
          <w:tcPr>
            <w:tcW w:w="1450" w:type="dxa"/>
            <w:vMerge w:val="restart"/>
            <w:shd w:val="clear" w:color="auto" w:fill="4F81BD" w:themeFill="accent1"/>
            <w:hideMark/>
          </w:tcPr>
          <w:p w:rsidR="00C442DF" w:rsidRPr="000B697A" w:rsidRDefault="00C442DF" w:rsidP="004B15D6">
            <w:pPr>
              <w:pStyle w:val="a4"/>
              <w:rPr>
                <w:rFonts w:ascii="Calibri" w:hAnsi="Calibri" w:cs="Calibri"/>
                <w:color w:val="FFFFFF" w:themeColor="background1"/>
                <w:szCs w:val="20"/>
              </w:rPr>
            </w:pPr>
            <w:r w:rsidRPr="000B697A">
              <w:rPr>
                <w:rFonts w:ascii="Calibri" w:hAnsi="Calibri" w:cs="Calibri"/>
                <w:color w:val="FFFFFF" w:themeColor="background1"/>
                <w:szCs w:val="20"/>
              </w:rPr>
              <w:t>Номинал на главница</w:t>
            </w:r>
          </w:p>
        </w:tc>
        <w:tc>
          <w:tcPr>
            <w:tcW w:w="1271" w:type="dxa"/>
            <w:vMerge w:val="restart"/>
            <w:shd w:val="clear" w:color="auto" w:fill="4F81BD" w:themeFill="accent1"/>
            <w:hideMark/>
          </w:tcPr>
          <w:p w:rsidR="00C442DF" w:rsidRPr="000B697A" w:rsidRDefault="00C442DF" w:rsidP="004B15D6">
            <w:pPr>
              <w:pStyle w:val="a4"/>
              <w:rPr>
                <w:rFonts w:ascii="Calibri" w:hAnsi="Calibri" w:cs="Calibri"/>
                <w:color w:val="FFFFFF" w:themeColor="background1"/>
                <w:szCs w:val="20"/>
              </w:rPr>
            </w:pPr>
            <w:r w:rsidRPr="000B697A">
              <w:rPr>
                <w:rFonts w:ascii="Calibri" w:hAnsi="Calibri" w:cs="Calibri"/>
                <w:color w:val="FFFFFF" w:themeColor="background1"/>
                <w:szCs w:val="20"/>
              </w:rPr>
              <w:t>Балансова стойност</w:t>
            </w:r>
          </w:p>
        </w:tc>
        <w:tc>
          <w:tcPr>
            <w:tcW w:w="1446" w:type="dxa"/>
            <w:vMerge w:val="restart"/>
            <w:shd w:val="clear" w:color="auto" w:fill="4F81BD" w:themeFill="accent1"/>
            <w:hideMark/>
          </w:tcPr>
          <w:p w:rsidR="00C442DF" w:rsidRPr="000B697A" w:rsidRDefault="00C442DF" w:rsidP="004B15D6">
            <w:pPr>
              <w:pStyle w:val="a4"/>
              <w:rPr>
                <w:rFonts w:ascii="Calibri" w:hAnsi="Calibri" w:cs="Calibri"/>
                <w:color w:val="FFFFFF" w:themeColor="background1"/>
                <w:szCs w:val="20"/>
              </w:rPr>
            </w:pPr>
            <w:r w:rsidRPr="000B697A">
              <w:rPr>
                <w:rFonts w:ascii="Calibri" w:hAnsi="Calibri" w:cs="Calibri"/>
                <w:color w:val="FFFFFF" w:themeColor="background1"/>
                <w:szCs w:val="20"/>
              </w:rPr>
              <w:t>Балансова стойност</w:t>
            </w:r>
          </w:p>
        </w:tc>
        <w:tc>
          <w:tcPr>
            <w:tcW w:w="1300" w:type="dxa"/>
            <w:vMerge w:val="restart"/>
            <w:shd w:val="clear" w:color="auto" w:fill="4F81BD" w:themeFill="accent1"/>
            <w:hideMark/>
          </w:tcPr>
          <w:p w:rsidR="00C442DF" w:rsidRPr="000B697A" w:rsidRDefault="00C442DF" w:rsidP="004B15D6">
            <w:pPr>
              <w:pStyle w:val="a4"/>
              <w:rPr>
                <w:rFonts w:ascii="Calibri" w:hAnsi="Calibri" w:cs="Calibri"/>
                <w:color w:val="FFFFFF" w:themeColor="background1"/>
                <w:szCs w:val="20"/>
              </w:rPr>
            </w:pPr>
            <w:r w:rsidRPr="000B697A">
              <w:rPr>
                <w:rFonts w:ascii="Calibri" w:hAnsi="Calibri" w:cs="Calibri"/>
                <w:color w:val="FFFFFF" w:themeColor="background1"/>
                <w:szCs w:val="20"/>
              </w:rPr>
              <w:t>Справедлива стойност</w:t>
            </w:r>
          </w:p>
        </w:tc>
      </w:tr>
      <w:tr w:rsidR="00C442DF" w:rsidRPr="000B697A" w:rsidTr="004B15D6">
        <w:trPr>
          <w:trHeight w:val="293"/>
          <w:jc w:val="center"/>
        </w:trPr>
        <w:tc>
          <w:tcPr>
            <w:tcW w:w="1592" w:type="dxa"/>
            <w:vMerge/>
            <w:shd w:val="clear" w:color="auto" w:fill="4F81BD" w:themeFill="accent1"/>
            <w:vAlign w:val="center"/>
            <w:hideMark/>
          </w:tcPr>
          <w:p w:rsidR="00C442DF" w:rsidRPr="000B697A" w:rsidRDefault="00C442DF" w:rsidP="004B15D6">
            <w:pPr>
              <w:rPr>
                <w:rFonts w:cs="Calibri"/>
                <w:sz w:val="20"/>
                <w:szCs w:val="20"/>
              </w:rPr>
            </w:pPr>
          </w:p>
        </w:tc>
        <w:tc>
          <w:tcPr>
            <w:tcW w:w="1220" w:type="dxa"/>
            <w:vMerge/>
            <w:shd w:val="clear" w:color="auto" w:fill="4F81BD" w:themeFill="accent1"/>
            <w:vAlign w:val="center"/>
            <w:hideMark/>
          </w:tcPr>
          <w:p w:rsidR="00C442DF" w:rsidRPr="000B697A" w:rsidRDefault="00C442DF" w:rsidP="004B15D6">
            <w:pPr>
              <w:rPr>
                <w:rFonts w:cs="Calibri"/>
                <w:sz w:val="20"/>
                <w:szCs w:val="20"/>
              </w:rPr>
            </w:pPr>
          </w:p>
        </w:tc>
        <w:tc>
          <w:tcPr>
            <w:tcW w:w="1103" w:type="dxa"/>
            <w:vMerge/>
            <w:shd w:val="clear" w:color="auto" w:fill="4F81BD" w:themeFill="accent1"/>
            <w:vAlign w:val="center"/>
            <w:hideMark/>
          </w:tcPr>
          <w:p w:rsidR="00C442DF" w:rsidRPr="000B697A" w:rsidRDefault="00C442DF" w:rsidP="004B15D6">
            <w:pPr>
              <w:rPr>
                <w:rFonts w:cs="Calibri"/>
                <w:sz w:val="20"/>
                <w:szCs w:val="20"/>
              </w:rPr>
            </w:pPr>
          </w:p>
        </w:tc>
        <w:tc>
          <w:tcPr>
            <w:tcW w:w="1013" w:type="dxa"/>
            <w:vMerge/>
            <w:shd w:val="clear" w:color="auto" w:fill="4F81BD" w:themeFill="accent1"/>
            <w:vAlign w:val="center"/>
            <w:hideMark/>
          </w:tcPr>
          <w:p w:rsidR="00C442DF" w:rsidRPr="000B697A" w:rsidRDefault="00C442DF" w:rsidP="004B15D6">
            <w:pPr>
              <w:rPr>
                <w:rFonts w:cs="Calibri"/>
                <w:sz w:val="20"/>
                <w:szCs w:val="20"/>
              </w:rPr>
            </w:pPr>
          </w:p>
        </w:tc>
        <w:tc>
          <w:tcPr>
            <w:tcW w:w="1450" w:type="dxa"/>
            <w:vMerge/>
            <w:shd w:val="clear" w:color="auto" w:fill="4F81BD" w:themeFill="accent1"/>
            <w:vAlign w:val="center"/>
            <w:hideMark/>
          </w:tcPr>
          <w:p w:rsidR="00C442DF" w:rsidRPr="000B697A" w:rsidRDefault="00C442DF" w:rsidP="004B15D6">
            <w:pPr>
              <w:rPr>
                <w:rFonts w:cs="Calibri"/>
                <w:sz w:val="20"/>
                <w:szCs w:val="20"/>
              </w:rPr>
            </w:pPr>
          </w:p>
        </w:tc>
        <w:tc>
          <w:tcPr>
            <w:tcW w:w="1271" w:type="dxa"/>
            <w:vMerge/>
            <w:shd w:val="clear" w:color="auto" w:fill="4F81BD" w:themeFill="accent1"/>
            <w:vAlign w:val="center"/>
            <w:hideMark/>
          </w:tcPr>
          <w:p w:rsidR="00C442DF" w:rsidRPr="000B697A" w:rsidRDefault="00C442DF" w:rsidP="004B15D6">
            <w:pPr>
              <w:rPr>
                <w:rFonts w:cs="Calibri"/>
                <w:sz w:val="20"/>
                <w:szCs w:val="20"/>
              </w:rPr>
            </w:pPr>
          </w:p>
        </w:tc>
        <w:tc>
          <w:tcPr>
            <w:tcW w:w="1446" w:type="dxa"/>
            <w:vMerge/>
            <w:shd w:val="clear" w:color="auto" w:fill="4F81BD" w:themeFill="accent1"/>
            <w:vAlign w:val="center"/>
            <w:hideMark/>
          </w:tcPr>
          <w:p w:rsidR="00C442DF" w:rsidRPr="000B697A" w:rsidRDefault="00C442DF" w:rsidP="004B15D6">
            <w:pPr>
              <w:rPr>
                <w:rFonts w:cs="Calibri"/>
                <w:sz w:val="20"/>
                <w:szCs w:val="20"/>
              </w:rPr>
            </w:pPr>
          </w:p>
        </w:tc>
        <w:tc>
          <w:tcPr>
            <w:tcW w:w="1300" w:type="dxa"/>
            <w:vMerge/>
            <w:shd w:val="clear" w:color="auto" w:fill="4F81BD" w:themeFill="accent1"/>
            <w:vAlign w:val="center"/>
            <w:hideMark/>
          </w:tcPr>
          <w:p w:rsidR="00C442DF" w:rsidRPr="000B697A" w:rsidRDefault="00C442DF" w:rsidP="004B15D6">
            <w:pPr>
              <w:rPr>
                <w:rFonts w:cs="Calibri"/>
                <w:sz w:val="20"/>
                <w:szCs w:val="20"/>
              </w:rPr>
            </w:pPr>
          </w:p>
        </w:tc>
      </w:tr>
      <w:tr w:rsidR="00C442DF" w:rsidRPr="000B697A" w:rsidTr="004B15D6">
        <w:trPr>
          <w:trHeight w:val="170"/>
          <w:jc w:val="center"/>
        </w:trPr>
        <w:tc>
          <w:tcPr>
            <w:tcW w:w="1592" w:type="dxa"/>
            <w:shd w:val="clear" w:color="auto" w:fill="4F81BD" w:themeFill="accent1"/>
            <w:hideMark/>
          </w:tcPr>
          <w:p w:rsidR="00C442DF" w:rsidRPr="000B697A" w:rsidRDefault="00C442DF" w:rsidP="004B15D6">
            <w:pPr>
              <w:pStyle w:val="a5"/>
              <w:jc w:val="center"/>
              <w:rPr>
                <w:rFonts w:ascii="Calibri" w:hAnsi="Calibri" w:cs="Calibri"/>
                <w:color w:val="FFFFFF" w:themeColor="background1"/>
                <w:szCs w:val="20"/>
              </w:rPr>
            </w:pPr>
          </w:p>
        </w:tc>
        <w:tc>
          <w:tcPr>
            <w:tcW w:w="1220" w:type="dxa"/>
            <w:shd w:val="clear" w:color="auto" w:fill="4F81BD" w:themeFill="accent1"/>
            <w:hideMark/>
          </w:tcPr>
          <w:p w:rsidR="00C442DF" w:rsidRPr="000B697A" w:rsidRDefault="00C442DF" w:rsidP="004B15D6">
            <w:pPr>
              <w:pStyle w:val="a5"/>
              <w:jc w:val="center"/>
              <w:rPr>
                <w:rFonts w:ascii="Calibri" w:hAnsi="Calibri" w:cs="Calibri"/>
                <w:color w:val="FFFFFF" w:themeColor="background1"/>
                <w:szCs w:val="20"/>
              </w:rPr>
            </w:pPr>
          </w:p>
        </w:tc>
        <w:tc>
          <w:tcPr>
            <w:tcW w:w="1103" w:type="dxa"/>
            <w:shd w:val="clear" w:color="auto" w:fill="4F81BD" w:themeFill="accent1"/>
            <w:hideMark/>
          </w:tcPr>
          <w:p w:rsidR="00C442DF" w:rsidRPr="000B697A" w:rsidRDefault="00C442DF" w:rsidP="004B15D6">
            <w:pPr>
              <w:pStyle w:val="a5"/>
              <w:jc w:val="center"/>
              <w:rPr>
                <w:rFonts w:ascii="Calibri" w:hAnsi="Calibri" w:cs="Calibri"/>
                <w:color w:val="FFFFFF" w:themeColor="background1"/>
                <w:szCs w:val="20"/>
              </w:rPr>
            </w:pPr>
          </w:p>
        </w:tc>
        <w:tc>
          <w:tcPr>
            <w:tcW w:w="1013" w:type="dxa"/>
            <w:shd w:val="clear" w:color="auto" w:fill="4F81BD" w:themeFill="accent1"/>
            <w:hideMark/>
          </w:tcPr>
          <w:p w:rsidR="00C442DF" w:rsidRPr="000B697A" w:rsidRDefault="00C442DF" w:rsidP="004B15D6">
            <w:pPr>
              <w:pStyle w:val="a5"/>
              <w:jc w:val="center"/>
              <w:rPr>
                <w:rFonts w:ascii="Calibri" w:hAnsi="Calibri" w:cs="Calibri"/>
                <w:color w:val="FFFFFF" w:themeColor="background1"/>
                <w:szCs w:val="20"/>
              </w:rPr>
            </w:pPr>
            <w:r w:rsidRPr="000B697A">
              <w:rPr>
                <w:rFonts w:ascii="Calibri" w:hAnsi="Calibri" w:cs="Calibri"/>
                <w:color w:val="FFFFFF" w:themeColor="background1"/>
                <w:szCs w:val="20"/>
              </w:rPr>
              <w:t>%</w:t>
            </w:r>
          </w:p>
        </w:tc>
        <w:tc>
          <w:tcPr>
            <w:tcW w:w="1450" w:type="dxa"/>
            <w:shd w:val="clear" w:color="auto" w:fill="4F81BD" w:themeFill="accent1"/>
            <w:hideMark/>
          </w:tcPr>
          <w:p w:rsidR="00C442DF" w:rsidRPr="000B697A" w:rsidRDefault="00C442DF" w:rsidP="004B15D6">
            <w:pPr>
              <w:pStyle w:val="a5"/>
              <w:jc w:val="center"/>
              <w:rPr>
                <w:rFonts w:ascii="Calibri" w:hAnsi="Calibri" w:cs="Calibri"/>
                <w:color w:val="FFFFFF" w:themeColor="background1"/>
                <w:szCs w:val="20"/>
              </w:rPr>
            </w:pPr>
            <w:r w:rsidRPr="000B697A">
              <w:rPr>
                <w:rFonts w:ascii="Calibri" w:hAnsi="Calibri" w:cs="Calibri"/>
                <w:color w:val="FFFFFF" w:themeColor="background1"/>
                <w:szCs w:val="20"/>
              </w:rPr>
              <w:t>EUR ‘000</w:t>
            </w:r>
          </w:p>
        </w:tc>
        <w:tc>
          <w:tcPr>
            <w:tcW w:w="1271" w:type="dxa"/>
            <w:shd w:val="clear" w:color="auto" w:fill="4F81BD" w:themeFill="accent1"/>
            <w:hideMark/>
          </w:tcPr>
          <w:p w:rsidR="00C442DF" w:rsidRPr="000B697A" w:rsidRDefault="00C442DF" w:rsidP="004B15D6">
            <w:pPr>
              <w:pStyle w:val="a5"/>
              <w:jc w:val="center"/>
              <w:rPr>
                <w:rFonts w:ascii="Calibri" w:hAnsi="Calibri" w:cs="Calibri"/>
                <w:color w:val="FFFFFF" w:themeColor="background1"/>
                <w:szCs w:val="20"/>
              </w:rPr>
            </w:pPr>
            <w:r w:rsidRPr="000B697A">
              <w:rPr>
                <w:rFonts w:ascii="Calibri" w:hAnsi="Calibri" w:cs="Calibri"/>
                <w:color w:val="FFFFFF" w:themeColor="background1"/>
                <w:szCs w:val="20"/>
              </w:rPr>
              <w:t>EUR ‘000</w:t>
            </w:r>
          </w:p>
        </w:tc>
        <w:tc>
          <w:tcPr>
            <w:tcW w:w="1446" w:type="dxa"/>
            <w:shd w:val="clear" w:color="auto" w:fill="4F81BD" w:themeFill="accent1"/>
            <w:hideMark/>
          </w:tcPr>
          <w:p w:rsidR="00C442DF" w:rsidRPr="000B697A" w:rsidRDefault="00C442DF" w:rsidP="004B15D6">
            <w:pPr>
              <w:pStyle w:val="a5"/>
              <w:jc w:val="center"/>
              <w:rPr>
                <w:rFonts w:ascii="Calibri" w:hAnsi="Calibri" w:cs="Calibri"/>
                <w:color w:val="FFFFFF" w:themeColor="background1"/>
                <w:szCs w:val="20"/>
              </w:rPr>
            </w:pPr>
            <w:r w:rsidRPr="000B697A">
              <w:rPr>
                <w:rFonts w:ascii="Calibri" w:hAnsi="Calibri" w:cs="Calibri"/>
                <w:color w:val="FFFFFF" w:themeColor="background1"/>
                <w:szCs w:val="20"/>
              </w:rPr>
              <w:t>BGN’000</w:t>
            </w:r>
          </w:p>
        </w:tc>
        <w:tc>
          <w:tcPr>
            <w:tcW w:w="1300" w:type="dxa"/>
            <w:shd w:val="clear" w:color="auto" w:fill="4F81BD" w:themeFill="accent1"/>
            <w:hideMark/>
          </w:tcPr>
          <w:p w:rsidR="00C442DF" w:rsidRPr="000B697A" w:rsidRDefault="00C442DF" w:rsidP="004B15D6">
            <w:pPr>
              <w:pStyle w:val="a5"/>
              <w:jc w:val="center"/>
              <w:rPr>
                <w:rFonts w:ascii="Calibri" w:hAnsi="Calibri" w:cs="Calibri"/>
                <w:color w:val="FFFFFF" w:themeColor="background1"/>
                <w:szCs w:val="20"/>
              </w:rPr>
            </w:pPr>
            <w:r w:rsidRPr="000B697A">
              <w:rPr>
                <w:rFonts w:ascii="Calibri" w:hAnsi="Calibri" w:cs="Calibri"/>
                <w:color w:val="FFFFFF" w:themeColor="background1"/>
                <w:szCs w:val="20"/>
              </w:rPr>
              <w:t>BGN’000</w:t>
            </w:r>
          </w:p>
        </w:tc>
      </w:tr>
      <w:tr w:rsidR="00C442DF" w:rsidRPr="000B697A" w:rsidTr="004B15D6">
        <w:trPr>
          <w:trHeight w:val="170"/>
          <w:jc w:val="center"/>
        </w:trPr>
        <w:tc>
          <w:tcPr>
            <w:tcW w:w="1592" w:type="dxa"/>
            <w:shd w:val="clear" w:color="auto" w:fill="auto"/>
            <w:hideMark/>
          </w:tcPr>
          <w:p w:rsidR="00C442DF" w:rsidRPr="000B697A" w:rsidRDefault="00C442DF" w:rsidP="004B15D6">
            <w:pPr>
              <w:pStyle w:val="a5"/>
              <w:rPr>
                <w:rFonts w:ascii="Calibri" w:hAnsi="Calibri" w:cs="Calibri"/>
                <w:szCs w:val="20"/>
              </w:rPr>
            </w:pPr>
            <w:r w:rsidRPr="000B697A">
              <w:rPr>
                <w:rFonts w:ascii="Calibri" w:hAnsi="Calibri" w:cs="Calibri"/>
                <w:szCs w:val="20"/>
              </w:rPr>
              <w:t>XS1083844503</w:t>
            </w:r>
          </w:p>
        </w:tc>
        <w:tc>
          <w:tcPr>
            <w:tcW w:w="1220" w:type="dxa"/>
            <w:shd w:val="clear" w:color="auto" w:fill="auto"/>
            <w:hideMark/>
          </w:tcPr>
          <w:p w:rsidR="00C442DF" w:rsidRPr="000B697A" w:rsidRDefault="00C442DF" w:rsidP="004B15D6">
            <w:pPr>
              <w:pStyle w:val="a6"/>
              <w:rPr>
                <w:rFonts w:ascii="Calibri" w:hAnsi="Calibri" w:cs="Calibri"/>
                <w:szCs w:val="20"/>
              </w:rPr>
            </w:pPr>
            <w:r w:rsidRPr="000B697A">
              <w:rPr>
                <w:rFonts w:ascii="Calibri" w:hAnsi="Calibri" w:cs="Calibri"/>
                <w:szCs w:val="20"/>
              </w:rPr>
              <w:t>03.07.2014</w:t>
            </w:r>
          </w:p>
        </w:tc>
        <w:tc>
          <w:tcPr>
            <w:tcW w:w="1103" w:type="dxa"/>
            <w:shd w:val="clear" w:color="auto" w:fill="auto"/>
            <w:hideMark/>
          </w:tcPr>
          <w:p w:rsidR="00C442DF" w:rsidRPr="000B697A" w:rsidRDefault="00C442DF" w:rsidP="004B15D6">
            <w:pPr>
              <w:pStyle w:val="a6"/>
              <w:rPr>
                <w:rFonts w:ascii="Calibri" w:hAnsi="Calibri" w:cs="Calibri"/>
                <w:szCs w:val="20"/>
              </w:rPr>
            </w:pPr>
            <w:r w:rsidRPr="000B697A">
              <w:rPr>
                <w:rFonts w:ascii="Calibri" w:hAnsi="Calibri" w:cs="Calibri"/>
                <w:szCs w:val="20"/>
              </w:rPr>
              <w:t>03.09.2024</w:t>
            </w:r>
          </w:p>
        </w:tc>
        <w:tc>
          <w:tcPr>
            <w:tcW w:w="1013" w:type="dxa"/>
            <w:shd w:val="clear" w:color="auto" w:fill="auto"/>
            <w:hideMark/>
          </w:tcPr>
          <w:p w:rsidR="00C442DF" w:rsidRPr="000B697A" w:rsidRDefault="00C442DF" w:rsidP="004B15D6">
            <w:pPr>
              <w:pStyle w:val="a6"/>
              <w:rPr>
                <w:rFonts w:ascii="Calibri" w:hAnsi="Calibri" w:cs="Calibri"/>
                <w:szCs w:val="20"/>
              </w:rPr>
            </w:pPr>
            <w:r w:rsidRPr="000B697A">
              <w:rPr>
                <w:rFonts w:ascii="Calibri" w:hAnsi="Calibri" w:cs="Calibri"/>
                <w:szCs w:val="20"/>
              </w:rPr>
              <w:t>2.95%</w:t>
            </w:r>
          </w:p>
        </w:tc>
        <w:tc>
          <w:tcPr>
            <w:tcW w:w="1450" w:type="dxa"/>
            <w:shd w:val="clear" w:color="auto" w:fill="auto"/>
            <w:hideMark/>
          </w:tcPr>
          <w:p w:rsidR="00C442DF" w:rsidRPr="000B697A" w:rsidRDefault="00C442DF" w:rsidP="004B15D6">
            <w:pPr>
              <w:pStyle w:val="a6"/>
              <w:rPr>
                <w:rFonts w:ascii="Calibri" w:hAnsi="Calibri" w:cs="Calibri"/>
                <w:szCs w:val="20"/>
              </w:rPr>
            </w:pPr>
            <w:r w:rsidRPr="000B697A">
              <w:rPr>
                <w:rFonts w:ascii="Calibri" w:hAnsi="Calibri" w:cs="Calibri"/>
                <w:szCs w:val="20"/>
              </w:rPr>
              <w:t>1 535</w:t>
            </w:r>
          </w:p>
        </w:tc>
        <w:tc>
          <w:tcPr>
            <w:tcW w:w="1271" w:type="dxa"/>
            <w:shd w:val="clear" w:color="auto" w:fill="auto"/>
            <w:hideMark/>
          </w:tcPr>
          <w:p w:rsidR="00C442DF" w:rsidRPr="000B697A" w:rsidRDefault="00C442DF" w:rsidP="004B15D6">
            <w:pPr>
              <w:pStyle w:val="a6"/>
              <w:rPr>
                <w:rFonts w:ascii="Calibri" w:hAnsi="Calibri" w:cs="Calibri"/>
                <w:bCs/>
                <w:szCs w:val="20"/>
              </w:rPr>
            </w:pPr>
            <w:r w:rsidRPr="000B697A">
              <w:rPr>
                <w:rFonts w:ascii="Calibri" w:hAnsi="Calibri" w:cs="Calibri"/>
                <w:szCs w:val="20"/>
              </w:rPr>
              <w:t>1 531</w:t>
            </w:r>
          </w:p>
        </w:tc>
        <w:tc>
          <w:tcPr>
            <w:tcW w:w="1446" w:type="dxa"/>
            <w:shd w:val="clear" w:color="auto" w:fill="auto"/>
            <w:hideMark/>
          </w:tcPr>
          <w:p w:rsidR="00C442DF" w:rsidRPr="000B697A" w:rsidRDefault="00C442DF" w:rsidP="004B15D6">
            <w:pPr>
              <w:pStyle w:val="a6"/>
              <w:rPr>
                <w:rFonts w:ascii="Calibri" w:hAnsi="Calibri" w:cs="Calibri"/>
                <w:bCs/>
                <w:szCs w:val="20"/>
              </w:rPr>
            </w:pPr>
            <w:r w:rsidRPr="000B697A">
              <w:rPr>
                <w:rFonts w:ascii="Calibri" w:hAnsi="Calibri" w:cs="Calibri"/>
                <w:szCs w:val="20"/>
              </w:rPr>
              <w:t>2 995</w:t>
            </w:r>
          </w:p>
        </w:tc>
        <w:tc>
          <w:tcPr>
            <w:tcW w:w="1300" w:type="dxa"/>
            <w:shd w:val="clear" w:color="auto" w:fill="auto"/>
            <w:hideMark/>
          </w:tcPr>
          <w:p w:rsidR="00C442DF" w:rsidRPr="000B697A" w:rsidRDefault="00C442DF" w:rsidP="004B15D6">
            <w:pPr>
              <w:pStyle w:val="a6"/>
              <w:rPr>
                <w:rFonts w:ascii="Calibri" w:hAnsi="Calibri" w:cs="Calibri"/>
                <w:color w:val="auto"/>
                <w:szCs w:val="20"/>
              </w:rPr>
            </w:pPr>
            <w:r w:rsidRPr="000B697A">
              <w:rPr>
                <w:rFonts w:ascii="Calibri" w:hAnsi="Calibri" w:cs="Calibri"/>
                <w:color w:val="auto"/>
                <w:szCs w:val="20"/>
              </w:rPr>
              <w:t>3 275</w:t>
            </w:r>
          </w:p>
        </w:tc>
      </w:tr>
      <w:tr w:rsidR="00C442DF" w:rsidRPr="000B697A" w:rsidTr="004B15D6">
        <w:trPr>
          <w:trHeight w:val="170"/>
          <w:jc w:val="center"/>
        </w:trPr>
        <w:tc>
          <w:tcPr>
            <w:tcW w:w="1592" w:type="dxa"/>
            <w:shd w:val="clear" w:color="auto" w:fill="auto"/>
            <w:hideMark/>
          </w:tcPr>
          <w:p w:rsidR="00C442DF" w:rsidRPr="000B697A" w:rsidRDefault="00C442DF" w:rsidP="004B15D6">
            <w:pPr>
              <w:pStyle w:val="a5"/>
              <w:rPr>
                <w:rFonts w:ascii="Calibri" w:hAnsi="Calibri" w:cs="Calibri"/>
                <w:szCs w:val="20"/>
              </w:rPr>
            </w:pPr>
            <w:r w:rsidRPr="000B697A">
              <w:rPr>
                <w:rFonts w:ascii="Calibri" w:hAnsi="Calibri" w:cs="Calibri"/>
                <w:szCs w:val="20"/>
              </w:rPr>
              <w:t>XS1208855889</w:t>
            </w:r>
          </w:p>
        </w:tc>
        <w:tc>
          <w:tcPr>
            <w:tcW w:w="1220" w:type="dxa"/>
            <w:shd w:val="clear" w:color="auto" w:fill="auto"/>
            <w:hideMark/>
          </w:tcPr>
          <w:p w:rsidR="00C442DF" w:rsidRPr="000B697A" w:rsidRDefault="00C442DF" w:rsidP="004B15D6">
            <w:pPr>
              <w:pStyle w:val="a6"/>
              <w:rPr>
                <w:rFonts w:ascii="Calibri" w:hAnsi="Calibri" w:cs="Calibri"/>
                <w:szCs w:val="20"/>
              </w:rPr>
            </w:pPr>
            <w:r w:rsidRPr="000B697A">
              <w:rPr>
                <w:rFonts w:ascii="Calibri" w:hAnsi="Calibri" w:cs="Calibri"/>
                <w:szCs w:val="20"/>
              </w:rPr>
              <w:t>26.03.2015</w:t>
            </w:r>
          </w:p>
        </w:tc>
        <w:tc>
          <w:tcPr>
            <w:tcW w:w="1103" w:type="dxa"/>
            <w:shd w:val="clear" w:color="auto" w:fill="auto"/>
            <w:hideMark/>
          </w:tcPr>
          <w:p w:rsidR="00C442DF" w:rsidRPr="000B697A" w:rsidRDefault="00C442DF" w:rsidP="004B15D6">
            <w:pPr>
              <w:pStyle w:val="a6"/>
              <w:rPr>
                <w:rFonts w:ascii="Calibri" w:hAnsi="Calibri" w:cs="Calibri"/>
                <w:szCs w:val="20"/>
              </w:rPr>
            </w:pPr>
            <w:r w:rsidRPr="000B697A">
              <w:rPr>
                <w:rFonts w:ascii="Calibri" w:hAnsi="Calibri" w:cs="Calibri"/>
                <w:szCs w:val="20"/>
              </w:rPr>
              <w:t>26.03.2027</w:t>
            </w:r>
          </w:p>
        </w:tc>
        <w:tc>
          <w:tcPr>
            <w:tcW w:w="1013" w:type="dxa"/>
            <w:shd w:val="clear" w:color="auto" w:fill="auto"/>
            <w:hideMark/>
          </w:tcPr>
          <w:p w:rsidR="00C442DF" w:rsidRPr="000B697A" w:rsidRDefault="00C442DF" w:rsidP="004B15D6">
            <w:pPr>
              <w:pStyle w:val="a6"/>
              <w:rPr>
                <w:rFonts w:ascii="Calibri" w:hAnsi="Calibri" w:cs="Calibri"/>
                <w:szCs w:val="20"/>
              </w:rPr>
            </w:pPr>
            <w:r w:rsidRPr="000B697A">
              <w:rPr>
                <w:rFonts w:ascii="Calibri" w:hAnsi="Calibri" w:cs="Calibri"/>
                <w:szCs w:val="20"/>
              </w:rPr>
              <w:t>2.63%</w:t>
            </w:r>
          </w:p>
        </w:tc>
        <w:tc>
          <w:tcPr>
            <w:tcW w:w="1450" w:type="dxa"/>
            <w:shd w:val="clear" w:color="auto" w:fill="auto"/>
            <w:hideMark/>
          </w:tcPr>
          <w:p w:rsidR="00C442DF" w:rsidRPr="000B697A" w:rsidRDefault="00C442DF" w:rsidP="004B15D6">
            <w:pPr>
              <w:pStyle w:val="a6"/>
              <w:rPr>
                <w:rFonts w:ascii="Calibri" w:hAnsi="Calibri" w:cs="Calibri"/>
                <w:szCs w:val="20"/>
              </w:rPr>
            </w:pPr>
            <w:r w:rsidRPr="000B697A">
              <w:rPr>
                <w:rFonts w:ascii="Calibri" w:hAnsi="Calibri" w:cs="Calibri"/>
                <w:szCs w:val="20"/>
              </w:rPr>
              <w:t>520</w:t>
            </w:r>
          </w:p>
        </w:tc>
        <w:tc>
          <w:tcPr>
            <w:tcW w:w="1271" w:type="dxa"/>
            <w:shd w:val="clear" w:color="auto" w:fill="auto"/>
            <w:hideMark/>
          </w:tcPr>
          <w:p w:rsidR="00C442DF" w:rsidRPr="000B697A" w:rsidRDefault="00C442DF" w:rsidP="004B15D6">
            <w:pPr>
              <w:pStyle w:val="a6"/>
              <w:widowControl w:val="0"/>
              <w:ind w:firstLine="709"/>
              <w:rPr>
                <w:rFonts w:ascii="Calibri" w:hAnsi="Calibri" w:cs="Calibri"/>
                <w:szCs w:val="20"/>
              </w:rPr>
            </w:pPr>
            <w:r w:rsidRPr="000B697A">
              <w:rPr>
                <w:rFonts w:ascii="Calibri" w:hAnsi="Calibri" w:cs="Calibri"/>
                <w:szCs w:val="20"/>
              </w:rPr>
              <w:t>520</w:t>
            </w:r>
          </w:p>
        </w:tc>
        <w:tc>
          <w:tcPr>
            <w:tcW w:w="1446" w:type="dxa"/>
            <w:shd w:val="clear" w:color="auto" w:fill="auto"/>
            <w:hideMark/>
          </w:tcPr>
          <w:p w:rsidR="00C442DF" w:rsidRPr="000B697A" w:rsidRDefault="00C442DF" w:rsidP="004B15D6">
            <w:pPr>
              <w:pStyle w:val="a6"/>
              <w:widowControl w:val="0"/>
              <w:ind w:firstLine="709"/>
              <w:rPr>
                <w:rFonts w:ascii="Calibri" w:hAnsi="Calibri" w:cs="Calibri"/>
                <w:bCs/>
                <w:szCs w:val="20"/>
              </w:rPr>
            </w:pPr>
            <w:r w:rsidRPr="000B697A">
              <w:rPr>
                <w:rFonts w:ascii="Calibri" w:hAnsi="Calibri" w:cs="Calibri"/>
                <w:szCs w:val="20"/>
              </w:rPr>
              <w:t>1 017</w:t>
            </w:r>
          </w:p>
        </w:tc>
        <w:tc>
          <w:tcPr>
            <w:tcW w:w="1300" w:type="dxa"/>
            <w:shd w:val="clear" w:color="auto" w:fill="auto"/>
            <w:hideMark/>
          </w:tcPr>
          <w:p w:rsidR="00C442DF" w:rsidRPr="000B697A" w:rsidRDefault="00C442DF" w:rsidP="004B15D6">
            <w:pPr>
              <w:pStyle w:val="a6"/>
              <w:widowControl w:val="0"/>
              <w:ind w:firstLine="709"/>
              <w:rPr>
                <w:rFonts w:ascii="Calibri" w:hAnsi="Calibri" w:cs="Calibri"/>
                <w:color w:val="auto"/>
                <w:szCs w:val="20"/>
              </w:rPr>
            </w:pPr>
            <w:r w:rsidRPr="000B697A">
              <w:rPr>
                <w:rFonts w:ascii="Calibri" w:hAnsi="Calibri" w:cs="Calibri"/>
                <w:color w:val="auto"/>
                <w:szCs w:val="20"/>
              </w:rPr>
              <w:t>1 054</w:t>
            </w:r>
          </w:p>
        </w:tc>
      </w:tr>
      <w:tr w:rsidR="00C442DF" w:rsidRPr="000B697A" w:rsidTr="004B15D6">
        <w:trPr>
          <w:trHeight w:val="170"/>
          <w:jc w:val="center"/>
        </w:trPr>
        <w:tc>
          <w:tcPr>
            <w:tcW w:w="1592" w:type="dxa"/>
            <w:shd w:val="clear" w:color="auto" w:fill="auto"/>
            <w:hideMark/>
          </w:tcPr>
          <w:p w:rsidR="00C442DF" w:rsidRPr="000B697A" w:rsidRDefault="00C442DF" w:rsidP="004B15D6">
            <w:pPr>
              <w:pStyle w:val="a5"/>
              <w:jc w:val="center"/>
              <w:rPr>
                <w:rFonts w:ascii="Calibri" w:hAnsi="Calibri" w:cs="Calibri"/>
                <w:szCs w:val="20"/>
              </w:rPr>
            </w:pPr>
          </w:p>
        </w:tc>
        <w:tc>
          <w:tcPr>
            <w:tcW w:w="1220" w:type="dxa"/>
            <w:shd w:val="clear" w:color="auto" w:fill="auto"/>
            <w:hideMark/>
          </w:tcPr>
          <w:p w:rsidR="00C442DF" w:rsidRPr="000B697A" w:rsidRDefault="00C442DF" w:rsidP="004B15D6">
            <w:pPr>
              <w:pStyle w:val="a6"/>
              <w:jc w:val="center"/>
              <w:rPr>
                <w:rFonts w:ascii="Calibri" w:hAnsi="Calibri" w:cs="Calibri"/>
                <w:szCs w:val="20"/>
              </w:rPr>
            </w:pPr>
          </w:p>
        </w:tc>
        <w:tc>
          <w:tcPr>
            <w:tcW w:w="1103" w:type="dxa"/>
            <w:shd w:val="clear" w:color="auto" w:fill="auto"/>
            <w:hideMark/>
          </w:tcPr>
          <w:p w:rsidR="00C442DF" w:rsidRPr="000B697A" w:rsidRDefault="00C442DF" w:rsidP="004B15D6">
            <w:pPr>
              <w:pStyle w:val="a6"/>
              <w:jc w:val="center"/>
              <w:rPr>
                <w:rFonts w:ascii="Calibri" w:hAnsi="Calibri" w:cs="Calibri"/>
                <w:szCs w:val="20"/>
              </w:rPr>
            </w:pPr>
          </w:p>
        </w:tc>
        <w:tc>
          <w:tcPr>
            <w:tcW w:w="1013" w:type="dxa"/>
            <w:shd w:val="clear" w:color="auto" w:fill="auto"/>
            <w:hideMark/>
          </w:tcPr>
          <w:p w:rsidR="00C442DF" w:rsidRPr="000B697A" w:rsidRDefault="00C442DF" w:rsidP="004B15D6">
            <w:pPr>
              <w:pStyle w:val="a6"/>
              <w:jc w:val="center"/>
              <w:rPr>
                <w:rFonts w:ascii="Calibri" w:hAnsi="Calibri" w:cs="Calibri"/>
                <w:szCs w:val="20"/>
              </w:rPr>
            </w:pPr>
          </w:p>
        </w:tc>
        <w:tc>
          <w:tcPr>
            <w:tcW w:w="1450" w:type="dxa"/>
            <w:shd w:val="clear" w:color="auto" w:fill="auto"/>
            <w:hideMark/>
          </w:tcPr>
          <w:p w:rsidR="00C442DF" w:rsidRPr="000B697A" w:rsidRDefault="00C442DF" w:rsidP="004B15D6">
            <w:pPr>
              <w:pStyle w:val="a6"/>
              <w:jc w:val="center"/>
              <w:rPr>
                <w:rFonts w:ascii="Calibri" w:hAnsi="Calibri" w:cs="Calibri"/>
                <w:szCs w:val="20"/>
              </w:rPr>
            </w:pPr>
          </w:p>
        </w:tc>
        <w:tc>
          <w:tcPr>
            <w:tcW w:w="1271" w:type="dxa"/>
            <w:shd w:val="clear" w:color="auto" w:fill="auto"/>
            <w:hideMark/>
          </w:tcPr>
          <w:p w:rsidR="00C442DF" w:rsidRPr="000B697A" w:rsidRDefault="00C442DF" w:rsidP="004B15D6">
            <w:pPr>
              <w:pStyle w:val="a6"/>
              <w:jc w:val="center"/>
              <w:rPr>
                <w:rFonts w:ascii="Calibri" w:hAnsi="Calibri" w:cs="Calibri"/>
                <w:szCs w:val="20"/>
              </w:rPr>
            </w:pPr>
          </w:p>
        </w:tc>
        <w:tc>
          <w:tcPr>
            <w:tcW w:w="1446" w:type="dxa"/>
            <w:shd w:val="clear" w:color="auto" w:fill="auto"/>
            <w:hideMark/>
          </w:tcPr>
          <w:p w:rsidR="00C442DF" w:rsidRPr="000B697A" w:rsidRDefault="00C442DF" w:rsidP="004B15D6">
            <w:pPr>
              <w:pStyle w:val="a6"/>
              <w:rPr>
                <w:rFonts w:ascii="Calibri" w:hAnsi="Calibri" w:cs="Calibri"/>
                <w:b/>
                <w:bCs/>
                <w:szCs w:val="20"/>
              </w:rPr>
            </w:pPr>
            <w:r w:rsidRPr="000B697A">
              <w:rPr>
                <w:rFonts w:ascii="Calibri" w:hAnsi="Calibri" w:cs="Calibri"/>
                <w:b/>
                <w:szCs w:val="20"/>
              </w:rPr>
              <w:t>4 012</w:t>
            </w:r>
          </w:p>
        </w:tc>
        <w:tc>
          <w:tcPr>
            <w:tcW w:w="1300" w:type="dxa"/>
            <w:shd w:val="clear" w:color="auto" w:fill="auto"/>
            <w:hideMark/>
          </w:tcPr>
          <w:p w:rsidR="00C442DF" w:rsidRPr="000B697A" w:rsidRDefault="00C442DF" w:rsidP="004B15D6">
            <w:pPr>
              <w:pStyle w:val="a6"/>
              <w:widowControl w:val="0"/>
              <w:ind w:firstLine="709"/>
              <w:rPr>
                <w:rFonts w:ascii="Calibri" w:hAnsi="Calibri" w:cs="Calibri"/>
                <w:b/>
                <w:color w:val="auto"/>
                <w:szCs w:val="20"/>
              </w:rPr>
            </w:pPr>
            <w:r w:rsidRPr="000B697A">
              <w:rPr>
                <w:rFonts w:ascii="Calibri" w:hAnsi="Calibri" w:cs="Calibri"/>
                <w:b/>
                <w:color w:val="auto"/>
                <w:szCs w:val="20"/>
              </w:rPr>
              <w:t>4 329</w:t>
            </w:r>
          </w:p>
        </w:tc>
      </w:tr>
    </w:tbl>
    <w:p w:rsidR="00C442DF" w:rsidRPr="000B697A" w:rsidRDefault="00C442DF" w:rsidP="00C442DF">
      <w:pPr>
        <w:rPr>
          <w:rFonts w:cs="Calibri"/>
        </w:rPr>
      </w:pPr>
    </w:p>
    <w:p w:rsidR="00F41E1B" w:rsidRPr="000B697A" w:rsidRDefault="00F41E1B" w:rsidP="00F41E1B">
      <w:pPr>
        <w:rPr>
          <w:rFonts w:cs="Calibri"/>
        </w:rPr>
      </w:pPr>
      <w:r w:rsidRPr="000B697A">
        <w:rPr>
          <w:rFonts w:cs="Calibri"/>
        </w:rPr>
        <w:t xml:space="preserve">Към 31 декември 2017 г. инвестициите в държавни ценни книжа, държани до падеж, са представени по </w:t>
      </w:r>
      <w:proofErr w:type="spellStart"/>
      <w:r w:rsidRPr="000B697A">
        <w:rPr>
          <w:rFonts w:cs="Calibri"/>
        </w:rPr>
        <w:t>амортизируема</w:t>
      </w:r>
      <w:proofErr w:type="spellEnd"/>
      <w:r w:rsidRPr="000B697A">
        <w:rPr>
          <w:rFonts w:cs="Calibri"/>
        </w:rPr>
        <w:t xml:space="preserve"> стойност. Годишните ефективни лихвени проценти по тях са в диапазона между 2,73% и 3,31%.</w:t>
      </w:r>
    </w:p>
    <w:p w:rsidR="00D34391" w:rsidRPr="000B697A" w:rsidRDefault="00F41E1B" w:rsidP="00F41E1B">
      <w:pPr>
        <w:rPr>
          <w:rFonts w:cs="Calibri"/>
        </w:rPr>
      </w:pPr>
      <w:r w:rsidRPr="000B697A">
        <w:rPr>
          <w:rFonts w:cs="Calibri"/>
        </w:rPr>
        <w:t>Купонните лихвени плащания по облигациите, са дължими веднъж годишно на 3 септември за емисия XS1083844503 и на 26 март за емисия XS1208855889, закупена на 19.05.2015 година</w:t>
      </w:r>
      <w:r w:rsidR="0032202A" w:rsidRPr="000B697A">
        <w:rPr>
          <w:rFonts w:cs="Calibri"/>
        </w:rPr>
        <w:t>.</w:t>
      </w:r>
    </w:p>
    <w:p w:rsidR="000B697A" w:rsidRPr="000B697A" w:rsidRDefault="000B697A" w:rsidP="00FA3193">
      <w:pPr>
        <w:pStyle w:val="SubSubNumber"/>
        <w:outlineLvl w:val="9"/>
        <w:rPr>
          <w:rFonts w:cs="Calibri"/>
        </w:rPr>
      </w:pPr>
      <w:bookmarkStart w:id="119" w:name="_Toc536452023"/>
      <w:bookmarkStart w:id="120" w:name="_Toc4113812"/>
      <w:r w:rsidRPr="000B697A">
        <w:rPr>
          <w:rFonts w:cs="Calibri"/>
        </w:rPr>
        <w:t>Дългови инвестиции, оценявани по амортизирана стойност</w:t>
      </w:r>
      <w:bookmarkEnd w:id="119"/>
      <w:bookmarkEnd w:id="120"/>
    </w:p>
    <w:p w:rsidR="000B697A" w:rsidRPr="000B697A" w:rsidRDefault="000B697A" w:rsidP="000B697A">
      <w:pPr>
        <w:rPr>
          <w:rFonts w:cs="Calibri"/>
        </w:rPr>
      </w:pPr>
      <w:r w:rsidRPr="000B697A">
        <w:rPr>
          <w:rFonts w:cs="Calibri"/>
        </w:rPr>
        <w:t>Към 31.12.2018 г. дружеството не притежава активи, оценявани по амортизирана стойност. Във връзка с договора за придобиване на 100% от капитала на Българска независима енергийна борса ЕАД (БНЕБ), между Българска фондова борса АД и Български енергиен холдинг ЕАД - едноличен собственик на капитала на БНЕБ, притежаваните държавни ценни книжа – евро облигации, държани до падеж, бяха продадени на 31.01.2018 г.</w:t>
      </w:r>
    </w:p>
    <w:p w:rsidR="000B697A" w:rsidRPr="000B697A" w:rsidRDefault="000B697A" w:rsidP="000B697A">
      <w:pPr>
        <w:rPr>
          <w:rFonts w:cs="Calibri"/>
        </w:rPr>
      </w:pPr>
      <w:r w:rsidRPr="000B697A">
        <w:rPr>
          <w:rFonts w:cs="Calibri"/>
        </w:rPr>
        <w:t xml:space="preserve">Към 31 декември 2017 г. дружеството притежава държавни ценни книжа - евро облигации, издадени от Министерство на финансите на </w:t>
      </w:r>
      <w:proofErr w:type="spellStart"/>
      <w:r w:rsidRPr="000B697A">
        <w:rPr>
          <w:rFonts w:cs="Calibri"/>
        </w:rPr>
        <w:t>РБългария</w:t>
      </w:r>
      <w:proofErr w:type="spellEnd"/>
      <w:r w:rsidRPr="000B697A">
        <w:rPr>
          <w:rFonts w:cs="Calibri"/>
        </w:rPr>
        <w:t>, както следва:</w:t>
      </w:r>
    </w:p>
    <w:p w:rsidR="000B697A" w:rsidRPr="000B697A" w:rsidRDefault="000B697A" w:rsidP="000B697A">
      <w:pPr>
        <w:pStyle w:val="a7"/>
        <w:rPr>
          <w:rFonts w:cs="Calibri"/>
        </w:rPr>
      </w:pPr>
      <w:r w:rsidRPr="000B697A">
        <w:rPr>
          <w:rFonts w:cs="Calibri"/>
        </w:rPr>
        <w:t>31.12.2017 г.</w:t>
      </w:r>
    </w:p>
    <w:tbl>
      <w:tblPr>
        <w:tblW w:w="10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723"/>
        <w:gridCol w:w="1220"/>
        <w:gridCol w:w="1103"/>
        <w:gridCol w:w="1233"/>
        <w:gridCol w:w="1258"/>
        <w:gridCol w:w="1271"/>
        <w:gridCol w:w="1446"/>
        <w:gridCol w:w="1300"/>
      </w:tblGrid>
      <w:tr w:rsidR="000B697A" w:rsidRPr="000B697A" w:rsidTr="00910AE6">
        <w:trPr>
          <w:trHeight w:val="293"/>
          <w:jc w:val="center"/>
        </w:trPr>
        <w:tc>
          <w:tcPr>
            <w:tcW w:w="1723" w:type="dxa"/>
            <w:vMerge w:val="restart"/>
            <w:shd w:val="clear" w:color="auto" w:fill="4F81BD" w:themeFill="accent1"/>
            <w:hideMark/>
          </w:tcPr>
          <w:p w:rsidR="000B697A" w:rsidRPr="000B697A" w:rsidRDefault="000B697A" w:rsidP="00910AE6">
            <w:pPr>
              <w:pStyle w:val="a4"/>
              <w:rPr>
                <w:rFonts w:ascii="Calibri" w:hAnsi="Calibri" w:cs="Calibri"/>
                <w:color w:val="FFFFFF" w:themeColor="background1"/>
                <w:szCs w:val="20"/>
              </w:rPr>
            </w:pPr>
            <w:r w:rsidRPr="000B697A">
              <w:rPr>
                <w:rFonts w:ascii="Calibri" w:hAnsi="Calibri" w:cs="Calibri"/>
                <w:color w:val="FFFFFF" w:themeColor="background1"/>
                <w:szCs w:val="20"/>
              </w:rPr>
              <w:t>Емисия</w:t>
            </w:r>
          </w:p>
        </w:tc>
        <w:tc>
          <w:tcPr>
            <w:tcW w:w="1220" w:type="dxa"/>
            <w:vMerge w:val="restart"/>
            <w:shd w:val="clear" w:color="auto" w:fill="4F81BD" w:themeFill="accent1"/>
            <w:hideMark/>
          </w:tcPr>
          <w:p w:rsidR="000B697A" w:rsidRPr="000B697A" w:rsidRDefault="000B697A" w:rsidP="00910AE6">
            <w:pPr>
              <w:pStyle w:val="a4"/>
              <w:rPr>
                <w:rFonts w:ascii="Calibri" w:hAnsi="Calibri" w:cs="Calibri"/>
                <w:color w:val="FFFFFF" w:themeColor="background1"/>
                <w:szCs w:val="20"/>
              </w:rPr>
            </w:pPr>
            <w:r w:rsidRPr="000B697A">
              <w:rPr>
                <w:rFonts w:ascii="Calibri" w:hAnsi="Calibri" w:cs="Calibri"/>
                <w:color w:val="FFFFFF" w:themeColor="background1"/>
                <w:szCs w:val="20"/>
              </w:rPr>
              <w:t>Дата на издаване</w:t>
            </w:r>
          </w:p>
        </w:tc>
        <w:tc>
          <w:tcPr>
            <w:tcW w:w="1103" w:type="dxa"/>
            <w:vMerge w:val="restart"/>
            <w:shd w:val="clear" w:color="auto" w:fill="4F81BD" w:themeFill="accent1"/>
            <w:hideMark/>
          </w:tcPr>
          <w:p w:rsidR="000B697A" w:rsidRPr="000B697A" w:rsidRDefault="000B697A" w:rsidP="00910AE6">
            <w:pPr>
              <w:pStyle w:val="a4"/>
              <w:rPr>
                <w:rFonts w:ascii="Calibri" w:hAnsi="Calibri" w:cs="Calibri"/>
                <w:color w:val="FFFFFF" w:themeColor="background1"/>
                <w:szCs w:val="20"/>
              </w:rPr>
            </w:pPr>
            <w:r w:rsidRPr="000B697A">
              <w:rPr>
                <w:rFonts w:ascii="Calibri" w:hAnsi="Calibri" w:cs="Calibri"/>
                <w:color w:val="FFFFFF" w:themeColor="background1"/>
                <w:szCs w:val="20"/>
              </w:rPr>
              <w:t>Падеж</w:t>
            </w:r>
          </w:p>
        </w:tc>
        <w:tc>
          <w:tcPr>
            <w:tcW w:w="1233" w:type="dxa"/>
            <w:vMerge w:val="restart"/>
            <w:shd w:val="clear" w:color="auto" w:fill="4F81BD" w:themeFill="accent1"/>
            <w:hideMark/>
          </w:tcPr>
          <w:p w:rsidR="000B697A" w:rsidRPr="000B697A" w:rsidRDefault="000B697A" w:rsidP="00910AE6">
            <w:pPr>
              <w:pStyle w:val="a4"/>
              <w:rPr>
                <w:rFonts w:ascii="Calibri" w:hAnsi="Calibri" w:cs="Calibri"/>
                <w:color w:val="FFFFFF" w:themeColor="background1"/>
                <w:szCs w:val="20"/>
              </w:rPr>
            </w:pPr>
            <w:r w:rsidRPr="000B697A">
              <w:rPr>
                <w:rFonts w:ascii="Calibri" w:hAnsi="Calibri" w:cs="Calibri"/>
                <w:color w:val="FFFFFF" w:themeColor="background1"/>
                <w:szCs w:val="20"/>
              </w:rPr>
              <w:t>Лихва по купон</w:t>
            </w:r>
          </w:p>
        </w:tc>
        <w:tc>
          <w:tcPr>
            <w:tcW w:w="1258" w:type="dxa"/>
            <w:vMerge w:val="restart"/>
            <w:shd w:val="clear" w:color="auto" w:fill="4F81BD" w:themeFill="accent1"/>
            <w:hideMark/>
          </w:tcPr>
          <w:p w:rsidR="000B697A" w:rsidRPr="000B697A" w:rsidRDefault="000B697A" w:rsidP="00910AE6">
            <w:pPr>
              <w:pStyle w:val="a4"/>
              <w:rPr>
                <w:rFonts w:ascii="Calibri" w:hAnsi="Calibri" w:cs="Calibri"/>
                <w:color w:val="FFFFFF" w:themeColor="background1"/>
                <w:szCs w:val="20"/>
              </w:rPr>
            </w:pPr>
            <w:r w:rsidRPr="000B697A">
              <w:rPr>
                <w:rFonts w:ascii="Calibri" w:hAnsi="Calibri" w:cs="Calibri"/>
                <w:color w:val="FFFFFF" w:themeColor="background1"/>
                <w:szCs w:val="20"/>
              </w:rPr>
              <w:t>Номинал на главница</w:t>
            </w:r>
          </w:p>
        </w:tc>
        <w:tc>
          <w:tcPr>
            <w:tcW w:w="1271" w:type="dxa"/>
            <w:vMerge w:val="restart"/>
            <w:shd w:val="clear" w:color="auto" w:fill="4F81BD" w:themeFill="accent1"/>
            <w:hideMark/>
          </w:tcPr>
          <w:p w:rsidR="000B697A" w:rsidRPr="000B697A" w:rsidRDefault="000B697A" w:rsidP="00910AE6">
            <w:pPr>
              <w:pStyle w:val="a4"/>
              <w:rPr>
                <w:rFonts w:ascii="Calibri" w:hAnsi="Calibri" w:cs="Calibri"/>
                <w:color w:val="FFFFFF" w:themeColor="background1"/>
                <w:szCs w:val="20"/>
              </w:rPr>
            </w:pPr>
            <w:r w:rsidRPr="000B697A">
              <w:rPr>
                <w:rFonts w:ascii="Calibri" w:hAnsi="Calibri" w:cs="Calibri"/>
                <w:color w:val="FFFFFF" w:themeColor="background1"/>
                <w:szCs w:val="20"/>
              </w:rPr>
              <w:t>Балансова стойност</w:t>
            </w:r>
          </w:p>
        </w:tc>
        <w:tc>
          <w:tcPr>
            <w:tcW w:w="1446" w:type="dxa"/>
            <w:vMerge w:val="restart"/>
            <w:shd w:val="clear" w:color="auto" w:fill="4F81BD" w:themeFill="accent1"/>
            <w:hideMark/>
          </w:tcPr>
          <w:p w:rsidR="000B697A" w:rsidRPr="000B697A" w:rsidRDefault="000B697A" w:rsidP="00910AE6">
            <w:pPr>
              <w:pStyle w:val="a4"/>
              <w:rPr>
                <w:rFonts w:ascii="Calibri" w:hAnsi="Calibri" w:cs="Calibri"/>
                <w:color w:val="FFFFFF" w:themeColor="background1"/>
                <w:szCs w:val="20"/>
              </w:rPr>
            </w:pPr>
            <w:r w:rsidRPr="000B697A">
              <w:rPr>
                <w:rFonts w:ascii="Calibri" w:hAnsi="Calibri" w:cs="Calibri"/>
                <w:color w:val="FFFFFF" w:themeColor="background1"/>
                <w:szCs w:val="20"/>
              </w:rPr>
              <w:t>Балансова стойност</w:t>
            </w:r>
          </w:p>
        </w:tc>
        <w:tc>
          <w:tcPr>
            <w:tcW w:w="1300" w:type="dxa"/>
            <w:vMerge w:val="restart"/>
            <w:shd w:val="clear" w:color="auto" w:fill="4F81BD" w:themeFill="accent1"/>
            <w:hideMark/>
          </w:tcPr>
          <w:p w:rsidR="000B697A" w:rsidRPr="000B697A" w:rsidRDefault="000B697A" w:rsidP="00910AE6">
            <w:pPr>
              <w:pStyle w:val="a4"/>
              <w:rPr>
                <w:rFonts w:ascii="Calibri" w:hAnsi="Calibri" w:cs="Calibri"/>
                <w:color w:val="FFFFFF" w:themeColor="background1"/>
                <w:szCs w:val="20"/>
              </w:rPr>
            </w:pPr>
            <w:r w:rsidRPr="000B697A">
              <w:rPr>
                <w:rFonts w:ascii="Calibri" w:hAnsi="Calibri" w:cs="Calibri"/>
                <w:color w:val="FFFFFF" w:themeColor="background1"/>
                <w:szCs w:val="20"/>
              </w:rPr>
              <w:t>Справедлива стойност</w:t>
            </w:r>
          </w:p>
        </w:tc>
      </w:tr>
      <w:tr w:rsidR="000B697A" w:rsidRPr="000B697A" w:rsidTr="00910AE6">
        <w:trPr>
          <w:trHeight w:val="293"/>
          <w:jc w:val="center"/>
        </w:trPr>
        <w:tc>
          <w:tcPr>
            <w:tcW w:w="1723" w:type="dxa"/>
            <w:vMerge/>
            <w:shd w:val="clear" w:color="auto" w:fill="4F81BD" w:themeFill="accent1"/>
            <w:vAlign w:val="center"/>
            <w:hideMark/>
          </w:tcPr>
          <w:p w:rsidR="000B697A" w:rsidRPr="000B697A" w:rsidRDefault="000B697A" w:rsidP="00910AE6">
            <w:pPr>
              <w:rPr>
                <w:rFonts w:cs="Calibri"/>
                <w:color w:val="FFFFFF" w:themeColor="background1"/>
                <w:sz w:val="20"/>
                <w:szCs w:val="20"/>
              </w:rPr>
            </w:pPr>
          </w:p>
        </w:tc>
        <w:tc>
          <w:tcPr>
            <w:tcW w:w="1220" w:type="dxa"/>
            <w:vMerge/>
            <w:shd w:val="clear" w:color="auto" w:fill="4F81BD" w:themeFill="accent1"/>
            <w:vAlign w:val="center"/>
            <w:hideMark/>
          </w:tcPr>
          <w:p w:rsidR="000B697A" w:rsidRPr="000B697A" w:rsidRDefault="000B697A" w:rsidP="00910AE6">
            <w:pPr>
              <w:rPr>
                <w:rFonts w:cs="Calibri"/>
                <w:color w:val="FFFFFF" w:themeColor="background1"/>
                <w:sz w:val="20"/>
                <w:szCs w:val="20"/>
              </w:rPr>
            </w:pPr>
          </w:p>
        </w:tc>
        <w:tc>
          <w:tcPr>
            <w:tcW w:w="1103" w:type="dxa"/>
            <w:vMerge/>
            <w:shd w:val="clear" w:color="auto" w:fill="4F81BD" w:themeFill="accent1"/>
            <w:vAlign w:val="center"/>
            <w:hideMark/>
          </w:tcPr>
          <w:p w:rsidR="000B697A" w:rsidRPr="000B697A" w:rsidRDefault="000B697A" w:rsidP="00910AE6">
            <w:pPr>
              <w:rPr>
                <w:rFonts w:cs="Calibri"/>
                <w:color w:val="FFFFFF" w:themeColor="background1"/>
                <w:sz w:val="20"/>
                <w:szCs w:val="20"/>
              </w:rPr>
            </w:pPr>
          </w:p>
        </w:tc>
        <w:tc>
          <w:tcPr>
            <w:tcW w:w="1233" w:type="dxa"/>
            <w:vMerge/>
            <w:shd w:val="clear" w:color="auto" w:fill="4F81BD" w:themeFill="accent1"/>
            <w:vAlign w:val="center"/>
            <w:hideMark/>
          </w:tcPr>
          <w:p w:rsidR="000B697A" w:rsidRPr="000B697A" w:rsidRDefault="000B697A" w:rsidP="00910AE6">
            <w:pPr>
              <w:rPr>
                <w:rFonts w:cs="Calibri"/>
                <w:color w:val="FFFFFF" w:themeColor="background1"/>
                <w:sz w:val="20"/>
                <w:szCs w:val="20"/>
              </w:rPr>
            </w:pPr>
          </w:p>
        </w:tc>
        <w:tc>
          <w:tcPr>
            <w:tcW w:w="1258" w:type="dxa"/>
            <w:vMerge/>
            <w:shd w:val="clear" w:color="auto" w:fill="4F81BD" w:themeFill="accent1"/>
            <w:vAlign w:val="center"/>
            <w:hideMark/>
          </w:tcPr>
          <w:p w:rsidR="000B697A" w:rsidRPr="000B697A" w:rsidRDefault="000B697A" w:rsidP="00910AE6">
            <w:pPr>
              <w:rPr>
                <w:rFonts w:cs="Calibri"/>
                <w:color w:val="FFFFFF" w:themeColor="background1"/>
                <w:sz w:val="20"/>
                <w:szCs w:val="20"/>
              </w:rPr>
            </w:pPr>
          </w:p>
        </w:tc>
        <w:tc>
          <w:tcPr>
            <w:tcW w:w="1271" w:type="dxa"/>
            <w:vMerge/>
            <w:shd w:val="clear" w:color="auto" w:fill="4F81BD" w:themeFill="accent1"/>
            <w:vAlign w:val="center"/>
            <w:hideMark/>
          </w:tcPr>
          <w:p w:rsidR="000B697A" w:rsidRPr="000B697A" w:rsidRDefault="000B697A" w:rsidP="00910AE6">
            <w:pPr>
              <w:rPr>
                <w:rFonts w:cs="Calibri"/>
                <w:color w:val="FFFFFF" w:themeColor="background1"/>
                <w:sz w:val="20"/>
                <w:szCs w:val="20"/>
              </w:rPr>
            </w:pPr>
          </w:p>
        </w:tc>
        <w:tc>
          <w:tcPr>
            <w:tcW w:w="1446" w:type="dxa"/>
            <w:vMerge/>
            <w:shd w:val="clear" w:color="auto" w:fill="4F81BD" w:themeFill="accent1"/>
            <w:vAlign w:val="center"/>
            <w:hideMark/>
          </w:tcPr>
          <w:p w:rsidR="000B697A" w:rsidRPr="000B697A" w:rsidRDefault="000B697A" w:rsidP="00910AE6">
            <w:pPr>
              <w:rPr>
                <w:rFonts w:cs="Calibri"/>
                <w:color w:val="FFFFFF" w:themeColor="background1"/>
                <w:sz w:val="20"/>
                <w:szCs w:val="20"/>
              </w:rPr>
            </w:pPr>
          </w:p>
        </w:tc>
        <w:tc>
          <w:tcPr>
            <w:tcW w:w="1300" w:type="dxa"/>
            <w:vMerge/>
            <w:shd w:val="clear" w:color="auto" w:fill="4F81BD" w:themeFill="accent1"/>
            <w:vAlign w:val="center"/>
            <w:hideMark/>
          </w:tcPr>
          <w:p w:rsidR="000B697A" w:rsidRPr="000B697A" w:rsidRDefault="000B697A" w:rsidP="00910AE6">
            <w:pPr>
              <w:rPr>
                <w:rFonts w:cs="Calibri"/>
                <w:color w:val="FFFFFF" w:themeColor="background1"/>
                <w:sz w:val="20"/>
                <w:szCs w:val="20"/>
              </w:rPr>
            </w:pPr>
          </w:p>
        </w:tc>
      </w:tr>
      <w:tr w:rsidR="000B697A" w:rsidRPr="000B697A" w:rsidTr="00910AE6">
        <w:trPr>
          <w:trHeight w:val="170"/>
          <w:jc w:val="center"/>
        </w:trPr>
        <w:tc>
          <w:tcPr>
            <w:tcW w:w="1723" w:type="dxa"/>
            <w:shd w:val="clear" w:color="auto" w:fill="4F81BD" w:themeFill="accent1"/>
            <w:hideMark/>
          </w:tcPr>
          <w:p w:rsidR="000B697A" w:rsidRPr="000B697A" w:rsidRDefault="000B697A" w:rsidP="00910AE6">
            <w:pPr>
              <w:pStyle w:val="a5"/>
              <w:jc w:val="center"/>
              <w:rPr>
                <w:rFonts w:ascii="Calibri" w:hAnsi="Calibri" w:cs="Calibri"/>
                <w:color w:val="FFFFFF" w:themeColor="background1"/>
                <w:szCs w:val="20"/>
              </w:rPr>
            </w:pPr>
          </w:p>
        </w:tc>
        <w:tc>
          <w:tcPr>
            <w:tcW w:w="1220" w:type="dxa"/>
            <w:shd w:val="clear" w:color="auto" w:fill="4F81BD" w:themeFill="accent1"/>
            <w:hideMark/>
          </w:tcPr>
          <w:p w:rsidR="000B697A" w:rsidRPr="000B697A" w:rsidRDefault="000B697A" w:rsidP="00910AE6">
            <w:pPr>
              <w:pStyle w:val="a5"/>
              <w:jc w:val="center"/>
              <w:rPr>
                <w:rFonts w:ascii="Calibri" w:hAnsi="Calibri" w:cs="Calibri"/>
                <w:color w:val="FFFFFF" w:themeColor="background1"/>
                <w:szCs w:val="20"/>
              </w:rPr>
            </w:pPr>
          </w:p>
        </w:tc>
        <w:tc>
          <w:tcPr>
            <w:tcW w:w="1103" w:type="dxa"/>
            <w:shd w:val="clear" w:color="auto" w:fill="4F81BD" w:themeFill="accent1"/>
            <w:hideMark/>
          </w:tcPr>
          <w:p w:rsidR="000B697A" w:rsidRPr="000B697A" w:rsidRDefault="000B697A" w:rsidP="00910AE6">
            <w:pPr>
              <w:pStyle w:val="a5"/>
              <w:jc w:val="center"/>
              <w:rPr>
                <w:rFonts w:ascii="Calibri" w:hAnsi="Calibri" w:cs="Calibri"/>
                <w:color w:val="FFFFFF" w:themeColor="background1"/>
                <w:szCs w:val="20"/>
              </w:rPr>
            </w:pPr>
          </w:p>
        </w:tc>
        <w:tc>
          <w:tcPr>
            <w:tcW w:w="1233" w:type="dxa"/>
            <w:shd w:val="clear" w:color="auto" w:fill="4F81BD" w:themeFill="accent1"/>
            <w:hideMark/>
          </w:tcPr>
          <w:p w:rsidR="000B697A" w:rsidRPr="000B697A" w:rsidRDefault="000B697A" w:rsidP="00910AE6">
            <w:pPr>
              <w:pStyle w:val="a5"/>
              <w:jc w:val="center"/>
              <w:rPr>
                <w:rFonts w:ascii="Calibri" w:hAnsi="Calibri" w:cs="Calibri"/>
                <w:color w:val="FFFFFF" w:themeColor="background1"/>
                <w:szCs w:val="20"/>
              </w:rPr>
            </w:pPr>
            <w:r w:rsidRPr="000B697A">
              <w:rPr>
                <w:rFonts w:ascii="Calibri" w:hAnsi="Calibri" w:cs="Calibri"/>
                <w:color w:val="FFFFFF" w:themeColor="background1"/>
                <w:szCs w:val="20"/>
              </w:rPr>
              <w:t>%</w:t>
            </w:r>
          </w:p>
        </w:tc>
        <w:tc>
          <w:tcPr>
            <w:tcW w:w="1258" w:type="dxa"/>
            <w:shd w:val="clear" w:color="auto" w:fill="4F81BD" w:themeFill="accent1"/>
            <w:hideMark/>
          </w:tcPr>
          <w:p w:rsidR="000B697A" w:rsidRPr="000B697A" w:rsidRDefault="000B697A" w:rsidP="00910AE6">
            <w:pPr>
              <w:pStyle w:val="a5"/>
              <w:jc w:val="center"/>
              <w:rPr>
                <w:rFonts w:ascii="Calibri" w:hAnsi="Calibri" w:cs="Calibri"/>
                <w:color w:val="FFFFFF" w:themeColor="background1"/>
                <w:szCs w:val="20"/>
              </w:rPr>
            </w:pPr>
            <w:r w:rsidRPr="000B697A">
              <w:rPr>
                <w:rFonts w:ascii="Calibri" w:hAnsi="Calibri" w:cs="Calibri"/>
                <w:color w:val="FFFFFF" w:themeColor="background1"/>
                <w:szCs w:val="20"/>
              </w:rPr>
              <w:t>EUR ‘000</w:t>
            </w:r>
          </w:p>
        </w:tc>
        <w:tc>
          <w:tcPr>
            <w:tcW w:w="1271" w:type="dxa"/>
            <w:shd w:val="clear" w:color="auto" w:fill="4F81BD" w:themeFill="accent1"/>
            <w:hideMark/>
          </w:tcPr>
          <w:p w:rsidR="000B697A" w:rsidRPr="000B697A" w:rsidRDefault="000B697A" w:rsidP="00910AE6">
            <w:pPr>
              <w:pStyle w:val="a5"/>
              <w:jc w:val="center"/>
              <w:rPr>
                <w:rFonts w:ascii="Calibri" w:hAnsi="Calibri" w:cs="Calibri"/>
                <w:color w:val="FFFFFF" w:themeColor="background1"/>
                <w:szCs w:val="20"/>
              </w:rPr>
            </w:pPr>
            <w:r w:rsidRPr="000B697A">
              <w:rPr>
                <w:rFonts w:ascii="Calibri" w:hAnsi="Calibri" w:cs="Calibri"/>
                <w:color w:val="FFFFFF" w:themeColor="background1"/>
                <w:szCs w:val="20"/>
              </w:rPr>
              <w:t>EUR ‘000</w:t>
            </w:r>
          </w:p>
        </w:tc>
        <w:tc>
          <w:tcPr>
            <w:tcW w:w="1446" w:type="dxa"/>
            <w:shd w:val="clear" w:color="auto" w:fill="4F81BD" w:themeFill="accent1"/>
            <w:hideMark/>
          </w:tcPr>
          <w:p w:rsidR="000B697A" w:rsidRPr="000B697A" w:rsidRDefault="000B697A" w:rsidP="00910AE6">
            <w:pPr>
              <w:pStyle w:val="a5"/>
              <w:jc w:val="center"/>
              <w:rPr>
                <w:rFonts w:ascii="Calibri" w:hAnsi="Calibri" w:cs="Calibri"/>
                <w:color w:val="FFFFFF" w:themeColor="background1"/>
                <w:szCs w:val="20"/>
              </w:rPr>
            </w:pPr>
            <w:r w:rsidRPr="000B697A">
              <w:rPr>
                <w:rFonts w:ascii="Calibri" w:hAnsi="Calibri" w:cs="Calibri"/>
                <w:color w:val="FFFFFF" w:themeColor="background1"/>
                <w:szCs w:val="20"/>
              </w:rPr>
              <w:t>BGN’000</w:t>
            </w:r>
          </w:p>
        </w:tc>
        <w:tc>
          <w:tcPr>
            <w:tcW w:w="1300" w:type="dxa"/>
            <w:shd w:val="clear" w:color="auto" w:fill="4F81BD" w:themeFill="accent1"/>
            <w:hideMark/>
          </w:tcPr>
          <w:p w:rsidR="000B697A" w:rsidRPr="000B697A" w:rsidRDefault="000B697A" w:rsidP="00910AE6">
            <w:pPr>
              <w:pStyle w:val="a5"/>
              <w:jc w:val="center"/>
              <w:rPr>
                <w:rFonts w:ascii="Calibri" w:hAnsi="Calibri" w:cs="Calibri"/>
                <w:color w:val="FFFFFF" w:themeColor="background1"/>
                <w:szCs w:val="20"/>
              </w:rPr>
            </w:pPr>
            <w:r w:rsidRPr="000B697A">
              <w:rPr>
                <w:rFonts w:ascii="Calibri" w:hAnsi="Calibri" w:cs="Calibri"/>
                <w:color w:val="FFFFFF" w:themeColor="background1"/>
                <w:szCs w:val="20"/>
              </w:rPr>
              <w:t>BGN’000</w:t>
            </w:r>
          </w:p>
        </w:tc>
      </w:tr>
      <w:tr w:rsidR="000B697A" w:rsidRPr="000B697A" w:rsidTr="00910AE6">
        <w:trPr>
          <w:trHeight w:val="170"/>
          <w:jc w:val="center"/>
        </w:trPr>
        <w:tc>
          <w:tcPr>
            <w:tcW w:w="1723" w:type="dxa"/>
            <w:shd w:val="clear" w:color="auto" w:fill="auto"/>
            <w:hideMark/>
          </w:tcPr>
          <w:p w:rsidR="000B697A" w:rsidRPr="000B697A" w:rsidRDefault="000B697A" w:rsidP="00910AE6">
            <w:pPr>
              <w:pStyle w:val="a5"/>
              <w:rPr>
                <w:rFonts w:ascii="Calibri" w:hAnsi="Calibri" w:cs="Calibri"/>
                <w:szCs w:val="20"/>
              </w:rPr>
            </w:pPr>
            <w:r w:rsidRPr="000B697A">
              <w:rPr>
                <w:rFonts w:ascii="Calibri" w:hAnsi="Calibri" w:cs="Calibri"/>
                <w:szCs w:val="20"/>
              </w:rPr>
              <w:t>XS1083844503</w:t>
            </w:r>
          </w:p>
        </w:tc>
        <w:tc>
          <w:tcPr>
            <w:tcW w:w="1220" w:type="dxa"/>
            <w:shd w:val="clear" w:color="auto" w:fill="auto"/>
            <w:hideMark/>
          </w:tcPr>
          <w:p w:rsidR="000B697A" w:rsidRPr="000B697A" w:rsidRDefault="000B697A" w:rsidP="00910AE6">
            <w:pPr>
              <w:pStyle w:val="a6"/>
              <w:rPr>
                <w:rFonts w:ascii="Calibri" w:hAnsi="Calibri" w:cs="Calibri"/>
                <w:szCs w:val="20"/>
              </w:rPr>
            </w:pPr>
            <w:r w:rsidRPr="000B697A">
              <w:rPr>
                <w:rFonts w:ascii="Calibri" w:hAnsi="Calibri" w:cs="Calibri"/>
                <w:szCs w:val="20"/>
              </w:rPr>
              <w:t>03.07.2014</w:t>
            </w:r>
          </w:p>
        </w:tc>
        <w:tc>
          <w:tcPr>
            <w:tcW w:w="1103" w:type="dxa"/>
            <w:shd w:val="clear" w:color="auto" w:fill="auto"/>
            <w:hideMark/>
          </w:tcPr>
          <w:p w:rsidR="000B697A" w:rsidRPr="000B697A" w:rsidRDefault="000B697A" w:rsidP="00910AE6">
            <w:pPr>
              <w:pStyle w:val="a6"/>
              <w:rPr>
                <w:rFonts w:ascii="Calibri" w:hAnsi="Calibri" w:cs="Calibri"/>
                <w:szCs w:val="20"/>
              </w:rPr>
            </w:pPr>
            <w:r w:rsidRPr="000B697A">
              <w:rPr>
                <w:rFonts w:ascii="Calibri" w:hAnsi="Calibri" w:cs="Calibri"/>
                <w:szCs w:val="20"/>
              </w:rPr>
              <w:t>03.09.2024</w:t>
            </w:r>
          </w:p>
        </w:tc>
        <w:tc>
          <w:tcPr>
            <w:tcW w:w="1233" w:type="dxa"/>
            <w:shd w:val="clear" w:color="auto" w:fill="auto"/>
            <w:hideMark/>
          </w:tcPr>
          <w:p w:rsidR="000B697A" w:rsidRPr="000B697A" w:rsidRDefault="000B697A" w:rsidP="00910AE6">
            <w:pPr>
              <w:pStyle w:val="a6"/>
              <w:rPr>
                <w:rFonts w:ascii="Calibri" w:hAnsi="Calibri" w:cs="Calibri"/>
                <w:szCs w:val="20"/>
              </w:rPr>
            </w:pPr>
            <w:r w:rsidRPr="000B697A">
              <w:rPr>
                <w:rFonts w:ascii="Calibri" w:hAnsi="Calibri" w:cs="Calibri"/>
                <w:szCs w:val="20"/>
              </w:rPr>
              <w:t>2.95%</w:t>
            </w:r>
          </w:p>
        </w:tc>
        <w:tc>
          <w:tcPr>
            <w:tcW w:w="1258" w:type="dxa"/>
            <w:shd w:val="clear" w:color="auto" w:fill="auto"/>
            <w:hideMark/>
          </w:tcPr>
          <w:p w:rsidR="000B697A" w:rsidRPr="000B697A" w:rsidRDefault="000B697A" w:rsidP="00910AE6">
            <w:pPr>
              <w:pStyle w:val="a6"/>
              <w:rPr>
                <w:rFonts w:ascii="Calibri" w:hAnsi="Calibri" w:cs="Calibri"/>
                <w:szCs w:val="20"/>
              </w:rPr>
            </w:pPr>
            <w:r w:rsidRPr="000B697A">
              <w:rPr>
                <w:rFonts w:ascii="Calibri" w:hAnsi="Calibri" w:cs="Calibri"/>
                <w:szCs w:val="20"/>
              </w:rPr>
              <w:t>1 535</w:t>
            </w:r>
          </w:p>
        </w:tc>
        <w:tc>
          <w:tcPr>
            <w:tcW w:w="1271" w:type="dxa"/>
            <w:shd w:val="clear" w:color="auto" w:fill="auto"/>
            <w:hideMark/>
          </w:tcPr>
          <w:p w:rsidR="000B697A" w:rsidRPr="000B697A" w:rsidRDefault="000B697A" w:rsidP="00910AE6">
            <w:pPr>
              <w:pStyle w:val="a6"/>
              <w:rPr>
                <w:rFonts w:ascii="Calibri" w:hAnsi="Calibri" w:cs="Calibri"/>
                <w:szCs w:val="20"/>
              </w:rPr>
            </w:pPr>
            <w:r w:rsidRPr="000B697A">
              <w:rPr>
                <w:rFonts w:ascii="Calibri" w:hAnsi="Calibri" w:cs="Calibri"/>
                <w:szCs w:val="20"/>
              </w:rPr>
              <w:t>1 534</w:t>
            </w:r>
          </w:p>
        </w:tc>
        <w:tc>
          <w:tcPr>
            <w:tcW w:w="1446" w:type="dxa"/>
            <w:shd w:val="clear" w:color="auto" w:fill="auto"/>
            <w:hideMark/>
          </w:tcPr>
          <w:p w:rsidR="000B697A" w:rsidRPr="000B697A" w:rsidRDefault="000B697A" w:rsidP="00910AE6">
            <w:pPr>
              <w:pStyle w:val="a6"/>
              <w:rPr>
                <w:rFonts w:ascii="Calibri" w:hAnsi="Calibri" w:cs="Calibri"/>
                <w:szCs w:val="20"/>
              </w:rPr>
            </w:pPr>
            <w:r w:rsidRPr="000B697A">
              <w:rPr>
                <w:rFonts w:ascii="Calibri" w:hAnsi="Calibri" w:cs="Calibri"/>
                <w:szCs w:val="20"/>
              </w:rPr>
              <w:t>2 999</w:t>
            </w:r>
          </w:p>
        </w:tc>
        <w:tc>
          <w:tcPr>
            <w:tcW w:w="1300" w:type="dxa"/>
            <w:shd w:val="clear" w:color="auto" w:fill="auto"/>
            <w:hideMark/>
          </w:tcPr>
          <w:p w:rsidR="000B697A" w:rsidRPr="000B697A" w:rsidRDefault="000B697A" w:rsidP="00910AE6">
            <w:pPr>
              <w:pStyle w:val="a6"/>
              <w:rPr>
                <w:rFonts w:ascii="Calibri" w:hAnsi="Calibri" w:cs="Calibri"/>
                <w:color w:val="auto"/>
                <w:szCs w:val="20"/>
              </w:rPr>
            </w:pPr>
            <w:r w:rsidRPr="000B697A">
              <w:rPr>
                <w:rFonts w:ascii="Calibri" w:hAnsi="Calibri" w:cs="Calibri"/>
                <w:color w:val="auto"/>
                <w:szCs w:val="20"/>
              </w:rPr>
              <w:t>3 454</w:t>
            </w:r>
          </w:p>
        </w:tc>
      </w:tr>
      <w:tr w:rsidR="000B697A" w:rsidRPr="000B697A" w:rsidTr="00910AE6">
        <w:trPr>
          <w:trHeight w:val="170"/>
          <w:jc w:val="center"/>
        </w:trPr>
        <w:tc>
          <w:tcPr>
            <w:tcW w:w="1723" w:type="dxa"/>
            <w:shd w:val="clear" w:color="auto" w:fill="auto"/>
            <w:hideMark/>
          </w:tcPr>
          <w:p w:rsidR="000B697A" w:rsidRPr="000B697A" w:rsidRDefault="000B697A" w:rsidP="00910AE6">
            <w:pPr>
              <w:pStyle w:val="a5"/>
              <w:rPr>
                <w:rFonts w:ascii="Calibri" w:hAnsi="Calibri" w:cs="Calibri"/>
                <w:szCs w:val="20"/>
              </w:rPr>
            </w:pPr>
            <w:r w:rsidRPr="000B697A">
              <w:rPr>
                <w:rFonts w:ascii="Calibri" w:hAnsi="Calibri" w:cs="Calibri"/>
                <w:szCs w:val="20"/>
              </w:rPr>
              <w:t>XS1208855889</w:t>
            </w:r>
          </w:p>
        </w:tc>
        <w:tc>
          <w:tcPr>
            <w:tcW w:w="1220" w:type="dxa"/>
            <w:shd w:val="clear" w:color="auto" w:fill="auto"/>
            <w:hideMark/>
          </w:tcPr>
          <w:p w:rsidR="000B697A" w:rsidRPr="000B697A" w:rsidRDefault="000B697A" w:rsidP="00910AE6">
            <w:pPr>
              <w:pStyle w:val="a6"/>
              <w:rPr>
                <w:rFonts w:ascii="Calibri" w:hAnsi="Calibri" w:cs="Calibri"/>
                <w:szCs w:val="20"/>
              </w:rPr>
            </w:pPr>
            <w:r w:rsidRPr="000B697A">
              <w:rPr>
                <w:rFonts w:ascii="Calibri" w:hAnsi="Calibri" w:cs="Calibri"/>
                <w:szCs w:val="20"/>
              </w:rPr>
              <w:t>26.03.2015</w:t>
            </w:r>
          </w:p>
        </w:tc>
        <w:tc>
          <w:tcPr>
            <w:tcW w:w="1103" w:type="dxa"/>
            <w:shd w:val="clear" w:color="auto" w:fill="auto"/>
            <w:hideMark/>
          </w:tcPr>
          <w:p w:rsidR="000B697A" w:rsidRPr="000B697A" w:rsidRDefault="000B697A" w:rsidP="00910AE6">
            <w:pPr>
              <w:pStyle w:val="a6"/>
              <w:rPr>
                <w:rFonts w:ascii="Calibri" w:hAnsi="Calibri" w:cs="Calibri"/>
                <w:szCs w:val="20"/>
              </w:rPr>
            </w:pPr>
            <w:r w:rsidRPr="000B697A">
              <w:rPr>
                <w:rFonts w:ascii="Calibri" w:hAnsi="Calibri" w:cs="Calibri"/>
                <w:szCs w:val="20"/>
              </w:rPr>
              <w:t>26.03.2027</w:t>
            </w:r>
          </w:p>
        </w:tc>
        <w:tc>
          <w:tcPr>
            <w:tcW w:w="1233" w:type="dxa"/>
            <w:shd w:val="clear" w:color="auto" w:fill="auto"/>
            <w:hideMark/>
          </w:tcPr>
          <w:p w:rsidR="000B697A" w:rsidRPr="000B697A" w:rsidRDefault="000B697A" w:rsidP="00910AE6">
            <w:pPr>
              <w:pStyle w:val="a6"/>
              <w:rPr>
                <w:rFonts w:ascii="Calibri" w:hAnsi="Calibri" w:cs="Calibri"/>
                <w:szCs w:val="20"/>
              </w:rPr>
            </w:pPr>
            <w:r w:rsidRPr="000B697A">
              <w:rPr>
                <w:rFonts w:ascii="Calibri" w:hAnsi="Calibri" w:cs="Calibri"/>
                <w:szCs w:val="20"/>
              </w:rPr>
              <w:t>2.63%</w:t>
            </w:r>
          </w:p>
        </w:tc>
        <w:tc>
          <w:tcPr>
            <w:tcW w:w="1258" w:type="dxa"/>
            <w:shd w:val="clear" w:color="auto" w:fill="auto"/>
            <w:hideMark/>
          </w:tcPr>
          <w:p w:rsidR="000B697A" w:rsidRPr="000B697A" w:rsidRDefault="000B697A" w:rsidP="00910AE6">
            <w:pPr>
              <w:pStyle w:val="a6"/>
              <w:rPr>
                <w:rFonts w:ascii="Calibri" w:hAnsi="Calibri" w:cs="Calibri"/>
                <w:szCs w:val="20"/>
              </w:rPr>
            </w:pPr>
            <w:r w:rsidRPr="000B697A">
              <w:rPr>
                <w:rFonts w:ascii="Calibri" w:hAnsi="Calibri" w:cs="Calibri"/>
                <w:szCs w:val="20"/>
              </w:rPr>
              <w:t>520</w:t>
            </w:r>
          </w:p>
        </w:tc>
        <w:tc>
          <w:tcPr>
            <w:tcW w:w="1271" w:type="dxa"/>
            <w:shd w:val="clear" w:color="auto" w:fill="auto"/>
            <w:hideMark/>
          </w:tcPr>
          <w:p w:rsidR="000B697A" w:rsidRPr="000B697A" w:rsidRDefault="000B697A" w:rsidP="00910AE6">
            <w:pPr>
              <w:pStyle w:val="a6"/>
              <w:widowControl w:val="0"/>
              <w:ind w:firstLine="709"/>
              <w:rPr>
                <w:rFonts w:ascii="Calibri" w:hAnsi="Calibri" w:cs="Calibri"/>
                <w:szCs w:val="20"/>
              </w:rPr>
            </w:pPr>
            <w:r w:rsidRPr="000B697A">
              <w:rPr>
                <w:rFonts w:ascii="Calibri" w:hAnsi="Calibri" w:cs="Calibri"/>
                <w:szCs w:val="20"/>
              </w:rPr>
              <w:t>521</w:t>
            </w:r>
          </w:p>
        </w:tc>
        <w:tc>
          <w:tcPr>
            <w:tcW w:w="1446" w:type="dxa"/>
            <w:shd w:val="clear" w:color="auto" w:fill="auto"/>
            <w:hideMark/>
          </w:tcPr>
          <w:p w:rsidR="000B697A" w:rsidRPr="000B697A" w:rsidRDefault="000B697A" w:rsidP="00910AE6">
            <w:pPr>
              <w:pStyle w:val="a6"/>
              <w:rPr>
                <w:rFonts w:ascii="Calibri" w:hAnsi="Calibri" w:cs="Calibri"/>
              </w:rPr>
            </w:pPr>
            <w:r w:rsidRPr="000B697A">
              <w:rPr>
                <w:rFonts w:ascii="Calibri" w:hAnsi="Calibri" w:cs="Calibri"/>
              </w:rPr>
              <w:t>1 019</w:t>
            </w:r>
          </w:p>
        </w:tc>
        <w:tc>
          <w:tcPr>
            <w:tcW w:w="1300" w:type="dxa"/>
            <w:shd w:val="clear" w:color="auto" w:fill="auto"/>
            <w:hideMark/>
          </w:tcPr>
          <w:p w:rsidR="000B697A" w:rsidRPr="000B697A" w:rsidRDefault="000B697A" w:rsidP="00910AE6">
            <w:pPr>
              <w:pStyle w:val="a6"/>
              <w:widowControl w:val="0"/>
              <w:ind w:firstLine="709"/>
              <w:rPr>
                <w:rFonts w:ascii="Calibri" w:hAnsi="Calibri" w:cs="Calibri"/>
                <w:color w:val="auto"/>
                <w:szCs w:val="20"/>
              </w:rPr>
            </w:pPr>
            <w:r w:rsidRPr="000B697A">
              <w:rPr>
                <w:rFonts w:ascii="Calibri" w:hAnsi="Calibri" w:cs="Calibri"/>
                <w:color w:val="auto"/>
                <w:szCs w:val="20"/>
              </w:rPr>
              <w:t>1 152</w:t>
            </w:r>
          </w:p>
        </w:tc>
      </w:tr>
      <w:tr w:rsidR="000B697A" w:rsidRPr="000B697A" w:rsidTr="00910AE6">
        <w:trPr>
          <w:trHeight w:val="170"/>
          <w:jc w:val="center"/>
        </w:trPr>
        <w:tc>
          <w:tcPr>
            <w:tcW w:w="1723" w:type="dxa"/>
            <w:shd w:val="clear" w:color="auto" w:fill="auto"/>
            <w:hideMark/>
          </w:tcPr>
          <w:p w:rsidR="000B697A" w:rsidRPr="000B697A" w:rsidRDefault="000B697A" w:rsidP="00910AE6">
            <w:pPr>
              <w:pStyle w:val="a5"/>
              <w:jc w:val="center"/>
              <w:rPr>
                <w:rFonts w:ascii="Calibri" w:hAnsi="Calibri" w:cs="Calibri"/>
                <w:szCs w:val="20"/>
              </w:rPr>
            </w:pPr>
          </w:p>
        </w:tc>
        <w:tc>
          <w:tcPr>
            <w:tcW w:w="1220" w:type="dxa"/>
            <w:shd w:val="clear" w:color="auto" w:fill="auto"/>
            <w:hideMark/>
          </w:tcPr>
          <w:p w:rsidR="000B697A" w:rsidRPr="000B697A" w:rsidRDefault="000B697A" w:rsidP="00910AE6">
            <w:pPr>
              <w:pStyle w:val="a6"/>
              <w:jc w:val="center"/>
              <w:rPr>
                <w:rFonts w:ascii="Calibri" w:hAnsi="Calibri" w:cs="Calibri"/>
                <w:szCs w:val="20"/>
              </w:rPr>
            </w:pPr>
          </w:p>
        </w:tc>
        <w:tc>
          <w:tcPr>
            <w:tcW w:w="1103" w:type="dxa"/>
            <w:shd w:val="clear" w:color="auto" w:fill="auto"/>
            <w:hideMark/>
          </w:tcPr>
          <w:p w:rsidR="000B697A" w:rsidRPr="000B697A" w:rsidRDefault="000B697A" w:rsidP="00910AE6">
            <w:pPr>
              <w:pStyle w:val="a6"/>
              <w:jc w:val="center"/>
              <w:rPr>
                <w:rFonts w:ascii="Calibri" w:hAnsi="Calibri" w:cs="Calibri"/>
                <w:szCs w:val="20"/>
              </w:rPr>
            </w:pPr>
          </w:p>
        </w:tc>
        <w:tc>
          <w:tcPr>
            <w:tcW w:w="1233" w:type="dxa"/>
            <w:shd w:val="clear" w:color="auto" w:fill="auto"/>
            <w:hideMark/>
          </w:tcPr>
          <w:p w:rsidR="000B697A" w:rsidRPr="000B697A" w:rsidRDefault="000B697A" w:rsidP="00910AE6">
            <w:pPr>
              <w:pStyle w:val="a6"/>
              <w:jc w:val="center"/>
              <w:rPr>
                <w:rFonts w:ascii="Calibri" w:hAnsi="Calibri" w:cs="Calibri"/>
                <w:szCs w:val="20"/>
              </w:rPr>
            </w:pPr>
          </w:p>
        </w:tc>
        <w:tc>
          <w:tcPr>
            <w:tcW w:w="1258" w:type="dxa"/>
            <w:shd w:val="clear" w:color="auto" w:fill="auto"/>
            <w:hideMark/>
          </w:tcPr>
          <w:p w:rsidR="000B697A" w:rsidRPr="000B697A" w:rsidRDefault="000B697A" w:rsidP="00910AE6">
            <w:pPr>
              <w:pStyle w:val="a6"/>
              <w:jc w:val="center"/>
              <w:rPr>
                <w:rFonts w:ascii="Calibri" w:hAnsi="Calibri" w:cs="Calibri"/>
                <w:szCs w:val="20"/>
              </w:rPr>
            </w:pPr>
          </w:p>
        </w:tc>
        <w:tc>
          <w:tcPr>
            <w:tcW w:w="1271" w:type="dxa"/>
            <w:shd w:val="clear" w:color="auto" w:fill="auto"/>
            <w:hideMark/>
          </w:tcPr>
          <w:p w:rsidR="000B697A" w:rsidRPr="000B697A" w:rsidRDefault="000B697A" w:rsidP="00910AE6">
            <w:pPr>
              <w:pStyle w:val="a6"/>
              <w:jc w:val="center"/>
              <w:rPr>
                <w:rFonts w:ascii="Calibri" w:hAnsi="Calibri" w:cs="Calibri"/>
                <w:szCs w:val="20"/>
              </w:rPr>
            </w:pPr>
          </w:p>
        </w:tc>
        <w:tc>
          <w:tcPr>
            <w:tcW w:w="1446" w:type="dxa"/>
            <w:shd w:val="clear" w:color="auto" w:fill="auto"/>
            <w:hideMark/>
          </w:tcPr>
          <w:p w:rsidR="000B697A" w:rsidRPr="000B697A" w:rsidRDefault="000B697A" w:rsidP="00910AE6">
            <w:pPr>
              <w:pStyle w:val="a6"/>
              <w:rPr>
                <w:rFonts w:ascii="Calibri" w:hAnsi="Calibri" w:cs="Calibri"/>
                <w:b/>
                <w:szCs w:val="20"/>
              </w:rPr>
            </w:pPr>
            <w:r w:rsidRPr="000B697A">
              <w:rPr>
                <w:rFonts w:ascii="Calibri" w:hAnsi="Calibri" w:cs="Calibri"/>
                <w:b/>
                <w:szCs w:val="20"/>
              </w:rPr>
              <w:t>4 018</w:t>
            </w:r>
          </w:p>
        </w:tc>
        <w:tc>
          <w:tcPr>
            <w:tcW w:w="1300" w:type="dxa"/>
            <w:shd w:val="clear" w:color="auto" w:fill="auto"/>
            <w:hideMark/>
          </w:tcPr>
          <w:p w:rsidR="000B697A" w:rsidRPr="000B697A" w:rsidRDefault="000B697A" w:rsidP="00910AE6">
            <w:pPr>
              <w:pStyle w:val="a6"/>
              <w:widowControl w:val="0"/>
              <w:ind w:firstLine="709"/>
              <w:rPr>
                <w:rFonts w:ascii="Calibri" w:hAnsi="Calibri" w:cs="Calibri"/>
                <w:b/>
                <w:color w:val="auto"/>
                <w:szCs w:val="20"/>
              </w:rPr>
            </w:pPr>
            <w:r w:rsidRPr="000B697A">
              <w:rPr>
                <w:rFonts w:ascii="Calibri" w:hAnsi="Calibri" w:cs="Calibri"/>
                <w:b/>
                <w:color w:val="auto"/>
                <w:szCs w:val="20"/>
              </w:rPr>
              <w:t>4 606</w:t>
            </w:r>
          </w:p>
        </w:tc>
      </w:tr>
    </w:tbl>
    <w:p w:rsidR="000B697A" w:rsidRPr="000B697A" w:rsidRDefault="000B697A" w:rsidP="000B697A">
      <w:pPr>
        <w:rPr>
          <w:rFonts w:cs="Calibri"/>
        </w:rPr>
      </w:pPr>
    </w:p>
    <w:p w:rsidR="000B697A" w:rsidRPr="000B697A" w:rsidRDefault="000B697A" w:rsidP="000B697A">
      <w:pPr>
        <w:rPr>
          <w:rFonts w:cs="Calibri"/>
        </w:rPr>
      </w:pPr>
      <w:r w:rsidRPr="000B697A">
        <w:rPr>
          <w:rFonts w:cs="Calibri"/>
        </w:rPr>
        <w:t xml:space="preserve">Към 31 декември 2017 г. инвестициите в държавни ценни книжа, държани до падеж, са представени по </w:t>
      </w:r>
      <w:proofErr w:type="spellStart"/>
      <w:r w:rsidRPr="000B697A">
        <w:rPr>
          <w:rFonts w:cs="Calibri"/>
        </w:rPr>
        <w:t>амортизируема</w:t>
      </w:r>
      <w:proofErr w:type="spellEnd"/>
      <w:r w:rsidRPr="000B697A">
        <w:rPr>
          <w:rFonts w:cs="Calibri"/>
        </w:rPr>
        <w:t xml:space="preserve"> стойност. Годишните ефективни лихвени проценти по тях са в диапазона между 2,73% и 3,31%.</w:t>
      </w:r>
    </w:p>
    <w:p w:rsidR="000B697A" w:rsidRPr="000B697A" w:rsidRDefault="000B697A" w:rsidP="000B697A">
      <w:pPr>
        <w:rPr>
          <w:rFonts w:cs="Calibri"/>
        </w:rPr>
      </w:pPr>
      <w:r w:rsidRPr="000B697A">
        <w:rPr>
          <w:rFonts w:cs="Calibri"/>
        </w:rPr>
        <w:t>Купонните лихвени плащания по облигациите, са дължими веднъж годишно на 3 септември за емисия XS1083844503 и на 26 март за емисия XS1208855889, закупена на 19.05.2015 година.</w:t>
      </w:r>
    </w:p>
    <w:p w:rsidR="007D0731" w:rsidRPr="000B697A" w:rsidRDefault="00010F33" w:rsidP="0016443B">
      <w:pPr>
        <w:pStyle w:val="SubNumbers"/>
        <w:rPr>
          <w:rFonts w:cs="Calibri"/>
        </w:rPr>
      </w:pPr>
      <w:bookmarkStart w:id="121" w:name="_Toc6923264"/>
      <w:r w:rsidRPr="000B697A">
        <w:rPr>
          <w:rFonts w:cs="Calibri"/>
        </w:rPr>
        <w:t xml:space="preserve">Информация относно сключените от дружествата в Групата, в качеството им на </w:t>
      </w:r>
      <w:proofErr w:type="spellStart"/>
      <w:r w:rsidRPr="000B697A">
        <w:rPr>
          <w:rFonts w:cs="Calibri"/>
        </w:rPr>
        <w:t>заемополучатели</w:t>
      </w:r>
      <w:proofErr w:type="spellEnd"/>
      <w:r w:rsidRPr="000B697A">
        <w:rPr>
          <w:rFonts w:cs="Calibri"/>
        </w:rPr>
        <w:t>, договори за заем с посочване на условията по тях, включително на крайните срокове за изплащане, както и информация за предоставени гаранции и поемане на задължения.</w:t>
      </w:r>
      <w:bookmarkEnd w:id="121"/>
    </w:p>
    <w:p w:rsidR="008F5B8B" w:rsidRPr="000B697A" w:rsidRDefault="000B697A" w:rsidP="00D34391">
      <w:pPr>
        <w:rPr>
          <w:rFonts w:cs="Calibri"/>
        </w:rPr>
      </w:pPr>
      <w:r w:rsidRPr="00B42B64">
        <w:rPr>
          <w:rFonts w:cs="Calibri"/>
        </w:rPr>
        <w:t>„Българска фондова борса“ АД и дъщерн</w:t>
      </w:r>
      <w:r>
        <w:rPr>
          <w:rFonts w:cs="Calibri"/>
        </w:rPr>
        <w:t xml:space="preserve">ите й дружества „Българска </w:t>
      </w:r>
      <w:proofErr w:type="spellStart"/>
      <w:r>
        <w:rPr>
          <w:rFonts w:cs="Calibri"/>
        </w:rPr>
        <w:t>незаисима</w:t>
      </w:r>
      <w:proofErr w:type="spellEnd"/>
      <w:r>
        <w:rPr>
          <w:rFonts w:cs="Calibri"/>
        </w:rPr>
        <w:t xml:space="preserve"> енергийна борса“ АД и</w:t>
      </w:r>
      <w:r w:rsidRPr="00B42B64">
        <w:rPr>
          <w:rFonts w:cs="Calibri"/>
        </w:rPr>
        <w:t xml:space="preserve"> „Сервиз финансови пазари” ЕООД </w:t>
      </w:r>
      <w:r w:rsidRPr="00D34C90">
        <w:rPr>
          <w:rFonts w:cs="Calibri"/>
        </w:rPr>
        <w:t>не са сключвали договори</w:t>
      </w:r>
      <w:r w:rsidRPr="00B42B64">
        <w:rPr>
          <w:rFonts w:cs="Calibri"/>
        </w:rPr>
        <w:t xml:space="preserve"> за заеми в качеството им на </w:t>
      </w:r>
      <w:proofErr w:type="spellStart"/>
      <w:r w:rsidRPr="00B42B64">
        <w:rPr>
          <w:rFonts w:cs="Calibri"/>
        </w:rPr>
        <w:t>заемополучатели</w:t>
      </w:r>
      <w:proofErr w:type="spellEnd"/>
      <w:r w:rsidR="005955C7" w:rsidRPr="000B697A">
        <w:rPr>
          <w:rFonts w:cs="Calibri"/>
        </w:rPr>
        <w:t>.</w:t>
      </w:r>
    </w:p>
    <w:p w:rsidR="007D0731" w:rsidRPr="000B697A" w:rsidRDefault="00010F33" w:rsidP="0016443B">
      <w:pPr>
        <w:pStyle w:val="SubNumbers"/>
        <w:rPr>
          <w:rFonts w:cs="Calibri"/>
        </w:rPr>
      </w:pPr>
      <w:bookmarkStart w:id="122" w:name="_Toc6923265"/>
      <w:r w:rsidRPr="000B697A">
        <w:rPr>
          <w:rFonts w:cs="Calibri"/>
        </w:rPr>
        <w:t xml:space="preserve">Информация относно сключените </w:t>
      </w:r>
      <w:r w:rsidR="00B53439" w:rsidRPr="000B697A">
        <w:rPr>
          <w:rFonts w:cs="Calibri"/>
        </w:rPr>
        <w:t xml:space="preserve">от </w:t>
      </w:r>
      <w:r w:rsidRPr="000B697A">
        <w:rPr>
          <w:rFonts w:cs="Calibri"/>
        </w:rPr>
        <w:t>дружествата в Групата, в качеството им на заемодатели, договори за заем, включително предоставяне на гаранции от всякакъв вид, в това число на свързани лица, с посочване на конкретните условия по тях, включително на крайните срокове за плащане, и целта, за която са били отпуснати.</w:t>
      </w:r>
      <w:bookmarkEnd w:id="122"/>
    </w:p>
    <w:p w:rsidR="00C442DF" w:rsidRPr="000B697A" w:rsidRDefault="000B697A" w:rsidP="00D34391">
      <w:pPr>
        <w:rPr>
          <w:rFonts w:cs="Calibri"/>
        </w:rPr>
      </w:pPr>
      <w:r w:rsidRPr="00B42B64">
        <w:rPr>
          <w:rFonts w:cs="Calibri"/>
        </w:rPr>
        <w:t>„Българска фондова борса“ АД и дъщерн</w:t>
      </w:r>
      <w:r>
        <w:rPr>
          <w:rFonts w:cs="Calibri"/>
        </w:rPr>
        <w:t xml:space="preserve">ите й дружества „Българска </w:t>
      </w:r>
      <w:proofErr w:type="spellStart"/>
      <w:r>
        <w:rPr>
          <w:rFonts w:cs="Calibri"/>
        </w:rPr>
        <w:t>незаисима</w:t>
      </w:r>
      <w:proofErr w:type="spellEnd"/>
      <w:r>
        <w:rPr>
          <w:rFonts w:cs="Calibri"/>
        </w:rPr>
        <w:t xml:space="preserve"> енергийна борса“ АД и</w:t>
      </w:r>
      <w:r w:rsidRPr="00B42B64">
        <w:rPr>
          <w:rFonts w:cs="Calibri"/>
        </w:rPr>
        <w:t xml:space="preserve"> „Сервиз финансови пазари” ЕООД </w:t>
      </w:r>
      <w:r w:rsidRPr="00D34C90">
        <w:rPr>
          <w:rFonts w:cs="Calibri"/>
        </w:rPr>
        <w:t>не са сключвали договори за</w:t>
      </w:r>
      <w:r w:rsidRPr="00B42B64">
        <w:rPr>
          <w:rFonts w:cs="Calibri"/>
        </w:rPr>
        <w:t xml:space="preserve"> заеми в качеството им на заемодатели</w:t>
      </w:r>
      <w:r w:rsidR="00010F33" w:rsidRPr="000B697A">
        <w:rPr>
          <w:rFonts w:cs="Calibri"/>
        </w:rPr>
        <w:t>.</w:t>
      </w:r>
    </w:p>
    <w:p w:rsidR="007D0731" w:rsidRPr="000B697A" w:rsidRDefault="00010F33" w:rsidP="0016443B">
      <w:pPr>
        <w:pStyle w:val="SubNumbers"/>
        <w:rPr>
          <w:rFonts w:cs="Calibri"/>
        </w:rPr>
      </w:pPr>
      <w:bookmarkStart w:id="123" w:name="_Toc6923266"/>
      <w:r w:rsidRPr="000B697A">
        <w:rPr>
          <w:rFonts w:cs="Calibri"/>
        </w:rPr>
        <w:t>Информация за използването на средствата от извършена нова емисия ценни книжа през отчетния период</w:t>
      </w:r>
      <w:bookmarkEnd w:id="123"/>
    </w:p>
    <w:p w:rsidR="007D0731" w:rsidRPr="000B697A" w:rsidRDefault="00010F33" w:rsidP="00D34391">
      <w:pPr>
        <w:rPr>
          <w:rFonts w:cs="Calibri"/>
        </w:rPr>
      </w:pPr>
      <w:r w:rsidRPr="000B697A">
        <w:rPr>
          <w:rFonts w:cs="Calibri"/>
        </w:rPr>
        <w:t>През отчетния период няма нова емисия ценни книжа.</w:t>
      </w:r>
    </w:p>
    <w:p w:rsidR="007D0731" w:rsidRPr="000B697A" w:rsidRDefault="00010F33" w:rsidP="0016443B">
      <w:pPr>
        <w:pStyle w:val="SubNumbers"/>
        <w:rPr>
          <w:rFonts w:cs="Calibri"/>
        </w:rPr>
      </w:pPr>
      <w:bookmarkStart w:id="124" w:name="_Toc6923267"/>
      <w:r w:rsidRPr="000B697A">
        <w:rPr>
          <w:rFonts w:cs="Calibri"/>
        </w:rPr>
        <w:t xml:space="preserve">Анализ на съотношението между постигнатите финансови резултати, отразени </w:t>
      </w:r>
      <w:r w:rsidR="00AF0F66" w:rsidRPr="000B697A">
        <w:rPr>
          <w:rFonts w:cs="Calibri"/>
        </w:rPr>
        <w:t xml:space="preserve">в консолидирания </w:t>
      </w:r>
      <w:r w:rsidRPr="000B697A">
        <w:rPr>
          <w:rFonts w:cs="Calibri"/>
        </w:rPr>
        <w:t>финансов отчет за финансовата година, и по-рано публикувани прогнози за тези резултати.</w:t>
      </w:r>
      <w:bookmarkEnd w:id="124"/>
    </w:p>
    <w:p w:rsidR="0091013F" w:rsidRPr="000B697A" w:rsidRDefault="00B53439" w:rsidP="00D34391">
      <w:pPr>
        <w:rPr>
          <w:rFonts w:cs="Calibri"/>
        </w:rPr>
      </w:pPr>
      <w:r w:rsidRPr="000B697A">
        <w:rPr>
          <w:rFonts w:cs="Calibri"/>
        </w:rPr>
        <w:t>През 201</w:t>
      </w:r>
      <w:r w:rsidR="000B697A">
        <w:rPr>
          <w:rFonts w:cs="Calibri"/>
        </w:rPr>
        <w:t>8</w:t>
      </w:r>
      <w:r w:rsidR="00010F33" w:rsidRPr="000B697A">
        <w:rPr>
          <w:rFonts w:cs="Calibri"/>
        </w:rPr>
        <w:t xml:space="preserve"> г. Група БФБ не е публикувала прогнози за очакваните финансови резултати.</w:t>
      </w:r>
    </w:p>
    <w:p w:rsidR="007D0731" w:rsidRPr="000B697A" w:rsidRDefault="00010F33" w:rsidP="0016443B">
      <w:pPr>
        <w:pStyle w:val="SubNumbers"/>
        <w:rPr>
          <w:rFonts w:cs="Calibri"/>
        </w:rPr>
      </w:pPr>
      <w:bookmarkStart w:id="125" w:name="_Toc323038336"/>
      <w:bookmarkStart w:id="126" w:name="_Ref511826028"/>
      <w:bookmarkStart w:id="127" w:name="_Toc6923268"/>
      <w:bookmarkEnd w:id="125"/>
      <w:r w:rsidRPr="000B697A">
        <w:rPr>
          <w:rFonts w:cs="Calibri"/>
        </w:rPr>
        <w:t>Анализ и оценка на политиката относно управлението на финансовите ресурси с посочване на възможностите за обслужване на задълженията, евентуалните заплахи и мерки, които емитентът е предприел или предстои да предприеме с оглед отстраняването им</w:t>
      </w:r>
      <w:bookmarkEnd w:id="126"/>
      <w:bookmarkEnd w:id="127"/>
    </w:p>
    <w:p w:rsidR="00542ACE" w:rsidRPr="000B697A" w:rsidRDefault="00542ACE" w:rsidP="00D34391">
      <w:pPr>
        <w:rPr>
          <w:rFonts w:cs="Calibri"/>
        </w:rPr>
      </w:pPr>
      <w:r w:rsidRPr="000B697A">
        <w:rPr>
          <w:rFonts w:cs="Calibri"/>
        </w:rPr>
        <w:lastRenderedPageBreak/>
        <w:t xml:space="preserve">Управлението на финансовите ресурси е фокусирано върху планирането на очакваните резултати по различните приходоизточници и оптимизиране на променливите разходи с цел минимизиране на потенциалните отрицателни ефекти, които биха могли да се отразят върху финансовите резултати и състояние на </w:t>
      </w:r>
      <w:r w:rsidR="00474D5E" w:rsidRPr="000B697A">
        <w:rPr>
          <w:rFonts w:cs="Calibri"/>
        </w:rPr>
        <w:t>Групата</w:t>
      </w:r>
      <w:r w:rsidRPr="000B697A">
        <w:rPr>
          <w:rFonts w:cs="Calibri"/>
        </w:rPr>
        <w:t>.</w:t>
      </w:r>
    </w:p>
    <w:p w:rsidR="00542ACE" w:rsidRPr="000B697A" w:rsidRDefault="00542ACE" w:rsidP="00D34391">
      <w:pPr>
        <w:rPr>
          <w:rFonts w:cs="Calibri"/>
          <w:b/>
          <w:i/>
        </w:rPr>
      </w:pPr>
      <w:r w:rsidRPr="000B697A">
        <w:rPr>
          <w:rFonts w:cs="Calibri"/>
        </w:rPr>
        <w:t xml:space="preserve">Управлението на риска в </w:t>
      </w:r>
      <w:r w:rsidR="00474D5E" w:rsidRPr="000B697A">
        <w:rPr>
          <w:rFonts w:cs="Calibri"/>
        </w:rPr>
        <w:t xml:space="preserve">Групата </w:t>
      </w:r>
      <w:r w:rsidRPr="000B697A">
        <w:rPr>
          <w:rFonts w:cs="Calibri"/>
        </w:rPr>
        <w:t>се осъществява текущо от оперативното ръководство на дружеството</w:t>
      </w:r>
      <w:r w:rsidR="00474D5E" w:rsidRPr="000B697A">
        <w:rPr>
          <w:rFonts w:cs="Calibri"/>
        </w:rPr>
        <w:t>-майка</w:t>
      </w:r>
      <w:r w:rsidRPr="000B697A">
        <w:rPr>
          <w:rFonts w:cs="Calibri"/>
        </w:rPr>
        <w:t xml:space="preserve"> съгласно политиката, определена от Съвета на директорите. Съветът на директорите е приел основни принципи на общото управление на финансовия риск, на базата на които са разработени конкретните процедури за управление на отделните специфични рискове, като валутен, ценови, лихвен, кредитен и ликвиден, и за риска при използването на </w:t>
      </w:r>
      <w:proofErr w:type="spellStart"/>
      <w:r w:rsidRPr="000B697A">
        <w:rPr>
          <w:rFonts w:cs="Calibri"/>
        </w:rPr>
        <w:t>недеривативни</w:t>
      </w:r>
      <w:proofErr w:type="spellEnd"/>
      <w:r w:rsidRPr="000B697A">
        <w:rPr>
          <w:rFonts w:cs="Calibri"/>
        </w:rPr>
        <w:t xml:space="preserve"> инструменти.</w:t>
      </w:r>
    </w:p>
    <w:p w:rsidR="00542ACE" w:rsidRPr="000B697A" w:rsidRDefault="00542ACE" w:rsidP="00D34391">
      <w:pPr>
        <w:rPr>
          <w:rFonts w:cs="Calibri"/>
        </w:rPr>
      </w:pPr>
      <w:r w:rsidRPr="000B697A">
        <w:rPr>
          <w:rFonts w:cs="Calibri"/>
        </w:rPr>
        <w:t>С управлението на капитала дружеството</w:t>
      </w:r>
      <w:r w:rsidR="00474D5E" w:rsidRPr="000B697A">
        <w:rPr>
          <w:rFonts w:cs="Calibri"/>
        </w:rPr>
        <w:t>-майка</w:t>
      </w:r>
      <w:r w:rsidRPr="000B697A">
        <w:rPr>
          <w:rFonts w:cs="Calibri"/>
        </w:rPr>
        <w:t xml:space="preserve"> цели да създава и поддържа възможности то да продължи да функционира като действащо предприятие и да осигурява съответната възвръщаемост на инвестираните средства на акционерите и стопански ползи на другите заинтересовани лица от и участници в неговия бизнес, както и да поддържа оптимална капиталова структура. </w:t>
      </w:r>
    </w:p>
    <w:p w:rsidR="00542ACE" w:rsidRPr="000B697A" w:rsidRDefault="00B53439" w:rsidP="00D34391">
      <w:pPr>
        <w:rPr>
          <w:rFonts w:cs="Calibri"/>
        </w:rPr>
      </w:pPr>
      <w:r w:rsidRPr="000B697A">
        <w:rPr>
          <w:rFonts w:cs="Calibri"/>
        </w:rPr>
        <w:t>И през 201</w:t>
      </w:r>
      <w:r w:rsidR="000B697A">
        <w:rPr>
          <w:rFonts w:cs="Calibri"/>
        </w:rPr>
        <w:t>8</w:t>
      </w:r>
      <w:r w:rsidR="00542ACE" w:rsidRPr="000B697A">
        <w:rPr>
          <w:rFonts w:cs="Calibri"/>
        </w:rPr>
        <w:t xml:space="preserve"> г. стратегията на ръководството на дружеството</w:t>
      </w:r>
      <w:r w:rsidR="00474D5E" w:rsidRPr="000B697A">
        <w:rPr>
          <w:rFonts w:cs="Calibri"/>
        </w:rPr>
        <w:t>-майка</w:t>
      </w:r>
      <w:r w:rsidR="00542ACE" w:rsidRPr="000B697A">
        <w:rPr>
          <w:rFonts w:cs="Calibri"/>
        </w:rPr>
        <w:t xml:space="preserve"> е да се работи изцяло със собствени средства, генерирани от стопанската му дейност, без да ползва привлечени заемни средства. Тя остава непроменена спрямо 201</w:t>
      </w:r>
      <w:r w:rsidR="008F3486">
        <w:rPr>
          <w:rFonts w:cs="Calibri"/>
          <w:lang w:val="en-US"/>
        </w:rPr>
        <w:t>7</w:t>
      </w:r>
      <w:r w:rsidR="00542ACE" w:rsidRPr="000B697A">
        <w:rPr>
          <w:rFonts w:cs="Calibri"/>
        </w:rPr>
        <w:t xml:space="preserve"> г.</w:t>
      </w:r>
    </w:p>
    <w:p w:rsidR="00542ACE" w:rsidRPr="000B697A" w:rsidRDefault="00474D5E" w:rsidP="00D34391">
      <w:pPr>
        <w:rPr>
          <w:rFonts w:cs="Calibri"/>
        </w:rPr>
      </w:pPr>
      <w:r w:rsidRPr="000B697A">
        <w:rPr>
          <w:rFonts w:cs="Calibri"/>
        </w:rPr>
        <w:t xml:space="preserve">Групата </w:t>
      </w:r>
      <w:r w:rsidR="00542ACE" w:rsidRPr="000B697A">
        <w:rPr>
          <w:rFonts w:cs="Calibri"/>
        </w:rPr>
        <w:t xml:space="preserve">текущо наблюдава осигуреността и структурата на капитала си. </w:t>
      </w:r>
      <w:r w:rsidR="000B697A">
        <w:rPr>
          <w:rFonts w:cs="Calibri"/>
        </w:rPr>
        <w:t>Групата</w:t>
      </w:r>
      <w:r w:rsidR="00542ACE" w:rsidRPr="000B697A">
        <w:rPr>
          <w:rFonts w:cs="Calibri"/>
        </w:rPr>
        <w:t xml:space="preserve"> традиционно финансира дейността си от собствените си генерирани печалби и чрез своите акционери, бе</w:t>
      </w:r>
      <w:r w:rsidR="00B53439" w:rsidRPr="000B697A">
        <w:rPr>
          <w:rFonts w:cs="Calibri"/>
        </w:rPr>
        <w:t>з използване на дългов капитал.</w:t>
      </w:r>
    </w:p>
    <w:p w:rsidR="007D0731" w:rsidRPr="000B697A" w:rsidRDefault="00010F33" w:rsidP="0016443B">
      <w:pPr>
        <w:pStyle w:val="SubNumbers"/>
        <w:rPr>
          <w:rFonts w:cs="Calibri"/>
        </w:rPr>
      </w:pPr>
      <w:bookmarkStart w:id="128" w:name="_Ref448932508"/>
      <w:bookmarkStart w:id="129" w:name="_Toc6923269"/>
      <w:r w:rsidRPr="000B697A">
        <w:rPr>
          <w:rFonts w:cs="Calibri"/>
        </w:rPr>
        <w:t>Оценка на възможностите за реализация на инвестиционните намерения с посочване на размера на разполагаемите средства и отразяване на възможните промени в структурата на финансиране на тази дейност</w:t>
      </w:r>
      <w:bookmarkEnd w:id="128"/>
      <w:bookmarkEnd w:id="129"/>
    </w:p>
    <w:p w:rsidR="007D0731" w:rsidRPr="000B697A" w:rsidRDefault="000B697A" w:rsidP="00D34391">
      <w:pPr>
        <w:rPr>
          <w:rFonts w:cs="Calibri"/>
        </w:rPr>
      </w:pPr>
      <w:r>
        <w:rPr>
          <w:rFonts w:cs="Calibri"/>
        </w:rPr>
        <w:t>Дружествата от Групата не са декларирали инвестиционни намерения за 2019 година</w:t>
      </w:r>
      <w:r w:rsidR="00F41E1B" w:rsidRPr="000B697A">
        <w:rPr>
          <w:rFonts w:cs="Calibri"/>
        </w:rPr>
        <w:t>.</w:t>
      </w:r>
    </w:p>
    <w:p w:rsidR="007D0731" w:rsidRPr="000B697A" w:rsidRDefault="00010F33" w:rsidP="0016443B">
      <w:pPr>
        <w:pStyle w:val="SubNumbers"/>
        <w:rPr>
          <w:rFonts w:cs="Calibri"/>
        </w:rPr>
      </w:pPr>
      <w:bookmarkStart w:id="130" w:name="_Toc6923270"/>
      <w:r w:rsidRPr="000B697A">
        <w:rPr>
          <w:rFonts w:cs="Calibri"/>
        </w:rPr>
        <w:t>Информация за настъпили промени през отчетния период в основните принципи за управление на икономическата група</w:t>
      </w:r>
      <w:bookmarkEnd w:id="130"/>
    </w:p>
    <w:p w:rsidR="00347DE2" w:rsidRPr="000B697A" w:rsidRDefault="00B53439" w:rsidP="00D34391">
      <w:pPr>
        <w:rPr>
          <w:rFonts w:cs="Calibri"/>
        </w:rPr>
      </w:pPr>
      <w:r w:rsidRPr="000B697A">
        <w:rPr>
          <w:rFonts w:cs="Calibri"/>
        </w:rPr>
        <w:t>През 201</w:t>
      </w:r>
      <w:r w:rsidR="000B697A">
        <w:rPr>
          <w:rFonts w:cs="Calibri"/>
        </w:rPr>
        <w:t>8</w:t>
      </w:r>
      <w:r w:rsidR="00010F33" w:rsidRPr="000B697A">
        <w:rPr>
          <w:rFonts w:cs="Calibri"/>
        </w:rPr>
        <w:t xml:space="preserve"> г. не са настъпвали промени в основните принципи на управление на </w:t>
      </w:r>
      <w:r w:rsidR="00037100" w:rsidRPr="000B697A">
        <w:rPr>
          <w:rFonts w:cs="Calibri"/>
        </w:rPr>
        <w:t xml:space="preserve">дружествата от Група </w:t>
      </w:r>
      <w:r w:rsidR="00010F33" w:rsidRPr="000B697A">
        <w:rPr>
          <w:rFonts w:cs="Calibri"/>
        </w:rPr>
        <w:t>Българска фондова борса.</w:t>
      </w:r>
    </w:p>
    <w:p w:rsidR="007D0731" w:rsidRPr="000B697A" w:rsidRDefault="00010F33" w:rsidP="0016443B">
      <w:pPr>
        <w:pStyle w:val="SubNumbers"/>
        <w:rPr>
          <w:rFonts w:cs="Calibri"/>
        </w:rPr>
      </w:pPr>
      <w:bookmarkStart w:id="131" w:name="_Toc6923271"/>
      <w:r w:rsidRPr="000B697A">
        <w:rPr>
          <w:rFonts w:cs="Calibri"/>
        </w:rPr>
        <w:t>Информация за основните характеристики на прилаганите от емитента в процеса на изготвяне на финансовите отчети система за вътрешен контрол и система за управление на рискове.</w:t>
      </w:r>
      <w:bookmarkEnd w:id="131"/>
    </w:p>
    <w:p w:rsidR="000F2F80" w:rsidRPr="000B697A" w:rsidRDefault="000B697A" w:rsidP="00037100">
      <w:pPr>
        <w:rPr>
          <w:rFonts w:cs="Calibri"/>
        </w:rPr>
      </w:pPr>
      <w:r>
        <w:rPr>
          <w:rFonts w:cs="Calibri"/>
        </w:rPr>
        <w:t>„Българска фондова борса“ АД</w:t>
      </w:r>
      <w:r w:rsidRPr="00B42B64">
        <w:rPr>
          <w:rFonts w:cs="Calibri"/>
        </w:rPr>
        <w:t xml:space="preserve"> е приела и прилага правила и процедури, регламентиращи ефективното функциониране на системите за отчетност и разкриване на информация от дружеството. В правилата детайлно са описани различните видове информация, създавани и разкривани от дружеството, процесите на вътрешнофирмения документооборот, различните </w:t>
      </w:r>
      <w:r w:rsidRPr="00B42B64">
        <w:rPr>
          <w:rFonts w:cs="Calibri"/>
        </w:rPr>
        <w:lastRenderedPageBreak/>
        <w:t>нива на достъп до видовете информация на отговорните лица и сроковете за обработка и управление на информационните потоци. Създадената система за управление на рисковете осигурява ефективното осъществяване на вътрешен контрол при създаването и управлението на всички фирмени документи в т.ч. финансовите отчети и другата регулирана информация, която Дружеството е длъжно да разкрива в съответствие със законовите разпоредби</w:t>
      </w:r>
      <w:r w:rsidR="00010F33" w:rsidRPr="000B697A">
        <w:rPr>
          <w:rFonts w:cs="Calibri"/>
        </w:rPr>
        <w:t>.</w:t>
      </w:r>
    </w:p>
    <w:p w:rsidR="007D0731" w:rsidRPr="000B697A" w:rsidRDefault="00010F33" w:rsidP="0016443B">
      <w:pPr>
        <w:pStyle w:val="SubNumbers"/>
        <w:rPr>
          <w:rFonts w:cs="Calibri"/>
        </w:rPr>
      </w:pPr>
      <w:bookmarkStart w:id="132" w:name="_Toc6923272"/>
      <w:r w:rsidRPr="000B697A">
        <w:rPr>
          <w:rFonts w:cs="Calibri"/>
        </w:rPr>
        <w:t>Информация за промените в управителните и надзорните органи през отчетната финансова година</w:t>
      </w:r>
      <w:bookmarkEnd w:id="132"/>
    </w:p>
    <w:p w:rsidR="008146FE" w:rsidRDefault="000B697A" w:rsidP="00100052">
      <w:pPr>
        <w:rPr>
          <w:rFonts w:cs="Calibri"/>
        </w:rPr>
      </w:pPr>
      <w:r w:rsidRPr="00B42B64">
        <w:rPr>
          <w:rFonts w:cs="Calibri"/>
        </w:rPr>
        <w:t xml:space="preserve">С решение на проведеното на </w:t>
      </w:r>
      <w:r>
        <w:rPr>
          <w:rFonts w:cs="Calibri"/>
        </w:rPr>
        <w:t>18</w:t>
      </w:r>
      <w:r w:rsidRPr="00B42B64">
        <w:rPr>
          <w:rFonts w:cs="Calibri"/>
        </w:rPr>
        <w:t>.0</w:t>
      </w:r>
      <w:r>
        <w:rPr>
          <w:rFonts w:cs="Calibri"/>
        </w:rPr>
        <w:t>6</w:t>
      </w:r>
      <w:r w:rsidRPr="00B42B64">
        <w:rPr>
          <w:rFonts w:cs="Calibri"/>
        </w:rPr>
        <w:t>.201</w:t>
      </w:r>
      <w:r>
        <w:rPr>
          <w:rFonts w:cs="Calibri"/>
        </w:rPr>
        <w:t>8</w:t>
      </w:r>
      <w:r w:rsidRPr="00B42B64">
        <w:rPr>
          <w:rFonts w:cs="Calibri"/>
        </w:rPr>
        <w:t xml:space="preserve"> година Общо събрание на акционерите на дружеството</w:t>
      </w:r>
      <w:r w:rsidRPr="00764301">
        <w:rPr>
          <w:rFonts w:cs="Calibri"/>
        </w:rPr>
        <w:t>,</w:t>
      </w:r>
      <w:r>
        <w:rPr>
          <w:rFonts w:cs="Calibri"/>
        </w:rPr>
        <w:t xml:space="preserve"> бе</w:t>
      </w:r>
      <w:r w:rsidRPr="00764301">
        <w:rPr>
          <w:rFonts w:cs="Calibri"/>
        </w:rPr>
        <w:t xml:space="preserve"> освободена Маринела </w:t>
      </w:r>
      <w:proofErr w:type="spellStart"/>
      <w:r w:rsidRPr="00764301">
        <w:rPr>
          <w:rFonts w:cs="Calibri"/>
        </w:rPr>
        <w:t>Пиринова</w:t>
      </w:r>
      <w:proofErr w:type="spellEnd"/>
      <w:r w:rsidRPr="00764301">
        <w:rPr>
          <w:rFonts w:cs="Calibri"/>
        </w:rPr>
        <w:t xml:space="preserve"> Петрова като член на Съвета на директорите и бе избрана Христина Стефанова </w:t>
      </w:r>
      <w:proofErr w:type="spellStart"/>
      <w:r w:rsidRPr="00764301">
        <w:rPr>
          <w:rFonts w:cs="Calibri"/>
        </w:rPr>
        <w:t>Пендичева</w:t>
      </w:r>
      <w:proofErr w:type="spellEnd"/>
      <w:r w:rsidRPr="00764301">
        <w:rPr>
          <w:rFonts w:cs="Calibri"/>
        </w:rPr>
        <w:t xml:space="preserve"> за член на Съвета на директорите до края на текущия мандат</w:t>
      </w:r>
      <w:r w:rsidRPr="00B42B64">
        <w:rPr>
          <w:rFonts w:cs="Calibri"/>
        </w:rPr>
        <w:t>.</w:t>
      </w:r>
      <w:r>
        <w:rPr>
          <w:rFonts w:cs="Calibri"/>
        </w:rPr>
        <w:t xml:space="preserve"> Повече информация в т. </w:t>
      </w:r>
      <w:r w:rsidR="000B57D2">
        <w:rPr>
          <w:rFonts w:cs="Calibri"/>
        </w:rPr>
        <w:fldChar w:fldCharType="begin"/>
      </w:r>
      <w:r>
        <w:rPr>
          <w:rFonts w:cs="Calibri"/>
        </w:rPr>
        <w:instrText xml:space="preserve"> REF _Ref6524126 \r \h </w:instrText>
      </w:r>
      <w:r w:rsidR="000B57D2">
        <w:rPr>
          <w:rFonts w:cs="Calibri"/>
        </w:rPr>
      </w:r>
      <w:r w:rsidR="000B57D2">
        <w:rPr>
          <w:rFonts w:cs="Calibri"/>
        </w:rPr>
        <w:fldChar w:fldCharType="separate"/>
      </w:r>
      <w:r w:rsidR="00AA0D62">
        <w:rPr>
          <w:rFonts w:cs="Calibri"/>
        </w:rPr>
        <w:t>2.8.6</w:t>
      </w:r>
      <w:r w:rsidR="000B57D2">
        <w:rPr>
          <w:rFonts w:cs="Calibri"/>
        </w:rPr>
        <w:fldChar w:fldCharType="end"/>
      </w:r>
      <w:r w:rsidR="0091013F" w:rsidRPr="000B697A">
        <w:rPr>
          <w:rFonts w:cs="Calibri"/>
        </w:rPr>
        <w:t>.</w:t>
      </w:r>
    </w:p>
    <w:p w:rsidR="000B697A" w:rsidRPr="000B697A" w:rsidRDefault="000B697A" w:rsidP="000B697A">
      <w:pPr>
        <w:rPr>
          <w:rFonts w:cs="Calibri"/>
        </w:rPr>
      </w:pPr>
      <w:r w:rsidRPr="000B697A">
        <w:rPr>
          <w:rFonts w:cs="Calibri"/>
        </w:rPr>
        <w:t>На 23.03.2018</w:t>
      </w:r>
      <w:r>
        <w:rPr>
          <w:rFonts w:cs="Calibri"/>
        </w:rPr>
        <w:t xml:space="preserve"> </w:t>
      </w:r>
      <w:r w:rsidRPr="000B697A">
        <w:rPr>
          <w:rFonts w:cs="Calibri"/>
        </w:rPr>
        <w:t>г. Съветът на директорите на Българска фондова борса АД взе решение за смяна на член на Съвета на директорите на Бълга</w:t>
      </w:r>
      <w:r>
        <w:rPr>
          <w:rFonts w:cs="Calibri"/>
        </w:rPr>
        <w:t xml:space="preserve">рска независима енергийна борса </w:t>
      </w:r>
      <w:r w:rsidRPr="000B697A">
        <w:rPr>
          <w:rFonts w:cs="Calibri"/>
        </w:rPr>
        <w:t xml:space="preserve">ЕАД, като </w:t>
      </w:r>
      <w:r>
        <w:rPr>
          <w:rFonts w:cs="Calibri"/>
        </w:rPr>
        <w:t>освобо</w:t>
      </w:r>
      <w:r w:rsidRPr="000B697A">
        <w:rPr>
          <w:rFonts w:cs="Calibri"/>
        </w:rPr>
        <w:t>д</w:t>
      </w:r>
      <w:r>
        <w:rPr>
          <w:rFonts w:cs="Calibri"/>
        </w:rPr>
        <w:t>и</w:t>
      </w:r>
      <w:r w:rsidRPr="000B697A">
        <w:rPr>
          <w:rFonts w:cs="Calibri"/>
        </w:rPr>
        <w:t xml:space="preserve"> Деян Красимиров Иванов и избра</w:t>
      </w:r>
      <w:r>
        <w:rPr>
          <w:rFonts w:cs="Calibri"/>
        </w:rPr>
        <w:t xml:space="preserve"> на негово място</w:t>
      </w:r>
      <w:r w:rsidRPr="000B697A">
        <w:rPr>
          <w:rFonts w:cs="Calibri"/>
        </w:rPr>
        <w:t xml:space="preserve"> Васил Димитров </w:t>
      </w:r>
      <w:proofErr w:type="spellStart"/>
      <w:r w:rsidRPr="000B697A">
        <w:rPr>
          <w:rFonts w:cs="Calibri"/>
        </w:rPr>
        <w:t>Големански</w:t>
      </w:r>
      <w:proofErr w:type="spellEnd"/>
      <w:r w:rsidRPr="000B697A">
        <w:rPr>
          <w:rFonts w:cs="Calibri"/>
        </w:rPr>
        <w:t>.</w:t>
      </w:r>
    </w:p>
    <w:p w:rsidR="007D0731" w:rsidRPr="000B697A" w:rsidRDefault="00010F33" w:rsidP="0016443B">
      <w:pPr>
        <w:pStyle w:val="SubNumbers"/>
        <w:rPr>
          <w:rFonts w:cs="Calibri"/>
        </w:rPr>
      </w:pPr>
      <w:bookmarkStart w:id="133" w:name="_Toc6923273"/>
      <w:r w:rsidRPr="000B697A">
        <w:rPr>
          <w:rFonts w:cs="Calibri"/>
        </w:rPr>
        <w:t>Информация за размера на възнагражденията, наградите и/или ползите на всеки от членовете на управителните и на контролните органи за отчетната финансова година, изплатени от емитента и негови дъщерни дружества, независимо от това, дали са били включени в разходите на емитента или произтичат от разпределение на печалбата</w:t>
      </w:r>
      <w:bookmarkEnd w:id="133"/>
    </w:p>
    <w:tbl>
      <w:tblPr>
        <w:tblW w:w="10062" w:type="dxa"/>
        <w:jc w:val="center"/>
        <w:tblLook w:val="04A0" w:firstRow="1" w:lastRow="0" w:firstColumn="1" w:lastColumn="0" w:noHBand="0" w:noVBand="1"/>
      </w:tblPr>
      <w:tblGrid>
        <w:gridCol w:w="5103"/>
        <w:gridCol w:w="1840"/>
        <w:gridCol w:w="3119"/>
      </w:tblGrid>
      <w:tr w:rsidR="000B697A" w:rsidRPr="000B697A" w:rsidTr="00FA3193">
        <w:trPr>
          <w:jc w:val="center"/>
        </w:trPr>
        <w:tc>
          <w:tcPr>
            <w:tcW w:w="5103" w:type="dxa"/>
            <w:tcBorders>
              <w:bottom w:val="single" w:sz="4" w:space="0" w:color="auto"/>
              <w:right w:val="dotted" w:sz="4" w:space="0" w:color="auto"/>
            </w:tcBorders>
          </w:tcPr>
          <w:p w:rsidR="000B697A" w:rsidRPr="000B697A" w:rsidRDefault="000B697A" w:rsidP="000B697A">
            <w:pPr>
              <w:jc w:val="center"/>
              <w:rPr>
                <w:rFonts w:cs="Calibri"/>
              </w:rPr>
            </w:pPr>
            <w:r w:rsidRPr="000B697A">
              <w:rPr>
                <w:rFonts w:cs="Calibri"/>
              </w:rPr>
              <w:t xml:space="preserve">Член на </w:t>
            </w:r>
            <w:r>
              <w:rPr>
                <w:rFonts w:cs="Calibri"/>
              </w:rPr>
              <w:t>Управителен орган</w:t>
            </w:r>
          </w:p>
        </w:tc>
        <w:tc>
          <w:tcPr>
            <w:tcW w:w="1840" w:type="dxa"/>
            <w:tcBorders>
              <w:bottom w:val="single" w:sz="4" w:space="0" w:color="auto"/>
              <w:right w:val="dotted" w:sz="4" w:space="0" w:color="auto"/>
            </w:tcBorders>
          </w:tcPr>
          <w:p w:rsidR="000B697A" w:rsidRPr="000B697A" w:rsidRDefault="000B697A" w:rsidP="0045294E">
            <w:pPr>
              <w:jc w:val="center"/>
              <w:rPr>
                <w:rFonts w:cs="Calibri"/>
              </w:rPr>
            </w:pPr>
          </w:p>
        </w:tc>
        <w:tc>
          <w:tcPr>
            <w:tcW w:w="3119" w:type="dxa"/>
            <w:tcBorders>
              <w:left w:val="dotted" w:sz="4" w:space="0" w:color="auto"/>
              <w:bottom w:val="single" w:sz="4" w:space="0" w:color="auto"/>
            </w:tcBorders>
          </w:tcPr>
          <w:p w:rsidR="000B697A" w:rsidRPr="000B697A" w:rsidRDefault="000B697A" w:rsidP="0045294E">
            <w:pPr>
              <w:jc w:val="center"/>
              <w:rPr>
                <w:rFonts w:cs="Calibri"/>
              </w:rPr>
            </w:pPr>
            <w:r w:rsidRPr="000B697A">
              <w:rPr>
                <w:rFonts w:cs="Calibri"/>
              </w:rPr>
              <w:t>Получена суми и непарични възнаграждения (лева)</w:t>
            </w:r>
          </w:p>
        </w:tc>
      </w:tr>
      <w:tr w:rsidR="000B697A" w:rsidRPr="000B697A" w:rsidTr="00FA3193">
        <w:trPr>
          <w:jc w:val="center"/>
        </w:trPr>
        <w:tc>
          <w:tcPr>
            <w:tcW w:w="5103" w:type="dxa"/>
            <w:tcBorders>
              <w:top w:val="single" w:sz="4" w:space="0" w:color="auto"/>
              <w:right w:val="dotted" w:sz="4" w:space="0" w:color="auto"/>
            </w:tcBorders>
          </w:tcPr>
          <w:p w:rsidR="000B697A" w:rsidRPr="00D6248A" w:rsidRDefault="000B697A" w:rsidP="000B697A">
            <w:pPr>
              <w:rPr>
                <w:rFonts w:cs="Calibri"/>
              </w:rPr>
            </w:pPr>
            <w:r w:rsidRPr="00D6248A">
              <w:rPr>
                <w:rFonts w:cs="Calibri"/>
              </w:rPr>
              <w:t xml:space="preserve">Асен Ягодин </w:t>
            </w:r>
          </w:p>
        </w:tc>
        <w:tc>
          <w:tcPr>
            <w:tcW w:w="1840" w:type="dxa"/>
            <w:tcBorders>
              <w:top w:val="single" w:sz="4" w:space="0" w:color="auto"/>
              <w:right w:val="dotted" w:sz="4" w:space="0" w:color="auto"/>
            </w:tcBorders>
          </w:tcPr>
          <w:p w:rsidR="000B697A" w:rsidRPr="00D6248A" w:rsidRDefault="000B697A" w:rsidP="000B697A">
            <w:pPr>
              <w:jc w:val="right"/>
              <w:rPr>
                <w:rFonts w:cs="Calibri"/>
              </w:rPr>
            </w:pPr>
            <w:r>
              <w:rPr>
                <w:rFonts w:cs="Calibri"/>
              </w:rPr>
              <w:t>СД на БФБ</w:t>
            </w:r>
          </w:p>
        </w:tc>
        <w:tc>
          <w:tcPr>
            <w:tcW w:w="3119" w:type="dxa"/>
            <w:tcBorders>
              <w:top w:val="single" w:sz="4" w:space="0" w:color="auto"/>
              <w:left w:val="dotted" w:sz="4" w:space="0" w:color="auto"/>
            </w:tcBorders>
          </w:tcPr>
          <w:p w:rsidR="000B697A" w:rsidRPr="00D6248A" w:rsidRDefault="000B697A" w:rsidP="000B697A">
            <w:pPr>
              <w:jc w:val="right"/>
              <w:rPr>
                <w:rFonts w:cs="Calibri"/>
              </w:rPr>
            </w:pPr>
            <w:r w:rsidRPr="00D6248A">
              <w:rPr>
                <w:rFonts w:cs="Calibri"/>
              </w:rPr>
              <w:t>29 700</w:t>
            </w:r>
          </w:p>
        </w:tc>
      </w:tr>
      <w:tr w:rsidR="000B697A" w:rsidRPr="000B697A" w:rsidTr="00FA3193">
        <w:trPr>
          <w:jc w:val="center"/>
        </w:trPr>
        <w:tc>
          <w:tcPr>
            <w:tcW w:w="5103" w:type="dxa"/>
            <w:tcBorders>
              <w:right w:val="dotted" w:sz="4" w:space="0" w:color="auto"/>
            </w:tcBorders>
          </w:tcPr>
          <w:p w:rsidR="000B697A" w:rsidRPr="00D6248A" w:rsidRDefault="000B697A" w:rsidP="000B697A">
            <w:pPr>
              <w:rPr>
                <w:rFonts w:cs="Calibri"/>
              </w:rPr>
            </w:pPr>
            <w:r w:rsidRPr="00D6248A">
              <w:rPr>
                <w:rFonts w:cs="Calibri"/>
              </w:rPr>
              <w:t>Маринела Петрова (освободена 18.06.2018)</w:t>
            </w:r>
          </w:p>
        </w:tc>
        <w:tc>
          <w:tcPr>
            <w:tcW w:w="1840" w:type="dxa"/>
            <w:tcBorders>
              <w:right w:val="dotted" w:sz="4" w:space="0" w:color="auto"/>
            </w:tcBorders>
          </w:tcPr>
          <w:p w:rsidR="000B697A" w:rsidRPr="00D6248A" w:rsidRDefault="000B697A" w:rsidP="000B697A">
            <w:pPr>
              <w:jc w:val="right"/>
              <w:rPr>
                <w:rFonts w:cs="Calibri"/>
              </w:rPr>
            </w:pPr>
            <w:r>
              <w:rPr>
                <w:rFonts w:cs="Calibri"/>
              </w:rPr>
              <w:t>СД на БФБ</w:t>
            </w:r>
          </w:p>
        </w:tc>
        <w:tc>
          <w:tcPr>
            <w:tcW w:w="3119" w:type="dxa"/>
            <w:tcBorders>
              <w:left w:val="dotted" w:sz="4" w:space="0" w:color="auto"/>
            </w:tcBorders>
          </w:tcPr>
          <w:p w:rsidR="000B697A" w:rsidRPr="00D6248A" w:rsidRDefault="000B697A" w:rsidP="000B697A">
            <w:pPr>
              <w:jc w:val="right"/>
              <w:rPr>
                <w:rFonts w:cs="Calibri"/>
              </w:rPr>
            </w:pPr>
            <w:r w:rsidRPr="00D6248A">
              <w:rPr>
                <w:rFonts w:cs="Calibri"/>
              </w:rPr>
              <w:t>0</w:t>
            </w:r>
          </w:p>
        </w:tc>
      </w:tr>
      <w:tr w:rsidR="000B697A" w:rsidRPr="000B697A" w:rsidTr="00FA3193">
        <w:trPr>
          <w:jc w:val="center"/>
        </w:trPr>
        <w:tc>
          <w:tcPr>
            <w:tcW w:w="5103" w:type="dxa"/>
            <w:tcBorders>
              <w:right w:val="dotted" w:sz="4" w:space="0" w:color="auto"/>
            </w:tcBorders>
          </w:tcPr>
          <w:p w:rsidR="000B697A" w:rsidRPr="00D6248A" w:rsidRDefault="000B697A" w:rsidP="000B697A">
            <w:pPr>
              <w:rPr>
                <w:rFonts w:cs="Calibri"/>
              </w:rPr>
            </w:pPr>
            <w:r w:rsidRPr="00D6248A">
              <w:rPr>
                <w:rFonts w:cs="Calibri"/>
              </w:rPr>
              <w:t>Иван Такев</w:t>
            </w:r>
          </w:p>
        </w:tc>
        <w:tc>
          <w:tcPr>
            <w:tcW w:w="1840" w:type="dxa"/>
            <w:tcBorders>
              <w:right w:val="dotted" w:sz="4" w:space="0" w:color="auto"/>
            </w:tcBorders>
          </w:tcPr>
          <w:p w:rsidR="000B697A" w:rsidRPr="00D6248A" w:rsidRDefault="000B697A" w:rsidP="000B697A">
            <w:pPr>
              <w:jc w:val="right"/>
              <w:rPr>
                <w:rFonts w:cs="Calibri"/>
              </w:rPr>
            </w:pPr>
            <w:r>
              <w:rPr>
                <w:rFonts w:cs="Calibri"/>
              </w:rPr>
              <w:t>СД на БФБ</w:t>
            </w:r>
          </w:p>
        </w:tc>
        <w:tc>
          <w:tcPr>
            <w:tcW w:w="3119" w:type="dxa"/>
            <w:tcBorders>
              <w:left w:val="dotted" w:sz="4" w:space="0" w:color="auto"/>
            </w:tcBorders>
          </w:tcPr>
          <w:p w:rsidR="000B697A" w:rsidRPr="00D6248A" w:rsidRDefault="000B697A" w:rsidP="000B697A">
            <w:pPr>
              <w:jc w:val="right"/>
              <w:rPr>
                <w:rFonts w:cs="Calibri"/>
              </w:rPr>
            </w:pPr>
            <w:r w:rsidRPr="00D6248A">
              <w:rPr>
                <w:rFonts w:cs="Calibri"/>
              </w:rPr>
              <w:t>107 162</w:t>
            </w:r>
          </w:p>
        </w:tc>
      </w:tr>
      <w:tr w:rsidR="000B697A" w:rsidRPr="000B697A" w:rsidTr="00FA3193">
        <w:trPr>
          <w:jc w:val="center"/>
        </w:trPr>
        <w:tc>
          <w:tcPr>
            <w:tcW w:w="5103" w:type="dxa"/>
            <w:tcBorders>
              <w:right w:val="dotted" w:sz="4" w:space="0" w:color="auto"/>
            </w:tcBorders>
          </w:tcPr>
          <w:p w:rsidR="000B697A" w:rsidRPr="00D6248A" w:rsidRDefault="000B697A" w:rsidP="000B697A">
            <w:pPr>
              <w:rPr>
                <w:rFonts w:cs="Calibri"/>
              </w:rPr>
            </w:pPr>
            <w:r w:rsidRPr="00D6248A">
              <w:rPr>
                <w:rFonts w:cs="Calibri"/>
              </w:rPr>
              <w:t xml:space="preserve">Васил </w:t>
            </w:r>
            <w:proofErr w:type="spellStart"/>
            <w:r w:rsidRPr="00D6248A">
              <w:rPr>
                <w:rFonts w:cs="Calibri"/>
              </w:rPr>
              <w:t>Големански</w:t>
            </w:r>
            <w:proofErr w:type="spellEnd"/>
          </w:p>
        </w:tc>
        <w:tc>
          <w:tcPr>
            <w:tcW w:w="1840" w:type="dxa"/>
            <w:tcBorders>
              <w:right w:val="dotted" w:sz="4" w:space="0" w:color="auto"/>
            </w:tcBorders>
          </w:tcPr>
          <w:p w:rsidR="000B697A" w:rsidRPr="00D6248A" w:rsidRDefault="000B697A" w:rsidP="000B697A">
            <w:pPr>
              <w:jc w:val="right"/>
              <w:rPr>
                <w:rFonts w:cs="Calibri"/>
              </w:rPr>
            </w:pPr>
            <w:r>
              <w:rPr>
                <w:rFonts w:cs="Calibri"/>
              </w:rPr>
              <w:t>СД на БФБ</w:t>
            </w:r>
          </w:p>
        </w:tc>
        <w:tc>
          <w:tcPr>
            <w:tcW w:w="3119" w:type="dxa"/>
            <w:tcBorders>
              <w:left w:val="dotted" w:sz="4" w:space="0" w:color="auto"/>
            </w:tcBorders>
          </w:tcPr>
          <w:p w:rsidR="000B697A" w:rsidRPr="00D6248A" w:rsidRDefault="000B697A" w:rsidP="000B697A">
            <w:pPr>
              <w:jc w:val="right"/>
              <w:rPr>
                <w:rFonts w:cs="Calibri"/>
              </w:rPr>
            </w:pPr>
            <w:r w:rsidRPr="00D6248A">
              <w:rPr>
                <w:rFonts w:cs="Calibri"/>
              </w:rPr>
              <w:t>106 758</w:t>
            </w:r>
          </w:p>
        </w:tc>
      </w:tr>
      <w:tr w:rsidR="000B697A" w:rsidRPr="000B697A" w:rsidTr="00FA3193">
        <w:trPr>
          <w:jc w:val="center"/>
        </w:trPr>
        <w:tc>
          <w:tcPr>
            <w:tcW w:w="5103" w:type="dxa"/>
            <w:tcBorders>
              <w:right w:val="dotted" w:sz="4" w:space="0" w:color="auto"/>
            </w:tcBorders>
          </w:tcPr>
          <w:p w:rsidR="000B697A" w:rsidRPr="00D6248A" w:rsidRDefault="000B697A" w:rsidP="000B697A">
            <w:pPr>
              <w:rPr>
                <w:rFonts w:cs="Calibri"/>
              </w:rPr>
            </w:pPr>
            <w:r w:rsidRPr="00D6248A">
              <w:rPr>
                <w:rFonts w:cs="Calibri"/>
              </w:rPr>
              <w:t>Любомир Бояджиев</w:t>
            </w:r>
          </w:p>
        </w:tc>
        <w:tc>
          <w:tcPr>
            <w:tcW w:w="1840" w:type="dxa"/>
            <w:tcBorders>
              <w:right w:val="dotted" w:sz="4" w:space="0" w:color="auto"/>
            </w:tcBorders>
          </w:tcPr>
          <w:p w:rsidR="000B697A" w:rsidRPr="00D6248A" w:rsidRDefault="000B697A" w:rsidP="000B697A">
            <w:pPr>
              <w:jc w:val="right"/>
              <w:rPr>
                <w:rFonts w:cs="Calibri"/>
              </w:rPr>
            </w:pPr>
            <w:r>
              <w:rPr>
                <w:rFonts w:cs="Calibri"/>
              </w:rPr>
              <w:t>СД на БФБ</w:t>
            </w:r>
          </w:p>
        </w:tc>
        <w:tc>
          <w:tcPr>
            <w:tcW w:w="3119" w:type="dxa"/>
            <w:tcBorders>
              <w:left w:val="dotted" w:sz="4" w:space="0" w:color="auto"/>
            </w:tcBorders>
          </w:tcPr>
          <w:p w:rsidR="000B697A" w:rsidRPr="00D6248A" w:rsidRDefault="000B697A" w:rsidP="000B697A">
            <w:pPr>
              <w:jc w:val="right"/>
              <w:rPr>
                <w:rFonts w:cs="Calibri"/>
              </w:rPr>
            </w:pPr>
            <w:r w:rsidRPr="00D6248A">
              <w:rPr>
                <w:rFonts w:cs="Calibri"/>
              </w:rPr>
              <w:t>29 700</w:t>
            </w:r>
          </w:p>
        </w:tc>
      </w:tr>
      <w:tr w:rsidR="000B697A" w:rsidRPr="000B697A" w:rsidTr="00FA3193">
        <w:trPr>
          <w:jc w:val="center"/>
        </w:trPr>
        <w:tc>
          <w:tcPr>
            <w:tcW w:w="5103" w:type="dxa"/>
            <w:tcBorders>
              <w:right w:val="dotted" w:sz="4" w:space="0" w:color="auto"/>
            </w:tcBorders>
          </w:tcPr>
          <w:p w:rsidR="000B697A" w:rsidRPr="00D6248A" w:rsidRDefault="000B697A" w:rsidP="000B697A">
            <w:pPr>
              <w:rPr>
                <w:rFonts w:cs="Calibri"/>
              </w:rPr>
            </w:pPr>
            <w:r w:rsidRPr="00D6248A">
              <w:rPr>
                <w:rFonts w:cs="Calibri"/>
              </w:rPr>
              <w:t xml:space="preserve">Христина </w:t>
            </w:r>
            <w:proofErr w:type="spellStart"/>
            <w:r w:rsidRPr="00D6248A">
              <w:rPr>
                <w:rFonts w:cs="Calibri"/>
              </w:rPr>
              <w:t>Пендичева</w:t>
            </w:r>
            <w:proofErr w:type="spellEnd"/>
            <w:r w:rsidRPr="00D6248A">
              <w:rPr>
                <w:rFonts w:cs="Calibri"/>
              </w:rPr>
              <w:t xml:space="preserve"> (избрана 18.06.2018)</w:t>
            </w:r>
          </w:p>
        </w:tc>
        <w:tc>
          <w:tcPr>
            <w:tcW w:w="1840" w:type="dxa"/>
            <w:tcBorders>
              <w:right w:val="dotted" w:sz="4" w:space="0" w:color="auto"/>
            </w:tcBorders>
          </w:tcPr>
          <w:p w:rsidR="000B697A" w:rsidRPr="00D6248A" w:rsidRDefault="000B697A" w:rsidP="000B697A">
            <w:pPr>
              <w:jc w:val="right"/>
              <w:rPr>
                <w:rFonts w:cs="Calibri"/>
              </w:rPr>
            </w:pPr>
            <w:r>
              <w:rPr>
                <w:rFonts w:cs="Calibri"/>
              </w:rPr>
              <w:t>СД на БФБ</w:t>
            </w:r>
          </w:p>
        </w:tc>
        <w:tc>
          <w:tcPr>
            <w:tcW w:w="3119" w:type="dxa"/>
            <w:tcBorders>
              <w:left w:val="dotted" w:sz="4" w:space="0" w:color="auto"/>
            </w:tcBorders>
          </w:tcPr>
          <w:p w:rsidR="000B697A" w:rsidRPr="00D6248A" w:rsidRDefault="000B697A" w:rsidP="000B697A">
            <w:pPr>
              <w:jc w:val="right"/>
              <w:rPr>
                <w:rFonts w:cs="Calibri"/>
              </w:rPr>
            </w:pPr>
            <w:r w:rsidRPr="00D6248A">
              <w:rPr>
                <w:rFonts w:cs="Calibri"/>
              </w:rPr>
              <w:t>0</w:t>
            </w:r>
          </w:p>
        </w:tc>
      </w:tr>
      <w:tr w:rsidR="000B697A" w:rsidRPr="000B697A" w:rsidTr="00FA3193">
        <w:trPr>
          <w:jc w:val="center"/>
        </w:trPr>
        <w:tc>
          <w:tcPr>
            <w:tcW w:w="5103" w:type="dxa"/>
            <w:tcBorders>
              <w:right w:val="dotted" w:sz="4" w:space="0" w:color="auto"/>
            </w:tcBorders>
          </w:tcPr>
          <w:p w:rsidR="000B697A" w:rsidRPr="000B697A" w:rsidRDefault="000B697A" w:rsidP="00910AE6">
            <w:pPr>
              <w:rPr>
                <w:rFonts w:cs="Calibri"/>
              </w:rPr>
            </w:pPr>
            <w:r w:rsidRPr="000B697A">
              <w:rPr>
                <w:rFonts w:cs="Calibri"/>
              </w:rPr>
              <w:t>Румен Соколов</w:t>
            </w:r>
            <w:r w:rsidR="00910AE6">
              <w:rPr>
                <w:rFonts w:cs="Calibri"/>
              </w:rPr>
              <w:t xml:space="preserve"> (</w:t>
            </w:r>
            <w:proofErr w:type="spellStart"/>
            <w:r w:rsidR="00910AE6">
              <w:rPr>
                <w:rFonts w:cs="Calibri"/>
              </w:rPr>
              <w:t>осв</w:t>
            </w:r>
            <w:proofErr w:type="spellEnd"/>
            <w:r w:rsidR="00910AE6">
              <w:rPr>
                <w:rFonts w:cs="Calibri"/>
              </w:rPr>
              <w:t>. 30.04.2018)</w:t>
            </w:r>
          </w:p>
        </w:tc>
        <w:tc>
          <w:tcPr>
            <w:tcW w:w="1840" w:type="dxa"/>
            <w:tcBorders>
              <w:right w:val="dotted" w:sz="4" w:space="0" w:color="auto"/>
            </w:tcBorders>
          </w:tcPr>
          <w:p w:rsidR="000B697A" w:rsidRPr="000B697A" w:rsidRDefault="00910AE6" w:rsidP="0045294E">
            <w:pPr>
              <w:jc w:val="right"/>
              <w:rPr>
                <w:rFonts w:cs="Calibri"/>
              </w:rPr>
            </w:pPr>
            <w:r>
              <w:rPr>
                <w:rFonts w:cs="Calibri"/>
              </w:rPr>
              <w:t>Управител СФП</w:t>
            </w:r>
          </w:p>
        </w:tc>
        <w:tc>
          <w:tcPr>
            <w:tcW w:w="3119" w:type="dxa"/>
            <w:tcBorders>
              <w:left w:val="dotted" w:sz="4" w:space="0" w:color="auto"/>
            </w:tcBorders>
          </w:tcPr>
          <w:p w:rsidR="000B697A" w:rsidRPr="004402BE" w:rsidRDefault="00007D0C" w:rsidP="0045294E">
            <w:pPr>
              <w:jc w:val="right"/>
              <w:rPr>
                <w:rFonts w:cs="Calibri"/>
                <w:lang w:val="en-US"/>
              </w:rPr>
            </w:pPr>
            <w:r>
              <w:rPr>
                <w:rFonts w:cs="Calibri"/>
                <w:lang w:val="en-US"/>
              </w:rPr>
              <w:t>20 436</w:t>
            </w:r>
          </w:p>
        </w:tc>
      </w:tr>
      <w:tr w:rsidR="00910AE6" w:rsidRPr="000B697A" w:rsidTr="00FA3193">
        <w:trPr>
          <w:jc w:val="center"/>
        </w:trPr>
        <w:tc>
          <w:tcPr>
            <w:tcW w:w="5103" w:type="dxa"/>
            <w:tcBorders>
              <w:right w:val="dotted" w:sz="4" w:space="0" w:color="auto"/>
            </w:tcBorders>
          </w:tcPr>
          <w:p w:rsidR="00910AE6" w:rsidRPr="000B697A" w:rsidRDefault="00910AE6" w:rsidP="0045294E">
            <w:pPr>
              <w:rPr>
                <w:rFonts w:cs="Calibri"/>
              </w:rPr>
            </w:pPr>
            <w:r>
              <w:rPr>
                <w:rFonts w:cs="Calibri"/>
              </w:rPr>
              <w:t>Иван Райков (избран 30.04.2018)</w:t>
            </w:r>
          </w:p>
        </w:tc>
        <w:tc>
          <w:tcPr>
            <w:tcW w:w="1840" w:type="dxa"/>
            <w:tcBorders>
              <w:right w:val="dotted" w:sz="4" w:space="0" w:color="auto"/>
            </w:tcBorders>
          </w:tcPr>
          <w:p w:rsidR="00910AE6" w:rsidRDefault="00910AE6" w:rsidP="0045294E">
            <w:pPr>
              <w:jc w:val="right"/>
              <w:rPr>
                <w:rFonts w:cs="Calibri"/>
              </w:rPr>
            </w:pPr>
            <w:r>
              <w:rPr>
                <w:rFonts w:cs="Calibri"/>
              </w:rPr>
              <w:t>Управител СФП</w:t>
            </w:r>
          </w:p>
        </w:tc>
        <w:tc>
          <w:tcPr>
            <w:tcW w:w="3119" w:type="dxa"/>
            <w:tcBorders>
              <w:left w:val="dotted" w:sz="4" w:space="0" w:color="auto"/>
            </w:tcBorders>
          </w:tcPr>
          <w:p w:rsidR="00910AE6" w:rsidRPr="00007D0C" w:rsidRDefault="00007D0C" w:rsidP="0045294E">
            <w:pPr>
              <w:jc w:val="right"/>
              <w:rPr>
                <w:rFonts w:cs="Calibri"/>
                <w:lang w:val="en-US"/>
              </w:rPr>
            </w:pPr>
            <w:r>
              <w:rPr>
                <w:rFonts w:cs="Calibri"/>
                <w:lang w:val="en-US"/>
              </w:rPr>
              <w:t>27 287</w:t>
            </w:r>
          </w:p>
        </w:tc>
      </w:tr>
      <w:tr w:rsidR="000B697A" w:rsidRPr="000B697A" w:rsidTr="00FA3193">
        <w:trPr>
          <w:jc w:val="center"/>
        </w:trPr>
        <w:tc>
          <w:tcPr>
            <w:tcW w:w="5103" w:type="dxa"/>
            <w:tcBorders>
              <w:right w:val="dotted" w:sz="4" w:space="0" w:color="auto"/>
            </w:tcBorders>
          </w:tcPr>
          <w:p w:rsidR="000B697A" w:rsidRPr="000B697A" w:rsidRDefault="00910AE6" w:rsidP="0045294E">
            <w:pPr>
              <w:rPr>
                <w:rFonts w:cs="Calibri"/>
              </w:rPr>
            </w:pPr>
            <w:r>
              <w:rPr>
                <w:rFonts w:cs="Calibri"/>
              </w:rPr>
              <w:t>Деян Иванов</w:t>
            </w:r>
          </w:p>
        </w:tc>
        <w:tc>
          <w:tcPr>
            <w:tcW w:w="1840" w:type="dxa"/>
            <w:tcBorders>
              <w:right w:val="dotted" w:sz="4" w:space="0" w:color="auto"/>
            </w:tcBorders>
          </w:tcPr>
          <w:p w:rsidR="000B697A" w:rsidRPr="000B697A" w:rsidRDefault="00910AE6" w:rsidP="0045294E">
            <w:pPr>
              <w:jc w:val="right"/>
              <w:rPr>
                <w:rFonts w:cs="Calibri"/>
              </w:rPr>
            </w:pPr>
            <w:r>
              <w:rPr>
                <w:rFonts w:cs="Calibri"/>
              </w:rPr>
              <w:t>СД на БНЕБ</w:t>
            </w:r>
          </w:p>
        </w:tc>
        <w:tc>
          <w:tcPr>
            <w:tcW w:w="3119" w:type="dxa"/>
            <w:tcBorders>
              <w:left w:val="dotted" w:sz="4" w:space="0" w:color="auto"/>
            </w:tcBorders>
          </w:tcPr>
          <w:p w:rsidR="000B697A" w:rsidRPr="000B697A" w:rsidRDefault="000C1E15" w:rsidP="0045294E">
            <w:pPr>
              <w:jc w:val="right"/>
              <w:rPr>
                <w:rFonts w:cs="Calibri"/>
              </w:rPr>
            </w:pPr>
            <w:r>
              <w:rPr>
                <w:rFonts w:cs="Calibri"/>
              </w:rPr>
              <w:t>0</w:t>
            </w:r>
          </w:p>
        </w:tc>
      </w:tr>
      <w:tr w:rsidR="00910AE6" w:rsidRPr="000B697A" w:rsidTr="00FA3193">
        <w:trPr>
          <w:jc w:val="center"/>
        </w:trPr>
        <w:tc>
          <w:tcPr>
            <w:tcW w:w="5103" w:type="dxa"/>
            <w:tcBorders>
              <w:right w:val="dotted" w:sz="4" w:space="0" w:color="auto"/>
            </w:tcBorders>
          </w:tcPr>
          <w:p w:rsidR="00910AE6" w:rsidRPr="000B697A" w:rsidRDefault="00910AE6" w:rsidP="0045294E">
            <w:pPr>
              <w:rPr>
                <w:rFonts w:cs="Calibri"/>
              </w:rPr>
            </w:pPr>
            <w:r>
              <w:rPr>
                <w:rFonts w:cs="Calibri"/>
              </w:rPr>
              <w:t>Константин Константинов</w:t>
            </w:r>
          </w:p>
        </w:tc>
        <w:tc>
          <w:tcPr>
            <w:tcW w:w="1840" w:type="dxa"/>
            <w:tcBorders>
              <w:right w:val="dotted" w:sz="4" w:space="0" w:color="auto"/>
            </w:tcBorders>
          </w:tcPr>
          <w:p w:rsidR="00910AE6" w:rsidRDefault="00910AE6" w:rsidP="0045294E">
            <w:pPr>
              <w:jc w:val="right"/>
              <w:rPr>
                <w:rFonts w:cs="Calibri"/>
              </w:rPr>
            </w:pPr>
            <w:r>
              <w:rPr>
                <w:rFonts w:cs="Calibri"/>
              </w:rPr>
              <w:t>СД на БНЕБ</w:t>
            </w:r>
          </w:p>
        </w:tc>
        <w:tc>
          <w:tcPr>
            <w:tcW w:w="3119" w:type="dxa"/>
            <w:tcBorders>
              <w:left w:val="dotted" w:sz="4" w:space="0" w:color="auto"/>
            </w:tcBorders>
          </w:tcPr>
          <w:p w:rsidR="00910AE6" w:rsidRDefault="00235C84" w:rsidP="0045294E">
            <w:pPr>
              <w:jc w:val="right"/>
              <w:rPr>
                <w:rFonts w:cs="Calibri"/>
              </w:rPr>
            </w:pPr>
            <w:r>
              <w:rPr>
                <w:rFonts w:cs="Calibri"/>
              </w:rPr>
              <w:t>123 177</w:t>
            </w:r>
          </w:p>
        </w:tc>
      </w:tr>
      <w:tr w:rsidR="00910AE6" w:rsidRPr="000B697A" w:rsidTr="00FA3193">
        <w:trPr>
          <w:jc w:val="center"/>
        </w:trPr>
        <w:tc>
          <w:tcPr>
            <w:tcW w:w="5103" w:type="dxa"/>
            <w:tcBorders>
              <w:right w:val="dotted" w:sz="4" w:space="0" w:color="auto"/>
            </w:tcBorders>
          </w:tcPr>
          <w:p w:rsidR="00910AE6" w:rsidRPr="000B697A" w:rsidRDefault="00910AE6" w:rsidP="0045294E">
            <w:pPr>
              <w:rPr>
                <w:rFonts w:cs="Calibri"/>
              </w:rPr>
            </w:pPr>
            <w:r>
              <w:rPr>
                <w:rFonts w:cs="Calibri"/>
              </w:rPr>
              <w:t>Никола Габровски</w:t>
            </w:r>
          </w:p>
        </w:tc>
        <w:tc>
          <w:tcPr>
            <w:tcW w:w="1840" w:type="dxa"/>
            <w:tcBorders>
              <w:right w:val="dotted" w:sz="4" w:space="0" w:color="auto"/>
            </w:tcBorders>
          </w:tcPr>
          <w:p w:rsidR="00910AE6" w:rsidRDefault="00910AE6" w:rsidP="0045294E">
            <w:pPr>
              <w:jc w:val="right"/>
              <w:rPr>
                <w:rFonts w:cs="Calibri"/>
              </w:rPr>
            </w:pPr>
            <w:r>
              <w:rPr>
                <w:rFonts w:cs="Calibri"/>
              </w:rPr>
              <w:t>СД на БНЕБ</w:t>
            </w:r>
          </w:p>
        </w:tc>
        <w:tc>
          <w:tcPr>
            <w:tcW w:w="3119" w:type="dxa"/>
            <w:tcBorders>
              <w:left w:val="dotted" w:sz="4" w:space="0" w:color="auto"/>
            </w:tcBorders>
          </w:tcPr>
          <w:p w:rsidR="00910AE6" w:rsidRDefault="00235C84" w:rsidP="0045294E">
            <w:pPr>
              <w:jc w:val="right"/>
              <w:rPr>
                <w:rFonts w:cs="Calibri"/>
              </w:rPr>
            </w:pPr>
            <w:r>
              <w:rPr>
                <w:rFonts w:cs="Calibri"/>
              </w:rPr>
              <w:t>26 616</w:t>
            </w:r>
          </w:p>
        </w:tc>
      </w:tr>
      <w:tr w:rsidR="00910AE6" w:rsidRPr="000B697A" w:rsidTr="00FA3193">
        <w:trPr>
          <w:jc w:val="center"/>
        </w:trPr>
        <w:tc>
          <w:tcPr>
            <w:tcW w:w="5103" w:type="dxa"/>
            <w:tcBorders>
              <w:right w:val="dotted" w:sz="4" w:space="0" w:color="auto"/>
            </w:tcBorders>
          </w:tcPr>
          <w:p w:rsidR="00910AE6" w:rsidRPr="000B697A" w:rsidRDefault="00910AE6" w:rsidP="0045294E">
            <w:pPr>
              <w:rPr>
                <w:rFonts w:cs="Calibri"/>
              </w:rPr>
            </w:pPr>
            <w:r>
              <w:rPr>
                <w:rFonts w:cs="Calibri"/>
              </w:rPr>
              <w:t xml:space="preserve">Васил </w:t>
            </w:r>
            <w:proofErr w:type="spellStart"/>
            <w:r>
              <w:rPr>
                <w:rFonts w:cs="Calibri"/>
              </w:rPr>
              <w:t>Големански</w:t>
            </w:r>
            <w:proofErr w:type="spellEnd"/>
          </w:p>
        </w:tc>
        <w:tc>
          <w:tcPr>
            <w:tcW w:w="1840" w:type="dxa"/>
            <w:tcBorders>
              <w:right w:val="dotted" w:sz="4" w:space="0" w:color="auto"/>
            </w:tcBorders>
          </w:tcPr>
          <w:p w:rsidR="00910AE6" w:rsidRDefault="00910AE6" w:rsidP="0045294E">
            <w:pPr>
              <w:jc w:val="right"/>
              <w:rPr>
                <w:rFonts w:cs="Calibri"/>
              </w:rPr>
            </w:pPr>
            <w:r>
              <w:rPr>
                <w:rFonts w:cs="Calibri"/>
              </w:rPr>
              <w:t>СД на БНЕБ</w:t>
            </w:r>
          </w:p>
        </w:tc>
        <w:tc>
          <w:tcPr>
            <w:tcW w:w="3119" w:type="dxa"/>
            <w:tcBorders>
              <w:left w:val="dotted" w:sz="4" w:space="0" w:color="auto"/>
            </w:tcBorders>
          </w:tcPr>
          <w:p w:rsidR="00910AE6" w:rsidRDefault="00235C84" w:rsidP="0045294E">
            <w:pPr>
              <w:jc w:val="right"/>
              <w:rPr>
                <w:rFonts w:cs="Calibri"/>
              </w:rPr>
            </w:pPr>
            <w:r>
              <w:rPr>
                <w:rFonts w:cs="Calibri"/>
              </w:rPr>
              <w:t>18 878</w:t>
            </w:r>
          </w:p>
        </w:tc>
      </w:tr>
    </w:tbl>
    <w:p w:rsidR="00DF02DC" w:rsidRPr="000B697A" w:rsidRDefault="00226507" w:rsidP="00D34391">
      <w:pPr>
        <w:rPr>
          <w:rFonts w:cs="Calibri"/>
        </w:rPr>
      </w:pPr>
      <w:r w:rsidRPr="000B697A">
        <w:rPr>
          <w:rFonts w:cs="Calibri"/>
        </w:rPr>
        <w:t xml:space="preserve">За членовете на </w:t>
      </w:r>
      <w:r w:rsidR="00910AE6">
        <w:rPr>
          <w:rFonts w:cs="Calibri"/>
        </w:rPr>
        <w:t>управителните органи</w:t>
      </w:r>
      <w:r w:rsidRPr="000B697A">
        <w:rPr>
          <w:rFonts w:cs="Calibri"/>
        </w:rPr>
        <w:t xml:space="preserve"> на </w:t>
      </w:r>
      <w:r w:rsidR="00525FFD" w:rsidRPr="000B697A">
        <w:rPr>
          <w:rFonts w:cs="Calibri"/>
        </w:rPr>
        <w:t xml:space="preserve">дружеството-майка и </w:t>
      </w:r>
      <w:r w:rsidR="00910AE6">
        <w:rPr>
          <w:rFonts w:cs="Calibri"/>
        </w:rPr>
        <w:t>дъщерните дружества</w:t>
      </w:r>
      <w:r w:rsidR="00525FFD" w:rsidRPr="000B697A">
        <w:rPr>
          <w:rFonts w:cs="Calibri"/>
        </w:rPr>
        <w:t xml:space="preserve"> </w:t>
      </w:r>
      <w:r w:rsidRPr="000B697A">
        <w:rPr>
          <w:rFonts w:cs="Calibri"/>
        </w:rPr>
        <w:t xml:space="preserve">няма условни или разсрочени възнаграждения възникнали през годината, нито такива, които се дължат към по-късен момент, както и суми, дължими от </w:t>
      </w:r>
      <w:r w:rsidR="001E7D90" w:rsidRPr="000B697A">
        <w:rPr>
          <w:rFonts w:cs="Calibri"/>
        </w:rPr>
        <w:t xml:space="preserve">дружеството-майка </w:t>
      </w:r>
      <w:r w:rsidRPr="000B697A">
        <w:rPr>
          <w:rFonts w:cs="Calibri"/>
        </w:rPr>
        <w:t xml:space="preserve">или неговото </w:t>
      </w:r>
      <w:r w:rsidRPr="000B697A">
        <w:rPr>
          <w:rFonts w:cs="Calibri"/>
        </w:rPr>
        <w:lastRenderedPageBreak/>
        <w:t>дъщерно предприятие за изплащане на пенсии, обезщетения при пенсиониране или други подобни обезщетения.</w:t>
      </w:r>
    </w:p>
    <w:p w:rsidR="007D0731" w:rsidRPr="000B697A" w:rsidRDefault="00010F33" w:rsidP="0016443B">
      <w:pPr>
        <w:pStyle w:val="SubNumbers"/>
        <w:rPr>
          <w:rFonts w:cs="Calibri"/>
        </w:rPr>
      </w:pPr>
      <w:bookmarkStart w:id="134" w:name="_Toc6923274"/>
      <w:r w:rsidRPr="000B697A">
        <w:rPr>
          <w:rFonts w:cs="Calibri"/>
        </w:rPr>
        <w:t>Информация за притежавани от членовете на управителните и на контролните органи, прокуристите и висшия ръководен състав акции на емитента, включително акциите, притежавани от всеки от тях поотделно и като процент от акциите от всеки клас, както и предоставени им от емитента опции върху негови ценни книжа - вид и размер на ценните книжа, върху които са учредени опциите, цена на упражняване на опциите, покупна цена, ако има такава, и срок на опциите.</w:t>
      </w:r>
      <w:bookmarkEnd w:id="134"/>
    </w:p>
    <w:p w:rsidR="007D0731" w:rsidRPr="000B697A" w:rsidRDefault="00910AE6" w:rsidP="000D0DCF">
      <w:pPr>
        <w:rPr>
          <w:rFonts w:cs="Calibri"/>
        </w:rPr>
      </w:pPr>
      <w:r>
        <w:rPr>
          <w:rFonts w:cs="Calibri"/>
        </w:rPr>
        <w:t>Към 31.12.2018</w:t>
      </w:r>
      <w:r w:rsidR="00F41E1B" w:rsidRPr="000B697A">
        <w:rPr>
          <w:rFonts w:cs="Calibri"/>
        </w:rPr>
        <w:t xml:space="preserve"> година членовете на Съвета на директорите на „Българска фондова борса“ АД</w:t>
      </w:r>
      <w:r>
        <w:rPr>
          <w:rFonts w:cs="Calibri"/>
        </w:rPr>
        <w:t>,</w:t>
      </w:r>
      <w:r w:rsidR="00F41E1B" w:rsidRPr="000B697A">
        <w:rPr>
          <w:rFonts w:cs="Calibri"/>
        </w:rPr>
        <w:t xml:space="preserve">  управителят на „Сервиз финансови пазари“ ЕООД </w:t>
      </w:r>
      <w:r>
        <w:rPr>
          <w:rFonts w:cs="Calibri"/>
        </w:rPr>
        <w:t xml:space="preserve">и членовете на Съвета на директорите на „БНЕБ“ ЕАД </w:t>
      </w:r>
      <w:r w:rsidR="00F41E1B" w:rsidRPr="000B697A">
        <w:rPr>
          <w:rFonts w:cs="Calibri"/>
        </w:rPr>
        <w:t xml:space="preserve">не притежават акции от капитала на дружеството. </w:t>
      </w:r>
      <w:r>
        <w:rPr>
          <w:rFonts w:cs="Calibri"/>
        </w:rPr>
        <w:t>БФБ</w:t>
      </w:r>
      <w:r w:rsidR="00010F33" w:rsidRPr="000B697A">
        <w:rPr>
          <w:rFonts w:cs="Calibri"/>
        </w:rPr>
        <w:t xml:space="preserve"> АД</w:t>
      </w:r>
      <w:r>
        <w:rPr>
          <w:rFonts w:cs="Calibri"/>
        </w:rPr>
        <w:t>,</w:t>
      </w:r>
      <w:r w:rsidR="00010F33" w:rsidRPr="000B697A">
        <w:rPr>
          <w:rFonts w:cs="Calibri"/>
        </w:rPr>
        <w:t xml:space="preserve"> С</w:t>
      </w:r>
      <w:r w:rsidR="00183E99" w:rsidRPr="000B697A">
        <w:rPr>
          <w:rFonts w:cs="Calibri"/>
        </w:rPr>
        <w:t>ервиз финансови пазари</w:t>
      </w:r>
      <w:r w:rsidR="00010F33" w:rsidRPr="000B697A">
        <w:rPr>
          <w:rFonts w:cs="Calibri"/>
        </w:rPr>
        <w:t xml:space="preserve"> ЕООД </w:t>
      </w:r>
      <w:r>
        <w:rPr>
          <w:rFonts w:cs="Calibri"/>
        </w:rPr>
        <w:t xml:space="preserve">и БНЕБ ЕАД </w:t>
      </w:r>
      <w:r w:rsidR="00010F33" w:rsidRPr="000B697A">
        <w:rPr>
          <w:rFonts w:cs="Calibri"/>
        </w:rPr>
        <w:t>нямат назначени прокуристи.</w:t>
      </w:r>
    </w:p>
    <w:p w:rsidR="00136A6B" w:rsidRPr="000B697A" w:rsidRDefault="00010F33" w:rsidP="000D0DCF">
      <w:pPr>
        <w:rPr>
          <w:rFonts w:cs="Calibri"/>
        </w:rPr>
      </w:pPr>
      <w:r w:rsidRPr="000B697A">
        <w:rPr>
          <w:rFonts w:cs="Calibri"/>
        </w:rPr>
        <w:t xml:space="preserve">Няма други членове на висшия ръководен състав на дружествата от Групата, освен членовете на СД, съответно управителя на </w:t>
      </w:r>
      <w:r w:rsidR="00525FFD" w:rsidRPr="000B697A">
        <w:rPr>
          <w:rFonts w:cs="Calibri"/>
        </w:rPr>
        <w:t>дъщерното д</w:t>
      </w:r>
      <w:r w:rsidRPr="000B697A">
        <w:rPr>
          <w:rFonts w:cs="Calibri"/>
        </w:rPr>
        <w:t>ружество</w:t>
      </w:r>
      <w:r w:rsidR="00910AE6" w:rsidRPr="00910AE6">
        <w:rPr>
          <w:rFonts w:cs="Calibri"/>
        </w:rPr>
        <w:t xml:space="preserve"> </w:t>
      </w:r>
      <w:r w:rsidR="00910AE6" w:rsidRPr="000B697A">
        <w:rPr>
          <w:rFonts w:cs="Calibri"/>
        </w:rPr>
        <w:t>Сервиз финансови пазари ЕООД</w:t>
      </w:r>
      <w:r w:rsidRPr="000B697A">
        <w:rPr>
          <w:rFonts w:cs="Calibri"/>
        </w:rPr>
        <w:t>.</w:t>
      </w:r>
    </w:p>
    <w:p w:rsidR="00136A6B" w:rsidRPr="000B697A" w:rsidRDefault="00910AE6" w:rsidP="00D34391">
      <w:pPr>
        <w:rPr>
          <w:rFonts w:cs="Calibri"/>
        </w:rPr>
      </w:pPr>
      <w:r>
        <w:rPr>
          <w:rFonts w:cs="Calibri"/>
        </w:rPr>
        <w:t>На членовете на СД на БФБ</w:t>
      </w:r>
      <w:r w:rsidR="00010F33" w:rsidRPr="000B697A">
        <w:rPr>
          <w:rFonts w:cs="Calibri"/>
        </w:rPr>
        <w:t xml:space="preserve"> АД не са предоставени опции върху акциите на дружеството</w:t>
      </w:r>
      <w:r w:rsidR="00525FFD" w:rsidRPr="000B697A">
        <w:rPr>
          <w:rFonts w:cs="Calibri"/>
        </w:rPr>
        <w:t>-майка</w:t>
      </w:r>
      <w:r w:rsidR="00010F33" w:rsidRPr="000B697A">
        <w:rPr>
          <w:rFonts w:cs="Calibri"/>
        </w:rPr>
        <w:t>.</w:t>
      </w:r>
    </w:p>
    <w:p w:rsidR="008A5369" w:rsidRDefault="00010F33" w:rsidP="00D34391">
      <w:pPr>
        <w:rPr>
          <w:rFonts w:cs="Calibri"/>
        </w:rPr>
      </w:pPr>
      <w:r w:rsidRPr="000B697A">
        <w:rPr>
          <w:rFonts w:cs="Calibri"/>
        </w:rPr>
        <w:t xml:space="preserve">На управителя на </w:t>
      </w:r>
      <w:r w:rsidR="00183E99" w:rsidRPr="000B697A">
        <w:rPr>
          <w:rFonts w:cs="Calibri"/>
        </w:rPr>
        <w:t xml:space="preserve">Сервиз финансови пазари </w:t>
      </w:r>
      <w:r w:rsidRPr="000B697A">
        <w:rPr>
          <w:rFonts w:cs="Calibri"/>
        </w:rPr>
        <w:t xml:space="preserve">ЕООД не са предоставени опции върху капитала на </w:t>
      </w:r>
      <w:r w:rsidR="00525FFD" w:rsidRPr="000B697A">
        <w:rPr>
          <w:rFonts w:cs="Calibri"/>
        </w:rPr>
        <w:t xml:space="preserve">дъщерното </w:t>
      </w:r>
      <w:r w:rsidRPr="000B697A">
        <w:rPr>
          <w:rFonts w:cs="Calibri"/>
        </w:rPr>
        <w:t>дру</w:t>
      </w:r>
      <w:r w:rsidR="00910AE6">
        <w:rPr>
          <w:rFonts w:cs="Calibri"/>
        </w:rPr>
        <w:t>жество, нито върху акции на БФБ</w:t>
      </w:r>
      <w:r w:rsidR="00183E99" w:rsidRPr="000B697A">
        <w:rPr>
          <w:rFonts w:cs="Calibri"/>
        </w:rPr>
        <w:t xml:space="preserve"> АД.</w:t>
      </w:r>
    </w:p>
    <w:p w:rsidR="00910AE6" w:rsidRPr="000B697A" w:rsidRDefault="00910AE6" w:rsidP="00D34391">
      <w:pPr>
        <w:rPr>
          <w:rFonts w:cs="Calibri"/>
        </w:rPr>
      </w:pPr>
      <w:r w:rsidRPr="000B697A">
        <w:rPr>
          <w:rFonts w:cs="Calibri"/>
        </w:rPr>
        <w:t xml:space="preserve">На членовете на СД на </w:t>
      </w:r>
      <w:r>
        <w:rPr>
          <w:rFonts w:cs="Calibri"/>
        </w:rPr>
        <w:t>БНЕБ Е</w:t>
      </w:r>
      <w:r w:rsidRPr="000B697A">
        <w:rPr>
          <w:rFonts w:cs="Calibri"/>
        </w:rPr>
        <w:t>АД не са предоставени опции върху акциите на дружеството-майка</w:t>
      </w:r>
      <w:r>
        <w:rPr>
          <w:rFonts w:cs="Calibri"/>
        </w:rPr>
        <w:t>,</w:t>
      </w:r>
      <w:r w:rsidRPr="00910AE6">
        <w:rPr>
          <w:rFonts w:cs="Calibri"/>
        </w:rPr>
        <w:t xml:space="preserve"> </w:t>
      </w:r>
      <w:r>
        <w:rPr>
          <w:rFonts w:cs="Calibri"/>
        </w:rPr>
        <w:t>нито върху акции на самото дъщерно дружество БНЕБ</w:t>
      </w:r>
      <w:r w:rsidRPr="000B697A">
        <w:rPr>
          <w:rFonts w:cs="Calibri"/>
        </w:rPr>
        <w:t xml:space="preserve"> </w:t>
      </w:r>
      <w:r>
        <w:rPr>
          <w:rFonts w:cs="Calibri"/>
        </w:rPr>
        <w:t>Е</w:t>
      </w:r>
      <w:r w:rsidRPr="000B697A">
        <w:rPr>
          <w:rFonts w:cs="Calibri"/>
        </w:rPr>
        <w:t>АД.</w:t>
      </w:r>
    </w:p>
    <w:p w:rsidR="007D0731" w:rsidRPr="000B697A" w:rsidRDefault="00010F33" w:rsidP="0016443B">
      <w:pPr>
        <w:pStyle w:val="SubNumbers"/>
        <w:rPr>
          <w:rFonts w:cs="Calibri"/>
        </w:rPr>
      </w:pPr>
      <w:bookmarkStart w:id="135" w:name="_Toc6923275"/>
      <w:r w:rsidRPr="000B697A">
        <w:rPr>
          <w:rFonts w:cs="Calibri"/>
        </w:rPr>
        <w:t>Информация за известните на дружеството договорености (включително и след приключване на финансовата година), в резултат на които в бъдещ период могат да настъпят промени в притежавания относителен дял акции или облигации от настоящи акционери или облигационери</w:t>
      </w:r>
      <w:bookmarkEnd w:id="135"/>
    </w:p>
    <w:p w:rsidR="00E14915" w:rsidRPr="000B697A" w:rsidRDefault="00010F33" w:rsidP="00846D25">
      <w:pPr>
        <w:rPr>
          <w:rFonts w:cs="Calibri"/>
        </w:rPr>
      </w:pPr>
      <w:r w:rsidRPr="000B697A">
        <w:rPr>
          <w:rFonts w:cs="Calibri"/>
        </w:rPr>
        <w:t>На дружеството не са известни договорености, в резултат на които в бъдещ период могат да настъпят промени в притежавания относителен дял акции или облигации от настоящи акционери или облигационери на дружествата от Групата.</w:t>
      </w:r>
    </w:p>
    <w:p w:rsidR="007D0731" w:rsidRPr="000B697A" w:rsidRDefault="00010F33" w:rsidP="0016443B">
      <w:pPr>
        <w:pStyle w:val="SubNumbers"/>
        <w:rPr>
          <w:rFonts w:cs="Calibri"/>
        </w:rPr>
      </w:pPr>
      <w:bookmarkStart w:id="136" w:name="_Toc6923276"/>
      <w:r w:rsidRPr="000B697A">
        <w:rPr>
          <w:rFonts w:cs="Calibri"/>
        </w:rPr>
        <w:t>Информация за висящи съдебни, административни или арбитражни производства, касаещи задължения или вземания на емитента в размер най-малко 10 на сто от собствения му капитал; ако общата стойност на задълженията или вземанията на емитента по всички образувани производства надхвърля 10 на сто от собствения му капитал, се представя информация за всяко производство поотделно</w:t>
      </w:r>
      <w:bookmarkEnd w:id="136"/>
      <w:r w:rsidRPr="000B697A">
        <w:rPr>
          <w:rFonts w:cs="Calibri"/>
        </w:rPr>
        <w:t xml:space="preserve"> </w:t>
      </w:r>
    </w:p>
    <w:p w:rsidR="00FA3193" w:rsidRDefault="00010F33" w:rsidP="00846D25">
      <w:pPr>
        <w:rPr>
          <w:rFonts w:cs="Calibri"/>
        </w:rPr>
      </w:pPr>
      <w:r w:rsidRPr="000B697A">
        <w:rPr>
          <w:rFonts w:cs="Calibri"/>
        </w:rPr>
        <w:t xml:space="preserve">Няма висящи съдебни, административни или арбитражни производства, касаещи задължения или вземания на </w:t>
      </w:r>
      <w:r w:rsidR="00CD7C59" w:rsidRPr="000B697A">
        <w:rPr>
          <w:rFonts w:cs="Calibri"/>
        </w:rPr>
        <w:t>„</w:t>
      </w:r>
      <w:r w:rsidRPr="000B697A">
        <w:rPr>
          <w:rFonts w:cs="Calibri"/>
        </w:rPr>
        <w:t>Българска фондова борса</w:t>
      </w:r>
      <w:r w:rsidR="00CD7C59" w:rsidRPr="000B697A">
        <w:rPr>
          <w:rFonts w:cs="Calibri"/>
        </w:rPr>
        <w:t>“</w:t>
      </w:r>
      <w:r w:rsidRPr="000B697A">
        <w:rPr>
          <w:rFonts w:cs="Calibri"/>
        </w:rPr>
        <w:t xml:space="preserve"> АД</w:t>
      </w:r>
      <w:r w:rsidR="00910AE6">
        <w:rPr>
          <w:rFonts w:cs="Calibri"/>
        </w:rPr>
        <w:t>,</w:t>
      </w:r>
      <w:r w:rsidRPr="000B697A">
        <w:rPr>
          <w:rFonts w:cs="Calibri"/>
        </w:rPr>
        <w:t xml:space="preserve"> </w:t>
      </w:r>
      <w:r w:rsidR="00910AE6">
        <w:rPr>
          <w:rFonts w:cs="Calibri"/>
        </w:rPr>
        <w:t xml:space="preserve">„Българска независима енергийна борса“ ЕАД </w:t>
      </w:r>
      <w:r w:rsidRPr="000B697A">
        <w:rPr>
          <w:rFonts w:cs="Calibri"/>
        </w:rPr>
        <w:t xml:space="preserve">или </w:t>
      </w:r>
      <w:r w:rsidR="00CD7C59" w:rsidRPr="000B697A">
        <w:rPr>
          <w:rFonts w:cs="Calibri"/>
        </w:rPr>
        <w:t>„</w:t>
      </w:r>
      <w:r w:rsidRPr="000B697A">
        <w:rPr>
          <w:rFonts w:cs="Calibri"/>
        </w:rPr>
        <w:t>Сервиз Финансови пазари</w:t>
      </w:r>
      <w:r w:rsidR="00CD7C59" w:rsidRPr="000B697A">
        <w:rPr>
          <w:rFonts w:cs="Calibri"/>
        </w:rPr>
        <w:t>“</w:t>
      </w:r>
      <w:r w:rsidRPr="000B697A">
        <w:rPr>
          <w:rFonts w:cs="Calibri"/>
        </w:rPr>
        <w:t xml:space="preserve"> ЕООД в размер най-малко 10 на сто от собствения им капитал.</w:t>
      </w:r>
    </w:p>
    <w:p w:rsidR="006F184F" w:rsidRPr="000B697A" w:rsidRDefault="006F184F" w:rsidP="0016443B">
      <w:pPr>
        <w:pStyle w:val="SubNumbers"/>
        <w:rPr>
          <w:rFonts w:cs="Calibri"/>
        </w:rPr>
      </w:pPr>
      <w:bookmarkStart w:id="137" w:name="_Toc475093664"/>
      <w:bookmarkStart w:id="138" w:name="_Toc6923277"/>
      <w:r w:rsidRPr="000B697A">
        <w:rPr>
          <w:rFonts w:cs="Calibri"/>
        </w:rPr>
        <w:lastRenderedPageBreak/>
        <w:t>Данни за директора за връзки с инвеститора, включително телефон и адрес за кореспонденция</w:t>
      </w:r>
      <w:bookmarkEnd w:id="137"/>
      <w:bookmarkEnd w:id="138"/>
    </w:p>
    <w:p w:rsidR="00DF02DC" w:rsidRPr="000B697A" w:rsidRDefault="006F184F" w:rsidP="006F184F">
      <w:pPr>
        <w:rPr>
          <w:rFonts w:cs="Calibri"/>
        </w:rPr>
      </w:pPr>
      <w:r w:rsidRPr="000B697A">
        <w:rPr>
          <w:rFonts w:cs="Calibri"/>
        </w:rPr>
        <w:t>Директор за връзки с инвеститорите на дружеството майка „БФБ“ АД е Иво Станков, тел. за контакти: 02 937 0957, e-</w:t>
      </w:r>
      <w:proofErr w:type="spellStart"/>
      <w:r w:rsidRPr="000B697A">
        <w:rPr>
          <w:rFonts w:cs="Calibri"/>
        </w:rPr>
        <w:t>mail</w:t>
      </w:r>
      <w:proofErr w:type="spellEnd"/>
      <w:r w:rsidRPr="000B697A">
        <w:rPr>
          <w:rFonts w:cs="Calibri"/>
        </w:rPr>
        <w:t xml:space="preserve">: ir@bse-sofia.bg </w:t>
      </w:r>
    </w:p>
    <w:p w:rsidR="00DF02DC" w:rsidRPr="000B697A" w:rsidRDefault="00DF02DC">
      <w:pPr>
        <w:jc w:val="left"/>
        <w:rPr>
          <w:rFonts w:cs="Calibri"/>
        </w:rPr>
      </w:pPr>
      <w:r w:rsidRPr="000B697A">
        <w:rPr>
          <w:rFonts w:cs="Calibri"/>
        </w:rPr>
        <w:br w:type="page"/>
      </w:r>
    </w:p>
    <w:p w:rsidR="007D0731" w:rsidRPr="000B697A" w:rsidRDefault="00010F33" w:rsidP="0016443B">
      <w:pPr>
        <w:pStyle w:val="SubNumbers"/>
        <w:rPr>
          <w:rFonts w:cs="Calibri"/>
        </w:rPr>
      </w:pPr>
      <w:bookmarkStart w:id="139" w:name="_Toc6923278"/>
      <w:r w:rsidRPr="000B697A">
        <w:rPr>
          <w:rFonts w:cs="Calibri"/>
        </w:rPr>
        <w:lastRenderedPageBreak/>
        <w:t>Промени в цената на акциите на дружеств</w:t>
      </w:r>
      <w:r w:rsidR="00474F12" w:rsidRPr="000B697A">
        <w:rPr>
          <w:rFonts w:cs="Calibri"/>
        </w:rPr>
        <w:t>ата в групата</w:t>
      </w:r>
      <w:bookmarkEnd w:id="139"/>
    </w:p>
    <w:tbl>
      <w:tblPr>
        <w:tblStyle w:val="TableGrid"/>
        <w:tblpPr w:leftFromText="142" w:rightFromText="142" w:vertAnchor="text" w:horzAnchor="margin" w:tblpY="4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1"/>
      </w:tblGrid>
      <w:tr w:rsidR="00BB78BD" w:rsidRPr="000B697A" w:rsidTr="00F41E1B">
        <w:tc>
          <w:tcPr>
            <w:tcW w:w="6801" w:type="dxa"/>
          </w:tcPr>
          <w:p w:rsidR="00BB78BD" w:rsidRPr="000B697A" w:rsidRDefault="008F5B8B" w:rsidP="00910AE6">
            <w:pPr>
              <w:pStyle w:val="ChartHeader"/>
            </w:pPr>
            <w:r w:rsidRPr="000B697A">
              <w:t>Графика 7</w:t>
            </w:r>
            <w:r w:rsidR="00BB78BD" w:rsidRPr="000B697A">
              <w:t>: Движение на цената на собствените акции на дружеството</w:t>
            </w:r>
            <w:r w:rsidR="00D46D78" w:rsidRPr="000B697A">
              <w:t>-</w:t>
            </w:r>
            <w:r w:rsidR="00BB78BD" w:rsidRPr="000B697A">
              <w:t xml:space="preserve">майка през </w:t>
            </w:r>
            <w:r w:rsidR="001848D4" w:rsidRPr="000B697A">
              <w:t>отчетната</w:t>
            </w:r>
            <w:r w:rsidR="00BB78BD" w:rsidRPr="000B697A">
              <w:t xml:space="preserve"> година</w:t>
            </w:r>
          </w:p>
        </w:tc>
      </w:tr>
      <w:tr w:rsidR="00BB78BD" w:rsidRPr="000B697A" w:rsidTr="00F41E1B">
        <w:tc>
          <w:tcPr>
            <w:tcW w:w="6801" w:type="dxa"/>
          </w:tcPr>
          <w:p w:rsidR="00BB78BD" w:rsidRPr="000B697A" w:rsidRDefault="00910AE6" w:rsidP="00BB78BD">
            <w:pPr>
              <w:rPr>
                <w:rFonts w:cs="Calibri"/>
              </w:rPr>
            </w:pPr>
            <w:r>
              <w:rPr>
                <w:noProof/>
                <w:lang w:val="en-US" w:eastAsia="en-US"/>
              </w:rPr>
              <w:drawing>
                <wp:inline distT="0" distB="0" distL="0" distR="0">
                  <wp:extent cx="4005618" cy="2513965"/>
                  <wp:effectExtent l="0" t="0" r="13970" b="635"/>
                  <wp:docPr id="27" name="Chart 27">
                    <a:extLst xmlns:a="http://schemas.openxmlformats.org/drawingml/2006/main">
                      <a:ext uri="{FF2B5EF4-FFF2-40B4-BE49-F238E27FC236}">
                        <a16:creationId xmlns:a16="http://schemas.microsoft.com/office/drawing/2014/main" id="{E7326B2B-2970-4F7B-AE24-5A6ADB71A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910AE6" w:rsidRPr="00B9033D" w:rsidRDefault="00910AE6" w:rsidP="00910AE6">
      <w:pPr>
        <w:rPr>
          <w:rFonts w:cs="Calibri"/>
        </w:rPr>
      </w:pPr>
      <w:r w:rsidRPr="00B42B64">
        <w:rPr>
          <w:rFonts w:cs="Calibri"/>
        </w:rPr>
        <w:t xml:space="preserve">Търговията със собствени акции на </w:t>
      </w:r>
      <w:r>
        <w:rPr>
          <w:rFonts w:cs="Calibri"/>
        </w:rPr>
        <w:t>„Българска фондова борса“ АД</w:t>
      </w:r>
      <w:r w:rsidRPr="00B42B64">
        <w:rPr>
          <w:rFonts w:cs="Calibri"/>
        </w:rPr>
        <w:t xml:space="preserve"> (борсов код BSO) през </w:t>
      </w:r>
      <w:r w:rsidRPr="00B42B64">
        <w:rPr>
          <w:rFonts w:cs="Calibri"/>
          <w:b/>
        </w:rPr>
        <w:t>първото тримесечие</w:t>
      </w:r>
      <w:r w:rsidRPr="00B42B64">
        <w:rPr>
          <w:rFonts w:cs="Calibri"/>
        </w:rPr>
        <w:t xml:space="preserve"> бе </w:t>
      </w:r>
      <w:r>
        <w:rPr>
          <w:rFonts w:cs="Calibri"/>
        </w:rPr>
        <w:t>активна</w:t>
      </w:r>
      <w:r w:rsidRPr="00B42B64">
        <w:rPr>
          <w:rFonts w:cs="Calibri"/>
        </w:rPr>
        <w:t xml:space="preserve">. Средната цена беше </w:t>
      </w:r>
      <w:r>
        <w:rPr>
          <w:rFonts w:cs="Calibri"/>
        </w:rPr>
        <w:t>5,771</w:t>
      </w:r>
      <w:r w:rsidRPr="00B42B64">
        <w:rPr>
          <w:rFonts w:cs="Calibri"/>
        </w:rPr>
        <w:t xml:space="preserve"> лв. за акция. Цената в края на периода нарасна спрямо тази в началото с </w:t>
      </w:r>
      <w:r>
        <w:rPr>
          <w:rFonts w:cs="Calibri"/>
        </w:rPr>
        <w:t>1</w:t>
      </w:r>
      <w:r w:rsidRPr="00B42B64">
        <w:rPr>
          <w:rFonts w:cs="Calibri"/>
        </w:rPr>
        <w:t>4.</w:t>
      </w:r>
      <w:r>
        <w:rPr>
          <w:rFonts w:cs="Calibri"/>
        </w:rPr>
        <w:t>6</w:t>
      </w:r>
      <w:r w:rsidRPr="00B42B64">
        <w:rPr>
          <w:rFonts w:cs="Calibri"/>
        </w:rPr>
        <w:t xml:space="preserve">%. Минималната цена за периода беше </w:t>
      </w:r>
      <w:r>
        <w:rPr>
          <w:rFonts w:cs="Calibri"/>
        </w:rPr>
        <w:t>5</w:t>
      </w:r>
      <w:r w:rsidRPr="00B42B64">
        <w:rPr>
          <w:rFonts w:cs="Calibri"/>
        </w:rPr>
        <w:t>.</w:t>
      </w:r>
      <w:r>
        <w:rPr>
          <w:rFonts w:cs="Calibri"/>
        </w:rPr>
        <w:t>45</w:t>
      </w:r>
      <w:r w:rsidRPr="00B42B64">
        <w:rPr>
          <w:rFonts w:cs="Calibri"/>
        </w:rPr>
        <w:t xml:space="preserve"> лева за акция, а максималната бе </w:t>
      </w:r>
      <w:r>
        <w:rPr>
          <w:rFonts w:cs="Calibri"/>
        </w:rPr>
        <w:t>6</w:t>
      </w:r>
      <w:r w:rsidRPr="00B42B64">
        <w:rPr>
          <w:rFonts w:cs="Calibri"/>
        </w:rPr>
        <w:t>.</w:t>
      </w:r>
      <w:r>
        <w:rPr>
          <w:rFonts w:cs="Calibri"/>
        </w:rPr>
        <w:t>15</w:t>
      </w:r>
      <w:r w:rsidRPr="00B42B64">
        <w:rPr>
          <w:rFonts w:cs="Calibri"/>
        </w:rPr>
        <w:t xml:space="preserve"> лв. за акция. Общо бяха прехвърлени </w:t>
      </w:r>
      <w:r w:rsidRPr="00B9033D">
        <w:rPr>
          <w:rFonts w:cs="Calibri"/>
        </w:rPr>
        <w:t>102</w:t>
      </w:r>
      <w:r>
        <w:rPr>
          <w:rFonts w:cs="Calibri"/>
        </w:rPr>
        <w:t> </w:t>
      </w:r>
      <w:r w:rsidRPr="00B9033D">
        <w:rPr>
          <w:rFonts w:cs="Calibri"/>
        </w:rPr>
        <w:t>954</w:t>
      </w:r>
      <w:r>
        <w:rPr>
          <w:rFonts w:cs="Calibri"/>
        </w:rPr>
        <w:t xml:space="preserve"> лота в 181 сделки</w:t>
      </w:r>
      <w:r w:rsidRPr="00B42B64">
        <w:rPr>
          <w:rFonts w:cs="Calibri"/>
        </w:rPr>
        <w:t xml:space="preserve">, а оборотът бе </w:t>
      </w:r>
      <w:r w:rsidRPr="00B9033D">
        <w:rPr>
          <w:rFonts w:cs="Calibri"/>
        </w:rPr>
        <w:t>594</w:t>
      </w:r>
      <w:r>
        <w:rPr>
          <w:rFonts w:cs="Calibri"/>
        </w:rPr>
        <w:t> </w:t>
      </w:r>
      <w:r w:rsidRPr="00B9033D">
        <w:rPr>
          <w:rFonts w:cs="Calibri"/>
        </w:rPr>
        <w:t>148</w:t>
      </w:r>
      <w:r w:rsidRPr="00B42B64">
        <w:rPr>
          <w:rFonts w:cs="Calibri"/>
        </w:rPr>
        <w:t xml:space="preserve"> лв.</w:t>
      </w:r>
    </w:p>
    <w:p w:rsidR="00910AE6" w:rsidRPr="00B42B64" w:rsidRDefault="00910AE6" w:rsidP="00910AE6">
      <w:pPr>
        <w:rPr>
          <w:rFonts w:cs="Calibri"/>
        </w:rPr>
      </w:pPr>
      <w:r w:rsidRPr="00B42B64">
        <w:rPr>
          <w:rFonts w:cs="Calibri"/>
        </w:rPr>
        <w:t xml:space="preserve">През </w:t>
      </w:r>
      <w:r w:rsidRPr="00B42B64">
        <w:rPr>
          <w:rFonts w:cs="Calibri"/>
          <w:b/>
        </w:rPr>
        <w:t>второто тримесечие</w:t>
      </w:r>
      <w:r w:rsidRPr="00B42B64">
        <w:rPr>
          <w:rFonts w:cs="Calibri"/>
        </w:rPr>
        <w:t xml:space="preserve"> търговията беше по-</w:t>
      </w:r>
      <w:r>
        <w:rPr>
          <w:rFonts w:cs="Calibri"/>
        </w:rPr>
        <w:t>слаба</w:t>
      </w:r>
      <w:r w:rsidRPr="00B42B64">
        <w:rPr>
          <w:rFonts w:cs="Calibri"/>
        </w:rPr>
        <w:t xml:space="preserve"> от първото, като средната цена беше </w:t>
      </w:r>
      <w:r>
        <w:rPr>
          <w:rFonts w:cs="Calibri"/>
        </w:rPr>
        <w:t>5</w:t>
      </w:r>
      <w:r w:rsidRPr="00B42B64">
        <w:rPr>
          <w:rFonts w:cs="Calibri"/>
        </w:rPr>
        <w:t>,</w:t>
      </w:r>
      <w:r>
        <w:rPr>
          <w:rFonts w:cs="Calibri"/>
        </w:rPr>
        <w:t>776</w:t>
      </w:r>
      <w:r w:rsidRPr="00B42B64">
        <w:rPr>
          <w:rFonts w:cs="Calibri"/>
        </w:rPr>
        <w:t xml:space="preserve"> лв. за акция. Цената в края на тримесечието се </w:t>
      </w:r>
      <w:r>
        <w:rPr>
          <w:rFonts w:cs="Calibri"/>
        </w:rPr>
        <w:t>повиши</w:t>
      </w:r>
      <w:r w:rsidRPr="00B42B64">
        <w:rPr>
          <w:rFonts w:cs="Calibri"/>
        </w:rPr>
        <w:t xml:space="preserve"> спрямо тази в началото с 0.1 лв. за акция или </w:t>
      </w:r>
      <w:r>
        <w:rPr>
          <w:rFonts w:cs="Calibri"/>
        </w:rPr>
        <w:t>1</w:t>
      </w:r>
      <w:r w:rsidRPr="00B42B64">
        <w:rPr>
          <w:rFonts w:cs="Calibri"/>
        </w:rPr>
        <w:t>,</w:t>
      </w:r>
      <w:r>
        <w:rPr>
          <w:rFonts w:cs="Calibri"/>
        </w:rPr>
        <w:t>72</w:t>
      </w:r>
      <w:r w:rsidRPr="00B42B64">
        <w:rPr>
          <w:rFonts w:cs="Calibri"/>
        </w:rPr>
        <w:t xml:space="preserve">%. Минималната цена за периода беше </w:t>
      </w:r>
      <w:r>
        <w:rPr>
          <w:rFonts w:cs="Calibri"/>
        </w:rPr>
        <w:t>5,55</w:t>
      </w:r>
      <w:r w:rsidRPr="00B42B64">
        <w:rPr>
          <w:rFonts w:cs="Calibri"/>
        </w:rPr>
        <w:t xml:space="preserve"> лева за акция, а максималната </w:t>
      </w:r>
      <w:r>
        <w:rPr>
          <w:rFonts w:cs="Calibri"/>
        </w:rPr>
        <w:t>6,45</w:t>
      </w:r>
      <w:r w:rsidRPr="00B42B64">
        <w:rPr>
          <w:rFonts w:cs="Calibri"/>
        </w:rPr>
        <w:t xml:space="preserve"> лв. за акция. Общо бяха прехвърлени </w:t>
      </w:r>
      <w:r w:rsidRPr="00B9033D">
        <w:rPr>
          <w:rFonts w:cs="Calibri"/>
        </w:rPr>
        <w:t>80</w:t>
      </w:r>
      <w:r>
        <w:rPr>
          <w:rFonts w:cs="Calibri"/>
        </w:rPr>
        <w:t> </w:t>
      </w:r>
      <w:r w:rsidRPr="00B9033D">
        <w:rPr>
          <w:rFonts w:cs="Calibri"/>
        </w:rPr>
        <w:t>476</w:t>
      </w:r>
      <w:r>
        <w:rPr>
          <w:rFonts w:cs="Calibri"/>
        </w:rPr>
        <w:t xml:space="preserve"> </w:t>
      </w:r>
      <w:r w:rsidRPr="00B42B64">
        <w:rPr>
          <w:rFonts w:cs="Calibri"/>
        </w:rPr>
        <w:t xml:space="preserve">лота в </w:t>
      </w:r>
      <w:r>
        <w:rPr>
          <w:rFonts w:cs="Calibri"/>
        </w:rPr>
        <w:t>104</w:t>
      </w:r>
      <w:r w:rsidRPr="00B42B64">
        <w:rPr>
          <w:rFonts w:cs="Calibri"/>
        </w:rPr>
        <w:t xml:space="preserve"> сделки, оборотът бе </w:t>
      </w:r>
      <w:r>
        <w:rPr>
          <w:rFonts w:cs="Calibri"/>
        </w:rPr>
        <w:t>465 264</w:t>
      </w:r>
      <w:r w:rsidRPr="00B42B64">
        <w:rPr>
          <w:rFonts w:cs="Calibri"/>
        </w:rPr>
        <w:t xml:space="preserve"> лв.</w:t>
      </w:r>
    </w:p>
    <w:p w:rsidR="00910AE6" w:rsidRPr="00B42B64" w:rsidRDefault="00910AE6" w:rsidP="00910AE6">
      <w:pPr>
        <w:rPr>
          <w:rFonts w:cs="Calibri"/>
        </w:rPr>
      </w:pPr>
      <w:r w:rsidRPr="00B42B64">
        <w:rPr>
          <w:rFonts w:cs="Calibri"/>
        </w:rPr>
        <w:t xml:space="preserve">През </w:t>
      </w:r>
      <w:r w:rsidRPr="00B42B64">
        <w:rPr>
          <w:rFonts w:cs="Calibri"/>
          <w:b/>
        </w:rPr>
        <w:t>третото тримесечие</w:t>
      </w:r>
      <w:r w:rsidRPr="00B42B64">
        <w:rPr>
          <w:rFonts w:cs="Calibri"/>
        </w:rPr>
        <w:t>, активността на търговията с акции на борсата се повиши</w:t>
      </w:r>
      <w:r>
        <w:rPr>
          <w:rFonts w:cs="Calibri"/>
        </w:rPr>
        <w:t xml:space="preserve"> значително</w:t>
      </w:r>
      <w:r w:rsidRPr="00B42B64">
        <w:rPr>
          <w:rFonts w:cs="Calibri"/>
        </w:rPr>
        <w:t xml:space="preserve">. Средната цена през тримесечието беше </w:t>
      </w:r>
      <w:r>
        <w:rPr>
          <w:rFonts w:cs="Calibri"/>
        </w:rPr>
        <w:t>5,994</w:t>
      </w:r>
      <w:r w:rsidRPr="00B42B64">
        <w:rPr>
          <w:rFonts w:cs="Calibri"/>
        </w:rPr>
        <w:t xml:space="preserve"> лв. за акция. Цената в края на периода нарасна спрямо тази в началото с </w:t>
      </w:r>
      <w:r>
        <w:rPr>
          <w:rFonts w:cs="Calibri"/>
        </w:rPr>
        <w:t>0,15</w:t>
      </w:r>
      <w:r w:rsidRPr="00B42B64">
        <w:rPr>
          <w:rFonts w:cs="Calibri"/>
        </w:rPr>
        <w:t xml:space="preserve"> лв. за акция или </w:t>
      </w:r>
      <w:r>
        <w:rPr>
          <w:rFonts w:cs="Calibri"/>
        </w:rPr>
        <w:t>2</w:t>
      </w:r>
      <w:r w:rsidRPr="00B42B64">
        <w:rPr>
          <w:rFonts w:cs="Calibri"/>
        </w:rPr>
        <w:t>,</w:t>
      </w:r>
      <w:r>
        <w:rPr>
          <w:rFonts w:cs="Calibri"/>
        </w:rPr>
        <w:t>54</w:t>
      </w:r>
      <w:r w:rsidRPr="00B42B64">
        <w:rPr>
          <w:rFonts w:cs="Calibri"/>
        </w:rPr>
        <w:t xml:space="preserve">%. Минималната цена за периода беше </w:t>
      </w:r>
      <w:r>
        <w:rPr>
          <w:rFonts w:cs="Calibri"/>
        </w:rPr>
        <w:t>5,35</w:t>
      </w:r>
      <w:r w:rsidRPr="00B42B64">
        <w:rPr>
          <w:rFonts w:cs="Calibri"/>
        </w:rPr>
        <w:t xml:space="preserve"> лева за акция, а максималната </w:t>
      </w:r>
      <w:r>
        <w:rPr>
          <w:rFonts w:cs="Calibri"/>
        </w:rPr>
        <w:t>6</w:t>
      </w:r>
      <w:r w:rsidRPr="00B42B64">
        <w:rPr>
          <w:rFonts w:cs="Calibri"/>
        </w:rPr>
        <w:t>,</w:t>
      </w:r>
      <w:r>
        <w:rPr>
          <w:rFonts w:cs="Calibri"/>
        </w:rPr>
        <w:t>45</w:t>
      </w:r>
      <w:r w:rsidRPr="00B42B64">
        <w:rPr>
          <w:rFonts w:cs="Calibri"/>
        </w:rPr>
        <w:t xml:space="preserve"> лв. за акция. Общо бяха прехвърлени </w:t>
      </w:r>
      <w:r>
        <w:rPr>
          <w:rFonts w:cs="Calibri"/>
        </w:rPr>
        <w:t>213</w:t>
      </w:r>
      <w:r w:rsidRPr="00B42B64">
        <w:rPr>
          <w:rFonts w:cs="Calibri"/>
        </w:rPr>
        <w:t> 5</w:t>
      </w:r>
      <w:r>
        <w:rPr>
          <w:rFonts w:cs="Calibri"/>
        </w:rPr>
        <w:t>18</w:t>
      </w:r>
      <w:r w:rsidRPr="00B42B64">
        <w:rPr>
          <w:rFonts w:cs="Calibri"/>
        </w:rPr>
        <w:t xml:space="preserve"> лота в </w:t>
      </w:r>
      <w:r>
        <w:rPr>
          <w:rFonts w:cs="Calibri"/>
        </w:rPr>
        <w:t>125</w:t>
      </w:r>
      <w:r w:rsidRPr="00B42B64">
        <w:rPr>
          <w:rFonts w:cs="Calibri"/>
        </w:rPr>
        <w:t xml:space="preserve"> сделки, оборотът бе </w:t>
      </w:r>
      <w:r>
        <w:rPr>
          <w:rFonts w:cs="Calibri"/>
        </w:rPr>
        <w:t xml:space="preserve">1 279 924 </w:t>
      </w:r>
      <w:r w:rsidRPr="00B42B64">
        <w:rPr>
          <w:rFonts w:cs="Calibri"/>
        </w:rPr>
        <w:t>лв.</w:t>
      </w:r>
    </w:p>
    <w:p w:rsidR="005F5261" w:rsidRPr="000B697A" w:rsidRDefault="00910AE6" w:rsidP="00910AE6">
      <w:pPr>
        <w:rPr>
          <w:rFonts w:cs="Calibri"/>
        </w:rPr>
      </w:pPr>
      <w:r w:rsidRPr="00B42B64">
        <w:rPr>
          <w:rFonts w:cs="Calibri"/>
        </w:rPr>
        <w:t xml:space="preserve">През </w:t>
      </w:r>
      <w:r w:rsidRPr="00B42B64">
        <w:rPr>
          <w:rFonts w:cs="Calibri"/>
          <w:b/>
        </w:rPr>
        <w:t>четвъртото тримесечие</w:t>
      </w:r>
      <w:r w:rsidRPr="00B42B64">
        <w:rPr>
          <w:rFonts w:cs="Calibri"/>
        </w:rPr>
        <w:t xml:space="preserve"> търговията със собствени акции на </w:t>
      </w:r>
      <w:r>
        <w:rPr>
          <w:rFonts w:cs="Calibri"/>
        </w:rPr>
        <w:t>„Българска фондова борса“ АД</w:t>
      </w:r>
      <w:r w:rsidRPr="00B42B64">
        <w:rPr>
          <w:rFonts w:cs="Calibri"/>
        </w:rPr>
        <w:t xml:space="preserve"> бе по-слаба в сравнение с предходното. Средната цена през тримесечието беше </w:t>
      </w:r>
      <w:r>
        <w:rPr>
          <w:rFonts w:cs="Calibri"/>
        </w:rPr>
        <w:t>5,312</w:t>
      </w:r>
      <w:r w:rsidRPr="00B42B64">
        <w:rPr>
          <w:rFonts w:cs="Calibri"/>
        </w:rPr>
        <w:t xml:space="preserve"> лв. за акция. Цената в края на периода </w:t>
      </w:r>
      <w:r>
        <w:rPr>
          <w:rFonts w:cs="Calibri"/>
        </w:rPr>
        <w:t>спадна</w:t>
      </w:r>
      <w:r w:rsidRPr="00B42B64">
        <w:rPr>
          <w:rFonts w:cs="Calibri"/>
        </w:rPr>
        <w:t xml:space="preserve"> спрямо тази в началото с 0,</w:t>
      </w:r>
      <w:r>
        <w:rPr>
          <w:rFonts w:cs="Calibri"/>
        </w:rPr>
        <w:t>65</w:t>
      </w:r>
      <w:r w:rsidRPr="00B42B64">
        <w:rPr>
          <w:rFonts w:cs="Calibri"/>
        </w:rPr>
        <w:t xml:space="preserve"> лв. за акция или </w:t>
      </w:r>
      <w:r>
        <w:rPr>
          <w:rFonts w:cs="Calibri"/>
        </w:rPr>
        <w:t>10</w:t>
      </w:r>
      <w:r w:rsidRPr="00B42B64">
        <w:rPr>
          <w:rFonts w:cs="Calibri"/>
        </w:rPr>
        <w:t>,</w:t>
      </w:r>
      <w:r>
        <w:rPr>
          <w:rFonts w:cs="Calibri"/>
        </w:rPr>
        <w:t>74</w:t>
      </w:r>
      <w:r w:rsidRPr="00B42B64">
        <w:rPr>
          <w:rFonts w:cs="Calibri"/>
        </w:rPr>
        <w:t>%. Минималната цена за периода беше 4,</w:t>
      </w:r>
      <w:r>
        <w:rPr>
          <w:rFonts w:cs="Calibri"/>
        </w:rPr>
        <w:t>90</w:t>
      </w:r>
      <w:r w:rsidRPr="00B42B64">
        <w:rPr>
          <w:rFonts w:cs="Calibri"/>
        </w:rPr>
        <w:t xml:space="preserve"> лева за акция, а максималната </w:t>
      </w:r>
      <w:r>
        <w:rPr>
          <w:rFonts w:cs="Calibri"/>
        </w:rPr>
        <w:t>6</w:t>
      </w:r>
      <w:r w:rsidRPr="00B42B64">
        <w:rPr>
          <w:rFonts w:cs="Calibri"/>
        </w:rPr>
        <w:t>,</w:t>
      </w:r>
      <w:r>
        <w:rPr>
          <w:rFonts w:cs="Calibri"/>
        </w:rPr>
        <w:t>05</w:t>
      </w:r>
      <w:r w:rsidRPr="00B42B64">
        <w:rPr>
          <w:rFonts w:cs="Calibri"/>
        </w:rPr>
        <w:t xml:space="preserve"> лв. за акция. Общо бяха прехвърлени </w:t>
      </w:r>
      <w:r>
        <w:rPr>
          <w:rFonts w:cs="Calibri"/>
        </w:rPr>
        <w:t>174</w:t>
      </w:r>
      <w:r w:rsidRPr="00B42B64">
        <w:rPr>
          <w:rFonts w:cs="Calibri"/>
        </w:rPr>
        <w:t> </w:t>
      </w:r>
      <w:r>
        <w:rPr>
          <w:rFonts w:cs="Calibri"/>
        </w:rPr>
        <w:t>643</w:t>
      </w:r>
      <w:r w:rsidRPr="00B42B64">
        <w:rPr>
          <w:rFonts w:cs="Calibri"/>
        </w:rPr>
        <w:t xml:space="preserve"> лота в </w:t>
      </w:r>
      <w:bookmarkStart w:id="140" w:name="OLE_LINK10"/>
      <w:bookmarkStart w:id="141" w:name="OLE_LINK11"/>
      <w:bookmarkStart w:id="142" w:name="OLE_LINK12"/>
      <w:r>
        <w:rPr>
          <w:rFonts w:cs="Calibri"/>
        </w:rPr>
        <w:t>261</w:t>
      </w:r>
      <w:r w:rsidRPr="00B42B64">
        <w:rPr>
          <w:rFonts w:cs="Calibri"/>
        </w:rPr>
        <w:t xml:space="preserve"> </w:t>
      </w:r>
      <w:bookmarkEnd w:id="140"/>
      <w:bookmarkEnd w:id="141"/>
      <w:bookmarkEnd w:id="142"/>
      <w:r w:rsidRPr="00B42B64">
        <w:rPr>
          <w:rFonts w:cs="Calibri"/>
        </w:rPr>
        <w:t xml:space="preserve">сделки, оборотът бе </w:t>
      </w:r>
      <w:bookmarkStart w:id="143" w:name="OLE_LINK13"/>
      <w:bookmarkStart w:id="144" w:name="OLE_LINK14"/>
      <w:bookmarkStart w:id="145" w:name="OLE_LINK15"/>
      <w:r>
        <w:rPr>
          <w:rFonts w:cs="Calibri"/>
        </w:rPr>
        <w:t>927 895</w:t>
      </w:r>
      <w:r w:rsidRPr="00B42B64">
        <w:rPr>
          <w:rFonts w:cs="Calibri"/>
        </w:rPr>
        <w:t xml:space="preserve"> </w:t>
      </w:r>
      <w:bookmarkEnd w:id="143"/>
      <w:bookmarkEnd w:id="144"/>
      <w:bookmarkEnd w:id="145"/>
      <w:r w:rsidRPr="00B42B64">
        <w:rPr>
          <w:rFonts w:cs="Calibri"/>
        </w:rPr>
        <w:t>лв.</w:t>
      </w:r>
    </w:p>
    <w:p w:rsidR="00910AE6" w:rsidRPr="000B697A" w:rsidRDefault="00402A62" w:rsidP="00910AE6">
      <w:pPr>
        <w:pStyle w:val="ChartHeader"/>
      </w:pPr>
      <w:r w:rsidRPr="000B697A">
        <w:t xml:space="preserve">Таблица </w:t>
      </w:r>
      <w:r w:rsidR="00DC076B" w:rsidRPr="000B697A">
        <w:t>1</w:t>
      </w:r>
      <w:r w:rsidR="000965FA" w:rsidRPr="000B697A">
        <w:t>5</w:t>
      </w:r>
      <w:r w:rsidRPr="000B697A">
        <w:t xml:space="preserve">: Обем, оборот и брой сделки с </w:t>
      </w:r>
      <w:r w:rsidR="00910AE6" w:rsidRPr="00B42B64">
        <w:rPr>
          <w:rFonts w:cs="Calibri"/>
        </w:rPr>
        <w:t>акции на „</w:t>
      </w:r>
      <w:r w:rsidR="00910AE6">
        <w:rPr>
          <w:rFonts w:cs="Calibri"/>
        </w:rPr>
        <w:t>Българска фондова борса</w:t>
      </w:r>
      <w:r w:rsidR="00910AE6" w:rsidRPr="00B42B64">
        <w:rPr>
          <w:rFonts w:cs="Calibri"/>
        </w:rPr>
        <w:t>“ – сравнение</w:t>
      </w:r>
    </w:p>
    <w:tbl>
      <w:tblPr>
        <w:tblW w:w="7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3"/>
        <w:gridCol w:w="960"/>
        <w:gridCol w:w="1261"/>
        <w:gridCol w:w="1352"/>
        <w:gridCol w:w="916"/>
        <w:gridCol w:w="840"/>
        <w:gridCol w:w="1428"/>
      </w:tblGrid>
      <w:tr w:rsidR="00910AE6" w:rsidRPr="00997057" w:rsidTr="00910AE6">
        <w:trPr>
          <w:trHeight w:val="170"/>
          <w:jc w:val="center"/>
        </w:trPr>
        <w:tc>
          <w:tcPr>
            <w:tcW w:w="1103" w:type="dxa"/>
            <w:shd w:val="clear" w:color="000000" w:fill="4F81BD"/>
            <w:noWrap/>
            <w:vAlign w:val="center"/>
            <w:hideMark/>
          </w:tcPr>
          <w:p w:rsidR="00910AE6" w:rsidRPr="00997057" w:rsidRDefault="00910AE6" w:rsidP="00910AE6">
            <w:pPr>
              <w:spacing w:line="240" w:lineRule="auto"/>
              <w:jc w:val="left"/>
              <w:rPr>
                <w:color w:val="000000"/>
                <w:sz w:val="20"/>
                <w:szCs w:val="20"/>
              </w:rPr>
            </w:pPr>
            <w:r w:rsidRPr="00997057">
              <w:rPr>
                <w:color w:val="000000"/>
                <w:sz w:val="20"/>
                <w:szCs w:val="20"/>
              </w:rPr>
              <w:t> </w:t>
            </w:r>
          </w:p>
        </w:tc>
        <w:tc>
          <w:tcPr>
            <w:tcW w:w="960" w:type="dxa"/>
            <w:shd w:val="clear" w:color="000000" w:fill="4F81BD"/>
            <w:noWrap/>
            <w:vAlign w:val="center"/>
            <w:hideMark/>
          </w:tcPr>
          <w:p w:rsidR="00910AE6" w:rsidRPr="00997057" w:rsidRDefault="00910AE6" w:rsidP="00910AE6">
            <w:pPr>
              <w:spacing w:line="240" w:lineRule="auto"/>
              <w:jc w:val="left"/>
              <w:rPr>
                <w:color w:val="000000"/>
                <w:sz w:val="20"/>
                <w:szCs w:val="20"/>
              </w:rPr>
            </w:pPr>
            <w:r w:rsidRPr="00997057">
              <w:rPr>
                <w:color w:val="000000"/>
                <w:sz w:val="20"/>
                <w:szCs w:val="20"/>
              </w:rPr>
              <w:t> </w:t>
            </w:r>
          </w:p>
        </w:tc>
        <w:tc>
          <w:tcPr>
            <w:tcW w:w="1261" w:type="dxa"/>
            <w:shd w:val="clear" w:color="000000" w:fill="4F81BD"/>
            <w:noWrap/>
            <w:vAlign w:val="center"/>
            <w:hideMark/>
          </w:tcPr>
          <w:p w:rsidR="00910AE6" w:rsidRPr="00997057" w:rsidRDefault="00910AE6" w:rsidP="00910AE6">
            <w:pPr>
              <w:spacing w:line="240" w:lineRule="auto"/>
              <w:jc w:val="left"/>
              <w:rPr>
                <w:color w:val="000000"/>
                <w:sz w:val="20"/>
                <w:szCs w:val="20"/>
              </w:rPr>
            </w:pPr>
            <w:r w:rsidRPr="00997057">
              <w:rPr>
                <w:color w:val="000000"/>
                <w:sz w:val="20"/>
                <w:szCs w:val="20"/>
              </w:rPr>
              <w:t> </w:t>
            </w:r>
          </w:p>
        </w:tc>
        <w:tc>
          <w:tcPr>
            <w:tcW w:w="1352" w:type="dxa"/>
            <w:shd w:val="clear" w:color="000000" w:fill="4F81BD"/>
            <w:noWrap/>
            <w:vAlign w:val="center"/>
            <w:hideMark/>
          </w:tcPr>
          <w:p w:rsidR="00910AE6" w:rsidRPr="00997057" w:rsidRDefault="00910AE6" w:rsidP="00910AE6">
            <w:pPr>
              <w:spacing w:line="240" w:lineRule="auto"/>
              <w:jc w:val="left"/>
              <w:rPr>
                <w:color w:val="000000"/>
                <w:sz w:val="20"/>
                <w:szCs w:val="20"/>
              </w:rPr>
            </w:pPr>
            <w:r w:rsidRPr="00997057">
              <w:rPr>
                <w:color w:val="000000"/>
                <w:sz w:val="20"/>
                <w:szCs w:val="20"/>
              </w:rPr>
              <w:t> </w:t>
            </w:r>
          </w:p>
        </w:tc>
        <w:tc>
          <w:tcPr>
            <w:tcW w:w="3184" w:type="dxa"/>
            <w:gridSpan w:val="3"/>
            <w:shd w:val="clear" w:color="000000" w:fill="4F81BD"/>
            <w:noWrap/>
            <w:vAlign w:val="center"/>
            <w:hideMark/>
          </w:tcPr>
          <w:p w:rsidR="00910AE6" w:rsidRPr="00997057" w:rsidRDefault="00910AE6" w:rsidP="00910AE6">
            <w:pPr>
              <w:spacing w:line="240" w:lineRule="auto"/>
              <w:jc w:val="center"/>
              <w:rPr>
                <w:b/>
                <w:bCs/>
                <w:color w:val="FFFFFF"/>
                <w:sz w:val="20"/>
                <w:szCs w:val="20"/>
              </w:rPr>
            </w:pPr>
            <w:r w:rsidRPr="00997057">
              <w:rPr>
                <w:rFonts w:cs="Calibri"/>
                <w:b/>
                <w:bCs/>
                <w:color w:val="FFFFFF"/>
                <w:sz w:val="20"/>
                <w:szCs w:val="20"/>
                <w:lang w:eastAsia="en-US"/>
              </w:rPr>
              <w:t>% Промяна</w:t>
            </w:r>
          </w:p>
        </w:tc>
      </w:tr>
      <w:tr w:rsidR="00910AE6" w:rsidRPr="00997057" w:rsidTr="00910AE6">
        <w:trPr>
          <w:trHeight w:val="170"/>
          <w:jc w:val="center"/>
        </w:trPr>
        <w:tc>
          <w:tcPr>
            <w:tcW w:w="1103" w:type="dxa"/>
            <w:shd w:val="clear" w:color="000000" w:fill="4F81BD"/>
            <w:noWrap/>
            <w:vAlign w:val="center"/>
            <w:hideMark/>
          </w:tcPr>
          <w:p w:rsidR="00910AE6" w:rsidRPr="00997057" w:rsidRDefault="00910AE6" w:rsidP="00910AE6">
            <w:pPr>
              <w:spacing w:line="240" w:lineRule="auto"/>
              <w:jc w:val="center"/>
              <w:rPr>
                <w:b/>
                <w:bCs/>
                <w:color w:val="FFFFFF"/>
                <w:sz w:val="20"/>
                <w:szCs w:val="20"/>
              </w:rPr>
            </w:pPr>
            <w:r w:rsidRPr="00997057">
              <w:rPr>
                <w:rFonts w:cs="Calibri"/>
                <w:b/>
                <w:bCs/>
                <w:color w:val="FFFFFF"/>
                <w:sz w:val="20"/>
                <w:szCs w:val="20"/>
                <w:lang w:eastAsia="en-US"/>
              </w:rPr>
              <w:t>период</w:t>
            </w:r>
          </w:p>
        </w:tc>
        <w:tc>
          <w:tcPr>
            <w:tcW w:w="960" w:type="dxa"/>
            <w:shd w:val="clear" w:color="000000" w:fill="4F81BD"/>
            <w:noWrap/>
            <w:vAlign w:val="center"/>
            <w:hideMark/>
          </w:tcPr>
          <w:p w:rsidR="00910AE6" w:rsidRPr="00997057" w:rsidRDefault="00910AE6" w:rsidP="00910AE6">
            <w:pPr>
              <w:spacing w:line="240" w:lineRule="auto"/>
              <w:jc w:val="center"/>
              <w:rPr>
                <w:b/>
                <w:bCs/>
                <w:color w:val="FFFFFF"/>
                <w:sz w:val="20"/>
                <w:szCs w:val="20"/>
              </w:rPr>
            </w:pPr>
            <w:r w:rsidRPr="00997057">
              <w:rPr>
                <w:rFonts w:cs="Calibri"/>
                <w:b/>
                <w:bCs/>
                <w:color w:val="FFFFFF"/>
                <w:sz w:val="20"/>
                <w:szCs w:val="20"/>
                <w:lang w:eastAsia="en-US"/>
              </w:rPr>
              <w:t>лотове</w:t>
            </w:r>
          </w:p>
        </w:tc>
        <w:tc>
          <w:tcPr>
            <w:tcW w:w="1261" w:type="dxa"/>
            <w:shd w:val="clear" w:color="000000" w:fill="4F81BD"/>
            <w:noWrap/>
            <w:vAlign w:val="center"/>
            <w:hideMark/>
          </w:tcPr>
          <w:p w:rsidR="00910AE6" w:rsidRPr="00997057" w:rsidRDefault="00910AE6" w:rsidP="00910AE6">
            <w:pPr>
              <w:spacing w:line="240" w:lineRule="auto"/>
              <w:jc w:val="center"/>
              <w:rPr>
                <w:b/>
                <w:bCs/>
                <w:color w:val="FFFFFF"/>
                <w:sz w:val="20"/>
                <w:szCs w:val="20"/>
              </w:rPr>
            </w:pPr>
            <w:r w:rsidRPr="00997057">
              <w:rPr>
                <w:rFonts w:cs="Calibri"/>
                <w:b/>
                <w:bCs/>
                <w:color w:val="FFFFFF"/>
                <w:sz w:val="20"/>
                <w:szCs w:val="20"/>
                <w:lang w:eastAsia="en-US"/>
              </w:rPr>
              <w:t>оборот (лв.)</w:t>
            </w:r>
          </w:p>
        </w:tc>
        <w:tc>
          <w:tcPr>
            <w:tcW w:w="1352" w:type="dxa"/>
            <w:shd w:val="clear" w:color="000000" w:fill="4F81BD"/>
            <w:noWrap/>
            <w:vAlign w:val="center"/>
            <w:hideMark/>
          </w:tcPr>
          <w:p w:rsidR="00910AE6" w:rsidRPr="00997057" w:rsidRDefault="00910AE6" w:rsidP="00910AE6">
            <w:pPr>
              <w:spacing w:line="240" w:lineRule="auto"/>
              <w:jc w:val="center"/>
              <w:rPr>
                <w:b/>
                <w:bCs/>
                <w:color w:val="FFFFFF"/>
                <w:sz w:val="20"/>
                <w:szCs w:val="20"/>
              </w:rPr>
            </w:pPr>
            <w:r w:rsidRPr="00997057">
              <w:rPr>
                <w:rFonts w:cs="Calibri"/>
                <w:b/>
                <w:bCs/>
                <w:color w:val="FFFFFF"/>
                <w:sz w:val="20"/>
                <w:szCs w:val="20"/>
                <w:lang w:eastAsia="en-US"/>
              </w:rPr>
              <w:t>брой сделки</w:t>
            </w:r>
          </w:p>
        </w:tc>
        <w:tc>
          <w:tcPr>
            <w:tcW w:w="916" w:type="dxa"/>
            <w:shd w:val="clear" w:color="000000" w:fill="4F81BD"/>
            <w:noWrap/>
            <w:vAlign w:val="center"/>
            <w:hideMark/>
          </w:tcPr>
          <w:p w:rsidR="00910AE6" w:rsidRPr="00997057" w:rsidRDefault="00910AE6" w:rsidP="00910AE6">
            <w:pPr>
              <w:spacing w:line="240" w:lineRule="auto"/>
              <w:jc w:val="center"/>
              <w:rPr>
                <w:b/>
                <w:bCs/>
                <w:color w:val="FFFFFF"/>
                <w:sz w:val="20"/>
                <w:szCs w:val="20"/>
              </w:rPr>
            </w:pPr>
            <w:r w:rsidRPr="00997057">
              <w:rPr>
                <w:rFonts w:cs="Calibri"/>
                <w:b/>
                <w:bCs/>
                <w:color w:val="FFFFFF"/>
                <w:sz w:val="20"/>
                <w:szCs w:val="20"/>
                <w:lang w:eastAsia="en-US"/>
              </w:rPr>
              <w:t>лотове</w:t>
            </w:r>
          </w:p>
        </w:tc>
        <w:tc>
          <w:tcPr>
            <w:tcW w:w="840" w:type="dxa"/>
            <w:shd w:val="clear" w:color="000000" w:fill="4F81BD"/>
            <w:noWrap/>
            <w:vAlign w:val="center"/>
            <w:hideMark/>
          </w:tcPr>
          <w:p w:rsidR="00910AE6" w:rsidRPr="00997057" w:rsidRDefault="00910AE6" w:rsidP="00910AE6">
            <w:pPr>
              <w:spacing w:line="240" w:lineRule="auto"/>
              <w:jc w:val="center"/>
              <w:rPr>
                <w:b/>
                <w:bCs/>
                <w:color w:val="FFFFFF"/>
                <w:sz w:val="20"/>
                <w:szCs w:val="20"/>
              </w:rPr>
            </w:pPr>
            <w:r w:rsidRPr="00997057">
              <w:rPr>
                <w:rFonts w:cs="Calibri"/>
                <w:b/>
                <w:bCs/>
                <w:color w:val="FFFFFF"/>
                <w:sz w:val="20"/>
                <w:szCs w:val="20"/>
                <w:lang w:eastAsia="en-US"/>
              </w:rPr>
              <w:t>оборот</w:t>
            </w:r>
          </w:p>
        </w:tc>
        <w:tc>
          <w:tcPr>
            <w:tcW w:w="1425" w:type="dxa"/>
            <w:shd w:val="clear" w:color="000000" w:fill="4F81BD"/>
            <w:noWrap/>
            <w:vAlign w:val="center"/>
            <w:hideMark/>
          </w:tcPr>
          <w:p w:rsidR="00910AE6" w:rsidRPr="00997057" w:rsidRDefault="00910AE6" w:rsidP="00910AE6">
            <w:pPr>
              <w:spacing w:line="240" w:lineRule="auto"/>
              <w:jc w:val="center"/>
              <w:rPr>
                <w:b/>
                <w:bCs/>
                <w:color w:val="FFFFFF"/>
                <w:sz w:val="20"/>
                <w:szCs w:val="20"/>
              </w:rPr>
            </w:pPr>
            <w:r w:rsidRPr="00997057">
              <w:rPr>
                <w:rFonts w:cs="Calibri"/>
                <w:b/>
                <w:bCs/>
                <w:color w:val="FFFFFF"/>
                <w:sz w:val="20"/>
                <w:szCs w:val="20"/>
                <w:lang w:eastAsia="en-US"/>
              </w:rPr>
              <w:t>брой сделки</w:t>
            </w:r>
          </w:p>
        </w:tc>
      </w:tr>
      <w:tr w:rsidR="00910AE6" w:rsidRPr="00997057" w:rsidTr="00910AE6">
        <w:trPr>
          <w:trHeight w:val="170"/>
          <w:jc w:val="center"/>
        </w:trPr>
        <w:tc>
          <w:tcPr>
            <w:tcW w:w="1103" w:type="dxa"/>
            <w:shd w:val="clear" w:color="000000" w:fill="FFFFFF"/>
            <w:noWrap/>
            <w:vAlign w:val="center"/>
            <w:hideMark/>
          </w:tcPr>
          <w:p w:rsidR="00910AE6" w:rsidRPr="00997057" w:rsidRDefault="00910AE6" w:rsidP="00910AE6">
            <w:pPr>
              <w:spacing w:line="240" w:lineRule="auto"/>
              <w:jc w:val="left"/>
              <w:rPr>
                <w:color w:val="000000"/>
                <w:sz w:val="20"/>
                <w:szCs w:val="20"/>
              </w:rPr>
            </w:pPr>
            <w:r w:rsidRPr="00997057">
              <w:rPr>
                <w:rFonts w:cs="Calibri"/>
                <w:color w:val="000000"/>
                <w:sz w:val="20"/>
                <w:szCs w:val="20"/>
              </w:rPr>
              <w:t>Q1 '17</w:t>
            </w:r>
          </w:p>
        </w:tc>
        <w:tc>
          <w:tcPr>
            <w:tcW w:w="960" w:type="dxa"/>
            <w:shd w:val="clear" w:color="auto" w:fill="auto"/>
            <w:noWrap/>
            <w:vAlign w:val="center"/>
            <w:hideMark/>
          </w:tcPr>
          <w:p w:rsidR="00910AE6" w:rsidRPr="00997057" w:rsidRDefault="00910AE6" w:rsidP="00910AE6">
            <w:pPr>
              <w:spacing w:line="240" w:lineRule="auto"/>
              <w:jc w:val="right"/>
              <w:rPr>
                <w:color w:val="000000"/>
                <w:sz w:val="20"/>
                <w:szCs w:val="20"/>
              </w:rPr>
            </w:pPr>
            <w:r w:rsidRPr="00997057">
              <w:rPr>
                <w:rFonts w:cs="Calibri"/>
                <w:color w:val="000000"/>
                <w:sz w:val="20"/>
                <w:szCs w:val="20"/>
              </w:rPr>
              <w:t>118 684</w:t>
            </w:r>
          </w:p>
        </w:tc>
        <w:tc>
          <w:tcPr>
            <w:tcW w:w="1261" w:type="dxa"/>
            <w:shd w:val="clear" w:color="auto" w:fill="auto"/>
            <w:noWrap/>
            <w:vAlign w:val="center"/>
            <w:hideMark/>
          </w:tcPr>
          <w:p w:rsidR="00910AE6" w:rsidRPr="00997057" w:rsidRDefault="00910AE6" w:rsidP="00910AE6">
            <w:pPr>
              <w:spacing w:line="240" w:lineRule="auto"/>
              <w:jc w:val="right"/>
              <w:rPr>
                <w:color w:val="000000"/>
                <w:sz w:val="20"/>
                <w:szCs w:val="20"/>
              </w:rPr>
            </w:pPr>
            <w:r w:rsidRPr="00997057">
              <w:rPr>
                <w:rFonts w:cs="Calibri"/>
                <w:color w:val="000000"/>
                <w:sz w:val="20"/>
                <w:szCs w:val="20"/>
              </w:rPr>
              <w:t>350 218</w:t>
            </w:r>
          </w:p>
        </w:tc>
        <w:tc>
          <w:tcPr>
            <w:tcW w:w="1352" w:type="dxa"/>
            <w:shd w:val="clear" w:color="000000" w:fill="FFFFFF"/>
            <w:noWrap/>
            <w:vAlign w:val="center"/>
            <w:hideMark/>
          </w:tcPr>
          <w:p w:rsidR="00910AE6" w:rsidRPr="00997057" w:rsidRDefault="00910AE6" w:rsidP="00910AE6">
            <w:pPr>
              <w:spacing w:line="240" w:lineRule="auto"/>
              <w:jc w:val="right"/>
              <w:rPr>
                <w:color w:val="000000"/>
                <w:sz w:val="20"/>
                <w:szCs w:val="20"/>
              </w:rPr>
            </w:pPr>
            <w:r w:rsidRPr="00997057">
              <w:rPr>
                <w:rFonts w:cs="Calibri"/>
                <w:color w:val="000000"/>
                <w:sz w:val="20"/>
                <w:szCs w:val="20"/>
              </w:rPr>
              <w:t>160</w:t>
            </w:r>
          </w:p>
        </w:tc>
        <w:tc>
          <w:tcPr>
            <w:tcW w:w="916" w:type="dxa"/>
            <w:shd w:val="clear" w:color="auto" w:fill="auto"/>
            <w:noWrap/>
            <w:vAlign w:val="center"/>
          </w:tcPr>
          <w:p w:rsidR="00910AE6" w:rsidRPr="00997057" w:rsidRDefault="00910AE6" w:rsidP="00910AE6">
            <w:pPr>
              <w:spacing w:line="240" w:lineRule="auto"/>
              <w:jc w:val="right"/>
              <w:rPr>
                <w:color w:val="000000"/>
                <w:sz w:val="20"/>
                <w:szCs w:val="20"/>
              </w:rPr>
            </w:pPr>
          </w:p>
        </w:tc>
        <w:tc>
          <w:tcPr>
            <w:tcW w:w="840" w:type="dxa"/>
            <w:shd w:val="clear" w:color="auto" w:fill="auto"/>
            <w:noWrap/>
            <w:vAlign w:val="center"/>
          </w:tcPr>
          <w:p w:rsidR="00910AE6" w:rsidRPr="00997057" w:rsidRDefault="00910AE6" w:rsidP="00910AE6">
            <w:pPr>
              <w:spacing w:line="240" w:lineRule="auto"/>
              <w:jc w:val="right"/>
              <w:rPr>
                <w:color w:val="000000"/>
                <w:sz w:val="20"/>
                <w:szCs w:val="20"/>
              </w:rPr>
            </w:pPr>
          </w:p>
        </w:tc>
        <w:tc>
          <w:tcPr>
            <w:tcW w:w="1425" w:type="dxa"/>
            <w:shd w:val="clear" w:color="auto" w:fill="auto"/>
            <w:noWrap/>
            <w:vAlign w:val="center"/>
          </w:tcPr>
          <w:p w:rsidR="00910AE6" w:rsidRPr="00997057" w:rsidRDefault="00910AE6" w:rsidP="00910AE6">
            <w:pPr>
              <w:spacing w:line="240" w:lineRule="auto"/>
              <w:jc w:val="right"/>
              <w:rPr>
                <w:color w:val="000000"/>
                <w:sz w:val="20"/>
                <w:szCs w:val="20"/>
              </w:rPr>
            </w:pPr>
          </w:p>
        </w:tc>
      </w:tr>
      <w:tr w:rsidR="00910AE6" w:rsidRPr="00997057" w:rsidTr="00910AE6">
        <w:trPr>
          <w:trHeight w:val="170"/>
          <w:jc w:val="center"/>
        </w:trPr>
        <w:tc>
          <w:tcPr>
            <w:tcW w:w="1103" w:type="dxa"/>
            <w:shd w:val="clear" w:color="000000" w:fill="FFFFFF"/>
            <w:noWrap/>
            <w:vAlign w:val="center"/>
            <w:hideMark/>
          </w:tcPr>
          <w:p w:rsidR="00910AE6" w:rsidRPr="00997057" w:rsidRDefault="00910AE6" w:rsidP="00910AE6">
            <w:pPr>
              <w:spacing w:line="240" w:lineRule="auto"/>
              <w:jc w:val="left"/>
              <w:rPr>
                <w:color w:val="000000"/>
                <w:sz w:val="20"/>
                <w:szCs w:val="20"/>
              </w:rPr>
            </w:pPr>
            <w:r w:rsidRPr="00997057">
              <w:rPr>
                <w:rFonts w:cs="Calibri"/>
                <w:color w:val="000000"/>
                <w:sz w:val="20"/>
                <w:szCs w:val="20"/>
              </w:rPr>
              <w:t>Q2 '17</w:t>
            </w:r>
          </w:p>
        </w:tc>
        <w:tc>
          <w:tcPr>
            <w:tcW w:w="960" w:type="dxa"/>
            <w:shd w:val="clear" w:color="auto" w:fill="auto"/>
            <w:noWrap/>
            <w:vAlign w:val="center"/>
            <w:hideMark/>
          </w:tcPr>
          <w:p w:rsidR="00910AE6" w:rsidRPr="00997057" w:rsidRDefault="00910AE6" w:rsidP="00910AE6">
            <w:pPr>
              <w:spacing w:line="240" w:lineRule="auto"/>
              <w:jc w:val="right"/>
              <w:rPr>
                <w:color w:val="000000"/>
                <w:sz w:val="20"/>
                <w:szCs w:val="20"/>
              </w:rPr>
            </w:pPr>
            <w:r w:rsidRPr="00997057">
              <w:rPr>
                <w:rFonts w:cs="Calibri"/>
                <w:color w:val="000000"/>
                <w:sz w:val="20"/>
                <w:szCs w:val="20"/>
              </w:rPr>
              <w:t>146 994</w:t>
            </w:r>
          </w:p>
        </w:tc>
        <w:tc>
          <w:tcPr>
            <w:tcW w:w="1261" w:type="dxa"/>
            <w:shd w:val="clear" w:color="auto" w:fill="auto"/>
            <w:noWrap/>
            <w:vAlign w:val="center"/>
            <w:hideMark/>
          </w:tcPr>
          <w:p w:rsidR="00910AE6" w:rsidRPr="00997057" w:rsidRDefault="00910AE6" w:rsidP="00910AE6">
            <w:pPr>
              <w:spacing w:line="240" w:lineRule="auto"/>
              <w:jc w:val="right"/>
              <w:rPr>
                <w:color w:val="000000"/>
                <w:sz w:val="20"/>
                <w:szCs w:val="20"/>
              </w:rPr>
            </w:pPr>
            <w:r w:rsidRPr="00997057">
              <w:rPr>
                <w:rFonts w:cs="Calibri"/>
                <w:color w:val="000000"/>
                <w:sz w:val="20"/>
                <w:szCs w:val="20"/>
              </w:rPr>
              <w:t>434 656</w:t>
            </w:r>
          </w:p>
        </w:tc>
        <w:tc>
          <w:tcPr>
            <w:tcW w:w="1352" w:type="dxa"/>
            <w:shd w:val="clear" w:color="auto" w:fill="auto"/>
            <w:noWrap/>
            <w:vAlign w:val="center"/>
            <w:hideMark/>
          </w:tcPr>
          <w:p w:rsidR="00910AE6" w:rsidRPr="00997057" w:rsidRDefault="00910AE6" w:rsidP="00910AE6">
            <w:pPr>
              <w:spacing w:line="240" w:lineRule="auto"/>
              <w:jc w:val="right"/>
              <w:rPr>
                <w:color w:val="000000"/>
                <w:sz w:val="20"/>
                <w:szCs w:val="20"/>
              </w:rPr>
            </w:pPr>
            <w:r w:rsidRPr="00997057">
              <w:rPr>
                <w:rFonts w:cs="Calibri"/>
                <w:color w:val="000000"/>
                <w:sz w:val="20"/>
                <w:szCs w:val="20"/>
              </w:rPr>
              <w:t>263</w:t>
            </w:r>
          </w:p>
        </w:tc>
        <w:tc>
          <w:tcPr>
            <w:tcW w:w="916" w:type="dxa"/>
            <w:shd w:val="clear" w:color="auto" w:fill="auto"/>
            <w:noWrap/>
            <w:vAlign w:val="center"/>
          </w:tcPr>
          <w:p w:rsidR="00910AE6" w:rsidRPr="00997057" w:rsidRDefault="00910AE6" w:rsidP="00910AE6">
            <w:pPr>
              <w:spacing w:line="240" w:lineRule="auto"/>
              <w:jc w:val="right"/>
              <w:rPr>
                <w:color w:val="000000"/>
                <w:sz w:val="20"/>
                <w:szCs w:val="20"/>
              </w:rPr>
            </w:pPr>
          </w:p>
        </w:tc>
        <w:tc>
          <w:tcPr>
            <w:tcW w:w="840" w:type="dxa"/>
            <w:shd w:val="clear" w:color="auto" w:fill="auto"/>
            <w:noWrap/>
            <w:vAlign w:val="center"/>
          </w:tcPr>
          <w:p w:rsidR="00910AE6" w:rsidRPr="00997057" w:rsidRDefault="00910AE6" w:rsidP="00910AE6">
            <w:pPr>
              <w:spacing w:line="240" w:lineRule="auto"/>
              <w:jc w:val="right"/>
              <w:rPr>
                <w:color w:val="000000"/>
                <w:sz w:val="20"/>
                <w:szCs w:val="20"/>
              </w:rPr>
            </w:pPr>
          </w:p>
        </w:tc>
        <w:tc>
          <w:tcPr>
            <w:tcW w:w="1425" w:type="dxa"/>
            <w:shd w:val="clear" w:color="auto" w:fill="auto"/>
            <w:noWrap/>
            <w:vAlign w:val="center"/>
          </w:tcPr>
          <w:p w:rsidR="00910AE6" w:rsidRPr="00997057" w:rsidRDefault="00910AE6" w:rsidP="00910AE6">
            <w:pPr>
              <w:spacing w:line="240" w:lineRule="auto"/>
              <w:jc w:val="right"/>
              <w:rPr>
                <w:color w:val="000000"/>
                <w:sz w:val="20"/>
                <w:szCs w:val="20"/>
              </w:rPr>
            </w:pPr>
          </w:p>
        </w:tc>
      </w:tr>
      <w:tr w:rsidR="00910AE6" w:rsidRPr="00997057" w:rsidTr="00910AE6">
        <w:trPr>
          <w:trHeight w:val="170"/>
          <w:jc w:val="center"/>
        </w:trPr>
        <w:tc>
          <w:tcPr>
            <w:tcW w:w="1103" w:type="dxa"/>
            <w:shd w:val="clear" w:color="000000" w:fill="FFFFFF"/>
            <w:noWrap/>
            <w:vAlign w:val="center"/>
            <w:hideMark/>
          </w:tcPr>
          <w:p w:rsidR="00910AE6" w:rsidRPr="00997057" w:rsidRDefault="00910AE6" w:rsidP="00910AE6">
            <w:pPr>
              <w:spacing w:line="240" w:lineRule="auto"/>
              <w:jc w:val="left"/>
              <w:rPr>
                <w:color w:val="000000"/>
                <w:sz w:val="20"/>
                <w:szCs w:val="20"/>
              </w:rPr>
            </w:pPr>
            <w:r w:rsidRPr="00997057">
              <w:rPr>
                <w:rFonts w:cs="Calibri"/>
                <w:color w:val="000000"/>
                <w:sz w:val="20"/>
                <w:szCs w:val="20"/>
              </w:rPr>
              <w:t>Q3 '17</w:t>
            </w:r>
          </w:p>
        </w:tc>
        <w:tc>
          <w:tcPr>
            <w:tcW w:w="960" w:type="dxa"/>
            <w:shd w:val="clear" w:color="auto" w:fill="auto"/>
            <w:noWrap/>
            <w:vAlign w:val="center"/>
            <w:hideMark/>
          </w:tcPr>
          <w:p w:rsidR="00910AE6" w:rsidRPr="00997057" w:rsidRDefault="00910AE6" w:rsidP="00910AE6">
            <w:pPr>
              <w:spacing w:line="240" w:lineRule="auto"/>
              <w:jc w:val="right"/>
              <w:rPr>
                <w:color w:val="000000"/>
                <w:sz w:val="20"/>
                <w:szCs w:val="20"/>
              </w:rPr>
            </w:pPr>
            <w:r w:rsidRPr="00997057">
              <w:rPr>
                <w:rFonts w:cs="Calibri"/>
                <w:color w:val="000000"/>
                <w:sz w:val="20"/>
                <w:szCs w:val="20"/>
              </w:rPr>
              <w:t>382 515</w:t>
            </w:r>
          </w:p>
        </w:tc>
        <w:tc>
          <w:tcPr>
            <w:tcW w:w="1261" w:type="dxa"/>
            <w:shd w:val="clear" w:color="auto" w:fill="auto"/>
            <w:noWrap/>
            <w:vAlign w:val="center"/>
            <w:hideMark/>
          </w:tcPr>
          <w:p w:rsidR="00910AE6" w:rsidRPr="00997057" w:rsidRDefault="00910AE6" w:rsidP="00910AE6">
            <w:pPr>
              <w:spacing w:line="240" w:lineRule="auto"/>
              <w:jc w:val="right"/>
              <w:rPr>
                <w:color w:val="000000"/>
                <w:sz w:val="20"/>
                <w:szCs w:val="20"/>
              </w:rPr>
            </w:pPr>
            <w:r w:rsidRPr="00997057">
              <w:rPr>
                <w:rFonts w:cs="Calibri"/>
                <w:color w:val="000000"/>
                <w:sz w:val="20"/>
                <w:szCs w:val="20"/>
              </w:rPr>
              <w:t>1 578 880</w:t>
            </w:r>
          </w:p>
        </w:tc>
        <w:tc>
          <w:tcPr>
            <w:tcW w:w="1352" w:type="dxa"/>
            <w:shd w:val="clear" w:color="000000" w:fill="FFFFFF"/>
            <w:noWrap/>
            <w:vAlign w:val="center"/>
            <w:hideMark/>
          </w:tcPr>
          <w:p w:rsidR="00910AE6" w:rsidRPr="00997057" w:rsidRDefault="00910AE6" w:rsidP="00910AE6">
            <w:pPr>
              <w:spacing w:line="240" w:lineRule="auto"/>
              <w:jc w:val="right"/>
              <w:rPr>
                <w:color w:val="000000"/>
                <w:sz w:val="20"/>
                <w:szCs w:val="20"/>
              </w:rPr>
            </w:pPr>
            <w:r w:rsidRPr="00997057">
              <w:rPr>
                <w:rFonts w:cs="Calibri"/>
                <w:color w:val="000000"/>
                <w:sz w:val="20"/>
                <w:szCs w:val="20"/>
              </w:rPr>
              <w:t>574</w:t>
            </w:r>
          </w:p>
        </w:tc>
        <w:tc>
          <w:tcPr>
            <w:tcW w:w="916" w:type="dxa"/>
            <w:shd w:val="clear" w:color="auto" w:fill="auto"/>
            <w:noWrap/>
            <w:vAlign w:val="center"/>
          </w:tcPr>
          <w:p w:rsidR="00910AE6" w:rsidRPr="00997057" w:rsidRDefault="00910AE6" w:rsidP="00910AE6">
            <w:pPr>
              <w:spacing w:line="240" w:lineRule="auto"/>
              <w:jc w:val="right"/>
              <w:rPr>
                <w:color w:val="000000"/>
                <w:sz w:val="20"/>
                <w:szCs w:val="20"/>
              </w:rPr>
            </w:pPr>
          </w:p>
        </w:tc>
        <w:tc>
          <w:tcPr>
            <w:tcW w:w="840" w:type="dxa"/>
            <w:shd w:val="clear" w:color="auto" w:fill="auto"/>
            <w:noWrap/>
            <w:vAlign w:val="center"/>
          </w:tcPr>
          <w:p w:rsidR="00910AE6" w:rsidRPr="00997057" w:rsidRDefault="00910AE6" w:rsidP="00910AE6">
            <w:pPr>
              <w:spacing w:line="240" w:lineRule="auto"/>
              <w:jc w:val="right"/>
              <w:rPr>
                <w:color w:val="000000"/>
                <w:sz w:val="20"/>
                <w:szCs w:val="20"/>
              </w:rPr>
            </w:pPr>
          </w:p>
        </w:tc>
        <w:tc>
          <w:tcPr>
            <w:tcW w:w="1425" w:type="dxa"/>
            <w:shd w:val="clear" w:color="auto" w:fill="auto"/>
            <w:noWrap/>
            <w:vAlign w:val="center"/>
          </w:tcPr>
          <w:p w:rsidR="00910AE6" w:rsidRPr="00997057" w:rsidRDefault="00910AE6" w:rsidP="00910AE6">
            <w:pPr>
              <w:spacing w:line="240" w:lineRule="auto"/>
              <w:jc w:val="right"/>
              <w:rPr>
                <w:color w:val="000000"/>
                <w:sz w:val="20"/>
                <w:szCs w:val="20"/>
              </w:rPr>
            </w:pPr>
          </w:p>
        </w:tc>
      </w:tr>
      <w:tr w:rsidR="00910AE6" w:rsidRPr="00997057" w:rsidTr="00910AE6">
        <w:trPr>
          <w:trHeight w:val="170"/>
          <w:jc w:val="center"/>
        </w:trPr>
        <w:tc>
          <w:tcPr>
            <w:tcW w:w="1103" w:type="dxa"/>
            <w:shd w:val="clear" w:color="000000" w:fill="FFFFFF"/>
            <w:noWrap/>
            <w:vAlign w:val="center"/>
            <w:hideMark/>
          </w:tcPr>
          <w:p w:rsidR="00910AE6" w:rsidRPr="00997057" w:rsidRDefault="00910AE6" w:rsidP="00910AE6">
            <w:pPr>
              <w:spacing w:line="240" w:lineRule="auto"/>
              <w:jc w:val="left"/>
              <w:rPr>
                <w:color w:val="000000"/>
                <w:sz w:val="20"/>
                <w:szCs w:val="20"/>
              </w:rPr>
            </w:pPr>
            <w:r w:rsidRPr="00997057">
              <w:rPr>
                <w:rFonts w:cs="Calibri"/>
                <w:color w:val="000000"/>
                <w:sz w:val="20"/>
                <w:szCs w:val="20"/>
              </w:rPr>
              <w:t>Q4 '17</w:t>
            </w:r>
          </w:p>
        </w:tc>
        <w:tc>
          <w:tcPr>
            <w:tcW w:w="960" w:type="dxa"/>
            <w:shd w:val="clear" w:color="auto" w:fill="auto"/>
            <w:noWrap/>
            <w:vAlign w:val="center"/>
            <w:hideMark/>
          </w:tcPr>
          <w:p w:rsidR="00910AE6" w:rsidRPr="00997057" w:rsidRDefault="00910AE6" w:rsidP="00910AE6">
            <w:pPr>
              <w:spacing w:line="240" w:lineRule="auto"/>
              <w:jc w:val="right"/>
              <w:rPr>
                <w:color w:val="000000"/>
                <w:sz w:val="20"/>
                <w:szCs w:val="20"/>
              </w:rPr>
            </w:pPr>
            <w:r w:rsidRPr="00997057">
              <w:rPr>
                <w:rFonts w:cs="Calibri"/>
                <w:color w:val="000000"/>
                <w:sz w:val="20"/>
                <w:szCs w:val="20"/>
              </w:rPr>
              <w:t>105 973</w:t>
            </w:r>
          </w:p>
        </w:tc>
        <w:tc>
          <w:tcPr>
            <w:tcW w:w="1261" w:type="dxa"/>
            <w:shd w:val="clear" w:color="auto" w:fill="auto"/>
            <w:noWrap/>
            <w:vAlign w:val="center"/>
            <w:hideMark/>
          </w:tcPr>
          <w:p w:rsidR="00910AE6" w:rsidRPr="00997057" w:rsidRDefault="00910AE6" w:rsidP="00910AE6">
            <w:pPr>
              <w:spacing w:line="240" w:lineRule="auto"/>
              <w:jc w:val="right"/>
              <w:rPr>
                <w:color w:val="000000"/>
                <w:sz w:val="20"/>
                <w:szCs w:val="20"/>
              </w:rPr>
            </w:pPr>
            <w:r w:rsidRPr="00997057">
              <w:rPr>
                <w:rFonts w:cs="Calibri"/>
                <w:color w:val="000000"/>
                <w:sz w:val="20"/>
                <w:szCs w:val="20"/>
              </w:rPr>
              <w:t>513 868</w:t>
            </w:r>
          </w:p>
        </w:tc>
        <w:tc>
          <w:tcPr>
            <w:tcW w:w="1352" w:type="dxa"/>
            <w:shd w:val="clear" w:color="auto" w:fill="auto"/>
            <w:noWrap/>
            <w:vAlign w:val="center"/>
            <w:hideMark/>
          </w:tcPr>
          <w:p w:rsidR="00910AE6" w:rsidRPr="00997057" w:rsidRDefault="00910AE6" w:rsidP="00910AE6">
            <w:pPr>
              <w:spacing w:line="240" w:lineRule="auto"/>
              <w:jc w:val="right"/>
              <w:rPr>
                <w:color w:val="000000"/>
                <w:sz w:val="20"/>
                <w:szCs w:val="20"/>
              </w:rPr>
            </w:pPr>
            <w:r w:rsidRPr="00997057">
              <w:rPr>
                <w:rFonts w:cs="Calibri"/>
                <w:color w:val="000000"/>
                <w:sz w:val="20"/>
                <w:szCs w:val="20"/>
              </w:rPr>
              <w:t>327</w:t>
            </w:r>
          </w:p>
        </w:tc>
        <w:tc>
          <w:tcPr>
            <w:tcW w:w="916" w:type="dxa"/>
            <w:shd w:val="clear" w:color="auto" w:fill="auto"/>
            <w:noWrap/>
            <w:vAlign w:val="center"/>
          </w:tcPr>
          <w:p w:rsidR="00910AE6" w:rsidRPr="00997057" w:rsidRDefault="00910AE6" w:rsidP="00910AE6">
            <w:pPr>
              <w:spacing w:line="240" w:lineRule="auto"/>
              <w:jc w:val="right"/>
              <w:rPr>
                <w:color w:val="000000"/>
                <w:sz w:val="20"/>
                <w:szCs w:val="20"/>
              </w:rPr>
            </w:pPr>
          </w:p>
        </w:tc>
        <w:tc>
          <w:tcPr>
            <w:tcW w:w="840" w:type="dxa"/>
            <w:shd w:val="clear" w:color="auto" w:fill="auto"/>
            <w:noWrap/>
            <w:vAlign w:val="center"/>
          </w:tcPr>
          <w:p w:rsidR="00910AE6" w:rsidRPr="00997057" w:rsidRDefault="00910AE6" w:rsidP="00910AE6">
            <w:pPr>
              <w:spacing w:line="240" w:lineRule="auto"/>
              <w:jc w:val="right"/>
              <w:rPr>
                <w:color w:val="000000"/>
                <w:sz w:val="20"/>
                <w:szCs w:val="20"/>
              </w:rPr>
            </w:pPr>
          </w:p>
        </w:tc>
        <w:tc>
          <w:tcPr>
            <w:tcW w:w="1425" w:type="dxa"/>
            <w:shd w:val="clear" w:color="auto" w:fill="auto"/>
            <w:noWrap/>
            <w:vAlign w:val="center"/>
          </w:tcPr>
          <w:p w:rsidR="00910AE6" w:rsidRPr="00997057" w:rsidRDefault="00910AE6" w:rsidP="00910AE6">
            <w:pPr>
              <w:spacing w:line="240" w:lineRule="auto"/>
              <w:jc w:val="right"/>
              <w:rPr>
                <w:color w:val="000000"/>
                <w:sz w:val="20"/>
                <w:szCs w:val="20"/>
              </w:rPr>
            </w:pPr>
          </w:p>
        </w:tc>
      </w:tr>
      <w:tr w:rsidR="00910AE6" w:rsidRPr="00997057" w:rsidTr="00910AE6">
        <w:trPr>
          <w:trHeight w:val="170"/>
          <w:jc w:val="center"/>
        </w:trPr>
        <w:tc>
          <w:tcPr>
            <w:tcW w:w="1103" w:type="dxa"/>
            <w:shd w:val="clear" w:color="000000" w:fill="FFFFFF"/>
            <w:noWrap/>
            <w:vAlign w:val="center"/>
            <w:hideMark/>
          </w:tcPr>
          <w:p w:rsidR="00910AE6" w:rsidRPr="00997057" w:rsidRDefault="00910AE6" w:rsidP="00910AE6">
            <w:pPr>
              <w:spacing w:line="240" w:lineRule="auto"/>
              <w:jc w:val="left"/>
              <w:rPr>
                <w:color w:val="000000"/>
                <w:sz w:val="20"/>
                <w:szCs w:val="20"/>
              </w:rPr>
            </w:pPr>
            <w:r w:rsidRPr="00997057">
              <w:rPr>
                <w:rFonts w:cs="Calibri"/>
                <w:color w:val="000000"/>
                <w:sz w:val="20"/>
                <w:szCs w:val="20"/>
              </w:rPr>
              <w:t>Q1 '18</w:t>
            </w:r>
          </w:p>
        </w:tc>
        <w:tc>
          <w:tcPr>
            <w:tcW w:w="960"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102 954</w:t>
            </w:r>
          </w:p>
        </w:tc>
        <w:tc>
          <w:tcPr>
            <w:tcW w:w="1261"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594 148</w:t>
            </w:r>
          </w:p>
        </w:tc>
        <w:tc>
          <w:tcPr>
            <w:tcW w:w="1352"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181</w:t>
            </w:r>
          </w:p>
        </w:tc>
        <w:tc>
          <w:tcPr>
            <w:tcW w:w="916"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-13.25%</w:t>
            </w:r>
          </w:p>
        </w:tc>
        <w:tc>
          <w:tcPr>
            <w:tcW w:w="840"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69.65%</w:t>
            </w:r>
          </w:p>
        </w:tc>
        <w:tc>
          <w:tcPr>
            <w:tcW w:w="1425"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13.13%</w:t>
            </w:r>
          </w:p>
        </w:tc>
      </w:tr>
      <w:tr w:rsidR="00910AE6" w:rsidRPr="00997057" w:rsidTr="00910AE6">
        <w:trPr>
          <w:trHeight w:val="170"/>
          <w:jc w:val="center"/>
        </w:trPr>
        <w:tc>
          <w:tcPr>
            <w:tcW w:w="1103" w:type="dxa"/>
            <w:shd w:val="clear" w:color="000000" w:fill="FFFFFF"/>
            <w:noWrap/>
            <w:vAlign w:val="center"/>
            <w:hideMark/>
          </w:tcPr>
          <w:p w:rsidR="00910AE6" w:rsidRPr="00997057" w:rsidRDefault="00910AE6" w:rsidP="00910AE6">
            <w:pPr>
              <w:spacing w:line="240" w:lineRule="auto"/>
              <w:jc w:val="left"/>
              <w:rPr>
                <w:color w:val="000000"/>
                <w:sz w:val="20"/>
                <w:szCs w:val="20"/>
              </w:rPr>
            </w:pPr>
            <w:r w:rsidRPr="00997057">
              <w:rPr>
                <w:rFonts w:cs="Calibri"/>
                <w:color w:val="000000"/>
                <w:sz w:val="20"/>
                <w:szCs w:val="20"/>
              </w:rPr>
              <w:t>Q2 '18</w:t>
            </w:r>
          </w:p>
        </w:tc>
        <w:tc>
          <w:tcPr>
            <w:tcW w:w="960"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80 476</w:t>
            </w:r>
          </w:p>
        </w:tc>
        <w:tc>
          <w:tcPr>
            <w:tcW w:w="1261"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465 264</w:t>
            </w:r>
          </w:p>
        </w:tc>
        <w:tc>
          <w:tcPr>
            <w:tcW w:w="1352"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104</w:t>
            </w:r>
          </w:p>
        </w:tc>
        <w:tc>
          <w:tcPr>
            <w:tcW w:w="916"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-45.25%</w:t>
            </w:r>
          </w:p>
        </w:tc>
        <w:tc>
          <w:tcPr>
            <w:tcW w:w="840"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7.04%</w:t>
            </w:r>
          </w:p>
        </w:tc>
        <w:tc>
          <w:tcPr>
            <w:tcW w:w="1425"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-60.46%</w:t>
            </w:r>
          </w:p>
        </w:tc>
      </w:tr>
      <w:tr w:rsidR="00910AE6" w:rsidRPr="00997057" w:rsidTr="00910AE6">
        <w:trPr>
          <w:trHeight w:val="170"/>
          <w:jc w:val="center"/>
        </w:trPr>
        <w:tc>
          <w:tcPr>
            <w:tcW w:w="1103" w:type="dxa"/>
            <w:shd w:val="clear" w:color="000000" w:fill="FFFFFF"/>
            <w:noWrap/>
            <w:vAlign w:val="center"/>
            <w:hideMark/>
          </w:tcPr>
          <w:p w:rsidR="00910AE6" w:rsidRPr="00997057" w:rsidRDefault="00910AE6" w:rsidP="00910AE6">
            <w:pPr>
              <w:spacing w:line="240" w:lineRule="auto"/>
              <w:jc w:val="left"/>
              <w:rPr>
                <w:color w:val="000000"/>
                <w:sz w:val="20"/>
                <w:szCs w:val="20"/>
              </w:rPr>
            </w:pPr>
            <w:r w:rsidRPr="00997057">
              <w:rPr>
                <w:rFonts w:cs="Calibri"/>
                <w:color w:val="000000"/>
                <w:sz w:val="20"/>
                <w:szCs w:val="20"/>
              </w:rPr>
              <w:t>Q3 '18</w:t>
            </w:r>
          </w:p>
        </w:tc>
        <w:tc>
          <w:tcPr>
            <w:tcW w:w="960"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213 518</w:t>
            </w:r>
          </w:p>
        </w:tc>
        <w:tc>
          <w:tcPr>
            <w:tcW w:w="1261"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1 279 924</w:t>
            </w:r>
          </w:p>
        </w:tc>
        <w:tc>
          <w:tcPr>
            <w:tcW w:w="1352"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125</w:t>
            </w:r>
          </w:p>
        </w:tc>
        <w:tc>
          <w:tcPr>
            <w:tcW w:w="916"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-44.18%</w:t>
            </w:r>
          </w:p>
        </w:tc>
        <w:tc>
          <w:tcPr>
            <w:tcW w:w="840"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-18.93%</w:t>
            </w:r>
          </w:p>
        </w:tc>
        <w:tc>
          <w:tcPr>
            <w:tcW w:w="1425"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-78.22%</w:t>
            </w:r>
          </w:p>
        </w:tc>
      </w:tr>
      <w:tr w:rsidR="00910AE6" w:rsidRPr="00997057" w:rsidTr="00910AE6">
        <w:trPr>
          <w:trHeight w:val="170"/>
          <w:jc w:val="center"/>
        </w:trPr>
        <w:tc>
          <w:tcPr>
            <w:tcW w:w="1103" w:type="dxa"/>
            <w:shd w:val="clear" w:color="000000" w:fill="FFFFFF"/>
            <w:noWrap/>
            <w:vAlign w:val="center"/>
            <w:hideMark/>
          </w:tcPr>
          <w:p w:rsidR="00910AE6" w:rsidRPr="00997057" w:rsidRDefault="00910AE6" w:rsidP="00910AE6">
            <w:pPr>
              <w:spacing w:line="240" w:lineRule="auto"/>
              <w:jc w:val="left"/>
              <w:rPr>
                <w:color w:val="000000"/>
                <w:sz w:val="20"/>
                <w:szCs w:val="20"/>
              </w:rPr>
            </w:pPr>
            <w:r w:rsidRPr="00997057">
              <w:rPr>
                <w:rFonts w:cs="Calibri"/>
                <w:color w:val="000000"/>
                <w:sz w:val="20"/>
                <w:szCs w:val="20"/>
              </w:rPr>
              <w:t>Q4 '18</w:t>
            </w:r>
          </w:p>
        </w:tc>
        <w:tc>
          <w:tcPr>
            <w:tcW w:w="960"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174 673</w:t>
            </w:r>
          </w:p>
        </w:tc>
        <w:tc>
          <w:tcPr>
            <w:tcW w:w="1261"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927 895</w:t>
            </w:r>
          </w:p>
        </w:tc>
        <w:tc>
          <w:tcPr>
            <w:tcW w:w="1352"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261</w:t>
            </w:r>
          </w:p>
        </w:tc>
        <w:tc>
          <w:tcPr>
            <w:tcW w:w="916"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64.83%</w:t>
            </w:r>
          </w:p>
        </w:tc>
        <w:tc>
          <w:tcPr>
            <w:tcW w:w="840"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80.57%</w:t>
            </w:r>
          </w:p>
        </w:tc>
        <w:tc>
          <w:tcPr>
            <w:tcW w:w="1425" w:type="dxa"/>
            <w:shd w:val="clear" w:color="auto" w:fill="auto"/>
            <w:noWrap/>
            <w:vAlign w:val="bottom"/>
            <w:hideMark/>
          </w:tcPr>
          <w:p w:rsidR="00910AE6" w:rsidRPr="00997057" w:rsidRDefault="00910AE6" w:rsidP="00910AE6">
            <w:pPr>
              <w:spacing w:line="240" w:lineRule="auto"/>
              <w:jc w:val="right"/>
              <w:rPr>
                <w:color w:val="000000"/>
                <w:sz w:val="20"/>
                <w:szCs w:val="20"/>
              </w:rPr>
            </w:pPr>
            <w:r w:rsidRPr="00997057">
              <w:rPr>
                <w:color w:val="000000"/>
                <w:sz w:val="20"/>
                <w:szCs w:val="20"/>
              </w:rPr>
              <w:t>-20.18%</w:t>
            </w:r>
          </w:p>
        </w:tc>
      </w:tr>
    </w:tbl>
    <w:p w:rsidR="00F41E1B" w:rsidRPr="000B697A" w:rsidRDefault="00F41E1B" w:rsidP="00910AE6">
      <w:pPr>
        <w:pStyle w:val="ChartHeader"/>
      </w:pPr>
    </w:p>
    <w:p w:rsidR="007D0731" w:rsidRPr="000B697A" w:rsidRDefault="00910AE6" w:rsidP="001848D4">
      <w:pPr>
        <w:rPr>
          <w:rFonts w:cs="Calibri"/>
        </w:rPr>
      </w:pPr>
      <w:r>
        <w:rPr>
          <w:rFonts w:cs="Calibri"/>
        </w:rPr>
        <w:lastRenderedPageBreak/>
        <w:t xml:space="preserve">Акциите на „Българска независима енергийна борса“ ЕАД не се търгуват на </w:t>
      </w:r>
      <w:proofErr w:type="spellStart"/>
      <w:r>
        <w:rPr>
          <w:rFonts w:cs="Calibri"/>
        </w:rPr>
        <w:t>регулинар</w:t>
      </w:r>
      <w:proofErr w:type="spellEnd"/>
      <w:r>
        <w:rPr>
          <w:rFonts w:cs="Calibri"/>
        </w:rPr>
        <w:t xml:space="preserve"> пазар. </w:t>
      </w:r>
      <w:r w:rsidR="001848D4" w:rsidRPr="000B697A">
        <w:rPr>
          <w:rFonts w:cs="Calibri"/>
        </w:rPr>
        <w:t>„</w:t>
      </w:r>
      <w:r w:rsidR="00010F33" w:rsidRPr="000B697A">
        <w:rPr>
          <w:rFonts w:cs="Calibri"/>
        </w:rPr>
        <w:t>Сервиз финансови Пазари</w:t>
      </w:r>
      <w:r w:rsidR="001848D4" w:rsidRPr="000B697A">
        <w:rPr>
          <w:rFonts w:cs="Calibri"/>
        </w:rPr>
        <w:t>“</w:t>
      </w:r>
      <w:r w:rsidR="00010F33" w:rsidRPr="000B697A">
        <w:rPr>
          <w:rFonts w:cs="Calibri"/>
        </w:rPr>
        <w:t xml:space="preserve"> ЕООД </w:t>
      </w:r>
      <w:r w:rsidR="00E14915" w:rsidRPr="000B697A">
        <w:rPr>
          <w:rFonts w:cs="Calibri"/>
        </w:rPr>
        <w:t xml:space="preserve">и </w:t>
      </w:r>
      <w:r w:rsidR="001848D4" w:rsidRPr="000B697A">
        <w:rPr>
          <w:rFonts w:cs="Calibri"/>
        </w:rPr>
        <w:t>„</w:t>
      </w:r>
      <w:r w:rsidR="00E14915" w:rsidRPr="000B697A">
        <w:rPr>
          <w:rFonts w:cs="Calibri"/>
        </w:rPr>
        <w:t>СЕЕ Линк</w:t>
      </w:r>
      <w:r w:rsidR="001848D4" w:rsidRPr="000B697A">
        <w:rPr>
          <w:rFonts w:cs="Calibri"/>
        </w:rPr>
        <w:t>“</w:t>
      </w:r>
      <w:r w:rsidR="00E14915" w:rsidRPr="000B697A">
        <w:rPr>
          <w:rFonts w:cs="Calibri"/>
        </w:rPr>
        <w:t xml:space="preserve"> ДОО са дружества</w:t>
      </w:r>
      <w:r w:rsidR="00010F33" w:rsidRPr="000B697A">
        <w:rPr>
          <w:rFonts w:cs="Calibri"/>
        </w:rPr>
        <w:t xml:space="preserve"> с ограничена отговорност и дяловете </w:t>
      </w:r>
      <w:r w:rsidR="00E14915" w:rsidRPr="000B697A">
        <w:rPr>
          <w:rFonts w:cs="Calibri"/>
        </w:rPr>
        <w:t>им</w:t>
      </w:r>
      <w:r w:rsidR="00010F33" w:rsidRPr="000B697A">
        <w:rPr>
          <w:rFonts w:cs="Calibri"/>
        </w:rPr>
        <w:t xml:space="preserve"> не </w:t>
      </w:r>
      <w:r w:rsidR="00AF7CCF" w:rsidRPr="000B697A">
        <w:rPr>
          <w:rFonts w:cs="Calibri"/>
        </w:rPr>
        <w:t>се търгуват на регулиран пазар.</w:t>
      </w:r>
    </w:p>
    <w:p w:rsidR="007D0731" w:rsidRPr="000B697A" w:rsidRDefault="00010F33" w:rsidP="00A46753">
      <w:pPr>
        <w:pStyle w:val="Mainnumbers"/>
        <w:outlineLvl w:val="0"/>
        <w:rPr>
          <w:rFonts w:cs="Calibri"/>
          <w:lang w:val="bg-BG"/>
        </w:rPr>
      </w:pPr>
      <w:bookmarkStart w:id="146" w:name="_Toc319568206"/>
      <w:bookmarkStart w:id="147" w:name="_Toc319930509"/>
      <w:bookmarkStart w:id="148" w:name="_Toc320544714"/>
      <w:bookmarkStart w:id="149" w:name="_Toc6923279"/>
      <w:bookmarkEnd w:id="146"/>
      <w:bookmarkEnd w:id="147"/>
      <w:bookmarkEnd w:id="148"/>
      <w:r w:rsidRPr="000B697A">
        <w:rPr>
          <w:rFonts w:cs="Calibri"/>
          <w:lang w:val="bg-BG"/>
        </w:rPr>
        <w:t>ВАЖНИ СЪБИТИЯ, НАСТЪПИЛИ СЛЕД ДАТАТА НА ГОДИШНИЯ ФИНАНСОВ ОТЧЕТ</w:t>
      </w:r>
      <w:bookmarkEnd w:id="149"/>
    </w:p>
    <w:p w:rsidR="00281505" w:rsidRPr="000B697A" w:rsidRDefault="00910AE6" w:rsidP="00492DF1">
      <w:pPr>
        <w:rPr>
          <w:rFonts w:cs="Calibri"/>
        </w:rPr>
      </w:pPr>
      <w:r>
        <w:rPr>
          <w:rFonts w:cs="Calibri"/>
        </w:rPr>
        <w:t>Няма важни събития, настъпили след датата на годишния финансов отчет, който биха могли да повлияят значително на дейността на Групата</w:t>
      </w:r>
      <w:r w:rsidR="00492DF1" w:rsidRPr="000B697A">
        <w:rPr>
          <w:rFonts w:cs="Calibri"/>
        </w:rPr>
        <w:t>.</w:t>
      </w:r>
    </w:p>
    <w:p w:rsidR="007D0731" w:rsidRPr="000B697A" w:rsidRDefault="00010F33" w:rsidP="00A46753">
      <w:pPr>
        <w:pStyle w:val="Mainnumbers"/>
        <w:outlineLvl w:val="0"/>
        <w:rPr>
          <w:rFonts w:cs="Calibri"/>
          <w:lang w:val="bg-BG"/>
        </w:rPr>
      </w:pPr>
      <w:bookmarkStart w:id="150" w:name="_Toc6923280"/>
      <w:r w:rsidRPr="000B697A">
        <w:rPr>
          <w:rFonts w:cs="Calibri"/>
          <w:lang w:val="bg-BG"/>
        </w:rPr>
        <w:t>ОСНОВНИ НАПРАВЛЕНИЯ В ДЕЙНОСТТА НА ДРУЖЕСТВАТА ОТ ГРУПА БЪЛГАРСКА</w:t>
      </w:r>
      <w:r w:rsidR="00BB78BD" w:rsidRPr="000B697A">
        <w:rPr>
          <w:rFonts w:cs="Calibri"/>
          <w:lang w:val="bg-BG"/>
        </w:rPr>
        <w:t xml:space="preserve"> ФОНДОВА БОРСА ПРЕЗ 201</w:t>
      </w:r>
      <w:r w:rsidR="00910AE6">
        <w:rPr>
          <w:rFonts w:cs="Calibri"/>
          <w:lang w:val="bg-BG"/>
        </w:rPr>
        <w:t>9</w:t>
      </w:r>
      <w:r w:rsidRPr="000B697A">
        <w:rPr>
          <w:rFonts w:cs="Calibri"/>
          <w:lang w:val="bg-BG"/>
        </w:rPr>
        <w:t xml:space="preserve"> Г.</w:t>
      </w:r>
      <w:bookmarkEnd w:id="150"/>
    </w:p>
    <w:p w:rsidR="00F41E1B" w:rsidRPr="000B697A" w:rsidRDefault="00910AE6" w:rsidP="00F41E1B">
      <w:pPr>
        <w:rPr>
          <w:rFonts w:cs="Calibri"/>
        </w:rPr>
      </w:pPr>
      <w:r>
        <w:rPr>
          <w:rFonts w:cs="Calibri"/>
        </w:rPr>
        <w:t>През 2019</w:t>
      </w:r>
      <w:r w:rsidR="00F41E1B" w:rsidRPr="000B697A">
        <w:rPr>
          <w:rFonts w:cs="Calibri"/>
        </w:rPr>
        <w:t xml:space="preserve"> г. основните приоритети в дейността на дружествата от Група БФБ ще бъдат насочени в следните направления:</w:t>
      </w:r>
    </w:p>
    <w:p w:rsidR="00910AE6" w:rsidRPr="00846D6D" w:rsidRDefault="00910AE6" w:rsidP="00910AE6">
      <w:pPr>
        <w:pStyle w:val="ListParagraph"/>
        <w:numPr>
          <w:ilvl w:val="0"/>
          <w:numId w:val="4"/>
        </w:numPr>
        <w:rPr>
          <w:rFonts w:cs="Calibri"/>
          <w:lang w:val="bg-BG"/>
        </w:rPr>
      </w:pPr>
      <w:r w:rsidRPr="00846D6D">
        <w:rPr>
          <w:rFonts w:cs="Calibri"/>
          <w:lang w:val="bg-BG"/>
        </w:rPr>
        <w:t xml:space="preserve">Популяризация и утвърждаване на Пазара за растеж на малки и средни предприятия (МСП) </w:t>
      </w:r>
      <w:r w:rsidRPr="000C17A3">
        <w:rPr>
          <w:rFonts w:cs="Calibri"/>
          <w:lang w:val="bg-BG"/>
        </w:rPr>
        <w:t>BEAM</w:t>
      </w:r>
      <w:r w:rsidRPr="00846D6D">
        <w:rPr>
          <w:rFonts w:cs="Calibri"/>
          <w:lang w:val="bg-BG"/>
        </w:rPr>
        <w:t>, за който БФБ получи регулаторно одобрение в края на 2018 г. На същия ще могат да осъществяват предлагане на акции без проспект, когато размерът на емисията не надхвърля законоустановения праг за това, както и набирането на капитал до 20 млн. евро въз основа на т. нар. Европейски проспект за растеж;</w:t>
      </w:r>
    </w:p>
    <w:p w:rsidR="00910AE6" w:rsidRPr="00846D6D" w:rsidRDefault="00910AE6" w:rsidP="00910AE6">
      <w:pPr>
        <w:pStyle w:val="ListParagraph"/>
        <w:numPr>
          <w:ilvl w:val="0"/>
          <w:numId w:val="4"/>
        </w:numPr>
        <w:rPr>
          <w:rFonts w:cs="Calibri"/>
          <w:lang w:val="bg-BG"/>
        </w:rPr>
      </w:pPr>
      <w:r w:rsidRPr="00846D6D">
        <w:rPr>
          <w:rFonts w:cs="Calibri"/>
          <w:lang w:val="bg-BG"/>
        </w:rPr>
        <w:t xml:space="preserve">Старт на сегмент на Регулиран пазар и Многостранна система за търговия с чуждестранни финансови инструменти чрез осигуряването на възможност за </w:t>
      </w:r>
      <w:proofErr w:type="spellStart"/>
      <w:r w:rsidRPr="00846D6D">
        <w:rPr>
          <w:rFonts w:cs="Calibri"/>
          <w:lang w:val="bg-BG"/>
        </w:rPr>
        <w:t>сетълмент</w:t>
      </w:r>
      <w:proofErr w:type="spellEnd"/>
      <w:r w:rsidRPr="00846D6D">
        <w:rPr>
          <w:rFonts w:cs="Calibri"/>
          <w:lang w:val="bg-BG"/>
        </w:rPr>
        <w:t xml:space="preserve"> на сделките в Централен Депозитар и при конкурентни условия за инвеститорите и гарантирана ликвидност от страна на </w:t>
      </w:r>
      <w:proofErr w:type="spellStart"/>
      <w:r w:rsidRPr="00846D6D">
        <w:rPr>
          <w:rFonts w:cs="Calibri"/>
          <w:lang w:val="bg-BG"/>
        </w:rPr>
        <w:t>маркет-мейкър</w:t>
      </w:r>
      <w:proofErr w:type="spellEnd"/>
      <w:r w:rsidRPr="00846D6D">
        <w:rPr>
          <w:rFonts w:cs="Calibri"/>
          <w:lang w:val="bg-BG"/>
        </w:rPr>
        <w:t xml:space="preserve">. Към момента биват финализирани някои аспекти на обменяната информация между БФБ и </w:t>
      </w:r>
      <w:proofErr w:type="spellStart"/>
      <w:r w:rsidRPr="00846D6D">
        <w:rPr>
          <w:rFonts w:cs="Calibri"/>
          <w:lang w:val="bg-BG"/>
        </w:rPr>
        <w:t>сетълмент</w:t>
      </w:r>
      <w:proofErr w:type="spellEnd"/>
      <w:r w:rsidRPr="00846D6D">
        <w:rPr>
          <w:rFonts w:cs="Calibri"/>
          <w:lang w:val="bg-BG"/>
        </w:rPr>
        <w:t xml:space="preserve"> агента на </w:t>
      </w:r>
      <w:proofErr w:type="spellStart"/>
      <w:r w:rsidRPr="00846D6D">
        <w:rPr>
          <w:rFonts w:cs="Calibri"/>
          <w:lang w:val="bg-BG"/>
        </w:rPr>
        <w:t>маркет-мейкъра</w:t>
      </w:r>
      <w:proofErr w:type="spellEnd"/>
      <w:r w:rsidRPr="00846D6D">
        <w:rPr>
          <w:rFonts w:cs="Calibri"/>
          <w:lang w:val="bg-BG"/>
        </w:rPr>
        <w:t xml:space="preserve">. След изясняване на всички детайли ще бъдат проведени тестове за </w:t>
      </w:r>
      <w:proofErr w:type="spellStart"/>
      <w:r w:rsidRPr="00846D6D">
        <w:rPr>
          <w:rFonts w:cs="Calibri"/>
          <w:lang w:val="bg-BG"/>
        </w:rPr>
        <w:t>сетлемент</w:t>
      </w:r>
      <w:proofErr w:type="spellEnd"/>
      <w:r w:rsidRPr="00846D6D">
        <w:rPr>
          <w:rFonts w:cs="Calibri"/>
          <w:lang w:val="bg-BG"/>
        </w:rPr>
        <w:t xml:space="preserve"> в </w:t>
      </w:r>
      <w:proofErr w:type="spellStart"/>
      <w:r w:rsidRPr="000C17A3">
        <w:rPr>
          <w:rFonts w:cs="Calibri"/>
          <w:lang w:val="bg-BG"/>
        </w:rPr>
        <w:t>Clearstream</w:t>
      </w:r>
      <w:proofErr w:type="spellEnd"/>
      <w:r w:rsidRPr="000C17A3">
        <w:rPr>
          <w:rFonts w:cs="Calibri"/>
          <w:lang w:val="bg-BG"/>
        </w:rPr>
        <w:t xml:space="preserve"> </w:t>
      </w:r>
      <w:proofErr w:type="spellStart"/>
      <w:r w:rsidRPr="000C17A3">
        <w:rPr>
          <w:rFonts w:cs="Calibri"/>
          <w:lang w:val="bg-BG"/>
        </w:rPr>
        <w:t>Banking</w:t>
      </w:r>
      <w:proofErr w:type="spellEnd"/>
      <w:r w:rsidRPr="000C17A3">
        <w:rPr>
          <w:rFonts w:cs="Calibri"/>
          <w:lang w:val="bg-BG"/>
        </w:rPr>
        <w:t xml:space="preserve"> </w:t>
      </w:r>
      <w:r w:rsidRPr="00846D6D">
        <w:rPr>
          <w:rFonts w:cs="Calibri"/>
          <w:lang w:val="bg-BG"/>
        </w:rPr>
        <w:t xml:space="preserve">между Централен Депозитар АД и </w:t>
      </w:r>
      <w:proofErr w:type="spellStart"/>
      <w:r w:rsidRPr="00846D6D">
        <w:rPr>
          <w:rFonts w:cs="Calibri"/>
          <w:lang w:val="bg-BG"/>
        </w:rPr>
        <w:t>сетълемент</w:t>
      </w:r>
      <w:proofErr w:type="spellEnd"/>
      <w:r w:rsidRPr="00846D6D">
        <w:rPr>
          <w:rFonts w:cs="Calibri"/>
          <w:lang w:val="bg-BG"/>
        </w:rPr>
        <w:t xml:space="preserve"> агента. Предстои и процесът по нотификация на местния регулатор за осъществяване на дейност в България от страна на </w:t>
      </w:r>
      <w:proofErr w:type="spellStart"/>
      <w:r w:rsidRPr="00846D6D">
        <w:rPr>
          <w:rFonts w:cs="Calibri"/>
          <w:lang w:val="bg-BG"/>
        </w:rPr>
        <w:t>маркет-мейкъра</w:t>
      </w:r>
      <w:proofErr w:type="spellEnd"/>
      <w:r w:rsidRPr="00846D6D">
        <w:rPr>
          <w:rFonts w:cs="Calibri"/>
          <w:lang w:val="bg-BG"/>
        </w:rPr>
        <w:t>, получил лиценз като инвестиционен посредник в друга държава членка, както и приемането му за член на БФБ;</w:t>
      </w:r>
    </w:p>
    <w:p w:rsidR="00910AE6" w:rsidRPr="00846D6D" w:rsidRDefault="00910AE6" w:rsidP="00910AE6">
      <w:pPr>
        <w:pStyle w:val="ListParagraph"/>
        <w:numPr>
          <w:ilvl w:val="0"/>
          <w:numId w:val="4"/>
        </w:numPr>
        <w:rPr>
          <w:rFonts w:cs="Calibri"/>
          <w:lang w:val="bg-BG"/>
        </w:rPr>
      </w:pPr>
      <w:r w:rsidRPr="00846D6D">
        <w:rPr>
          <w:rFonts w:cs="Calibri"/>
          <w:lang w:val="bg-BG"/>
        </w:rPr>
        <w:t xml:space="preserve">Миграция към платформата за търговия </w:t>
      </w:r>
      <w:proofErr w:type="spellStart"/>
      <w:r w:rsidRPr="000C17A3">
        <w:rPr>
          <w:rFonts w:cs="Calibri"/>
          <w:lang w:val="bg-BG"/>
        </w:rPr>
        <w:t>Xetra</w:t>
      </w:r>
      <w:proofErr w:type="spellEnd"/>
      <w:r w:rsidRPr="000C17A3">
        <w:rPr>
          <w:rFonts w:cs="Calibri"/>
          <w:lang w:val="bg-BG"/>
        </w:rPr>
        <w:t xml:space="preserve"> T7</w:t>
      </w:r>
      <w:r w:rsidRPr="00846D6D">
        <w:rPr>
          <w:rFonts w:cs="Calibri"/>
          <w:lang w:val="bg-BG"/>
        </w:rPr>
        <w:t xml:space="preserve"> след преустановяване на поддръжката на досегашната платформа </w:t>
      </w:r>
      <w:proofErr w:type="spellStart"/>
      <w:r w:rsidRPr="000C17A3">
        <w:rPr>
          <w:rFonts w:cs="Calibri"/>
          <w:lang w:val="bg-BG"/>
        </w:rPr>
        <w:t>Xetra</w:t>
      </w:r>
      <w:proofErr w:type="spellEnd"/>
      <w:r w:rsidRPr="000C17A3">
        <w:rPr>
          <w:rFonts w:cs="Calibri"/>
          <w:lang w:val="bg-BG"/>
        </w:rPr>
        <w:t xml:space="preserve"> </w:t>
      </w:r>
      <w:proofErr w:type="spellStart"/>
      <w:r w:rsidRPr="000C17A3">
        <w:rPr>
          <w:rFonts w:cs="Calibri"/>
          <w:lang w:val="bg-BG"/>
        </w:rPr>
        <w:t>Classic</w:t>
      </w:r>
      <w:proofErr w:type="spellEnd"/>
      <w:r w:rsidRPr="000C17A3">
        <w:rPr>
          <w:rFonts w:cs="Calibri"/>
          <w:lang w:val="bg-BG"/>
        </w:rPr>
        <w:t xml:space="preserve"> </w:t>
      </w:r>
      <w:r w:rsidRPr="00846D6D">
        <w:rPr>
          <w:rFonts w:cs="Calibri"/>
          <w:lang w:val="bg-BG"/>
        </w:rPr>
        <w:t xml:space="preserve">в средата на 2019 г. </w:t>
      </w:r>
    </w:p>
    <w:p w:rsidR="00910AE6" w:rsidRPr="00846D6D" w:rsidRDefault="00910AE6" w:rsidP="00910AE6">
      <w:pPr>
        <w:pStyle w:val="ListParagraph"/>
        <w:numPr>
          <w:ilvl w:val="0"/>
          <w:numId w:val="4"/>
        </w:numPr>
        <w:rPr>
          <w:rFonts w:cs="Calibri"/>
          <w:lang w:val="bg-BG"/>
        </w:rPr>
      </w:pPr>
      <w:r w:rsidRPr="00846D6D">
        <w:rPr>
          <w:rFonts w:cs="Calibri"/>
          <w:lang w:val="bg-BG"/>
        </w:rPr>
        <w:t xml:space="preserve">Внедряването на платформата за надзор на пазара </w:t>
      </w:r>
      <w:proofErr w:type="spellStart"/>
      <w:r w:rsidRPr="000C17A3">
        <w:rPr>
          <w:rFonts w:cs="Calibri"/>
          <w:lang w:val="bg-BG"/>
        </w:rPr>
        <w:t>Scila</w:t>
      </w:r>
      <w:proofErr w:type="spellEnd"/>
      <w:r w:rsidRPr="000C17A3">
        <w:rPr>
          <w:rFonts w:cs="Calibri"/>
          <w:lang w:val="bg-BG"/>
        </w:rPr>
        <w:t xml:space="preserve"> </w:t>
      </w:r>
      <w:proofErr w:type="spellStart"/>
      <w:r w:rsidRPr="000C17A3">
        <w:rPr>
          <w:rFonts w:cs="Calibri"/>
          <w:lang w:val="bg-BG"/>
        </w:rPr>
        <w:t>Surveillance</w:t>
      </w:r>
      <w:proofErr w:type="spellEnd"/>
      <w:r w:rsidRPr="000C17A3">
        <w:rPr>
          <w:rFonts w:cs="Calibri"/>
          <w:lang w:val="bg-BG"/>
        </w:rPr>
        <w:t xml:space="preserve"> </w:t>
      </w:r>
      <w:r w:rsidRPr="00846D6D">
        <w:rPr>
          <w:rFonts w:cs="Calibri"/>
          <w:lang w:val="bg-BG"/>
        </w:rPr>
        <w:t xml:space="preserve">паралелно с миграцията към </w:t>
      </w:r>
      <w:proofErr w:type="spellStart"/>
      <w:r w:rsidRPr="000C17A3">
        <w:rPr>
          <w:rFonts w:cs="Calibri"/>
          <w:lang w:val="bg-BG"/>
        </w:rPr>
        <w:t>Xetra</w:t>
      </w:r>
      <w:proofErr w:type="spellEnd"/>
      <w:r w:rsidRPr="000C17A3">
        <w:rPr>
          <w:rFonts w:cs="Calibri"/>
          <w:lang w:val="bg-BG"/>
        </w:rPr>
        <w:t xml:space="preserve"> T7</w:t>
      </w:r>
      <w:r w:rsidRPr="00846D6D">
        <w:rPr>
          <w:rFonts w:cs="Calibri"/>
          <w:lang w:val="bg-BG"/>
        </w:rPr>
        <w:t xml:space="preserve"> поради прекратяването на досега използваната платформа </w:t>
      </w:r>
      <w:proofErr w:type="spellStart"/>
      <w:r w:rsidRPr="000C17A3">
        <w:rPr>
          <w:rFonts w:cs="Calibri"/>
          <w:lang w:val="bg-BG"/>
        </w:rPr>
        <w:t>Xetra</w:t>
      </w:r>
      <w:proofErr w:type="spellEnd"/>
      <w:r w:rsidRPr="000C17A3">
        <w:rPr>
          <w:rFonts w:cs="Calibri"/>
          <w:lang w:val="bg-BG"/>
        </w:rPr>
        <w:t xml:space="preserve"> </w:t>
      </w:r>
      <w:proofErr w:type="spellStart"/>
      <w:r w:rsidRPr="000C17A3">
        <w:rPr>
          <w:rFonts w:cs="Calibri"/>
          <w:lang w:val="bg-BG"/>
        </w:rPr>
        <w:t>Observer</w:t>
      </w:r>
      <w:proofErr w:type="spellEnd"/>
      <w:r w:rsidRPr="000C17A3">
        <w:rPr>
          <w:rFonts w:cs="Calibri"/>
          <w:lang w:val="bg-BG"/>
        </w:rPr>
        <w:t xml:space="preserve">. </w:t>
      </w:r>
    </w:p>
    <w:p w:rsidR="00910AE6" w:rsidRPr="00846D6D" w:rsidRDefault="00910AE6" w:rsidP="00910AE6">
      <w:pPr>
        <w:pStyle w:val="ListParagraph"/>
        <w:numPr>
          <w:ilvl w:val="0"/>
          <w:numId w:val="4"/>
        </w:numPr>
        <w:rPr>
          <w:rFonts w:cs="Calibri"/>
          <w:lang w:val="bg-BG"/>
        </w:rPr>
      </w:pPr>
      <w:r w:rsidRPr="00846D6D">
        <w:rPr>
          <w:rFonts w:cs="Calibri"/>
          <w:lang w:val="bg-BG"/>
        </w:rPr>
        <w:t xml:space="preserve">Продължаващи действия по утвърждаването на регионалната платформа </w:t>
      </w:r>
      <w:r w:rsidRPr="000C17A3">
        <w:rPr>
          <w:rFonts w:cs="Calibri"/>
          <w:lang w:val="bg-BG"/>
        </w:rPr>
        <w:t xml:space="preserve">SEE </w:t>
      </w:r>
      <w:proofErr w:type="spellStart"/>
      <w:r w:rsidRPr="000C17A3">
        <w:rPr>
          <w:rFonts w:cs="Calibri"/>
          <w:lang w:val="bg-BG"/>
        </w:rPr>
        <w:t>Link</w:t>
      </w:r>
      <w:proofErr w:type="spellEnd"/>
      <w:r w:rsidRPr="000C17A3">
        <w:rPr>
          <w:rFonts w:cs="Calibri"/>
          <w:lang w:val="bg-BG"/>
        </w:rPr>
        <w:t xml:space="preserve"> </w:t>
      </w:r>
      <w:r w:rsidRPr="00846D6D">
        <w:rPr>
          <w:rFonts w:cs="Calibri"/>
          <w:lang w:val="bg-BG"/>
        </w:rPr>
        <w:t xml:space="preserve">, свързваща седем пазара на Балканите и участие в подготвян проект, финансиран от Европейската банка за възстановяване и развитие (ЕБВР), целящ осигуряване на покритие от финансов анализатор на листнати компании от всяка участваща държава. Проектът има за цел да повиши информираността на инвеститорите на трансгранична база и да достави съпоставима по същество информация за основните търгувани </w:t>
      </w:r>
      <w:r w:rsidRPr="00846D6D">
        <w:rPr>
          <w:rFonts w:cs="Calibri"/>
          <w:lang w:val="bg-BG"/>
        </w:rPr>
        <w:lastRenderedPageBreak/>
        <w:t>дружества, преодолявайки по този начин една от пречките за активна търговия между на пазарите на Балканите;</w:t>
      </w:r>
    </w:p>
    <w:p w:rsidR="00910AE6" w:rsidRPr="00846D6D" w:rsidRDefault="00910AE6" w:rsidP="00910AE6">
      <w:pPr>
        <w:pStyle w:val="ListParagraph"/>
        <w:numPr>
          <w:ilvl w:val="0"/>
          <w:numId w:val="4"/>
        </w:numPr>
        <w:rPr>
          <w:rFonts w:cs="Calibri"/>
          <w:lang w:val="bg-BG"/>
        </w:rPr>
      </w:pPr>
      <w:r w:rsidRPr="00846D6D">
        <w:rPr>
          <w:rFonts w:cs="Calibri"/>
          <w:lang w:val="bg-BG"/>
        </w:rPr>
        <w:t xml:space="preserve">Осигуряването на ефективни решения за приключване на сделките, сключени посредством SEE </w:t>
      </w:r>
      <w:proofErr w:type="spellStart"/>
      <w:r w:rsidRPr="00846D6D">
        <w:rPr>
          <w:rFonts w:cs="Calibri"/>
          <w:lang w:val="bg-BG"/>
        </w:rPr>
        <w:t>Link</w:t>
      </w:r>
      <w:proofErr w:type="spellEnd"/>
      <w:r w:rsidRPr="00846D6D">
        <w:rPr>
          <w:rFonts w:cs="Calibri"/>
          <w:lang w:val="bg-BG"/>
        </w:rPr>
        <w:t xml:space="preserve"> с цел максимално удобство за ползвателите й;</w:t>
      </w:r>
    </w:p>
    <w:p w:rsidR="00910AE6" w:rsidRPr="00846D6D" w:rsidRDefault="00910AE6" w:rsidP="00910AE6">
      <w:pPr>
        <w:pStyle w:val="ListParagraph"/>
        <w:numPr>
          <w:ilvl w:val="0"/>
          <w:numId w:val="4"/>
        </w:numPr>
        <w:rPr>
          <w:rFonts w:cs="Calibri"/>
          <w:lang w:val="bg-BG"/>
        </w:rPr>
      </w:pPr>
      <w:r w:rsidRPr="00846D6D">
        <w:rPr>
          <w:rFonts w:cs="Calibri"/>
          <w:lang w:val="bg-BG"/>
        </w:rPr>
        <w:t>Активно участие във всички дискусии относно налагащи се законодателни промени в областта на търговията с финансови инструменти;</w:t>
      </w:r>
    </w:p>
    <w:p w:rsidR="00910AE6" w:rsidRPr="00846D6D" w:rsidRDefault="00910AE6" w:rsidP="00910AE6">
      <w:pPr>
        <w:pStyle w:val="ListParagraph"/>
        <w:numPr>
          <w:ilvl w:val="0"/>
          <w:numId w:val="4"/>
        </w:numPr>
        <w:rPr>
          <w:rFonts w:cs="Calibri"/>
          <w:lang w:val="bg-BG"/>
        </w:rPr>
      </w:pPr>
      <w:r w:rsidRPr="00846D6D">
        <w:rPr>
          <w:rFonts w:cs="Calibri"/>
          <w:lang w:val="bg-BG"/>
        </w:rPr>
        <w:t xml:space="preserve">Подобряване на предлаганите информационни услуги, в т.ч. чрез разнообразяване на предлаганите услуги от дъщерното дружество на Борсата Сервиз Финансови Пазари ЕООД. В изпълнение на последното през годината предстои разработване и пускане в експлоатация на изцяло нова версия на продукта </w:t>
      </w:r>
      <w:r w:rsidRPr="000C17A3">
        <w:rPr>
          <w:rFonts w:cs="Calibri"/>
          <w:i/>
          <w:lang w:val="bg-BG"/>
        </w:rPr>
        <w:t>X3 Анализи</w:t>
      </w:r>
      <w:r>
        <w:rPr>
          <w:rFonts w:cs="Calibri"/>
          <w:lang w:val="bg-BG"/>
        </w:rPr>
        <w:t>. Същ</w:t>
      </w:r>
      <w:r w:rsidRPr="00846D6D">
        <w:rPr>
          <w:rFonts w:cs="Calibri"/>
          <w:lang w:val="bg-BG"/>
        </w:rPr>
        <w:t>ият ще бъде изцяло обновен визуално чрез използването на съвременни уеб-базирани технологии, като ще бъде запазена комплексната му функционалност и същевременно ще бъде променена ценовата му политика с цел по-широката му употреба от потенциални клиенти;</w:t>
      </w:r>
    </w:p>
    <w:p w:rsidR="00910AE6" w:rsidRPr="00846D6D" w:rsidRDefault="00910AE6" w:rsidP="00910AE6">
      <w:pPr>
        <w:pStyle w:val="ListParagraph"/>
        <w:numPr>
          <w:ilvl w:val="0"/>
          <w:numId w:val="4"/>
        </w:numPr>
        <w:rPr>
          <w:rFonts w:cs="Calibri"/>
          <w:lang w:val="bg-BG"/>
        </w:rPr>
      </w:pPr>
      <w:proofErr w:type="spellStart"/>
      <w:r w:rsidRPr="003A7D20">
        <w:rPr>
          <w:rFonts w:cs="Calibri"/>
        </w:rPr>
        <w:t>Повишаване</w:t>
      </w:r>
      <w:proofErr w:type="spellEnd"/>
      <w:r w:rsidRPr="003A7D20">
        <w:rPr>
          <w:rFonts w:cs="Calibri"/>
        </w:rPr>
        <w:t xml:space="preserve"> </w:t>
      </w:r>
      <w:proofErr w:type="spellStart"/>
      <w:r w:rsidRPr="003A7D20">
        <w:rPr>
          <w:rFonts w:cs="Calibri"/>
        </w:rPr>
        <w:t>на</w:t>
      </w:r>
      <w:proofErr w:type="spellEnd"/>
      <w:r w:rsidRPr="003A7D20">
        <w:rPr>
          <w:rFonts w:cs="Calibri"/>
        </w:rPr>
        <w:t xml:space="preserve"> </w:t>
      </w:r>
      <w:proofErr w:type="spellStart"/>
      <w:r w:rsidRPr="003A7D20">
        <w:rPr>
          <w:rFonts w:cs="Calibri"/>
        </w:rPr>
        <w:t>нивото</w:t>
      </w:r>
      <w:proofErr w:type="spellEnd"/>
      <w:r w:rsidRPr="003A7D20">
        <w:rPr>
          <w:rFonts w:cs="Calibri"/>
        </w:rPr>
        <w:t xml:space="preserve"> </w:t>
      </w:r>
      <w:proofErr w:type="spellStart"/>
      <w:r w:rsidRPr="003A7D20">
        <w:rPr>
          <w:rFonts w:cs="Calibri"/>
        </w:rPr>
        <w:t>на</w:t>
      </w:r>
      <w:proofErr w:type="spellEnd"/>
      <w:r w:rsidRPr="003A7D20">
        <w:rPr>
          <w:rFonts w:cs="Calibri"/>
        </w:rPr>
        <w:t xml:space="preserve"> </w:t>
      </w:r>
      <w:proofErr w:type="spellStart"/>
      <w:r w:rsidRPr="003A7D20">
        <w:rPr>
          <w:rFonts w:cs="Calibri"/>
        </w:rPr>
        <w:t>финансова</w:t>
      </w:r>
      <w:proofErr w:type="spellEnd"/>
      <w:r w:rsidRPr="003A7D20">
        <w:rPr>
          <w:rFonts w:cs="Calibri"/>
        </w:rPr>
        <w:t xml:space="preserve"> </w:t>
      </w:r>
      <w:proofErr w:type="spellStart"/>
      <w:r w:rsidRPr="003A7D20">
        <w:rPr>
          <w:rFonts w:cs="Calibri"/>
        </w:rPr>
        <w:t>култура</w:t>
      </w:r>
      <w:proofErr w:type="spellEnd"/>
      <w:r w:rsidRPr="003A7D20">
        <w:rPr>
          <w:rFonts w:cs="Calibri"/>
        </w:rPr>
        <w:t xml:space="preserve"> у </w:t>
      </w:r>
      <w:proofErr w:type="spellStart"/>
      <w:r w:rsidRPr="003A7D20">
        <w:rPr>
          <w:rFonts w:cs="Calibri"/>
        </w:rPr>
        <w:t>българите</w:t>
      </w:r>
      <w:proofErr w:type="spellEnd"/>
      <w:r w:rsidRPr="003A7D20">
        <w:rPr>
          <w:rFonts w:cs="Calibri"/>
        </w:rPr>
        <w:t xml:space="preserve"> и </w:t>
      </w:r>
      <w:proofErr w:type="spellStart"/>
      <w:r w:rsidRPr="003A7D20">
        <w:rPr>
          <w:rFonts w:cs="Calibri"/>
        </w:rPr>
        <w:t>по-специално</w:t>
      </w:r>
      <w:proofErr w:type="spellEnd"/>
      <w:r w:rsidRPr="003A7D20">
        <w:rPr>
          <w:rFonts w:cs="Calibri"/>
        </w:rPr>
        <w:t xml:space="preserve"> – </w:t>
      </w:r>
      <w:proofErr w:type="spellStart"/>
      <w:r w:rsidRPr="003A7D20">
        <w:rPr>
          <w:rFonts w:cs="Calibri"/>
        </w:rPr>
        <w:t>младите</w:t>
      </w:r>
      <w:proofErr w:type="spellEnd"/>
      <w:r w:rsidRPr="003A7D20">
        <w:rPr>
          <w:rFonts w:cs="Calibri"/>
        </w:rPr>
        <w:t xml:space="preserve"> </w:t>
      </w:r>
      <w:proofErr w:type="spellStart"/>
      <w:r w:rsidRPr="003A7D20">
        <w:rPr>
          <w:rFonts w:cs="Calibri"/>
        </w:rPr>
        <w:t>хора</w:t>
      </w:r>
      <w:proofErr w:type="spellEnd"/>
      <w:r w:rsidRPr="003A7D20">
        <w:rPr>
          <w:rFonts w:cs="Calibri"/>
        </w:rPr>
        <w:t xml:space="preserve"> </w:t>
      </w:r>
      <w:proofErr w:type="spellStart"/>
      <w:r w:rsidRPr="003A7D20">
        <w:rPr>
          <w:rFonts w:cs="Calibri"/>
        </w:rPr>
        <w:t>чрез</w:t>
      </w:r>
      <w:proofErr w:type="spellEnd"/>
      <w:r w:rsidRPr="003A7D20">
        <w:rPr>
          <w:rFonts w:cs="Calibri"/>
        </w:rPr>
        <w:t xml:space="preserve"> </w:t>
      </w:r>
      <w:proofErr w:type="spellStart"/>
      <w:r w:rsidRPr="003A7D20">
        <w:rPr>
          <w:rFonts w:cs="Calibri"/>
        </w:rPr>
        <w:t>собствени</w:t>
      </w:r>
      <w:proofErr w:type="spellEnd"/>
      <w:r w:rsidRPr="003A7D20">
        <w:rPr>
          <w:rFonts w:cs="Calibri"/>
        </w:rPr>
        <w:t xml:space="preserve"> </w:t>
      </w:r>
      <w:proofErr w:type="spellStart"/>
      <w:r w:rsidRPr="003A7D20">
        <w:rPr>
          <w:rFonts w:cs="Calibri"/>
        </w:rPr>
        <w:t>инициативи</w:t>
      </w:r>
      <w:proofErr w:type="spellEnd"/>
      <w:r w:rsidRPr="003A7D20">
        <w:rPr>
          <w:rFonts w:cs="Calibri"/>
        </w:rPr>
        <w:t xml:space="preserve"> </w:t>
      </w:r>
      <w:proofErr w:type="spellStart"/>
      <w:r w:rsidRPr="003A7D20">
        <w:rPr>
          <w:rFonts w:cs="Calibri"/>
        </w:rPr>
        <w:t>или</w:t>
      </w:r>
      <w:proofErr w:type="spellEnd"/>
      <w:r w:rsidRPr="003A7D20">
        <w:rPr>
          <w:rFonts w:cs="Calibri"/>
        </w:rPr>
        <w:t xml:space="preserve"> </w:t>
      </w:r>
      <w:proofErr w:type="spellStart"/>
      <w:r w:rsidRPr="003A7D20">
        <w:rPr>
          <w:rFonts w:cs="Calibri"/>
        </w:rPr>
        <w:t>активно</w:t>
      </w:r>
      <w:proofErr w:type="spellEnd"/>
      <w:r w:rsidRPr="003A7D20">
        <w:rPr>
          <w:rFonts w:cs="Calibri"/>
        </w:rPr>
        <w:t xml:space="preserve"> </w:t>
      </w:r>
      <w:proofErr w:type="spellStart"/>
      <w:r w:rsidRPr="003A7D20">
        <w:rPr>
          <w:rFonts w:cs="Calibri"/>
        </w:rPr>
        <w:t>участие</w:t>
      </w:r>
      <w:proofErr w:type="spellEnd"/>
      <w:r w:rsidRPr="003A7D20">
        <w:rPr>
          <w:rFonts w:cs="Calibri"/>
        </w:rPr>
        <w:t xml:space="preserve"> в </w:t>
      </w:r>
      <w:proofErr w:type="spellStart"/>
      <w:r w:rsidRPr="003A7D20">
        <w:rPr>
          <w:rFonts w:cs="Calibri"/>
        </w:rPr>
        <w:t>предприети</w:t>
      </w:r>
      <w:proofErr w:type="spellEnd"/>
      <w:r w:rsidRPr="003A7D20">
        <w:rPr>
          <w:rFonts w:cs="Calibri"/>
        </w:rPr>
        <w:t xml:space="preserve"> </w:t>
      </w:r>
      <w:proofErr w:type="spellStart"/>
      <w:r w:rsidRPr="003A7D20">
        <w:rPr>
          <w:rFonts w:cs="Calibri"/>
        </w:rPr>
        <w:t>от</w:t>
      </w:r>
      <w:proofErr w:type="spellEnd"/>
      <w:r w:rsidRPr="003A7D20">
        <w:rPr>
          <w:rFonts w:cs="Calibri"/>
        </w:rPr>
        <w:t xml:space="preserve"> </w:t>
      </w:r>
      <w:proofErr w:type="spellStart"/>
      <w:r w:rsidRPr="003A7D20">
        <w:rPr>
          <w:rFonts w:cs="Calibri"/>
        </w:rPr>
        <w:t>други</w:t>
      </w:r>
      <w:proofErr w:type="spellEnd"/>
      <w:r w:rsidRPr="003A7D20">
        <w:rPr>
          <w:rFonts w:cs="Calibri"/>
        </w:rPr>
        <w:t xml:space="preserve"> </w:t>
      </w:r>
      <w:proofErr w:type="spellStart"/>
      <w:r w:rsidRPr="003A7D20">
        <w:rPr>
          <w:rFonts w:cs="Calibri"/>
        </w:rPr>
        <w:t>институции</w:t>
      </w:r>
      <w:proofErr w:type="spellEnd"/>
      <w:r w:rsidRPr="003A7D20">
        <w:rPr>
          <w:rFonts w:cs="Calibri"/>
        </w:rPr>
        <w:t xml:space="preserve"> </w:t>
      </w:r>
      <w:proofErr w:type="spellStart"/>
      <w:r w:rsidRPr="003A7D20">
        <w:rPr>
          <w:rFonts w:cs="Calibri"/>
        </w:rPr>
        <w:t>мерки</w:t>
      </w:r>
      <w:proofErr w:type="spellEnd"/>
      <w:r w:rsidRPr="003A7D20">
        <w:rPr>
          <w:rFonts w:cs="Calibri"/>
        </w:rPr>
        <w:t>;</w:t>
      </w:r>
    </w:p>
    <w:p w:rsidR="00F41E1B" w:rsidRPr="000B697A" w:rsidRDefault="00910AE6" w:rsidP="00910AE6">
      <w:pPr>
        <w:pStyle w:val="ListParagraph"/>
        <w:numPr>
          <w:ilvl w:val="0"/>
          <w:numId w:val="4"/>
        </w:numPr>
        <w:rPr>
          <w:rFonts w:cs="Calibri"/>
          <w:lang w:val="bg-BG"/>
        </w:rPr>
      </w:pPr>
      <w:r w:rsidRPr="000C17A3">
        <w:rPr>
          <w:rFonts w:cs="Calibri"/>
          <w:lang w:val="bg-BG"/>
        </w:rPr>
        <w:t xml:space="preserve">Стажантска програма на БФБ ще бъде активно </w:t>
      </w:r>
      <w:proofErr w:type="spellStart"/>
      <w:r w:rsidRPr="000C17A3">
        <w:rPr>
          <w:rFonts w:cs="Calibri"/>
          <w:lang w:val="bg-BG"/>
        </w:rPr>
        <w:t>промотирана</w:t>
      </w:r>
      <w:proofErr w:type="spellEnd"/>
      <w:r w:rsidRPr="000C17A3">
        <w:rPr>
          <w:rFonts w:cs="Calibri"/>
          <w:lang w:val="bg-BG"/>
        </w:rPr>
        <w:t xml:space="preserve"> като средство за получаване на професионално обучение в областта на пазарите на финансови инструменти сред завършващите висшето си образование професионалисти</w:t>
      </w:r>
      <w:r w:rsidR="00541757" w:rsidRPr="000B697A">
        <w:rPr>
          <w:rFonts w:cs="Calibri"/>
          <w:lang w:val="bg-BG"/>
        </w:rPr>
        <w:t>.</w:t>
      </w:r>
    </w:p>
    <w:p w:rsidR="00E22764" w:rsidRPr="000B697A" w:rsidRDefault="00E22764" w:rsidP="00A46753">
      <w:pPr>
        <w:pStyle w:val="Mainnumbers"/>
        <w:outlineLvl w:val="0"/>
        <w:rPr>
          <w:rFonts w:cs="Calibri"/>
          <w:lang w:val="bg-BG"/>
        </w:rPr>
      </w:pPr>
      <w:bookmarkStart w:id="151" w:name="_Toc6923281"/>
      <w:r w:rsidRPr="000B697A">
        <w:rPr>
          <w:rFonts w:cs="Calibri"/>
          <w:lang w:val="bg-BG"/>
        </w:rPr>
        <w:t>НАУЧНО ИЗСЛЕДОВАТЕЛСКА И РАЗВОЙНА ДЕЙНОСТ</w:t>
      </w:r>
      <w:bookmarkEnd w:id="151"/>
    </w:p>
    <w:p w:rsidR="00541757" w:rsidRPr="000B697A" w:rsidRDefault="00E22764" w:rsidP="00492DF1">
      <w:pPr>
        <w:rPr>
          <w:rFonts w:cs="Calibri"/>
        </w:rPr>
      </w:pPr>
      <w:r w:rsidRPr="000B697A">
        <w:rPr>
          <w:rFonts w:cs="Calibri"/>
        </w:rPr>
        <w:t>Дружествата от Група Българска фондова борса не осъществяват научно изследователска и развойна дейност.</w:t>
      </w:r>
    </w:p>
    <w:p w:rsidR="007D0731" w:rsidRPr="000B697A" w:rsidRDefault="00010F33" w:rsidP="00A46753">
      <w:pPr>
        <w:pStyle w:val="Mainnumbers"/>
        <w:outlineLvl w:val="0"/>
        <w:rPr>
          <w:rFonts w:cs="Calibri"/>
          <w:lang w:val="bg-BG"/>
        </w:rPr>
      </w:pPr>
      <w:bookmarkStart w:id="152" w:name="_Toc6923282"/>
      <w:r w:rsidRPr="000B697A">
        <w:rPr>
          <w:rFonts w:cs="Calibri"/>
          <w:lang w:val="bg-BG"/>
        </w:rPr>
        <w:t>ИНФОРМАЦИЯ, ИЗИСКВАНА ПО РЕДА НА ЧЛ. 187Д И 247 ОТ ТЪРГОВСКИЯ ЗАКОН</w:t>
      </w:r>
      <w:bookmarkEnd w:id="152"/>
      <w:r w:rsidRPr="000B697A">
        <w:rPr>
          <w:rFonts w:cs="Calibri"/>
          <w:lang w:val="bg-BG"/>
        </w:rPr>
        <w:t xml:space="preserve"> </w:t>
      </w:r>
    </w:p>
    <w:p w:rsidR="007D0731" w:rsidRPr="000B697A" w:rsidRDefault="00B772DB" w:rsidP="00846D25">
      <w:pPr>
        <w:rPr>
          <w:rFonts w:cs="Calibri"/>
        </w:rPr>
      </w:pPr>
      <w:r w:rsidRPr="000B697A">
        <w:rPr>
          <w:rFonts w:cs="Calibri"/>
        </w:rPr>
        <w:t>През 201</w:t>
      </w:r>
      <w:r w:rsidR="00910AE6">
        <w:rPr>
          <w:rFonts w:cs="Calibri"/>
        </w:rPr>
        <w:t>8</w:t>
      </w:r>
      <w:r w:rsidRPr="000B697A">
        <w:rPr>
          <w:rFonts w:cs="Calibri"/>
        </w:rPr>
        <w:t xml:space="preserve"> г. </w:t>
      </w:r>
      <w:r w:rsidR="001848D4" w:rsidRPr="000B697A">
        <w:rPr>
          <w:rFonts w:cs="Calibri"/>
        </w:rPr>
        <w:t>„</w:t>
      </w:r>
      <w:r w:rsidRPr="000B697A">
        <w:rPr>
          <w:rFonts w:cs="Calibri"/>
        </w:rPr>
        <w:t>Българска фондова борса</w:t>
      </w:r>
      <w:r w:rsidR="001848D4" w:rsidRPr="000B697A">
        <w:rPr>
          <w:rFonts w:cs="Calibri"/>
        </w:rPr>
        <w:t>“</w:t>
      </w:r>
      <w:r w:rsidRPr="000B697A">
        <w:rPr>
          <w:rFonts w:cs="Calibri"/>
        </w:rPr>
        <w:t xml:space="preserve"> АД не е придобивала и прехвърляла собствени акции. През периода акции на дружеството не са придобивани и не се притежават от едно лице за сметка на дружеството, нито от друго дружество, в което </w:t>
      </w:r>
      <w:r w:rsidR="001848D4" w:rsidRPr="000B697A">
        <w:rPr>
          <w:rFonts w:cs="Calibri"/>
        </w:rPr>
        <w:t>„</w:t>
      </w:r>
      <w:r w:rsidR="00910AE6">
        <w:rPr>
          <w:rFonts w:cs="Calibri"/>
        </w:rPr>
        <w:t>БФБ</w:t>
      </w:r>
      <w:r w:rsidR="001848D4" w:rsidRPr="000B697A">
        <w:rPr>
          <w:rFonts w:cs="Calibri"/>
        </w:rPr>
        <w:t>“</w:t>
      </w:r>
      <w:r w:rsidRPr="000B697A">
        <w:rPr>
          <w:rFonts w:cs="Calibri"/>
        </w:rPr>
        <w:t xml:space="preserve"> АД пряко или непряко притежава мнозинство от правото на глас или върху което може пряко или непряко да упражнява контрол. </w:t>
      </w:r>
      <w:r w:rsidR="001848D4" w:rsidRPr="000B697A">
        <w:rPr>
          <w:rFonts w:cs="Calibri"/>
        </w:rPr>
        <w:t>„</w:t>
      </w:r>
      <w:r w:rsidR="00910AE6">
        <w:rPr>
          <w:rFonts w:cs="Calibri"/>
        </w:rPr>
        <w:t>БФБ</w:t>
      </w:r>
      <w:r w:rsidR="001848D4" w:rsidRPr="000B697A">
        <w:rPr>
          <w:rFonts w:cs="Calibri"/>
        </w:rPr>
        <w:t>“</w:t>
      </w:r>
      <w:r w:rsidRPr="000B697A">
        <w:rPr>
          <w:rFonts w:cs="Calibri"/>
        </w:rPr>
        <w:t xml:space="preserve"> АД не е приемала собствени акции или акции на друго дружество в залог</w:t>
      </w:r>
      <w:r w:rsidR="00010F33" w:rsidRPr="000B697A">
        <w:rPr>
          <w:rFonts w:cs="Calibri"/>
        </w:rPr>
        <w:t>.</w:t>
      </w:r>
    </w:p>
    <w:p w:rsidR="007D0731" w:rsidRPr="000B697A" w:rsidRDefault="00010F33" w:rsidP="0016443B">
      <w:pPr>
        <w:pStyle w:val="SubNumbers"/>
        <w:rPr>
          <w:rFonts w:cs="Calibri"/>
        </w:rPr>
      </w:pPr>
      <w:bookmarkStart w:id="153" w:name="_Toc6923283"/>
      <w:r w:rsidRPr="000B697A">
        <w:rPr>
          <w:rFonts w:cs="Calibri"/>
        </w:rPr>
        <w:t>Информация за членовете на съвета на ди</w:t>
      </w:r>
      <w:r w:rsidR="0085588B">
        <w:rPr>
          <w:rFonts w:cs="Calibri"/>
        </w:rPr>
        <w:t>ректорите на БФБ</w:t>
      </w:r>
      <w:r w:rsidRPr="000B697A">
        <w:rPr>
          <w:rFonts w:cs="Calibri"/>
        </w:rPr>
        <w:t xml:space="preserve"> АД по чл. 247, ал. 2 от Търговския закон</w:t>
      </w:r>
      <w:bookmarkEnd w:id="153"/>
    </w:p>
    <w:p w:rsidR="006A541D" w:rsidRPr="000B697A" w:rsidRDefault="006A541D" w:rsidP="00492DF1">
      <w:pPr>
        <w:widowControl w:val="0"/>
        <w:tabs>
          <w:tab w:val="left" w:pos="720"/>
        </w:tabs>
        <w:rPr>
          <w:rFonts w:cs="Calibri"/>
          <w:szCs w:val="18"/>
        </w:rPr>
      </w:pPr>
      <w:r w:rsidRPr="000B697A">
        <w:rPr>
          <w:rFonts w:cs="Calibri"/>
          <w:szCs w:val="18"/>
        </w:rPr>
        <w:t>Заплатите и другите краткосрочни доходи на ключовия управленски персонал за 201</w:t>
      </w:r>
      <w:r w:rsidR="0085588B">
        <w:rPr>
          <w:rFonts w:cs="Calibri"/>
          <w:szCs w:val="18"/>
        </w:rPr>
        <w:t>8</w:t>
      </w:r>
      <w:r w:rsidRPr="000B697A">
        <w:rPr>
          <w:rFonts w:cs="Calibri"/>
          <w:szCs w:val="18"/>
        </w:rPr>
        <w:t xml:space="preserve"> г. възлизат на </w:t>
      </w:r>
      <w:r w:rsidR="0061671C" w:rsidRPr="00137A68">
        <w:rPr>
          <w:rFonts w:cs="Calibri"/>
          <w:szCs w:val="18"/>
          <w:lang w:val="en-US"/>
        </w:rPr>
        <w:t>490</w:t>
      </w:r>
      <w:r w:rsidRPr="000B697A">
        <w:rPr>
          <w:rFonts w:cs="Calibri"/>
          <w:szCs w:val="18"/>
        </w:rPr>
        <w:t xml:space="preserve"> </w:t>
      </w:r>
      <w:proofErr w:type="spellStart"/>
      <w:r w:rsidRPr="000B697A">
        <w:rPr>
          <w:rFonts w:cs="Calibri"/>
          <w:szCs w:val="18"/>
        </w:rPr>
        <w:t>х.лв</w:t>
      </w:r>
      <w:proofErr w:type="spellEnd"/>
      <w:r w:rsidRPr="000B697A">
        <w:rPr>
          <w:rFonts w:cs="Calibri"/>
          <w:szCs w:val="18"/>
        </w:rPr>
        <w:t>. (201</w:t>
      </w:r>
      <w:r w:rsidR="0085588B">
        <w:rPr>
          <w:rFonts w:cs="Calibri"/>
          <w:szCs w:val="18"/>
        </w:rPr>
        <w:t>7</w:t>
      </w:r>
      <w:r w:rsidRPr="000B697A">
        <w:rPr>
          <w:rFonts w:cs="Calibri"/>
          <w:szCs w:val="18"/>
        </w:rPr>
        <w:t xml:space="preserve"> г.: </w:t>
      </w:r>
      <w:r w:rsidR="0085588B">
        <w:rPr>
          <w:rFonts w:cs="Calibri"/>
          <w:szCs w:val="18"/>
        </w:rPr>
        <w:t>396</w:t>
      </w:r>
      <w:r w:rsidRPr="000B697A">
        <w:rPr>
          <w:rFonts w:cs="Calibri"/>
          <w:szCs w:val="18"/>
        </w:rPr>
        <w:t xml:space="preserve"> </w:t>
      </w:r>
      <w:proofErr w:type="spellStart"/>
      <w:r w:rsidRPr="000B697A">
        <w:rPr>
          <w:rFonts w:cs="Calibri"/>
          <w:szCs w:val="18"/>
        </w:rPr>
        <w:t>х.лв</w:t>
      </w:r>
      <w:proofErr w:type="spellEnd"/>
      <w:r w:rsidRPr="000B697A">
        <w:rPr>
          <w:rFonts w:cs="Calibri"/>
          <w:szCs w:val="18"/>
        </w:rPr>
        <w:t>.)</w:t>
      </w:r>
    </w:p>
    <w:p w:rsidR="00B772DB" w:rsidRPr="000B697A" w:rsidRDefault="00B772DB" w:rsidP="00492DF1">
      <w:pPr>
        <w:widowControl w:val="0"/>
        <w:rPr>
          <w:rFonts w:cs="Calibri"/>
          <w:sz w:val="20"/>
          <w:szCs w:val="20"/>
        </w:rPr>
      </w:pPr>
    </w:p>
    <w:p w:rsidR="00B772DB" w:rsidRPr="000B697A" w:rsidRDefault="00B772DB" w:rsidP="00492DF1">
      <w:pPr>
        <w:widowControl w:val="0"/>
        <w:rPr>
          <w:rFonts w:cs="Calibri"/>
        </w:rPr>
      </w:pPr>
      <w:r w:rsidRPr="000B697A">
        <w:rPr>
          <w:rFonts w:cs="Calibri"/>
        </w:rPr>
        <w:t>Придобити, притежавани и прехвърлени акции от членове на СД през 201</w:t>
      </w:r>
      <w:r w:rsidR="0085588B">
        <w:rPr>
          <w:rFonts w:cs="Calibri"/>
        </w:rPr>
        <w:t>8</w:t>
      </w:r>
      <w:r w:rsidR="001848D4" w:rsidRPr="000B697A">
        <w:rPr>
          <w:rFonts w:cs="Calibri"/>
        </w:rPr>
        <w:t xml:space="preserve"> г.</w:t>
      </w:r>
      <w:r w:rsidR="00100052" w:rsidRPr="000B697A">
        <w:rPr>
          <w:rFonts w:cs="Calibri"/>
        </w:rPr>
        <w:t>: няма.</w:t>
      </w:r>
    </w:p>
    <w:p w:rsidR="00B772DB" w:rsidRPr="000B697A" w:rsidRDefault="00B772DB" w:rsidP="00492DF1">
      <w:pPr>
        <w:widowControl w:val="0"/>
        <w:ind w:firstLine="709"/>
        <w:rPr>
          <w:rFonts w:cs="Calibri"/>
          <w:sz w:val="20"/>
          <w:szCs w:val="20"/>
        </w:rPr>
      </w:pPr>
    </w:p>
    <w:p w:rsidR="00B772DB" w:rsidRPr="000B697A" w:rsidRDefault="00B772DB" w:rsidP="00492DF1">
      <w:pPr>
        <w:widowControl w:val="0"/>
        <w:rPr>
          <w:rFonts w:cs="Calibri"/>
        </w:rPr>
      </w:pPr>
      <w:r w:rsidRPr="000B697A">
        <w:rPr>
          <w:rFonts w:cs="Calibri"/>
        </w:rPr>
        <w:lastRenderedPageBreak/>
        <w:t>Права на членовете на СД да придоб</w:t>
      </w:r>
      <w:r w:rsidR="0085588B">
        <w:rPr>
          <w:rFonts w:cs="Calibri"/>
        </w:rPr>
        <w:t>иват акции или облигации на БФБ</w:t>
      </w:r>
      <w:r w:rsidRPr="000B697A">
        <w:rPr>
          <w:rFonts w:cs="Calibri"/>
        </w:rPr>
        <w:t>: няма</w:t>
      </w:r>
      <w:r w:rsidR="00100052" w:rsidRPr="000B697A">
        <w:rPr>
          <w:rFonts w:cs="Calibri"/>
        </w:rPr>
        <w:t>.</w:t>
      </w:r>
    </w:p>
    <w:p w:rsidR="00B772DB" w:rsidRPr="000B697A" w:rsidRDefault="00B772DB" w:rsidP="00492DF1">
      <w:pPr>
        <w:widowControl w:val="0"/>
        <w:ind w:firstLine="709"/>
        <w:rPr>
          <w:rFonts w:cs="Calibri"/>
        </w:rPr>
      </w:pPr>
    </w:p>
    <w:p w:rsidR="00B772DB" w:rsidRPr="000B697A" w:rsidRDefault="00B772DB" w:rsidP="00492DF1">
      <w:pPr>
        <w:widowControl w:val="0"/>
        <w:rPr>
          <w:rFonts w:cs="Calibri"/>
        </w:rPr>
      </w:pPr>
      <w:r w:rsidRPr="000B697A">
        <w:rPr>
          <w:rFonts w:cs="Calibri"/>
        </w:rPr>
        <w:t>Участия на членове на СД в търговски дружества като неограничено отговорни съдружници: няма.</w:t>
      </w:r>
    </w:p>
    <w:p w:rsidR="00B772DB" w:rsidRPr="000B697A" w:rsidRDefault="00B772DB" w:rsidP="00492DF1">
      <w:pPr>
        <w:widowControl w:val="0"/>
        <w:ind w:firstLine="709"/>
        <w:rPr>
          <w:rFonts w:cs="Calibri"/>
        </w:rPr>
      </w:pPr>
    </w:p>
    <w:p w:rsidR="00B772DB" w:rsidRPr="000B697A" w:rsidRDefault="00B772DB" w:rsidP="00492DF1">
      <w:pPr>
        <w:widowControl w:val="0"/>
        <w:rPr>
          <w:rFonts w:cs="Calibri"/>
        </w:rPr>
      </w:pPr>
      <w:r w:rsidRPr="000B697A">
        <w:rPr>
          <w:rFonts w:cs="Calibri"/>
        </w:rPr>
        <w:t xml:space="preserve">Притежаване на над 25 на сто от капитала на друго дружество от членовете на СД: </w:t>
      </w:r>
    </w:p>
    <w:p w:rsidR="006F184F" w:rsidRPr="000B697A" w:rsidRDefault="00100052" w:rsidP="006F184F">
      <w:pPr>
        <w:rPr>
          <w:rFonts w:cs="Calibri"/>
        </w:rPr>
      </w:pPr>
      <w:r w:rsidRPr="000B697A">
        <w:rPr>
          <w:rFonts w:cs="Calibri"/>
        </w:rPr>
        <w:t xml:space="preserve">„Бенчмарк груп“ АД, „Бенчмарк </w:t>
      </w:r>
      <w:proofErr w:type="spellStart"/>
      <w:r w:rsidRPr="000B697A">
        <w:rPr>
          <w:rFonts w:cs="Calibri"/>
        </w:rPr>
        <w:t>финанас</w:t>
      </w:r>
      <w:proofErr w:type="spellEnd"/>
      <w:r w:rsidRPr="000B697A">
        <w:rPr>
          <w:rFonts w:cs="Calibri"/>
        </w:rPr>
        <w:t xml:space="preserve">“ АД, „Бенчмарк </w:t>
      </w:r>
      <w:proofErr w:type="spellStart"/>
      <w:r w:rsidRPr="000B697A">
        <w:rPr>
          <w:rFonts w:cs="Calibri"/>
        </w:rPr>
        <w:t>финанс</w:t>
      </w:r>
      <w:proofErr w:type="spellEnd"/>
      <w:r w:rsidRPr="000B697A">
        <w:rPr>
          <w:rFonts w:cs="Calibri"/>
        </w:rPr>
        <w:t>“ ЛТД, „ЛПБ Инвестиции“ ООД, „ЛНБ Трейдинг“ ЕООД</w:t>
      </w:r>
    </w:p>
    <w:p w:rsidR="00B772DB" w:rsidRPr="000B697A" w:rsidRDefault="00B772DB" w:rsidP="00492DF1">
      <w:pPr>
        <w:ind w:firstLine="709"/>
        <w:rPr>
          <w:rFonts w:cs="Calibri"/>
        </w:rPr>
      </w:pPr>
    </w:p>
    <w:p w:rsidR="00B772DB" w:rsidRPr="000B697A" w:rsidRDefault="00B772DB" w:rsidP="00492DF1">
      <w:pPr>
        <w:widowControl w:val="0"/>
        <w:rPr>
          <w:rFonts w:cs="Calibri"/>
        </w:rPr>
      </w:pPr>
      <w:r w:rsidRPr="000B697A">
        <w:rPr>
          <w:rFonts w:cs="Calibri"/>
        </w:rPr>
        <w:t xml:space="preserve">Участия на членове на СД в управлението на други дружества или кооперации като прокуристи, управители или членове на УС, СД и НС </w:t>
      </w:r>
    </w:p>
    <w:tbl>
      <w:tblPr>
        <w:tblW w:w="0" w:type="auto"/>
        <w:tblLook w:val="04A0" w:firstRow="1" w:lastRow="0" w:firstColumn="1" w:lastColumn="0" w:noHBand="0" w:noVBand="1"/>
      </w:tblPr>
      <w:tblGrid>
        <w:gridCol w:w="2518"/>
        <w:gridCol w:w="142"/>
        <w:gridCol w:w="6946"/>
        <w:gridCol w:w="142"/>
      </w:tblGrid>
      <w:tr w:rsidR="00100052" w:rsidRPr="000B697A" w:rsidTr="0045294E">
        <w:trPr>
          <w:gridAfter w:val="1"/>
          <w:wAfter w:w="142" w:type="dxa"/>
        </w:trPr>
        <w:tc>
          <w:tcPr>
            <w:tcW w:w="2518" w:type="dxa"/>
          </w:tcPr>
          <w:p w:rsidR="00100052" w:rsidRPr="000B697A" w:rsidRDefault="00100052" w:rsidP="0045294E">
            <w:pPr>
              <w:rPr>
                <w:rFonts w:cs="Calibri"/>
              </w:rPr>
            </w:pPr>
            <w:r w:rsidRPr="000B697A">
              <w:rPr>
                <w:rFonts w:cs="Calibri"/>
              </w:rPr>
              <w:t xml:space="preserve">Асен Ягодин </w:t>
            </w:r>
          </w:p>
        </w:tc>
        <w:tc>
          <w:tcPr>
            <w:tcW w:w="7088" w:type="dxa"/>
            <w:gridSpan w:val="2"/>
          </w:tcPr>
          <w:p w:rsidR="00100052" w:rsidRPr="000B697A" w:rsidRDefault="00100052" w:rsidP="0045294E">
            <w:pPr>
              <w:rPr>
                <w:rFonts w:cs="Calibri"/>
              </w:rPr>
            </w:pPr>
            <w:r w:rsidRPr="000B697A">
              <w:rPr>
                <w:rFonts w:cs="Calibri"/>
              </w:rPr>
              <w:t>Изпълнителен директор на „Юробанк България“ АД, член на Надзорния съвет на „Булстрад Живот Виена Иншурънс Груп“</w:t>
            </w:r>
          </w:p>
        </w:tc>
      </w:tr>
      <w:tr w:rsidR="00100052" w:rsidRPr="000B697A" w:rsidTr="0045294E">
        <w:trPr>
          <w:gridAfter w:val="1"/>
          <w:wAfter w:w="142" w:type="dxa"/>
        </w:trPr>
        <w:tc>
          <w:tcPr>
            <w:tcW w:w="2518" w:type="dxa"/>
          </w:tcPr>
          <w:p w:rsidR="00100052" w:rsidRPr="000B697A" w:rsidRDefault="00100052" w:rsidP="0045294E">
            <w:pPr>
              <w:rPr>
                <w:rFonts w:cs="Calibri"/>
              </w:rPr>
            </w:pPr>
            <w:r w:rsidRPr="000B697A">
              <w:rPr>
                <w:rFonts w:cs="Calibri"/>
              </w:rPr>
              <w:t>Иван Такев</w:t>
            </w:r>
          </w:p>
        </w:tc>
        <w:tc>
          <w:tcPr>
            <w:tcW w:w="7088" w:type="dxa"/>
            <w:gridSpan w:val="2"/>
          </w:tcPr>
          <w:p w:rsidR="00100052" w:rsidRPr="000B697A" w:rsidRDefault="00100052" w:rsidP="0045294E">
            <w:pPr>
              <w:rPr>
                <w:rFonts w:cs="Calibri"/>
              </w:rPr>
            </w:pPr>
            <w:r w:rsidRPr="000B697A">
              <w:rPr>
                <w:rFonts w:cs="Calibri"/>
              </w:rPr>
              <w:t>Член на Съвета на директорите на „Централен Депозитар“ АД, член на СД на „Регистър на енергийните деривати и транзакции“ АД (в ликвидация)</w:t>
            </w:r>
          </w:p>
        </w:tc>
      </w:tr>
      <w:tr w:rsidR="00100052" w:rsidRPr="000B697A" w:rsidTr="0045294E">
        <w:trPr>
          <w:gridAfter w:val="1"/>
          <w:wAfter w:w="142" w:type="dxa"/>
        </w:trPr>
        <w:tc>
          <w:tcPr>
            <w:tcW w:w="2518" w:type="dxa"/>
          </w:tcPr>
          <w:p w:rsidR="00100052" w:rsidRPr="000B697A" w:rsidRDefault="00100052" w:rsidP="0045294E">
            <w:pPr>
              <w:rPr>
                <w:rFonts w:cs="Calibri"/>
              </w:rPr>
            </w:pPr>
            <w:r w:rsidRPr="000B697A">
              <w:rPr>
                <w:rFonts w:cs="Calibri"/>
              </w:rPr>
              <w:t xml:space="preserve">Васил </w:t>
            </w:r>
            <w:proofErr w:type="spellStart"/>
            <w:r w:rsidRPr="000B697A">
              <w:rPr>
                <w:rFonts w:cs="Calibri"/>
              </w:rPr>
              <w:t>Големански</w:t>
            </w:r>
            <w:proofErr w:type="spellEnd"/>
          </w:p>
        </w:tc>
        <w:tc>
          <w:tcPr>
            <w:tcW w:w="7088" w:type="dxa"/>
            <w:gridSpan w:val="2"/>
          </w:tcPr>
          <w:p w:rsidR="00100052" w:rsidRPr="000B697A" w:rsidRDefault="00100052" w:rsidP="0045294E">
            <w:pPr>
              <w:rPr>
                <w:rFonts w:cs="Calibri"/>
              </w:rPr>
            </w:pPr>
            <w:r w:rsidRPr="000B697A">
              <w:rPr>
                <w:rFonts w:cs="Calibri"/>
              </w:rPr>
              <w:t>Член на Съвета на директорите и изпълнителен директор на „Централен Депозитар“ АД, изпълнителен директор на „Регистър на енергийните деривати и транзакции“ АД (в ликвидация)</w:t>
            </w:r>
          </w:p>
        </w:tc>
      </w:tr>
      <w:tr w:rsidR="00100052" w:rsidRPr="000B697A" w:rsidTr="0045294E">
        <w:trPr>
          <w:gridAfter w:val="1"/>
          <w:wAfter w:w="142" w:type="dxa"/>
        </w:trPr>
        <w:tc>
          <w:tcPr>
            <w:tcW w:w="2518" w:type="dxa"/>
          </w:tcPr>
          <w:p w:rsidR="00100052" w:rsidRPr="000B697A" w:rsidRDefault="00100052" w:rsidP="0045294E">
            <w:pPr>
              <w:rPr>
                <w:rFonts w:cs="Calibri"/>
              </w:rPr>
            </w:pPr>
            <w:r w:rsidRPr="000B697A">
              <w:rPr>
                <w:rFonts w:cs="Calibri"/>
              </w:rPr>
              <w:t>Любомир Бояджиев</w:t>
            </w:r>
          </w:p>
        </w:tc>
        <w:tc>
          <w:tcPr>
            <w:tcW w:w="7088" w:type="dxa"/>
            <w:gridSpan w:val="2"/>
          </w:tcPr>
          <w:p w:rsidR="00100052" w:rsidRPr="000B697A" w:rsidRDefault="00100052" w:rsidP="0045294E">
            <w:pPr>
              <w:rPr>
                <w:rFonts w:cs="Calibri"/>
              </w:rPr>
            </w:pPr>
            <w:r w:rsidRPr="000B697A">
              <w:rPr>
                <w:rFonts w:cs="Calibri"/>
              </w:rPr>
              <w:t>Член на СД на „Бенчмарк Груп“ АД, член на СД на „Бенчмарк Кредит“ АД, член на СД на „Бенчмарк Финанс“ АД, управител на „ЛПБ Инвестиции“ ООД, управител на „ЛНБ Трейдинг“ ЕООД</w:t>
            </w:r>
          </w:p>
        </w:tc>
      </w:tr>
      <w:tr w:rsidR="0085588B" w:rsidRPr="00B42B64" w:rsidTr="007E1F11">
        <w:tc>
          <w:tcPr>
            <w:tcW w:w="2660" w:type="dxa"/>
            <w:gridSpan w:val="2"/>
          </w:tcPr>
          <w:p w:rsidR="0085588B" w:rsidRPr="00B42B64" w:rsidRDefault="0085588B" w:rsidP="007E1F11">
            <w:pPr>
              <w:jc w:val="left"/>
              <w:rPr>
                <w:rFonts w:cs="Calibri"/>
              </w:rPr>
            </w:pPr>
            <w:r w:rsidRPr="00B42B64">
              <w:rPr>
                <w:rFonts w:cs="Calibri"/>
              </w:rPr>
              <w:t>Маринела Петрова (</w:t>
            </w:r>
            <w:r>
              <w:rPr>
                <w:rFonts w:cs="Calibri"/>
              </w:rPr>
              <w:t>освободена</w:t>
            </w:r>
            <w:r w:rsidRPr="00B42B64">
              <w:rPr>
                <w:rFonts w:cs="Calibri"/>
              </w:rPr>
              <w:t xml:space="preserve"> </w:t>
            </w:r>
            <w:r>
              <w:rPr>
                <w:rFonts w:cs="Calibri"/>
              </w:rPr>
              <w:t>18</w:t>
            </w:r>
            <w:r w:rsidRPr="00B42B64">
              <w:rPr>
                <w:rFonts w:cs="Calibri"/>
              </w:rPr>
              <w:t>.</w:t>
            </w:r>
            <w:r>
              <w:rPr>
                <w:rFonts w:cs="Calibri"/>
              </w:rPr>
              <w:t>06</w:t>
            </w:r>
            <w:r w:rsidRPr="00B42B64">
              <w:rPr>
                <w:rFonts w:cs="Calibri"/>
              </w:rPr>
              <w:t>.201</w:t>
            </w:r>
            <w:r>
              <w:rPr>
                <w:rFonts w:cs="Calibri"/>
              </w:rPr>
              <w:t>8</w:t>
            </w:r>
            <w:r w:rsidRPr="00B42B64">
              <w:rPr>
                <w:rFonts w:cs="Calibri"/>
              </w:rPr>
              <w:t>)</w:t>
            </w:r>
          </w:p>
        </w:tc>
        <w:tc>
          <w:tcPr>
            <w:tcW w:w="7088" w:type="dxa"/>
            <w:gridSpan w:val="2"/>
          </w:tcPr>
          <w:p w:rsidR="0085588B" w:rsidRPr="00B42B64" w:rsidRDefault="0085588B" w:rsidP="007E1F11">
            <w:pPr>
              <w:rPr>
                <w:rFonts w:cs="Calibri"/>
              </w:rPr>
            </w:pPr>
            <w:r w:rsidRPr="00B42B64">
              <w:rPr>
                <w:rFonts w:cs="Calibri"/>
              </w:rPr>
              <w:t>Няма</w:t>
            </w:r>
          </w:p>
        </w:tc>
      </w:tr>
      <w:tr w:rsidR="0085588B" w:rsidRPr="00B42B64" w:rsidTr="007E1F11">
        <w:tc>
          <w:tcPr>
            <w:tcW w:w="2660" w:type="dxa"/>
            <w:gridSpan w:val="2"/>
          </w:tcPr>
          <w:p w:rsidR="0085588B" w:rsidRPr="00B42B64" w:rsidRDefault="0085588B" w:rsidP="007E1F11">
            <w:pPr>
              <w:jc w:val="left"/>
              <w:rPr>
                <w:rFonts w:cs="Calibri"/>
              </w:rPr>
            </w:pPr>
            <w:r>
              <w:rPr>
                <w:rFonts w:cs="Calibri"/>
              </w:rPr>
              <w:t xml:space="preserve">Христина </w:t>
            </w:r>
            <w:proofErr w:type="spellStart"/>
            <w:r>
              <w:rPr>
                <w:rFonts w:cs="Calibri"/>
              </w:rPr>
              <w:t>Пендичева</w:t>
            </w:r>
            <w:proofErr w:type="spellEnd"/>
            <w:r w:rsidRPr="00B42B64">
              <w:rPr>
                <w:rFonts w:cs="Calibri"/>
              </w:rPr>
              <w:t xml:space="preserve"> (избрана </w:t>
            </w:r>
            <w:r>
              <w:rPr>
                <w:rFonts w:cs="Calibri"/>
              </w:rPr>
              <w:t>18</w:t>
            </w:r>
            <w:r w:rsidRPr="00B42B64">
              <w:rPr>
                <w:rFonts w:cs="Calibri"/>
              </w:rPr>
              <w:t>.</w:t>
            </w:r>
            <w:r>
              <w:rPr>
                <w:rFonts w:cs="Calibri"/>
              </w:rPr>
              <w:t>06</w:t>
            </w:r>
            <w:r w:rsidRPr="00B42B64">
              <w:rPr>
                <w:rFonts w:cs="Calibri"/>
              </w:rPr>
              <w:t>.201</w:t>
            </w:r>
            <w:r>
              <w:rPr>
                <w:rFonts w:cs="Calibri"/>
              </w:rPr>
              <w:t>8</w:t>
            </w:r>
            <w:r w:rsidRPr="00B42B64">
              <w:rPr>
                <w:rFonts w:cs="Calibri"/>
              </w:rPr>
              <w:t>)</w:t>
            </w:r>
          </w:p>
        </w:tc>
        <w:tc>
          <w:tcPr>
            <w:tcW w:w="7088" w:type="dxa"/>
            <w:gridSpan w:val="2"/>
          </w:tcPr>
          <w:p w:rsidR="0085588B" w:rsidRPr="00B42B64" w:rsidRDefault="0085588B" w:rsidP="007E1F11">
            <w:pPr>
              <w:rPr>
                <w:rFonts w:cs="Calibri"/>
              </w:rPr>
            </w:pPr>
            <w:r w:rsidRPr="00B42B64">
              <w:rPr>
                <w:rFonts w:cs="Calibri"/>
              </w:rPr>
              <w:t>Няма</w:t>
            </w:r>
          </w:p>
        </w:tc>
      </w:tr>
    </w:tbl>
    <w:p w:rsidR="00B772DB" w:rsidRPr="000B697A" w:rsidRDefault="00B772DB" w:rsidP="00B772DB">
      <w:pPr>
        <w:widowControl w:val="0"/>
        <w:rPr>
          <w:rFonts w:cs="Calibri"/>
          <w:sz w:val="20"/>
          <w:szCs w:val="20"/>
        </w:rPr>
      </w:pPr>
    </w:p>
    <w:p w:rsidR="008A5369" w:rsidRPr="000B697A" w:rsidRDefault="00B772DB" w:rsidP="008A5369">
      <w:pPr>
        <w:rPr>
          <w:rFonts w:cs="Calibri"/>
        </w:rPr>
      </w:pPr>
      <w:r w:rsidRPr="000B697A">
        <w:rPr>
          <w:rFonts w:cs="Calibri"/>
        </w:rPr>
        <w:t>Договори, сключени от членове на СД или свързани с тях лица по чл. 240б от ТЗ: няма</w:t>
      </w:r>
      <w:r w:rsidR="00BB78BD" w:rsidRPr="000B697A">
        <w:rPr>
          <w:rFonts w:cs="Calibri"/>
        </w:rPr>
        <w:t>.</w:t>
      </w:r>
    </w:p>
    <w:p w:rsidR="007D0731" w:rsidRPr="000B697A" w:rsidRDefault="00010F33" w:rsidP="0016443B">
      <w:pPr>
        <w:pStyle w:val="SubNumbers"/>
        <w:rPr>
          <w:rFonts w:cs="Calibri"/>
        </w:rPr>
      </w:pPr>
      <w:bookmarkStart w:id="154" w:name="_Toc6923284"/>
      <w:r w:rsidRPr="000B697A">
        <w:rPr>
          <w:rFonts w:cs="Calibri"/>
        </w:rPr>
        <w:t>Планир</w:t>
      </w:r>
      <w:r w:rsidR="00023314" w:rsidRPr="000B697A">
        <w:rPr>
          <w:rFonts w:cs="Calibri"/>
        </w:rPr>
        <w:t xml:space="preserve">ана стопанска политика </w:t>
      </w:r>
      <w:r w:rsidR="009D61D0" w:rsidRPr="000B697A">
        <w:rPr>
          <w:rFonts w:cs="Calibri"/>
        </w:rPr>
        <w:t xml:space="preserve">на групата </w:t>
      </w:r>
      <w:r w:rsidR="00023314" w:rsidRPr="000B697A">
        <w:rPr>
          <w:rFonts w:cs="Calibri"/>
        </w:rPr>
        <w:t>през 201</w:t>
      </w:r>
      <w:r w:rsidR="0085588B">
        <w:rPr>
          <w:rFonts w:cs="Calibri"/>
        </w:rPr>
        <w:t>9</w:t>
      </w:r>
      <w:r w:rsidRPr="000B697A">
        <w:rPr>
          <w:rFonts w:cs="Calibri"/>
        </w:rPr>
        <w:t xml:space="preserve"> година и очаквани инвестиции и развитие на персонала</w:t>
      </w:r>
      <w:bookmarkEnd w:id="154"/>
    </w:p>
    <w:p w:rsidR="00100052" w:rsidRPr="000B697A" w:rsidRDefault="00100052" w:rsidP="00100052">
      <w:pPr>
        <w:rPr>
          <w:rFonts w:cs="Calibri"/>
        </w:rPr>
      </w:pPr>
      <w:r w:rsidRPr="000B697A">
        <w:rPr>
          <w:rFonts w:cs="Calibri"/>
        </w:rPr>
        <w:t>През 2018 г. не се планират промени в прилаганата стопанска политика от ръководството на „БФБ“ АД. През годината не се очаква осъществяването на действия, свързани с промени по отношение прилаганата политика по развитието на персонала.</w:t>
      </w:r>
    </w:p>
    <w:p w:rsidR="007D0731" w:rsidRPr="000B697A" w:rsidRDefault="00010F33" w:rsidP="00A46753">
      <w:pPr>
        <w:pStyle w:val="Mainnumbers"/>
        <w:outlineLvl w:val="0"/>
        <w:rPr>
          <w:rFonts w:cs="Calibri"/>
          <w:lang w:val="bg-BG"/>
        </w:rPr>
      </w:pPr>
      <w:bookmarkStart w:id="155" w:name="_Toc6923285"/>
      <w:r w:rsidRPr="000B697A">
        <w:rPr>
          <w:rFonts w:cs="Calibri"/>
          <w:lang w:val="bg-BG"/>
        </w:rPr>
        <w:t xml:space="preserve">КЛОНОВЕ НА </w:t>
      </w:r>
      <w:r w:rsidR="00492DF1" w:rsidRPr="000B697A">
        <w:rPr>
          <w:rFonts w:cs="Calibri"/>
          <w:lang w:val="bg-BG"/>
        </w:rPr>
        <w:t xml:space="preserve">ГРУПА </w:t>
      </w:r>
      <w:r w:rsidR="0085588B">
        <w:rPr>
          <w:rFonts w:cs="Calibri"/>
        </w:rPr>
        <w:t>БЪЛГАРСКА ФОНДОВА БОРСА</w:t>
      </w:r>
      <w:r w:rsidR="0085588B" w:rsidRPr="000B697A">
        <w:rPr>
          <w:rFonts w:cs="Calibri"/>
          <w:lang w:val="bg-BG"/>
        </w:rPr>
        <w:t xml:space="preserve"> </w:t>
      </w:r>
      <w:r w:rsidRPr="000B697A">
        <w:rPr>
          <w:rFonts w:cs="Calibri"/>
          <w:lang w:val="bg-BG"/>
        </w:rPr>
        <w:t>АД</w:t>
      </w:r>
      <w:bookmarkEnd w:id="155"/>
      <w:r w:rsidRPr="000B697A">
        <w:rPr>
          <w:rFonts w:cs="Calibri"/>
          <w:lang w:val="bg-BG"/>
        </w:rPr>
        <w:t xml:space="preserve"> </w:t>
      </w:r>
    </w:p>
    <w:p w:rsidR="00147CB4" w:rsidRDefault="00492DF1" w:rsidP="00492DF1">
      <w:pPr>
        <w:rPr>
          <w:rFonts w:cs="Calibri"/>
        </w:rPr>
      </w:pPr>
      <w:r w:rsidRPr="000B697A">
        <w:rPr>
          <w:rFonts w:cs="Calibri"/>
        </w:rPr>
        <w:t xml:space="preserve">Дружествата от </w:t>
      </w:r>
      <w:r w:rsidR="00D64254" w:rsidRPr="000B697A">
        <w:rPr>
          <w:rFonts w:cs="Calibri"/>
        </w:rPr>
        <w:t xml:space="preserve">Групата </w:t>
      </w:r>
      <w:r w:rsidR="00010F33" w:rsidRPr="000B697A">
        <w:rPr>
          <w:rFonts w:cs="Calibri"/>
        </w:rPr>
        <w:t>нямат регистриран</w:t>
      </w:r>
      <w:r w:rsidR="00AF7CCF" w:rsidRPr="000B697A">
        <w:rPr>
          <w:rFonts w:cs="Calibri"/>
        </w:rPr>
        <w:t>и клонове в страната и чужбина.</w:t>
      </w:r>
    </w:p>
    <w:p w:rsidR="00147CB4" w:rsidRDefault="00147CB4">
      <w:pPr>
        <w:spacing w:line="240" w:lineRule="auto"/>
        <w:jc w:val="left"/>
        <w:rPr>
          <w:rFonts w:cs="Calibri"/>
        </w:rPr>
      </w:pPr>
      <w:r>
        <w:rPr>
          <w:rFonts w:cs="Calibri"/>
        </w:rPr>
        <w:br w:type="page"/>
      </w:r>
    </w:p>
    <w:p w:rsidR="007D0731" w:rsidRPr="000B697A" w:rsidRDefault="00010F33" w:rsidP="00A46753">
      <w:pPr>
        <w:pStyle w:val="Mainnumbers"/>
        <w:outlineLvl w:val="0"/>
        <w:rPr>
          <w:rFonts w:cs="Calibri"/>
          <w:lang w:val="bg-BG"/>
        </w:rPr>
      </w:pPr>
      <w:bookmarkStart w:id="156" w:name="_Toc6923286"/>
      <w:r w:rsidRPr="000B697A">
        <w:rPr>
          <w:rFonts w:cs="Calibri"/>
          <w:lang w:val="bg-BG"/>
        </w:rPr>
        <w:lastRenderedPageBreak/>
        <w:t>ФИНАНСОВИ ИНСТРУМЕНТИ, ИЗПОЛЗВАНИ ОТ ГРУПА БЪЛГАРСКА ФОНДОВА БОРСА</w:t>
      </w:r>
      <w:bookmarkEnd w:id="156"/>
    </w:p>
    <w:p w:rsidR="00BB78BD" w:rsidRPr="000B697A" w:rsidRDefault="00003BFE" w:rsidP="00492DF1">
      <w:pPr>
        <w:rPr>
          <w:rFonts w:cs="Calibri"/>
        </w:rPr>
      </w:pPr>
      <w:r w:rsidRPr="000B697A">
        <w:rPr>
          <w:rFonts w:cs="Calibri"/>
        </w:rPr>
        <w:t xml:space="preserve">Дългосрочна политика на </w:t>
      </w:r>
      <w:r w:rsidR="006F184F" w:rsidRPr="000B697A">
        <w:rPr>
          <w:rFonts w:cs="Calibri"/>
        </w:rPr>
        <w:t xml:space="preserve">Група </w:t>
      </w:r>
      <w:r w:rsidRPr="000B697A">
        <w:rPr>
          <w:rFonts w:cs="Calibri"/>
        </w:rPr>
        <w:t>БФБ</w:t>
      </w:r>
      <w:r w:rsidR="00561F11">
        <w:rPr>
          <w:rFonts w:cs="Calibri"/>
        </w:rPr>
        <w:t xml:space="preserve"> АД</w:t>
      </w:r>
      <w:r w:rsidRPr="000B697A">
        <w:rPr>
          <w:rFonts w:cs="Calibri"/>
        </w:rPr>
        <w:t xml:space="preserve"> по отношение управлението на свободните средства на дружеството е инвестирането им във финансови инструменти. Информация относно инвестициите на </w:t>
      </w:r>
      <w:r w:rsidR="001848D4" w:rsidRPr="000B697A">
        <w:rPr>
          <w:rFonts w:cs="Calibri"/>
        </w:rPr>
        <w:t>„</w:t>
      </w:r>
      <w:r w:rsidRPr="000B697A">
        <w:rPr>
          <w:rFonts w:cs="Calibri"/>
        </w:rPr>
        <w:t>БФБ</w:t>
      </w:r>
      <w:r w:rsidR="001848D4" w:rsidRPr="000B697A">
        <w:rPr>
          <w:rFonts w:cs="Calibri"/>
        </w:rPr>
        <w:t>“</w:t>
      </w:r>
      <w:r w:rsidRPr="000B697A">
        <w:rPr>
          <w:rFonts w:cs="Calibri"/>
        </w:rPr>
        <w:t xml:space="preserve"> АД към 31.12.201</w:t>
      </w:r>
      <w:r w:rsidR="00100052" w:rsidRPr="000B697A">
        <w:rPr>
          <w:rFonts w:cs="Calibri"/>
        </w:rPr>
        <w:t>7</w:t>
      </w:r>
      <w:r w:rsidR="001848D4" w:rsidRPr="000B697A">
        <w:rPr>
          <w:rFonts w:cs="Calibri"/>
        </w:rPr>
        <w:t xml:space="preserve"> г. може да бъде намерена в т. </w:t>
      </w:r>
      <w:r w:rsidR="00004CA5">
        <w:fldChar w:fldCharType="begin"/>
      </w:r>
      <w:r w:rsidR="00004CA5">
        <w:instrText xml:space="preserve"> REF _Ref448932438 \r \h  \* MERGEFORMAT </w:instrText>
      </w:r>
      <w:r w:rsidR="00004CA5">
        <w:fldChar w:fldCharType="separate"/>
      </w:r>
      <w:r w:rsidR="00AA0D62" w:rsidRPr="00AA0D62">
        <w:rPr>
          <w:rFonts w:cs="Calibri"/>
        </w:rPr>
        <w:t>3.8</w:t>
      </w:r>
      <w:r w:rsidR="00004CA5">
        <w:fldChar w:fldCharType="end"/>
      </w:r>
      <w:r w:rsidR="00100052" w:rsidRPr="000B697A">
        <w:rPr>
          <w:rFonts w:cs="Calibri"/>
        </w:rPr>
        <w:t xml:space="preserve"> </w:t>
      </w:r>
      <w:r w:rsidRPr="000B697A">
        <w:rPr>
          <w:rFonts w:cs="Calibri"/>
        </w:rPr>
        <w:t>от настоящия Доклад. Информация относно целите и политиката на Дружеството</w:t>
      </w:r>
      <w:r w:rsidR="00D64254" w:rsidRPr="000B697A">
        <w:rPr>
          <w:rFonts w:cs="Calibri"/>
        </w:rPr>
        <w:t>-майка</w:t>
      </w:r>
      <w:r w:rsidRPr="000B697A">
        <w:rPr>
          <w:rFonts w:cs="Calibri"/>
        </w:rPr>
        <w:t xml:space="preserve"> по управление на финансовия риск е представена в т.</w:t>
      </w:r>
      <w:r w:rsidR="001848D4" w:rsidRPr="000B697A">
        <w:rPr>
          <w:rFonts w:cs="Calibri"/>
        </w:rPr>
        <w:t xml:space="preserve"> </w:t>
      </w:r>
      <w:r w:rsidR="00004CA5">
        <w:fldChar w:fldCharType="begin"/>
      </w:r>
      <w:r w:rsidR="00004CA5">
        <w:instrText xml:space="preserve"> REF _Ref511826028 \r \h  \* MERGEFORMAT </w:instrText>
      </w:r>
      <w:r w:rsidR="00004CA5">
        <w:fldChar w:fldCharType="separate"/>
      </w:r>
      <w:r w:rsidR="00AA0D62" w:rsidRPr="00AA0D62">
        <w:rPr>
          <w:rFonts w:cs="Calibri"/>
        </w:rPr>
        <w:t>3.13</w:t>
      </w:r>
      <w:r w:rsidR="00004CA5">
        <w:fldChar w:fldCharType="end"/>
      </w:r>
      <w:r w:rsidR="00100052" w:rsidRPr="000B697A">
        <w:rPr>
          <w:rFonts w:cs="Calibri"/>
        </w:rPr>
        <w:t xml:space="preserve"> </w:t>
      </w:r>
      <w:r w:rsidRPr="000B697A">
        <w:rPr>
          <w:rFonts w:cs="Calibri"/>
        </w:rPr>
        <w:t>от настоящия документ.</w:t>
      </w:r>
    </w:p>
    <w:p w:rsidR="007D0731" w:rsidRPr="000B697A" w:rsidRDefault="00010F33" w:rsidP="0016443B">
      <w:pPr>
        <w:pStyle w:val="SubNumbers"/>
        <w:rPr>
          <w:rFonts w:cs="Calibri"/>
        </w:rPr>
      </w:pPr>
      <w:bookmarkStart w:id="157" w:name="_Toc323038356"/>
      <w:bookmarkStart w:id="158" w:name="_Toc323038357"/>
      <w:bookmarkStart w:id="159" w:name="_Toc323038358"/>
      <w:bookmarkStart w:id="160" w:name="_Toc6923287"/>
      <w:bookmarkEnd w:id="157"/>
      <w:bookmarkEnd w:id="158"/>
      <w:bookmarkEnd w:id="159"/>
      <w:r w:rsidRPr="000B697A">
        <w:rPr>
          <w:rFonts w:cs="Calibri"/>
        </w:rPr>
        <w:t>Риск на лихвоносните парични потоци</w:t>
      </w:r>
      <w:bookmarkEnd w:id="160"/>
    </w:p>
    <w:p w:rsidR="00DF02DC" w:rsidRDefault="006A541D" w:rsidP="00492DF1">
      <w:pPr>
        <w:rPr>
          <w:rFonts w:cs="Calibri"/>
        </w:rPr>
      </w:pPr>
      <w:r w:rsidRPr="000B697A">
        <w:rPr>
          <w:rFonts w:cs="Calibri"/>
          <w:szCs w:val="18"/>
        </w:rPr>
        <w:t xml:space="preserve">Като цяло Групата има значителна част лихвоносни активи. Приходите и оперативните парични потоци са стабилни, предвидими и относително слабо зависими от промените в пазарните лихвени равнища, доколкото основната част от лихвоносните активи са с фиксиран лихвен процент – инвестиции, държани до падеж - облигации (деноминирани в евро), инвестиции на разположение за продажба (държавни ценни книжа в лева и евро) </w:t>
      </w:r>
      <w:r w:rsidRPr="000B697A">
        <w:rPr>
          <w:rFonts w:cs="Calibri"/>
        </w:rPr>
        <w:t>и предоставени срочни депозити в банки (в лева и в евро).</w:t>
      </w:r>
    </w:p>
    <w:p w:rsidR="0085588B" w:rsidRDefault="0085588B" w:rsidP="00492DF1">
      <w:pPr>
        <w:rPr>
          <w:rFonts w:cs="Calibri"/>
        </w:rPr>
      </w:pP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4891"/>
        <w:gridCol w:w="1266"/>
        <w:gridCol w:w="1136"/>
        <w:gridCol w:w="1269"/>
        <w:gridCol w:w="1069"/>
      </w:tblGrid>
      <w:tr w:rsidR="0085588B" w:rsidRPr="0085588B" w:rsidTr="0085588B">
        <w:trPr>
          <w:trHeight w:val="170"/>
          <w:jc w:val="center"/>
        </w:trPr>
        <w:tc>
          <w:tcPr>
            <w:tcW w:w="2538" w:type="pct"/>
            <w:shd w:val="clear" w:color="auto" w:fill="4F81BD" w:themeFill="accent1"/>
            <w:tcMar>
              <w:left w:w="57" w:type="dxa"/>
              <w:right w:w="57" w:type="dxa"/>
            </w:tcMar>
            <w:vAlign w:val="bottom"/>
          </w:tcPr>
          <w:p w:rsidR="0085588B" w:rsidRPr="0085588B" w:rsidRDefault="0085588B" w:rsidP="0085588B">
            <w:pPr>
              <w:pStyle w:val="a5"/>
              <w:rPr>
                <w:rFonts w:ascii="Calibri" w:hAnsi="Calibri" w:cs="Calibri"/>
                <w:color w:val="FFFFFF" w:themeColor="background1"/>
                <w:szCs w:val="18"/>
                <w:lang w:eastAsia="en-US"/>
              </w:rPr>
            </w:pPr>
            <w:r w:rsidRPr="0085588B">
              <w:rPr>
                <w:rFonts w:ascii="Calibri" w:hAnsi="Calibri" w:cs="Calibri"/>
                <w:b/>
                <w:color w:val="FFFFFF" w:themeColor="background1"/>
                <w:szCs w:val="18"/>
              </w:rPr>
              <w:t>31 декември 2018</w:t>
            </w:r>
          </w:p>
        </w:tc>
        <w:tc>
          <w:tcPr>
            <w:tcW w:w="1247" w:type="pct"/>
            <w:gridSpan w:val="2"/>
            <w:shd w:val="clear" w:color="auto" w:fill="4F81BD" w:themeFill="accent1"/>
            <w:tcMar>
              <w:left w:w="57" w:type="dxa"/>
              <w:right w:w="57" w:type="dxa"/>
            </w:tcMar>
          </w:tcPr>
          <w:p w:rsidR="0085588B" w:rsidRPr="0085588B" w:rsidRDefault="0085588B" w:rsidP="0085588B">
            <w:pPr>
              <w:pStyle w:val="a4"/>
              <w:rPr>
                <w:rFonts w:ascii="Calibri" w:hAnsi="Calibri" w:cs="Calibri"/>
                <w:color w:val="FFFFFF" w:themeColor="background1"/>
                <w:szCs w:val="18"/>
              </w:rPr>
            </w:pPr>
            <w:r w:rsidRPr="0085588B">
              <w:rPr>
                <w:rFonts w:ascii="Calibri" w:hAnsi="Calibri" w:cs="Calibri"/>
                <w:color w:val="FFFFFF" w:themeColor="background1"/>
                <w:szCs w:val="18"/>
              </w:rPr>
              <w:t>Лихвени</w:t>
            </w:r>
          </w:p>
        </w:tc>
        <w:tc>
          <w:tcPr>
            <w:tcW w:w="659" w:type="pct"/>
            <w:shd w:val="clear" w:color="auto" w:fill="4F81BD" w:themeFill="accent1"/>
            <w:tcMar>
              <w:left w:w="57" w:type="dxa"/>
              <w:right w:w="57" w:type="dxa"/>
            </w:tcMar>
            <w:vAlign w:val="bottom"/>
          </w:tcPr>
          <w:p w:rsidR="0085588B" w:rsidRPr="0085588B" w:rsidRDefault="0085588B" w:rsidP="0085588B">
            <w:pPr>
              <w:pStyle w:val="a4"/>
              <w:rPr>
                <w:rFonts w:ascii="Calibri" w:hAnsi="Calibri" w:cs="Calibri"/>
                <w:color w:val="FFFFFF" w:themeColor="background1"/>
                <w:szCs w:val="18"/>
              </w:rPr>
            </w:pPr>
            <w:r w:rsidRPr="0085588B">
              <w:rPr>
                <w:rFonts w:ascii="Calibri" w:hAnsi="Calibri" w:cs="Calibri"/>
                <w:color w:val="FFFFFF" w:themeColor="background1"/>
                <w:szCs w:val="18"/>
              </w:rPr>
              <w:t>Нелихвени</w:t>
            </w:r>
          </w:p>
        </w:tc>
        <w:tc>
          <w:tcPr>
            <w:tcW w:w="555" w:type="pct"/>
            <w:shd w:val="clear" w:color="auto" w:fill="4F81BD" w:themeFill="accent1"/>
            <w:noWrap/>
            <w:tcMar>
              <w:left w:w="57" w:type="dxa"/>
              <w:right w:w="57" w:type="dxa"/>
            </w:tcMar>
            <w:vAlign w:val="bottom"/>
          </w:tcPr>
          <w:p w:rsidR="0085588B" w:rsidRPr="0085588B" w:rsidRDefault="0085588B" w:rsidP="0085588B">
            <w:pPr>
              <w:pStyle w:val="a4"/>
              <w:rPr>
                <w:rFonts w:ascii="Calibri" w:hAnsi="Calibri" w:cs="Calibri"/>
                <w:color w:val="FFFFFF" w:themeColor="background1"/>
                <w:szCs w:val="18"/>
              </w:rPr>
            </w:pPr>
            <w:r w:rsidRPr="0085588B">
              <w:rPr>
                <w:rFonts w:ascii="Calibri" w:hAnsi="Calibri" w:cs="Calibri"/>
                <w:color w:val="FFFFFF" w:themeColor="background1"/>
                <w:szCs w:val="18"/>
              </w:rPr>
              <w:t>Общо</w:t>
            </w:r>
          </w:p>
        </w:tc>
      </w:tr>
      <w:tr w:rsidR="0085588B" w:rsidRPr="0085588B" w:rsidTr="0085588B">
        <w:trPr>
          <w:trHeight w:val="170"/>
          <w:jc w:val="center"/>
        </w:trPr>
        <w:tc>
          <w:tcPr>
            <w:tcW w:w="2538" w:type="pct"/>
            <w:shd w:val="clear" w:color="auto" w:fill="4F81BD" w:themeFill="accent1"/>
            <w:tcMar>
              <w:left w:w="57" w:type="dxa"/>
              <w:right w:w="57" w:type="dxa"/>
            </w:tcMar>
            <w:vAlign w:val="bottom"/>
            <w:hideMark/>
          </w:tcPr>
          <w:p w:rsidR="0085588B" w:rsidRPr="0085588B" w:rsidRDefault="0085588B" w:rsidP="0085588B">
            <w:pPr>
              <w:pStyle w:val="a5"/>
              <w:rPr>
                <w:rFonts w:ascii="Calibri" w:hAnsi="Calibri" w:cs="Calibri"/>
                <w:color w:val="FFFFFF" w:themeColor="background1"/>
                <w:szCs w:val="18"/>
              </w:rPr>
            </w:pPr>
          </w:p>
        </w:tc>
        <w:tc>
          <w:tcPr>
            <w:tcW w:w="657" w:type="pct"/>
            <w:shd w:val="clear" w:color="auto" w:fill="4F81BD" w:themeFill="accent1"/>
            <w:tcMar>
              <w:left w:w="57" w:type="dxa"/>
              <w:right w:w="57" w:type="dxa"/>
            </w:tcMar>
            <w:hideMark/>
          </w:tcPr>
          <w:p w:rsidR="0085588B" w:rsidRPr="0085588B" w:rsidRDefault="0085588B" w:rsidP="0085588B">
            <w:pPr>
              <w:pStyle w:val="a4"/>
              <w:rPr>
                <w:rFonts w:ascii="Calibri" w:hAnsi="Calibri" w:cs="Calibri"/>
                <w:color w:val="FFFFFF" w:themeColor="background1"/>
                <w:szCs w:val="18"/>
              </w:rPr>
            </w:pPr>
            <w:r w:rsidRPr="0085588B">
              <w:rPr>
                <w:rFonts w:ascii="Calibri" w:hAnsi="Calibri" w:cs="Calibri"/>
                <w:color w:val="FFFFFF" w:themeColor="background1"/>
                <w:szCs w:val="18"/>
              </w:rPr>
              <w:t>Фиксиран %</w:t>
            </w:r>
          </w:p>
        </w:tc>
        <w:tc>
          <w:tcPr>
            <w:tcW w:w="590" w:type="pct"/>
            <w:shd w:val="clear" w:color="auto" w:fill="4F81BD" w:themeFill="accent1"/>
            <w:tcMar>
              <w:left w:w="57" w:type="dxa"/>
              <w:right w:w="57" w:type="dxa"/>
            </w:tcMar>
            <w:hideMark/>
          </w:tcPr>
          <w:p w:rsidR="0085588B" w:rsidRPr="0085588B" w:rsidRDefault="0085588B" w:rsidP="0085588B">
            <w:pPr>
              <w:pStyle w:val="a4"/>
              <w:rPr>
                <w:rFonts w:ascii="Calibri" w:hAnsi="Calibri" w:cs="Calibri"/>
                <w:color w:val="FFFFFF" w:themeColor="background1"/>
                <w:szCs w:val="18"/>
              </w:rPr>
            </w:pPr>
            <w:r w:rsidRPr="0085588B">
              <w:rPr>
                <w:rFonts w:ascii="Calibri" w:hAnsi="Calibri" w:cs="Calibri"/>
                <w:color w:val="FFFFFF" w:themeColor="background1"/>
                <w:szCs w:val="18"/>
              </w:rPr>
              <w:t>Плаващ %</w:t>
            </w:r>
          </w:p>
        </w:tc>
        <w:tc>
          <w:tcPr>
            <w:tcW w:w="659" w:type="pct"/>
            <w:shd w:val="clear" w:color="auto" w:fill="4F81BD" w:themeFill="accent1"/>
            <w:tcMar>
              <w:left w:w="57" w:type="dxa"/>
              <w:right w:w="57" w:type="dxa"/>
            </w:tcMar>
            <w:vAlign w:val="bottom"/>
            <w:hideMark/>
          </w:tcPr>
          <w:p w:rsidR="0085588B" w:rsidRPr="0085588B" w:rsidRDefault="0085588B" w:rsidP="0085588B">
            <w:pPr>
              <w:pStyle w:val="a4"/>
              <w:rPr>
                <w:rFonts w:ascii="Calibri" w:hAnsi="Calibri" w:cs="Calibri"/>
                <w:color w:val="FFFFFF" w:themeColor="background1"/>
                <w:szCs w:val="18"/>
              </w:rPr>
            </w:pPr>
          </w:p>
        </w:tc>
        <w:tc>
          <w:tcPr>
            <w:tcW w:w="555" w:type="pct"/>
            <w:shd w:val="clear" w:color="auto" w:fill="4F81BD" w:themeFill="accent1"/>
            <w:noWrap/>
            <w:tcMar>
              <w:left w:w="57" w:type="dxa"/>
              <w:right w:w="57" w:type="dxa"/>
            </w:tcMar>
            <w:vAlign w:val="bottom"/>
            <w:hideMark/>
          </w:tcPr>
          <w:p w:rsidR="0085588B" w:rsidRPr="0085588B" w:rsidRDefault="0085588B" w:rsidP="0085588B">
            <w:pPr>
              <w:pStyle w:val="a4"/>
              <w:rPr>
                <w:rFonts w:ascii="Calibri" w:hAnsi="Calibri" w:cs="Calibri"/>
                <w:color w:val="FFFFFF" w:themeColor="background1"/>
                <w:szCs w:val="18"/>
              </w:rPr>
            </w:pPr>
          </w:p>
        </w:tc>
      </w:tr>
      <w:tr w:rsidR="0085588B" w:rsidRPr="0085588B" w:rsidTr="0085588B">
        <w:trPr>
          <w:trHeight w:val="170"/>
          <w:jc w:val="center"/>
        </w:trPr>
        <w:tc>
          <w:tcPr>
            <w:tcW w:w="2538" w:type="pct"/>
            <w:shd w:val="clear" w:color="auto" w:fill="4F81BD" w:themeFill="accent1"/>
            <w:tcMar>
              <w:left w:w="57" w:type="dxa"/>
              <w:right w:w="57" w:type="dxa"/>
            </w:tcMar>
            <w:vAlign w:val="bottom"/>
            <w:hideMark/>
          </w:tcPr>
          <w:p w:rsidR="0085588B" w:rsidRPr="0085588B" w:rsidRDefault="0085588B" w:rsidP="0085588B">
            <w:pPr>
              <w:pStyle w:val="a5"/>
              <w:rPr>
                <w:rFonts w:ascii="Calibri" w:hAnsi="Calibri" w:cs="Calibri"/>
                <w:color w:val="FFFFFF" w:themeColor="background1"/>
                <w:szCs w:val="18"/>
              </w:rPr>
            </w:pPr>
          </w:p>
        </w:tc>
        <w:tc>
          <w:tcPr>
            <w:tcW w:w="657" w:type="pct"/>
            <w:shd w:val="clear" w:color="auto" w:fill="4F81BD" w:themeFill="accent1"/>
            <w:tcMar>
              <w:left w:w="57" w:type="dxa"/>
              <w:right w:w="57" w:type="dxa"/>
            </w:tcMar>
            <w:vAlign w:val="bottom"/>
            <w:hideMark/>
          </w:tcPr>
          <w:p w:rsidR="0085588B" w:rsidRPr="0085588B" w:rsidRDefault="0085588B" w:rsidP="0085588B">
            <w:pPr>
              <w:pStyle w:val="a4"/>
              <w:rPr>
                <w:rFonts w:ascii="Calibri" w:hAnsi="Calibri" w:cs="Calibri"/>
                <w:color w:val="FFFFFF" w:themeColor="background1"/>
                <w:szCs w:val="18"/>
              </w:rPr>
            </w:pPr>
            <w:r w:rsidRPr="0085588B">
              <w:rPr>
                <w:rFonts w:ascii="Calibri" w:hAnsi="Calibri" w:cs="Calibri"/>
                <w:color w:val="FFFFFF" w:themeColor="background1"/>
                <w:szCs w:val="18"/>
              </w:rPr>
              <w:t>BGN '000</w:t>
            </w:r>
          </w:p>
        </w:tc>
        <w:tc>
          <w:tcPr>
            <w:tcW w:w="590" w:type="pct"/>
            <w:shd w:val="clear" w:color="auto" w:fill="4F81BD" w:themeFill="accent1"/>
            <w:tcMar>
              <w:left w:w="57" w:type="dxa"/>
              <w:right w:w="57" w:type="dxa"/>
            </w:tcMar>
            <w:vAlign w:val="bottom"/>
            <w:hideMark/>
          </w:tcPr>
          <w:p w:rsidR="0085588B" w:rsidRPr="0085588B" w:rsidRDefault="0085588B" w:rsidP="0085588B">
            <w:pPr>
              <w:pStyle w:val="a4"/>
              <w:rPr>
                <w:rFonts w:ascii="Calibri" w:hAnsi="Calibri" w:cs="Calibri"/>
                <w:color w:val="FFFFFF" w:themeColor="background1"/>
                <w:szCs w:val="18"/>
              </w:rPr>
            </w:pPr>
            <w:r w:rsidRPr="0085588B">
              <w:rPr>
                <w:rFonts w:ascii="Calibri" w:hAnsi="Calibri" w:cs="Calibri"/>
                <w:color w:val="FFFFFF" w:themeColor="background1"/>
                <w:szCs w:val="18"/>
              </w:rPr>
              <w:t>BGN '000</w:t>
            </w:r>
          </w:p>
        </w:tc>
        <w:tc>
          <w:tcPr>
            <w:tcW w:w="659" w:type="pct"/>
            <w:shd w:val="clear" w:color="auto" w:fill="4F81BD" w:themeFill="accent1"/>
            <w:tcMar>
              <w:left w:w="57" w:type="dxa"/>
              <w:right w:w="57" w:type="dxa"/>
            </w:tcMar>
            <w:vAlign w:val="bottom"/>
            <w:hideMark/>
          </w:tcPr>
          <w:p w:rsidR="0085588B" w:rsidRPr="0085588B" w:rsidRDefault="0085588B" w:rsidP="0085588B">
            <w:pPr>
              <w:pStyle w:val="a4"/>
              <w:rPr>
                <w:rFonts w:ascii="Calibri" w:hAnsi="Calibri" w:cs="Calibri"/>
                <w:color w:val="FFFFFF" w:themeColor="background1"/>
                <w:szCs w:val="18"/>
              </w:rPr>
            </w:pPr>
            <w:r w:rsidRPr="0085588B">
              <w:rPr>
                <w:rFonts w:ascii="Calibri" w:hAnsi="Calibri" w:cs="Calibri"/>
                <w:color w:val="FFFFFF" w:themeColor="background1"/>
                <w:szCs w:val="18"/>
              </w:rPr>
              <w:t>BGN '000</w:t>
            </w:r>
          </w:p>
        </w:tc>
        <w:tc>
          <w:tcPr>
            <w:tcW w:w="555" w:type="pct"/>
            <w:shd w:val="clear" w:color="auto" w:fill="4F81BD" w:themeFill="accent1"/>
            <w:tcMar>
              <w:left w:w="57" w:type="dxa"/>
              <w:right w:w="57" w:type="dxa"/>
            </w:tcMar>
            <w:vAlign w:val="bottom"/>
            <w:hideMark/>
          </w:tcPr>
          <w:p w:rsidR="0085588B" w:rsidRPr="0085588B" w:rsidRDefault="0085588B" w:rsidP="0085588B">
            <w:pPr>
              <w:pStyle w:val="a4"/>
              <w:rPr>
                <w:rFonts w:ascii="Calibri" w:hAnsi="Calibri" w:cs="Calibri"/>
                <w:color w:val="FFFFFF" w:themeColor="background1"/>
                <w:szCs w:val="18"/>
              </w:rPr>
            </w:pPr>
            <w:r w:rsidRPr="0085588B">
              <w:rPr>
                <w:rFonts w:ascii="Calibri" w:hAnsi="Calibri" w:cs="Calibri"/>
                <w:color w:val="FFFFFF" w:themeColor="background1"/>
                <w:szCs w:val="18"/>
              </w:rPr>
              <w:t>BGN '000</w:t>
            </w:r>
          </w:p>
        </w:tc>
      </w:tr>
      <w:tr w:rsidR="0085588B" w:rsidRPr="0085588B" w:rsidTr="0085588B">
        <w:trPr>
          <w:trHeight w:val="170"/>
          <w:jc w:val="center"/>
        </w:trPr>
        <w:tc>
          <w:tcPr>
            <w:tcW w:w="2538" w:type="pct"/>
            <w:shd w:val="clear" w:color="auto" w:fill="auto"/>
            <w:tcMar>
              <w:left w:w="57" w:type="dxa"/>
              <w:right w:w="57" w:type="dxa"/>
            </w:tcMar>
            <w:vAlign w:val="bottom"/>
            <w:hideMark/>
          </w:tcPr>
          <w:p w:rsidR="0085588B" w:rsidRPr="0085588B" w:rsidRDefault="0085588B" w:rsidP="0085588B">
            <w:pPr>
              <w:pStyle w:val="a5"/>
              <w:rPr>
                <w:rFonts w:ascii="Calibri" w:hAnsi="Calibri" w:cs="Calibri"/>
                <w:b/>
                <w:color w:val="auto"/>
                <w:szCs w:val="18"/>
              </w:rPr>
            </w:pPr>
            <w:r w:rsidRPr="0085588B">
              <w:rPr>
                <w:rFonts w:ascii="Calibri" w:hAnsi="Calibri" w:cs="Calibri"/>
                <w:b/>
                <w:color w:val="auto"/>
                <w:szCs w:val="18"/>
              </w:rPr>
              <w:t>Финансови активи</w:t>
            </w:r>
          </w:p>
        </w:tc>
        <w:tc>
          <w:tcPr>
            <w:tcW w:w="657"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p>
        </w:tc>
        <w:tc>
          <w:tcPr>
            <w:tcW w:w="590"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p>
        </w:tc>
        <w:tc>
          <w:tcPr>
            <w:tcW w:w="659"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p>
        </w:tc>
        <w:tc>
          <w:tcPr>
            <w:tcW w:w="555" w:type="pct"/>
            <w:shd w:val="clear" w:color="auto" w:fill="auto"/>
            <w:noWrap/>
            <w:tcMar>
              <w:left w:w="57" w:type="dxa"/>
              <w:right w:w="57" w:type="dxa"/>
            </w:tcMar>
            <w:vAlign w:val="bottom"/>
            <w:hideMark/>
          </w:tcPr>
          <w:p w:rsidR="0085588B" w:rsidRPr="0085588B" w:rsidRDefault="0085588B" w:rsidP="0085588B">
            <w:pPr>
              <w:pStyle w:val="a6"/>
              <w:rPr>
                <w:rFonts w:ascii="Calibri" w:hAnsi="Calibri" w:cs="Calibri"/>
                <w:color w:val="auto"/>
                <w:szCs w:val="18"/>
              </w:rPr>
            </w:pPr>
          </w:p>
        </w:tc>
      </w:tr>
      <w:tr w:rsidR="0085588B" w:rsidRPr="0085588B" w:rsidTr="0085588B">
        <w:trPr>
          <w:trHeight w:val="170"/>
          <w:jc w:val="center"/>
        </w:trPr>
        <w:tc>
          <w:tcPr>
            <w:tcW w:w="2538" w:type="pct"/>
            <w:shd w:val="clear" w:color="auto" w:fill="auto"/>
            <w:tcMar>
              <w:left w:w="57" w:type="dxa"/>
              <w:right w:w="57" w:type="dxa"/>
            </w:tcMar>
            <w:vAlign w:val="bottom"/>
            <w:hideMark/>
          </w:tcPr>
          <w:p w:rsidR="0085588B" w:rsidRPr="0085588B" w:rsidRDefault="0085588B" w:rsidP="0085588B">
            <w:pPr>
              <w:pStyle w:val="a5"/>
              <w:rPr>
                <w:rFonts w:ascii="Calibri" w:hAnsi="Calibri" w:cs="Calibri"/>
                <w:color w:val="auto"/>
                <w:szCs w:val="18"/>
              </w:rPr>
            </w:pPr>
            <w:bookmarkStart w:id="161" w:name="_GoBack" w:colFirst="1" w:colLast="4"/>
            <w:r w:rsidRPr="0085588B">
              <w:rPr>
                <w:rFonts w:ascii="Calibri" w:hAnsi="Calibri" w:cs="Calibri"/>
                <w:color w:val="auto"/>
                <w:szCs w:val="18"/>
              </w:rPr>
              <w:t xml:space="preserve">Дългови инвестиции оценявани по амортизирана стойност </w:t>
            </w:r>
          </w:p>
        </w:tc>
        <w:tc>
          <w:tcPr>
            <w:tcW w:w="657"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w:t>
            </w:r>
          </w:p>
        </w:tc>
        <w:tc>
          <w:tcPr>
            <w:tcW w:w="590"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 xml:space="preserve">- </w:t>
            </w:r>
          </w:p>
        </w:tc>
        <w:tc>
          <w:tcPr>
            <w:tcW w:w="659"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w:t>
            </w:r>
          </w:p>
        </w:tc>
        <w:tc>
          <w:tcPr>
            <w:tcW w:w="555" w:type="pct"/>
            <w:shd w:val="clear" w:color="auto" w:fill="auto"/>
            <w:noWrap/>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 xml:space="preserve">- </w:t>
            </w:r>
          </w:p>
        </w:tc>
      </w:tr>
      <w:tr w:rsidR="0085588B" w:rsidRPr="0085588B" w:rsidTr="0085588B">
        <w:trPr>
          <w:trHeight w:val="170"/>
          <w:jc w:val="center"/>
        </w:trPr>
        <w:tc>
          <w:tcPr>
            <w:tcW w:w="2538" w:type="pct"/>
            <w:shd w:val="clear" w:color="auto" w:fill="auto"/>
            <w:tcMar>
              <w:left w:w="57" w:type="dxa"/>
              <w:right w:w="57" w:type="dxa"/>
            </w:tcMar>
            <w:vAlign w:val="bottom"/>
            <w:hideMark/>
          </w:tcPr>
          <w:p w:rsidR="0085588B" w:rsidRPr="0085588B" w:rsidRDefault="0085588B" w:rsidP="0085588B">
            <w:pPr>
              <w:pStyle w:val="a5"/>
              <w:rPr>
                <w:rFonts w:ascii="Calibri" w:hAnsi="Calibri" w:cs="Calibri"/>
                <w:color w:val="auto"/>
                <w:szCs w:val="18"/>
              </w:rPr>
            </w:pPr>
            <w:r w:rsidRPr="0085588B">
              <w:rPr>
                <w:rFonts w:ascii="Calibri" w:hAnsi="Calibri" w:cs="Calibri"/>
                <w:color w:val="auto"/>
                <w:szCs w:val="18"/>
              </w:rPr>
              <w:t>Финансови активи оценявани по справедлива стойност</w:t>
            </w:r>
          </w:p>
        </w:tc>
        <w:tc>
          <w:tcPr>
            <w:tcW w:w="657"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1</w:t>
            </w:r>
            <w:r>
              <w:rPr>
                <w:rFonts w:ascii="Calibri" w:hAnsi="Calibri" w:cs="Calibri"/>
                <w:color w:val="auto"/>
                <w:szCs w:val="18"/>
              </w:rPr>
              <w:t xml:space="preserve"> </w:t>
            </w:r>
            <w:r w:rsidRPr="0085588B">
              <w:rPr>
                <w:rFonts w:ascii="Calibri" w:hAnsi="Calibri" w:cs="Calibri"/>
                <w:color w:val="auto"/>
                <w:szCs w:val="18"/>
              </w:rPr>
              <w:t>972</w:t>
            </w:r>
          </w:p>
        </w:tc>
        <w:tc>
          <w:tcPr>
            <w:tcW w:w="590"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 xml:space="preserve">- </w:t>
            </w:r>
          </w:p>
        </w:tc>
        <w:tc>
          <w:tcPr>
            <w:tcW w:w="659"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 xml:space="preserve">324 </w:t>
            </w:r>
          </w:p>
        </w:tc>
        <w:tc>
          <w:tcPr>
            <w:tcW w:w="555" w:type="pct"/>
            <w:shd w:val="clear" w:color="auto" w:fill="auto"/>
            <w:noWrap/>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2</w:t>
            </w:r>
            <w:r>
              <w:rPr>
                <w:rFonts w:ascii="Calibri" w:hAnsi="Calibri" w:cs="Calibri"/>
                <w:color w:val="auto"/>
                <w:szCs w:val="18"/>
              </w:rPr>
              <w:t xml:space="preserve"> </w:t>
            </w:r>
            <w:r w:rsidRPr="0085588B">
              <w:rPr>
                <w:rFonts w:ascii="Calibri" w:hAnsi="Calibri" w:cs="Calibri"/>
                <w:color w:val="auto"/>
                <w:szCs w:val="18"/>
              </w:rPr>
              <w:t>296</w:t>
            </w:r>
          </w:p>
        </w:tc>
      </w:tr>
      <w:tr w:rsidR="0085588B" w:rsidRPr="0085588B" w:rsidTr="0085588B">
        <w:trPr>
          <w:trHeight w:val="170"/>
          <w:jc w:val="center"/>
        </w:trPr>
        <w:tc>
          <w:tcPr>
            <w:tcW w:w="2538" w:type="pct"/>
            <w:shd w:val="clear" w:color="auto" w:fill="auto"/>
            <w:tcMar>
              <w:left w:w="57" w:type="dxa"/>
              <w:right w:w="57" w:type="dxa"/>
            </w:tcMar>
            <w:vAlign w:val="bottom"/>
            <w:hideMark/>
          </w:tcPr>
          <w:p w:rsidR="0085588B" w:rsidRPr="0085588B" w:rsidRDefault="0085588B" w:rsidP="0085588B">
            <w:pPr>
              <w:pStyle w:val="a5"/>
              <w:rPr>
                <w:rFonts w:ascii="Calibri" w:hAnsi="Calibri" w:cs="Calibri"/>
                <w:color w:val="auto"/>
                <w:szCs w:val="18"/>
              </w:rPr>
            </w:pPr>
            <w:r w:rsidRPr="0085588B">
              <w:rPr>
                <w:rFonts w:ascii="Calibri" w:hAnsi="Calibri" w:cs="Calibri"/>
                <w:color w:val="auto"/>
                <w:szCs w:val="18"/>
              </w:rPr>
              <w:t>Търговски вземания</w:t>
            </w:r>
          </w:p>
        </w:tc>
        <w:tc>
          <w:tcPr>
            <w:tcW w:w="657"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w:t>
            </w:r>
          </w:p>
        </w:tc>
        <w:tc>
          <w:tcPr>
            <w:tcW w:w="590"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 xml:space="preserve">- </w:t>
            </w:r>
          </w:p>
        </w:tc>
        <w:tc>
          <w:tcPr>
            <w:tcW w:w="659"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lang w:eastAsia="en-US"/>
              </w:rPr>
            </w:pPr>
            <w:r w:rsidRPr="0085588B">
              <w:rPr>
                <w:rFonts w:ascii="Calibri" w:hAnsi="Calibri" w:cs="Calibri"/>
                <w:color w:val="auto"/>
                <w:szCs w:val="18"/>
              </w:rPr>
              <w:t>24</w:t>
            </w:r>
            <w:r>
              <w:rPr>
                <w:rFonts w:ascii="Calibri" w:hAnsi="Calibri" w:cs="Calibri"/>
                <w:color w:val="auto"/>
                <w:szCs w:val="18"/>
              </w:rPr>
              <w:t xml:space="preserve"> </w:t>
            </w:r>
            <w:r w:rsidRPr="0085588B">
              <w:rPr>
                <w:rFonts w:ascii="Calibri" w:hAnsi="Calibri" w:cs="Calibri"/>
                <w:color w:val="auto"/>
                <w:szCs w:val="18"/>
              </w:rPr>
              <w:t xml:space="preserve">492 </w:t>
            </w:r>
          </w:p>
        </w:tc>
        <w:tc>
          <w:tcPr>
            <w:tcW w:w="555" w:type="pct"/>
            <w:shd w:val="clear" w:color="auto" w:fill="auto"/>
            <w:noWrap/>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24</w:t>
            </w:r>
            <w:r>
              <w:rPr>
                <w:rFonts w:ascii="Calibri" w:hAnsi="Calibri" w:cs="Calibri"/>
                <w:color w:val="auto"/>
                <w:szCs w:val="18"/>
              </w:rPr>
              <w:t xml:space="preserve"> </w:t>
            </w:r>
            <w:r w:rsidRPr="0085588B">
              <w:rPr>
                <w:rFonts w:ascii="Calibri" w:hAnsi="Calibri" w:cs="Calibri"/>
                <w:color w:val="auto"/>
                <w:szCs w:val="18"/>
              </w:rPr>
              <w:t>492</w:t>
            </w:r>
          </w:p>
        </w:tc>
      </w:tr>
      <w:tr w:rsidR="0085588B" w:rsidRPr="0085588B" w:rsidTr="0085588B">
        <w:trPr>
          <w:trHeight w:val="170"/>
          <w:jc w:val="center"/>
        </w:trPr>
        <w:tc>
          <w:tcPr>
            <w:tcW w:w="2538" w:type="pct"/>
            <w:shd w:val="clear" w:color="auto" w:fill="auto"/>
            <w:tcMar>
              <w:left w:w="57" w:type="dxa"/>
              <w:right w:w="57" w:type="dxa"/>
            </w:tcMar>
            <w:vAlign w:val="bottom"/>
            <w:hideMark/>
          </w:tcPr>
          <w:p w:rsidR="0085588B" w:rsidRPr="0085588B" w:rsidRDefault="0085588B" w:rsidP="0085588B">
            <w:pPr>
              <w:pStyle w:val="a5"/>
              <w:rPr>
                <w:rFonts w:ascii="Calibri" w:hAnsi="Calibri" w:cs="Calibri"/>
                <w:color w:val="auto"/>
                <w:szCs w:val="18"/>
              </w:rPr>
            </w:pPr>
            <w:r w:rsidRPr="0085588B">
              <w:rPr>
                <w:rFonts w:ascii="Calibri" w:hAnsi="Calibri" w:cs="Calibri"/>
                <w:color w:val="auto"/>
                <w:szCs w:val="18"/>
              </w:rPr>
              <w:t>Други текущи вземания</w:t>
            </w:r>
          </w:p>
        </w:tc>
        <w:tc>
          <w:tcPr>
            <w:tcW w:w="657"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 xml:space="preserve">607 </w:t>
            </w:r>
          </w:p>
        </w:tc>
        <w:tc>
          <w:tcPr>
            <w:tcW w:w="590"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w:t>
            </w:r>
          </w:p>
        </w:tc>
        <w:tc>
          <w:tcPr>
            <w:tcW w:w="659"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lang w:eastAsia="en-US"/>
              </w:rPr>
            </w:pPr>
            <w:r w:rsidRPr="0085588B">
              <w:rPr>
                <w:rFonts w:ascii="Calibri" w:hAnsi="Calibri" w:cs="Calibri"/>
                <w:color w:val="auto"/>
                <w:szCs w:val="18"/>
              </w:rPr>
              <w:t>-</w:t>
            </w:r>
          </w:p>
        </w:tc>
        <w:tc>
          <w:tcPr>
            <w:tcW w:w="555" w:type="pct"/>
            <w:shd w:val="clear" w:color="auto" w:fill="auto"/>
            <w:noWrap/>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607</w:t>
            </w:r>
          </w:p>
        </w:tc>
      </w:tr>
      <w:tr w:rsidR="0085588B" w:rsidRPr="0085588B" w:rsidTr="0085588B">
        <w:trPr>
          <w:trHeight w:val="170"/>
          <w:jc w:val="center"/>
        </w:trPr>
        <w:tc>
          <w:tcPr>
            <w:tcW w:w="2538" w:type="pct"/>
            <w:shd w:val="clear" w:color="auto" w:fill="auto"/>
            <w:tcMar>
              <w:left w:w="57" w:type="dxa"/>
              <w:right w:w="57" w:type="dxa"/>
            </w:tcMar>
            <w:vAlign w:val="bottom"/>
            <w:hideMark/>
          </w:tcPr>
          <w:p w:rsidR="0085588B" w:rsidRPr="0085588B" w:rsidRDefault="0085588B" w:rsidP="0085588B">
            <w:pPr>
              <w:pStyle w:val="a5"/>
              <w:rPr>
                <w:rFonts w:ascii="Calibri" w:hAnsi="Calibri" w:cs="Calibri"/>
                <w:color w:val="auto"/>
                <w:szCs w:val="18"/>
              </w:rPr>
            </w:pPr>
            <w:r w:rsidRPr="0085588B">
              <w:rPr>
                <w:rFonts w:ascii="Calibri" w:hAnsi="Calibri" w:cs="Calibri"/>
                <w:color w:val="auto"/>
                <w:szCs w:val="18"/>
              </w:rPr>
              <w:t>Парични средства и парични еквиваленти</w:t>
            </w:r>
          </w:p>
        </w:tc>
        <w:tc>
          <w:tcPr>
            <w:tcW w:w="657"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71</w:t>
            </w:r>
            <w:r>
              <w:rPr>
                <w:rFonts w:ascii="Calibri" w:hAnsi="Calibri" w:cs="Calibri"/>
                <w:color w:val="auto"/>
                <w:szCs w:val="18"/>
              </w:rPr>
              <w:t xml:space="preserve"> </w:t>
            </w:r>
            <w:r w:rsidRPr="0085588B">
              <w:rPr>
                <w:rFonts w:ascii="Calibri" w:hAnsi="Calibri" w:cs="Calibri"/>
                <w:color w:val="auto"/>
                <w:szCs w:val="18"/>
              </w:rPr>
              <w:t>053</w:t>
            </w:r>
          </w:p>
        </w:tc>
        <w:tc>
          <w:tcPr>
            <w:tcW w:w="590"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lang w:val="en-US"/>
              </w:rPr>
            </w:pPr>
            <w:r w:rsidRPr="0085588B">
              <w:rPr>
                <w:rFonts w:ascii="Calibri" w:hAnsi="Calibri" w:cs="Calibri"/>
                <w:color w:val="auto"/>
                <w:szCs w:val="18"/>
                <w:lang w:val="en-US"/>
              </w:rPr>
              <w:t>(66)</w:t>
            </w:r>
          </w:p>
        </w:tc>
        <w:tc>
          <w:tcPr>
            <w:tcW w:w="659"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2</w:t>
            </w:r>
          </w:p>
        </w:tc>
        <w:tc>
          <w:tcPr>
            <w:tcW w:w="555" w:type="pct"/>
            <w:shd w:val="clear" w:color="auto" w:fill="auto"/>
            <w:noWrap/>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70</w:t>
            </w:r>
            <w:r>
              <w:rPr>
                <w:rFonts w:ascii="Calibri" w:hAnsi="Calibri" w:cs="Calibri"/>
                <w:color w:val="auto"/>
                <w:szCs w:val="18"/>
              </w:rPr>
              <w:t xml:space="preserve"> </w:t>
            </w:r>
            <w:r w:rsidRPr="0085588B">
              <w:rPr>
                <w:rFonts w:ascii="Calibri" w:hAnsi="Calibri" w:cs="Calibri"/>
                <w:color w:val="auto"/>
                <w:szCs w:val="18"/>
              </w:rPr>
              <w:t>989</w:t>
            </w:r>
          </w:p>
        </w:tc>
      </w:tr>
      <w:tr w:rsidR="0085588B" w:rsidRPr="0085588B" w:rsidTr="0085588B">
        <w:trPr>
          <w:trHeight w:val="170"/>
          <w:jc w:val="center"/>
        </w:trPr>
        <w:tc>
          <w:tcPr>
            <w:tcW w:w="2538" w:type="pct"/>
            <w:shd w:val="clear" w:color="auto" w:fill="auto"/>
            <w:tcMar>
              <w:left w:w="57" w:type="dxa"/>
              <w:right w:w="57" w:type="dxa"/>
            </w:tcMar>
            <w:vAlign w:val="bottom"/>
            <w:hideMark/>
          </w:tcPr>
          <w:p w:rsidR="0085588B" w:rsidRPr="0085588B" w:rsidRDefault="0085588B" w:rsidP="0085588B">
            <w:pPr>
              <w:pStyle w:val="a5"/>
              <w:rPr>
                <w:rFonts w:ascii="Calibri" w:hAnsi="Calibri" w:cs="Calibri"/>
                <w:color w:val="auto"/>
                <w:szCs w:val="18"/>
              </w:rPr>
            </w:pPr>
          </w:p>
        </w:tc>
        <w:tc>
          <w:tcPr>
            <w:tcW w:w="657"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b/>
                <w:color w:val="auto"/>
                <w:szCs w:val="18"/>
              </w:rPr>
            </w:pPr>
            <w:r w:rsidRPr="0085588B">
              <w:rPr>
                <w:rFonts w:ascii="Calibri" w:hAnsi="Calibri" w:cs="Calibri"/>
                <w:b/>
                <w:color w:val="auto"/>
                <w:szCs w:val="18"/>
              </w:rPr>
              <w:t>73</w:t>
            </w:r>
            <w:r>
              <w:rPr>
                <w:rFonts w:ascii="Calibri" w:hAnsi="Calibri" w:cs="Calibri"/>
                <w:b/>
                <w:color w:val="auto"/>
                <w:szCs w:val="18"/>
              </w:rPr>
              <w:t xml:space="preserve"> </w:t>
            </w:r>
            <w:r w:rsidRPr="0085588B">
              <w:rPr>
                <w:rFonts w:ascii="Calibri" w:hAnsi="Calibri" w:cs="Calibri"/>
                <w:b/>
                <w:color w:val="auto"/>
                <w:szCs w:val="18"/>
              </w:rPr>
              <w:t>632</w:t>
            </w:r>
          </w:p>
        </w:tc>
        <w:tc>
          <w:tcPr>
            <w:tcW w:w="590"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b/>
                <w:color w:val="auto"/>
                <w:szCs w:val="18"/>
                <w:lang w:val="en-US"/>
              </w:rPr>
            </w:pPr>
            <w:r w:rsidRPr="0085588B">
              <w:rPr>
                <w:rFonts w:ascii="Calibri" w:hAnsi="Calibri" w:cs="Calibri"/>
                <w:b/>
                <w:color w:val="auto"/>
                <w:szCs w:val="18"/>
                <w:lang w:val="en-US"/>
              </w:rPr>
              <w:t>(66)</w:t>
            </w:r>
          </w:p>
        </w:tc>
        <w:tc>
          <w:tcPr>
            <w:tcW w:w="659"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b/>
                <w:color w:val="auto"/>
                <w:szCs w:val="18"/>
              </w:rPr>
            </w:pPr>
            <w:r w:rsidRPr="0085588B">
              <w:rPr>
                <w:rFonts w:ascii="Calibri" w:hAnsi="Calibri" w:cs="Calibri"/>
                <w:b/>
                <w:color w:val="auto"/>
                <w:szCs w:val="18"/>
              </w:rPr>
              <w:t>24</w:t>
            </w:r>
            <w:r>
              <w:rPr>
                <w:rFonts w:ascii="Calibri" w:hAnsi="Calibri" w:cs="Calibri"/>
                <w:b/>
                <w:color w:val="auto"/>
                <w:szCs w:val="18"/>
              </w:rPr>
              <w:t xml:space="preserve"> </w:t>
            </w:r>
            <w:r w:rsidRPr="0085588B">
              <w:rPr>
                <w:rFonts w:ascii="Calibri" w:hAnsi="Calibri" w:cs="Calibri"/>
                <w:b/>
                <w:color w:val="auto"/>
                <w:szCs w:val="18"/>
              </w:rPr>
              <w:t>818</w:t>
            </w:r>
          </w:p>
        </w:tc>
        <w:tc>
          <w:tcPr>
            <w:tcW w:w="555"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b/>
                <w:color w:val="auto"/>
                <w:szCs w:val="18"/>
              </w:rPr>
            </w:pPr>
            <w:r w:rsidRPr="0085588B">
              <w:rPr>
                <w:rFonts w:ascii="Calibri" w:hAnsi="Calibri" w:cs="Calibri"/>
                <w:b/>
                <w:color w:val="auto"/>
                <w:szCs w:val="18"/>
              </w:rPr>
              <w:t>98</w:t>
            </w:r>
            <w:r>
              <w:rPr>
                <w:rFonts w:ascii="Calibri" w:hAnsi="Calibri" w:cs="Calibri"/>
                <w:b/>
                <w:color w:val="auto"/>
                <w:szCs w:val="18"/>
              </w:rPr>
              <w:t xml:space="preserve"> </w:t>
            </w:r>
            <w:r w:rsidRPr="0085588B">
              <w:rPr>
                <w:rFonts w:ascii="Calibri" w:hAnsi="Calibri" w:cs="Calibri"/>
                <w:b/>
                <w:color w:val="auto"/>
                <w:szCs w:val="18"/>
              </w:rPr>
              <w:t>384</w:t>
            </w:r>
          </w:p>
        </w:tc>
      </w:tr>
      <w:tr w:rsidR="0085588B" w:rsidRPr="0085588B" w:rsidTr="0085588B">
        <w:trPr>
          <w:trHeight w:val="170"/>
          <w:jc w:val="center"/>
        </w:trPr>
        <w:tc>
          <w:tcPr>
            <w:tcW w:w="2538" w:type="pct"/>
            <w:shd w:val="clear" w:color="auto" w:fill="auto"/>
            <w:tcMar>
              <w:left w:w="57" w:type="dxa"/>
              <w:right w:w="57" w:type="dxa"/>
            </w:tcMar>
            <w:vAlign w:val="bottom"/>
            <w:hideMark/>
          </w:tcPr>
          <w:p w:rsidR="0085588B" w:rsidRPr="0085588B" w:rsidRDefault="0085588B" w:rsidP="0085588B">
            <w:pPr>
              <w:pStyle w:val="a5"/>
              <w:rPr>
                <w:rFonts w:ascii="Calibri" w:hAnsi="Calibri" w:cs="Calibri"/>
                <w:b/>
                <w:color w:val="auto"/>
                <w:szCs w:val="18"/>
              </w:rPr>
            </w:pPr>
            <w:r w:rsidRPr="0085588B">
              <w:rPr>
                <w:rFonts w:ascii="Calibri" w:hAnsi="Calibri" w:cs="Calibri"/>
                <w:b/>
                <w:color w:val="auto"/>
                <w:szCs w:val="18"/>
              </w:rPr>
              <w:t>Финансови пасиви</w:t>
            </w:r>
          </w:p>
        </w:tc>
        <w:tc>
          <w:tcPr>
            <w:tcW w:w="657"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p>
        </w:tc>
        <w:tc>
          <w:tcPr>
            <w:tcW w:w="590"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p>
        </w:tc>
        <w:tc>
          <w:tcPr>
            <w:tcW w:w="659" w:type="pct"/>
            <w:shd w:val="clear" w:color="auto" w:fill="auto"/>
            <w:tcMar>
              <w:left w:w="57" w:type="dxa"/>
              <w:right w:w="57" w:type="dxa"/>
            </w:tcMar>
            <w:vAlign w:val="bottom"/>
            <w:hideMark/>
          </w:tcPr>
          <w:p w:rsidR="0085588B" w:rsidRPr="0085588B" w:rsidRDefault="0085588B" w:rsidP="0085588B">
            <w:pPr>
              <w:pStyle w:val="a6"/>
              <w:jc w:val="center"/>
              <w:rPr>
                <w:rFonts w:ascii="Calibri" w:hAnsi="Calibri" w:cs="Calibri"/>
                <w:color w:val="auto"/>
                <w:szCs w:val="18"/>
                <w:lang w:eastAsia="en-US"/>
              </w:rPr>
            </w:pPr>
          </w:p>
        </w:tc>
        <w:tc>
          <w:tcPr>
            <w:tcW w:w="555" w:type="pct"/>
            <w:shd w:val="clear" w:color="auto" w:fill="auto"/>
            <w:noWrap/>
            <w:tcMar>
              <w:left w:w="57" w:type="dxa"/>
              <w:right w:w="57" w:type="dxa"/>
            </w:tcMar>
            <w:vAlign w:val="bottom"/>
            <w:hideMark/>
          </w:tcPr>
          <w:p w:rsidR="0085588B" w:rsidRPr="0085588B" w:rsidRDefault="0085588B" w:rsidP="0085588B">
            <w:pPr>
              <w:pStyle w:val="a6"/>
              <w:rPr>
                <w:rFonts w:ascii="Calibri" w:hAnsi="Calibri" w:cs="Calibri"/>
                <w:color w:val="auto"/>
                <w:szCs w:val="18"/>
              </w:rPr>
            </w:pPr>
          </w:p>
        </w:tc>
      </w:tr>
      <w:tr w:rsidR="0085588B" w:rsidRPr="0085588B" w:rsidTr="0085588B">
        <w:trPr>
          <w:trHeight w:val="170"/>
          <w:jc w:val="center"/>
        </w:trPr>
        <w:tc>
          <w:tcPr>
            <w:tcW w:w="2538" w:type="pct"/>
            <w:shd w:val="clear" w:color="auto" w:fill="auto"/>
            <w:tcMar>
              <w:left w:w="57" w:type="dxa"/>
              <w:right w:w="57" w:type="dxa"/>
            </w:tcMar>
            <w:vAlign w:val="bottom"/>
            <w:hideMark/>
          </w:tcPr>
          <w:p w:rsidR="0085588B" w:rsidRPr="0085588B" w:rsidRDefault="0085588B" w:rsidP="0085588B">
            <w:pPr>
              <w:pStyle w:val="a5"/>
              <w:rPr>
                <w:rFonts w:ascii="Calibri" w:hAnsi="Calibri" w:cs="Calibri"/>
                <w:color w:val="auto"/>
                <w:szCs w:val="18"/>
              </w:rPr>
            </w:pPr>
            <w:r w:rsidRPr="0085588B">
              <w:rPr>
                <w:rFonts w:ascii="Calibri" w:hAnsi="Calibri" w:cs="Calibri"/>
                <w:color w:val="auto"/>
                <w:szCs w:val="18"/>
              </w:rPr>
              <w:t>Търговски задължения</w:t>
            </w:r>
          </w:p>
        </w:tc>
        <w:tc>
          <w:tcPr>
            <w:tcW w:w="657"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 xml:space="preserve"> - </w:t>
            </w:r>
          </w:p>
        </w:tc>
        <w:tc>
          <w:tcPr>
            <w:tcW w:w="590"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 xml:space="preserve"> - </w:t>
            </w:r>
          </w:p>
        </w:tc>
        <w:tc>
          <w:tcPr>
            <w:tcW w:w="659"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276</w:t>
            </w:r>
          </w:p>
        </w:tc>
        <w:tc>
          <w:tcPr>
            <w:tcW w:w="555" w:type="pct"/>
            <w:shd w:val="clear" w:color="auto" w:fill="auto"/>
            <w:noWrap/>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276</w:t>
            </w:r>
          </w:p>
        </w:tc>
      </w:tr>
      <w:tr w:rsidR="0085588B" w:rsidRPr="0085588B" w:rsidTr="0085588B">
        <w:trPr>
          <w:trHeight w:val="170"/>
          <w:jc w:val="center"/>
        </w:trPr>
        <w:tc>
          <w:tcPr>
            <w:tcW w:w="2538" w:type="pct"/>
            <w:shd w:val="clear" w:color="auto" w:fill="auto"/>
            <w:tcMar>
              <w:left w:w="57" w:type="dxa"/>
              <w:right w:w="57" w:type="dxa"/>
            </w:tcMar>
            <w:vAlign w:val="bottom"/>
            <w:hideMark/>
          </w:tcPr>
          <w:p w:rsidR="0085588B" w:rsidRPr="0085588B" w:rsidRDefault="0085588B" w:rsidP="0085588B">
            <w:pPr>
              <w:pStyle w:val="a5"/>
              <w:rPr>
                <w:rFonts w:ascii="Calibri" w:hAnsi="Calibri" w:cs="Calibri"/>
                <w:color w:val="auto"/>
                <w:szCs w:val="18"/>
              </w:rPr>
            </w:pPr>
            <w:r w:rsidRPr="0085588B">
              <w:rPr>
                <w:rFonts w:ascii="Calibri" w:hAnsi="Calibri" w:cs="Calibri"/>
                <w:color w:val="auto"/>
                <w:szCs w:val="18"/>
              </w:rPr>
              <w:t>Търговски кредитори</w:t>
            </w:r>
          </w:p>
        </w:tc>
        <w:tc>
          <w:tcPr>
            <w:tcW w:w="657"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w:t>
            </w:r>
          </w:p>
        </w:tc>
        <w:tc>
          <w:tcPr>
            <w:tcW w:w="590"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w:t>
            </w:r>
          </w:p>
        </w:tc>
        <w:tc>
          <w:tcPr>
            <w:tcW w:w="659"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818</w:t>
            </w:r>
          </w:p>
        </w:tc>
        <w:tc>
          <w:tcPr>
            <w:tcW w:w="555" w:type="pct"/>
            <w:shd w:val="clear" w:color="auto" w:fill="auto"/>
            <w:noWrap/>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818</w:t>
            </w:r>
          </w:p>
        </w:tc>
      </w:tr>
      <w:tr w:rsidR="0085588B" w:rsidRPr="0085588B" w:rsidTr="0085588B">
        <w:trPr>
          <w:trHeight w:val="170"/>
          <w:jc w:val="center"/>
        </w:trPr>
        <w:tc>
          <w:tcPr>
            <w:tcW w:w="2538" w:type="pct"/>
            <w:shd w:val="clear" w:color="auto" w:fill="auto"/>
            <w:tcMar>
              <w:left w:w="57" w:type="dxa"/>
              <w:right w:w="57" w:type="dxa"/>
            </w:tcMar>
            <w:vAlign w:val="bottom"/>
            <w:hideMark/>
          </w:tcPr>
          <w:p w:rsidR="0085588B" w:rsidRPr="0085588B" w:rsidRDefault="0085588B" w:rsidP="0085588B">
            <w:pPr>
              <w:pStyle w:val="a5"/>
              <w:rPr>
                <w:rFonts w:ascii="Calibri" w:hAnsi="Calibri" w:cs="Calibri"/>
                <w:color w:val="auto"/>
                <w:szCs w:val="18"/>
              </w:rPr>
            </w:pPr>
            <w:r w:rsidRPr="0085588B">
              <w:rPr>
                <w:rFonts w:ascii="Calibri" w:hAnsi="Calibri" w:cs="Calibri"/>
                <w:color w:val="auto"/>
                <w:szCs w:val="18"/>
              </w:rPr>
              <w:t>Търговци на електрическа енергия</w:t>
            </w:r>
          </w:p>
        </w:tc>
        <w:tc>
          <w:tcPr>
            <w:tcW w:w="657"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p>
        </w:tc>
        <w:tc>
          <w:tcPr>
            <w:tcW w:w="590"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p>
        </w:tc>
        <w:tc>
          <w:tcPr>
            <w:tcW w:w="659"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41</w:t>
            </w:r>
            <w:r>
              <w:rPr>
                <w:rFonts w:ascii="Calibri" w:hAnsi="Calibri" w:cs="Calibri"/>
                <w:color w:val="auto"/>
                <w:szCs w:val="18"/>
              </w:rPr>
              <w:t xml:space="preserve"> </w:t>
            </w:r>
            <w:r w:rsidRPr="0085588B">
              <w:rPr>
                <w:rFonts w:ascii="Calibri" w:hAnsi="Calibri" w:cs="Calibri"/>
                <w:color w:val="auto"/>
                <w:szCs w:val="18"/>
              </w:rPr>
              <w:t>898</w:t>
            </w:r>
          </w:p>
        </w:tc>
        <w:tc>
          <w:tcPr>
            <w:tcW w:w="555" w:type="pct"/>
            <w:shd w:val="clear" w:color="auto" w:fill="auto"/>
            <w:noWrap/>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41</w:t>
            </w:r>
            <w:r>
              <w:rPr>
                <w:rFonts w:ascii="Calibri" w:hAnsi="Calibri" w:cs="Calibri"/>
                <w:color w:val="auto"/>
                <w:szCs w:val="18"/>
              </w:rPr>
              <w:t xml:space="preserve"> </w:t>
            </w:r>
            <w:r w:rsidRPr="0085588B">
              <w:rPr>
                <w:rFonts w:ascii="Calibri" w:hAnsi="Calibri" w:cs="Calibri"/>
                <w:color w:val="auto"/>
                <w:szCs w:val="18"/>
              </w:rPr>
              <w:t>898</w:t>
            </w:r>
          </w:p>
        </w:tc>
      </w:tr>
      <w:tr w:rsidR="0085588B" w:rsidRPr="0085588B" w:rsidTr="0085588B">
        <w:trPr>
          <w:trHeight w:val="170"/>
          <w:jc w:val="center"/>
        </w:trPr>
        <w:tc>
          <w:tcPr>
            <w:tcW w:w="2538" w:type="pct"/>
            <w:shd w:val="clear" w:color="auto" w:fill="auto"/>
            <w:tcMar>
              <w:left w:w="57" w:type="dxa"/>
              <w:right w:w="57" w:type="dxa"/>
            </w:tcMar>
            <w:vAlign w:val="bottom"/>
            <w:hideMark/>
          </w:tcPr>
          <w:p w:rsidR="0085588B" w:rsidRPr="0085588B" w:rsidRDefault="0085588B" w:rsidP="0085588B">
            <w:pPr>
              <w:pStyle w:val="a5"/>
              <w:rPr>
                <w:rFonts w:ascii="Calibri" w:hAnsi="Calibri" w:cs="Calibri"/>
                <w:color w:val="auto"/>
                <w:szCs w:val="18"/>
              </w:rPr>
            </w:pPr>
            <w:r w:rsidRPr="0085588B">
              <w:rPr>
                <w:rFonts w:ascii="Calibri" w:hAnsi="Calibri" w:cs="Calibri"/>
                <w:color w:val="auto"/>
                <w:szCs w:val="18"/>
              </w:rPr>
              <w:t>Депозити за участие борсов пазар</w:t>
            </w:r>
          </w:p>
        </w:tc>
        <w:tc>
          <w:tcPr>
            <w:tcW w:w="657"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p>
        </w:tc>
        <w:tc>
          <w:tcPr>
            <w:tcW w:w="590"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p>
        </w:tc>
        <w:tc>
          <w:tcPr>
            <w:tcW w:w="659"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37</w:t>
            </w:r>
            <w:r>
              <w:rPr>
                <w:rFonts w:ascii="Calibri" w:hAnsi="Calibri" w:cs="Calibri"/>
                <w:color w:val="auto"/>
                <w:szCs w:val="18"/>
              </w:rPr>
              <w:t xml:space="preserve"> </w:t>
            </w:r>
            <w:r w:rsidRPr="0085588B">
              <w:rPr>
                <w:rFonts w:ascii="Calibri" w:hAnsi="Calibri" w:cs="Calibri"/>
                <w:color w:val="auto"/>
                <w:szCs w:val="18"/>
              </w:rPr>
              <w:t>177</w:t>
            </w:r>
          </w:p>
        </w:tc>
        <w:tc>
          <w:tcPr>
            <w:tcW w:w="555" w:type="pct"/>
            <w:shd w:val="clear" w:color="auto" w:fill="auto"/>
            <w:noWrap/>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37</w:t>
            </w:r>
            <w:r>
              <w:rPr>
                <w:rFonts w:ascii="Calibri" w:hAnsi="Calibri" w:cs="Calibri"/>
                <w:color w:val="auto"/>
                <w:szCs w:val="18"/>
              </w:rPr>
              <w:t xml:space="preserve"> </w:t>
            </w:r>
            <w:r w:rsidRPr="0085588B">
              <w:rPr>
                <w:rFonts w:ascii="Calibri" w:hAnsi="Calibri" w:cs="Calibri"/>
                <w:color w:val="auto"/>
                <w:szCs w:val="18"/>
              </w:rPr>
              <w:t>177</w:t>
            </w:r>
          </w:p>
        </w:tc>
      </w:tr>
      <w:tr w:rsidR="0085588B" w:rsidRPr="0085588B" w:rsidTr="0085588B">
        <w:trPr>
          <w:trHeight w:val="170"/>
          <w:jc w:val="center"/>
        </w:trPr>
        <w:tc>
          <w:tcPr>
            <w:tcW w:w="2538" w:type="pct"/>
            <w:shd w:val="clear" w:color="auto" w:fill="auto"/>
            <w:tcMar>
              <w:left w:w="57" w:type="dxa"/>
              <w:right w:w="57" w:type="dxa"/>
            </w:tcMar>
            <w:vAlign w:val="bottom"/>
            <w:hideMark/>
          </w:tcPr>
          <w:p w:rsidR="0085588B" w:rsidRPr="0085588B" w:rsidRDefault="0085588B" w:rsidP="0085588B">
            <w:pPr>
              <w:pStyle w:val="a5"/>
              <w:rPr>
                <w:rFonts w:ascii="Calibri" w:hAnsi="Calibri" w:cs="Calibri"/>
                <w:color w:val="auto"/>
                <w:szCs w:val="18"/>
              </w:rPr>
            </w:pPr>
            <w:r w:rsidRPr="0085588B">
              <w:rPr>
                <w:rFonts w:ascii="Calibri" w:hAnsi="Calibri" w:cs="Calibri"/>
                <w:color w:val="auto"/>
                <w:szCs w:val="18"/>
              </w:rPr>
              <w:t>Задължения за дивиденти</w:t>
            </w:r>
          </w:p>
        </w:tc>
        <w:tc>
          <w:tcPr>
            <w:tcW w:w="657"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 xml:space="preserve"> - </w:t>
            </w:r>
          </w:p>
        </w:tc>
        <w:tc>
          <w:tcPr>
            <w:tcW w:w="590"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 xml:space="preserve"> - </w:t>
            </w:r>
          </w:p>
        </w:tc>
        <w:tc>
          <w:tcPr>
            <w:tcW w:w="659"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35</w:t>
            </w:r>
          </w:p>
        </w:tc>
        <w:tc>
          <w:tcPr>
            <w:tcW w:w="555" w:type="pct"/>
            <w:shd w:val="clear" w:color="auto" w:fill="auto"/>
            <w:noWrap/>
            <w:tcMar>
              <w:left w:w="57" w:type="dxa"/>
              <w:right w:w="57" w:type="dxa"/>
            </w:tcMar>
            <w:vAlign w:val="bottom"/>
            <w:hideMark/>
          </w:tcPr>
          <w:p w:rsidR="0085588B" w:rsidRPr="0085588B" w:rsidRDefault="0085588B" w:rsidP="0085588B">
            <w:pPr>
              <w:pStyle w:val="a6"/>
              <w:rPr>
                <w:rFonts w:ascii="Calibri" w:hAnsi="Calibri" w:cs="Calibri"/>
                <w:color w:val="auto"/>
                <w:szCs w:val="18"/>
              </w:rPr>
            </w:pPr>
            <w:r w:rsidRPr="0085588B">
              <w:rPr>
                <w:rFonts w:ascii="Calibri" w:hAnsi="Calibri" w:cs="Calibri"/>
                <w:color w:val="auto"/>
                <w:szCs w:val="18"/>
              </w:rPr>
              <w:t>35</w:t>
            </w:r>
          </w:p>
        </w:tc>
      </w:tr>
      <w:tr w:rsidR="0085588B" w:rsidRPr="0085588B" w:rsidTr="0085588B">
        <w:trPr>
          <w:trHeight w:val="170"/>
          <w:jc w:val="center"/>
        </w:trPr>
        <w:tc>
          <w:tcPr>
            <w:tcW w:w="2538" w:type="pct"/>
            <w:shd w:val="clear" w:color="auto" w:fill="auto"/>
            <w:tcMar>
              <w:left w:w="57" w:type="dxa"/>
              <w:right w:w="57" w:type="dxa"/>
            </w:tcMar>
            <w:vAlign w:val="bottom"/>
            <w:hideMark/>
          </w:tcPr>
          <w:p w:rsidR="0085588B" w:rsidRPr="0085588B" w:rsidRDefault="0085588B" w:rsidP="0085588B">
            <w:pPr>
              <w:pStyle w:val="a5"/>
              <w:rPr>
                <w:rFonts w:ascii="Calibri" w:hAnsi="Calibri" w:cs="Calibri"/>
                <w:b/>
                <w:color w:val="auto"/>
                <w:szCs w:val="18"/>
              </w:rPr>
            </w:pPr>
          </w:p>
        </w:tc>
        <w:tc>
          <w:tcPr>
            <w:tcW w:w="657"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b/>
                <w:color w:val="auto"/>
                <w:szCs w:val="18"/>
              </w:rPr>
            </w:pPr>
            <w:r w:rsidRPr="0085588B">
              <w:rPr>
                <w:rFonts w:ascii="Calibri" w:hAnsi="Calibri" w:cs="Calibri"/>
                <w:b/>
                <w:color w:val="auto"/>
                <w:szCs w:val="18"/>
              </w:rPr>
              <w:t xml:space="preserve"> - </w:t>
            </w:r>
          </w:p>
        </w:tc>
        <w:tc>
          <w:tcPr>
            <w:tcW w:w="590"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b/>
                <w:color w:val="auto"/>
                <w:szCs w:val="18"/>
              </w:rPr>
            </w:pPr>
            <w:r w:rsidRPr="0085588B">
              <w:rPr>
                <w:rFonts w:ascii="Calibri" w:hAnsi="Calibri" w:cs="Calibri"/>
                <w:b/>
                <w:color w:val="auto"/>
                <w:szCs w:val="18"/>
              </w:rPr>
              <w:t xml:space="preserve"> - </w:t>
            </w:r>
          </w:p>
        </w:tc>
        <w:tc>
          <w:tcPr>
            <w:tcW w:w="659"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b/>
                <w:color w:val="auto"/>
                <w:szCs w:val="18"/>
              </w:rPr>
            </w:pPr>
            <w:r w:rsidRPr="0085588B">
              <w:rPr>
                <w:rFonts w:ascii="Calibri" w:hAnsi="Calibri" w:cs="Calibri"/>
                <w:b/>
                <w:color w:val="auto"/>
                <w:szCs w:val="18"/>
              </w:rPr>
              <w:t>80</w:t>
            </w:r>
            <w:r>
              <w:rPr>
                <w:rFonts w:ascii="Calibri" w:hAnsi="Calibri" w:cs="Calibri"/>
                <w:b/>
                <w:color w:val="auto"/>
                <w:szCs w:val="18"/>
              </w:rPr>
              <w:t xml:space="preserve"> </w:t>
            </w:r>
            <w:r w:rsidRPr="0085588B">
              <w:rPr>
                <w:rFonts w:ascii="Calibri" w:hAnsi="Calibri" w:cs="Calibri"/>
                <w:b/>
                <w:color w:val="auto"/>
                <w:szCs w:val="18"/>
              </w:rPr>
              <w:t>204</w:t>
            </w:r>
          </w:p>
        </w:tc>
        <w:tc>
          <w:tcPr>
            <w:tcW w:w="555" w:type="pct"/>
            <w:shd w:val="clear" w:color="auto" w:fill="auto"/>
            <w:tcMar>
              <w:left w:w="57" w:type="dxa"/>
              <w:right w:w="57" w:type="dxa"/>
            </w:tcMar>
            <w:vAlign w:val="bottom"/>
            <w:hideMark/>
          </w:tcPr>
          <w:p w:rsidR="0085588B" w:rsidRPr="0085588B" w:rsidRDefault="0085588B" w:rsidP="0085588B">
            <w:pPr>
              <w:pStyle w:val="a6"/>
              <w:rPr>
                <w:rFonts w:ascii="Calibri" w:hAnsi="Calibri" w:cs="Calibri"/>
                <w:b/>
                <w:color w:val="auto"/>
                <w:szCs w:val="18"/>
              </w:rPr>
            </w:pPr>
            <w:r w:rsidRPr="0085588B">
              <w:rPr>
                <w:rFonts w:ascii="Calibri" w:hAnsi="Calibri" w:cs="Calibri"/>
                <w:b/>
                <w:color w:val="auto"/>
                <w:szCs w:val="18"/>
              </w:rPr>
              <w:t>80</w:t>
            </w:r>
            <w:r>
              <w:rPr>
                <w:rFonts w:ascii="Calibri" w:hAnsi="Calibri" w:cs="Calibri"/>
                <w:b/>
                <w:color w:val="auto"/>
                <w:szCs w:val="18"/>
              </w:rPr>
              <w:t xml:space="preserve"> </w:t>
            </w:r>
            <w:r w:rsidRPr="0085588B">
              <w:rPr>
                <w:rFonts w:ascii="Calibri" w:hAnsi="Calibri" w:cs="Calibri"/>
                <w:b/>
                <w:color w:val="auto"/>
                <w:szCs w:val="18"/>
              </w:rPr>
              <w:t>204</w:t>
            </w:r>
          </w:p>
        </w:tc>
      </w:tr>
      <w:bookmarkEnd w:id="161"/>
    </w:tbl>
    <w:p w:rsidR="0085588B" w:rsidRPr="000B697A" w:rsidRDefault="0085588B" w:rsidP="00492DF1">
      <w:pPr>
        <w:rPr>
          <w:rFonts w:cs="Calibri"/>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4547"/>
        <w:gridCol w:w="1262"/>
        <w:gridCol w:w="1275"/>
        <w:gridCol w:w="1273"/>
        <w:gridCol w:w="1304"/>
      </w:tblGrid>
      <w:tr w:rsidR="00100052" w:rsidRPr="000B697A" w:rsidTr="0085588B">
        <w:trPr>
          <w:trHeight w:val="170"/>
          <w:jc w:val="center"/>
        </w:trPr>
        <w:tc>
          <w:tcPr>
            <w:tcW w:w="2353" w:type="pct"/>
            <w:shd w:val="clear" w:color="auto" w:fill="4F81BD" w:themeFill="accent1"/>
            <w:vAlign w:val="bottom"/>
          </w:tcPr>
          <w:p w:rsidR="00100052" w:rsidRPr="000B697A" w:rsidRDefault="00100052" w:rsidP="0045294E">
            <w:pPr>
              <w:pStyle w:val="a4"/>
              <w:jc w:val="left"/>
              <w:rPr>
                <w:rFonts w:ascii="Calibri" w:hAnsi="Calibri" w:cs="Calibri"/>
                <w:color w:val="FFFFFF" w:themeColor="background1"/>
              </w:rPr>
            </w:pPr>
            <w:r w:rsidRPr="000B697A">
              <w:rPr>
                <w:rFonts w:ascii="Calibri" w:hAnsi="Calibri" w:cs="Calibri"/>
                <w:color w:val="FFFFFF" w:themeColor="background1"/>
              </w:rPr>
              <w:t>31 декември 2017</w:t>
            </w:r>
          </w:p>
        </w:tc>
        <w:tc>
          <w:tcPr>
            <w:tcW w:w="1313" w:type="pct"/>
            <w:gridSpan w:val="2"/>
            <w:shd w:val="clear" w:color="auto" w:fill="4F81BD" w:themeFill="accent1"/>
          </w:tcPr>
          <w:p w:rsidR="00100052" w:rsidRPr="000B697A" w:rsidRDefault="00100052" w:rsidP="0045294E">
            <w:pPr>
              <w:pStyle w:val="a4"/>
              <w:rPr>
                <w:rFonts w:ascii="Calibri" w:hAnsi="Calibri" w:cs="Calibri"/>
                <w:color w:val="FFFFFF" w:themeColor="background1"/>
              </w:rPr>
            </w:pPr>
            <w:r w:rsidRPr="000B697A">
              <w:rPr>
                <w:rFonts w:ascii="Calibri" w:hAnsi="Calibri" w:cs="Calibri"/>
                <w:color w:val="FFFFFF" w:themeColor="background1"/>
              </w:rPr>
              <w:t>Лихвени</w:t>
            </w:r>
          </w:p>
        </w:tc>
        <w:tc>
          <w:tcPr>
            <w:tcW w:w="659" w:type="pct"/>
            <w:shd w:val="clear" w:color="auto" w:fill="4F81BD" w:themeFill="accent1"/>
            <w:vAlign w:val="bottom"/>
          </w:tcPr>
          <w:p w:rsidR="00100052" w:rsidRPr="000B697A" w:rsidRDefault="00100052" w:rsidP="0045294E">
            <w:pPr>
              <w:pStyle w:val="a4"/>
              <w:rPr>
                <w:rFonts w:ascii="Calibri" w:hAnsi="Calibri" w:cs="Calibri"/>
                <w:color w:val="FFFFFF" w:themeColor="background1"/>
              </w:rPr>
            </w:pPr>
            <w:r w:rsidRPr="000B697A">
              <w:rPr>
                <w:rFonts w:ascii="Calibri" w:hAnsi="Calibri" w:cs="Calibri"/>
                <w:color w:val="FFFFFF" w:themeColor="background1"/>
              </w:rPr>
              <w:t>Нелихвени</w:t>
            </w:r>
          </w:p>
        </w:tc>
        <w:tc>
          <w:tcPr>
            <w:tcW w:w="675" w:type="pct"/>
            <w:shd w:val="clear" w:color="auto" w:fill="4F81BD" w:themeFill="accent1"/>
            <w:noWrap/>
            <w:vAlign w:val="bottom"/>
          </w:tcPr>
          <w:p w:rsidR="00100052" w:rsidRPr="000B697A" w:rsidRDefault="00100052" w:rsidP="0045294E">
            <w:pPr>
              <w:pStyle w:val="a4"/>
              <w:rPr>
                <w:rFonts w:ascii="Calibri" w:hAnsi="Calibri" w:cs="Calibri"/>
                <w:color w:val="FFFFFF" w:themeColor="background1"/>
              </w:rPr>
            </w:pPr>
            <w:r w:rsidRPr="000B697A">
              <w:rPr>
                <w:rFonts w:ascii="Calibri" w:hAnsi="Calibri" w:cs="Calibri"/>
                <w:color w:val="FFFFFF" w:themeColor="background1"/>
              </w:rPr>
              <w:t>Общо</w:t>
            </w:r>
          </w:p>
        </w:tc>
      </w:tr>
      <w:tr w:rsidR="00100052" w:rsidRPr="000B697A" w:rsidTr="0085588B">
        <w:trPr>
          <w:trHeight w:val="170"/>
          <w:jc w:val="center"/>
        </w:trPr>
        <w:tc>
          <w:tcPr>
            <w:tcW w:w="2353" w:type="pct"/>
            <w:shd w:val="clear" w:color="auto" w:fill="4F81BD" w:themeFill="accent1"/>
            <w:vAlign w:val="bottom"/>
            <w:hideMark/>
          </w:tcPr>
          <w:p w:rsidR="00100052" w:rsidRPr="000B697A" w:rsidRDefault="00100052" w:rsidP="0045294E">
            <w:pPr>
              <w:pStyle w:val="a4"/>
              <w:rPr>
                <w:rFonts w:ascii="Calibri" w:hAnsi="Calibri" w:cs="Calibri"/>
                <w:color w:val="FFFFFF" w:themeColor="background1"/>
              </w:rPr>
            </w:pPr>
          </w:p>
        </w:tc>
        <w:tc>
          <w:tcPr>
            <w:tcW w:w="653" w:type="pct"/>
            <w:shd w:val="clear" w:color="auto" w:fill="4F81BD" w:themeFill="accent1"/>
            <w:hideMark/>
          </w:tcPr>
          <w:p w:rsidR="00100052" w:rsidRPr="000B697A" w:rsidRDefault="00100052" w:rsidP="0045294E">
            <w:pPr>
              <w:pStyle w:val="a4"/>
              <w:rPr>
                <w:rFonts w:ascii="Calibri" w:hAnsi="Calibri" w:cs="Calibri"/>
                <w:color w:val="FFFFFF" w:themeColor="background1"/>
              </w:rPr>
            </w:pPr>
            <w:r w:rsidRPr="000B697A">
              <w:rPr>
                <w:rFonts w:ascii="Calibri" w:hAnsi="Calibri" w:cs="Calibri"/>
                <w:color w:val="FFFFFF" w:themeColor="background1"/>
              </w:rPr>
              <w:t>Фиксиран %</w:t>
            </w:r>
          </w:p>
        </w:tc>
        <w:tc>
          <w:tcPr>
            <w:tcW w:w="660" w:type="pct"/>
            <w:shd w:val="clear" w:color="auto" w:fill="4F81BD" w:themeFill="accent1"/>
            <w:hideMark/>
          </w:tcPr>
          <w:p w:rsidR="00100052" w:rsidRPr="000B697A" w:rsidRDefault="00100052" w:rsidP="0045294E">
            <w:pPr>
              <w:pStyle w:val="a4"/>
              <w:rPr>
                <w:rFonts w:ascii="Calibri" w:hAnsi="Calibri" w:cs="Calibri"/>
                <w:color w:val="FFFFFF" w:themeColor="background1"/>
              </w:rPr>
            </w:pPr>
            <w:r w:rsidRPr="000B697A">
              <w:rPr>
                <w:rFonts w:ascii="Calibri" w:hAnsi="Calibri" w:cs="Calibri"/>
                <w:color w:val="FFFFFF" w:themeColor="background1"/>
              </w:rPr>
              <w:t>Плаващ %</w:t>
            </w:r>
          </w:p>
        </w:tc>
        <w:tc>
          <w:tcPr>
            <w:tcW w:w="659" w:type="pct"/>
            <w:shd w:val="clear" w:color="auto" w:fill="4F81BD" w:themeFill="accent1"/>
            <w:vAlign w:val="bottom"/>
            <w:hideMark/>
          </w:tcPr>
          <w:p w:rsidR="00100052" w:rsidRPr="000B697A" w:rsidRDefault="00100052" w:rsidP="0045294E">
            <w:pPr>
              <w:pStyle w:val="a4"/>
              <w:rPr>
                <w:rFonts w:ascii="Calibri" w:hAnsi="Calibri" w:cs="Calibri"/>
                <w:color w:val="FFFFFF" w:themeColor="background1"/>
              </w:rPr>
            </w:pPr>
          </w:p>
        </w:tc>
        <w:tc>
          <w:tcPr>
            <w:tcW w:w="675" w:type="pct"/>
            <w:shd w:val="clear" w:color="auto" w:fill="4F81BD" w:themeFill="accent1"/>
            <w:noWrap/>
            <w:vAlign w:val="bottom"/>
            <w:hideMark/>
          </w:tcPr>
          <w:p w:rsidR="00100052" w:rsidRPr="000B697A" w:rsidRDefault="00100052" w:rsidP="0045294E">
            <w:pPr>
              <w:pStyle w:val="a4"/>
              <w:rPr>
                <w:rFonts w:ascii="Calibri" w:hAnsi="Calibri" w:cs="Calibri"/>
                <w:color w:val="FFFFFF" w:themeColor="background1"/>
              </w:rPr>
            </w:pPr>
          </w:p>
        </w:tc>
      </w:tr>
      <w:tr w:rsidR="00100052" w:rsidRPr="000B697A" w:rsidTr="0085588B">
        <w:trPr>
          <w:trHeight w:val="170"/>
          <w:jc w:val="center"/>
        </w:trPr>
        <w:tc>
          <w:tcPr>
            <w:tcW w:w="2353" w:type="pct"/>
            <w:shd w:val="clear" w:color="auto" w:fill="4F81BD" w:themeFill="accent1"/>
            <w:vAlign w:val="bottom"/>
            <w:hideMark/>
          </w:tcPr>
          <w:p w:rsidR="00100052" w:rsidRPr="000B697A" w:rsidRDefault="00100052" w:rsidP="0045294E">
            <w:pPr>
              <w:pStyle w:val="a4"/>
              <w:rPr>
                <w:rFonts w:ascii="Calibri" w:hAnsi="Calibri" w:cs="Calibri"/>
                <w:color w:val="FFFFFF" w:themeColor="background1"/>
              </w:rPr>
            </w:pPr>
          </w:p>
        </w:tc>
        <w:tc>
          <w:tcPr>
            <w:tcW w:w="653" w:type="pct"/>
            <w:shd w:val="clear" w:color="auto" w:fill="4F81BD" w:themeFill="accent1"/>
            <w:vAlign w:val="bottom"/>
            <w:hideMark/>
          </w:tcPr>
          <w:p w:rsidR="00100052" w:rsidRPr="000B697A" w:rsidRDefault="00100052" w:rsidP="0045294E">
            <w:pPr>
              <w:pStyle w:val="a4"/>
              <w:rPr>
                <w:rFonts w:ascii="Calibri" w:hAnsi="Calibri" w:cs="Calibri"/>
                <w:color w:val="FFFFFF" w:themeColor="background1"/>
              </w:rPr>
            </w:pPr>
            <w:r w:rsidRPr="000B697A">
              <w:rPr>
                <w:rFonts w:ascii="Calibri" w:hAnsi="Calibri" w:cs="Calibri"/>
                <w:color w:val="FFFFFF" w:themeColor="background1"/>
              </w:rPr>
              <w:t>BGN '000</w:t>
            </w:r>
          </w:p>
        </w:tc>
        <w:tc>
          <w:tcPr>
            <w:tcW w:w="660" w:type="pct"/>
            <w:shd w:val="clear" w:color="auto" w:fill="4F81BD" w:themeFill="accent1"/>
            <w:vAlign w:val="bottom"/>
            <w:hideMark/>
          </w:tcPr>
          <w:p w:rsidR="00100052" w:rsidRPr="000B697A" w:rsidRDefault="00100052" w:rsidP="0045294E">
            <w:pPr>
              <w:pStyle w:val="a4"/>
              <w:rPr>
                <w:rFonts w:ascii="Calibri" w:hAnsi="Calibri" w:cs="Calibri"/>
                <w:color w:val="FFFFFF" w:themeColor="background1"/>
              </w:rPr>
            </w:pPr>
            <w:r w:rsidRPr="000B697A">
              <w:rPr>
                <w:rFonts w:ascii="Calibri" w:hAnsi="Calibri" w:cs="Calibri"/>
                <w:color w:val="FFFFFF" w:themeColor="background1"/>
              </w:rPr>
              <w:t>BGN '000</w:t>
            </w:r>
          </w:p>
        </w:tc>
        <w:tc>
          <w:tcPr>
            <w:tcW w:w="659" w:type="pct"/>
            <w:shd w:val="clear" w:color="auto" w:fill="4F81BD" w:themeFill="accent1"/>
            <w:vAlign w:val="bottom"/>
            <w:hideMark/>
          </w:tcPr>
          <w:p w:rsidR="00100052" w:rsidRPr="000B697A" w:rsidRDefault="00100052" w:rsidP="0045294E">
            <w:pPr>
              <w:pStyle w:val="a4"/>
              <w:rPr>
                <w:rFonts w:ascii="Calibri" w:hAnsi="Calibri" w:cs="Calibri"/>
                <w:color w:val="FFFFFF" w:themeColor="background1"/>
              </w:rPr>
            </w:pPr>
            <w:r w:rsidRPr="000B697A">
              <w:rPr>
                <w:rFonts w:ascii="Calibri" w:hAnsi="Calibri" w:cs="Calibri"/>
                <w:color w:val="FFFFFF" w:themeColor="background1"/>
              </w:rPr>
              <w:t>BGN '000</w:t>
            </w:r>
          </w:p>
        </w:tc>
        <w:tc>
          <w:tcPr>
            <w:tcW w:w="675" w:type="pct"/>
            <w:shd w:val="clear" w:color="auto" w:fill="4F81BD" w:themeFill="accent1"/>
            <w:vAlign w:val="bottom"/>
            <w:hideMark/>
          </w:tcPr>
          <w:p w:rsidR="00100052" w:rsidRPr="000B697A" w:rsidRDefault="00100052" w:rsidP="0045294E">
            <w:pPr>
              <w:pStyle w:val="a4"/>
              <w:rPr>
                <w:rFonts w:ascii="Calibri" w:hAnsi="Calibri" w:cs="Calibri"/>
                <w:color w:val="FFFFFF" w:themeColor="background1"/>
              </w:rPr>
            </w:pPr>
            <w:r w:rsidRPr="000B697A">
              <w:rPr>
                <w:rFonts w:ascii="Calibri" w:hAnsi="Calibri" w:cs="Calibri"/>
                <w:color w:val="FFFFFF" w:themeColor="background1"/>
              </w:rPr>
              <w:t>BGN '000</w:t>
            </w:r>
          </w:p>
        </w:tc>
      </w:tr>
      <w:tr w:rsidR="00100052" w:rsidRPr="000B697A" w:rsidTr="0085588B">
        <w:trPr>
          <w:trHeight w:val="170"/>
          <w:jc w:val="center"/>
        </w:trPr>
        <w:tc>
          <w:tcPr>
            <w:tcW w:w="2353" w:type="pct"/>
            <w:shd w:val="clear" w:color="auto" w:fill="auto"/>
            <w:vAlign w:val="bottom"/>
            <w:hideMark/>
          </w:tcPr>
          <w:p w:rsidR="00100052" w:rsidRPr="000B697A" w:rsidRDefault="00100052" w:rsidP="0045294E">
            <w:pPr>
              <w:pStyle w:val="a5"/>
              <w:rPr>
                <w:rFonts w:ascii="Calibri" w:hAnsi="Calibri" w:cs="Calibri"/>
                <w:b/>
                <w:color w:val="auto"/>
                <w:szCs w:val="20"/>
              </w:rPr>
            </w:pPr>
            <w:r w:rsidRPr="000B697A">
              <w:rPr>
                <w:rFonts w:ascii="Calibri" w:hAnsi="Calibri" w:cs="Calibri"/>
                <w:b/>
                <w:color w:val="auto"/>
                <w:szCs w:val="20"/>
              </w:rPr>
              <w:t>Финансови активи</w:t>
            </w:r>
          </w:p>
        </w:tc>
        <w:tc>
          <w:tcPr>
            <w:tcW w:w="653" w:type="pct"/>
            <w:shd w:val="clear" w:color="auto" w:fill="auto"/>
            <w:vAlign w:val="bottom"/>
            <w:hideMark/>
          </w:tcPr>
          <w:p w:rsidR="00100052" w:rsidRPr="000B697A" w:rsidRDefault="00100052" w:rsidP="0045294E">
            <w:pPr>
              <w:pStyle w:val="a5"/>
              <w:rPr>
                <w:rFonts w:ascii="Calibri" w:hAnsi="Calibri" w:cs="Calibri"/>
                <w:color w:val="auto"/>
                <w:szCs w:val="20"/>
              </w:rPr>
            </w:pPr>
          </w:p>
        </w:tc>
        <w:tc>
          <w:tcPr>
            <w:tcW w:w="660" w:type="pct"/>
            <w:shd w:val="clear" w:color="auto" w:fill="auto"/>
            <w:vAlign w:val="bottom"/>
            <w:hideMark/>
          </w:tcPr>
          <w:p w:rsidR="00100052" w:rsidRPr="000B697A" w:rsidRDefault="00100052" w:rsidP="0045294E">
            <w:pPr>
              <w:pStyle w:val="a5"/>
              <w:rPr>
                <w:rFonts w:ascii="Calibri" w:hAnsi="Calibri" w:cs="Calibri"/>
                <w:color w:val="auto"/>
                <w:szCs w:val="20"/>
              </w:rPr>
            </w:pPr>
          </w:p>
        </w:tc>
        <w:tc>
          <w:tcPr>
            <w:tcW w:w="659" w:type="pct"/>
            <w:shd w:val="clear" w:color="auto" w:fill="auto"/>
            <w:hideMark/>
          </w:tcPr>
          <w:p w:rsidR="00100052" w:rsidRPr="000B697A" w:rsidRDefault="00100052" w:rsidP="0045294E">
            <w:pPr>
              <w:pStyle w:val="a5"/>
              <w:rPr>
                <w:rFonts w:ascii="Calibri" w:hAnsi="Calibri" w:cs="Calibri"/>
                <w:color w:val="auto"/>
                <w:szCs w:val="20"/>
              </w:rPr>
            </w:pPr>
          </w:p>
        </w:tc>
        <w:tc>
          <w:tcPr>
            <w:tcW w:w="675" w:type="pct"/>
            <w:shd w:val="clear" w:color="auto" w:fill="auto"/>
            <w:noWrap/>
            <w:vAlign w:val="bottom"/>
            <w:hideMark/>
          </w:tcPr>
          <w:p w:rsidR="00100052" w:rsidRPr="000B697A" w:rsidRDefault="00100052" w:rsidP="0045294E">
            <w:pPr>
              <w:pStyle w:val="a5"/>
              <w:rPr>
                <w:rFonts w:ascii="Calibri" w:hAnsi="Calibri" w:cs="Calibri"/>
                <w:color w:val="auto"/>
                <w:szCs w:val="20"/>
              </w:rPr>
            </w:pPr>
          </w:p>
        </w:tc>
      </w:tr>
      <w:tr w:rsidR="00100052" w:rsidRPr="000B697A" w:rsidTr="0085588B">
        <w:trPr>
          <w:trHeight w:val="170"/>
          <w:jc w:val="center"/>
        </w:trPr>
        <w:tc>
          <w:tcPr>
            <w:tcW w:w="2353" w:type="pct"/>
            <w:shd w:val="clear" w:color="auto" w:fill="auto"/>
            <w:vAlign w:val="bottom"/>
            <w:hideMark/>
          </w:tcPr>
          <w:p w:rsidR="00100052" w:rsidRPr="000B697A" w:rsidRDefault="00100052" w:rsidP="0045294E">
            <w:pPr>
              <w:pStyle w:val="a5"/>
              <w:rPr>
                <w:rFonts w:ascii="Calibri" w:hAnsi="Calibri" w:cs="Calibri"/>
                <w:color w:val="auto"/>
                <w:szCs w:val="20"/>
              </w:rPr>
            </w:pPr>
            <w:r w:rsidRPr="000B697A">
              <w:rPr>
                <w:rFonts w:ascii="Calibri" w:hAnsi="Calibri" w:cs="Calibri"/>
                <w:color w:val="auto"/>
                <w:szCs w:val="20"/>
              </w:rPr>
              <w:t xml:space="preserve">Инвестиции държани до падеж </w:t>
            </w:r>
          </w:p>
        </w:tc>
        <w:tc>
          <w:tcPr>
            <w:tcW w:w="653"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3 969</w:t>
            </w:r>
          </w:p>
        </w:tc>
        <w:tc>
          <w:tcPr>
            <w:tcW w:w="660"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w:t>
            </w:r>
          </w:p>
        </w:tc>
        <w:tc>
          <w:tcPr>
            <w:tcW w:w="659"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49</w:t>
            </w:r>
          </w:p>
        </w:tc>
        <w:tc>
          <w:tcPr>
            <w:tcW w:w="675" w:type="pct"/>
            <w:shd w:val="clear" w:color="auto" w:fill="auto"/>
            <w:noWrap/>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4 018</w:t>
            </w:r>
          </w:p>
        </w:tc>
      </w:tr>
      <w:tr w:rsidR="00100052" w:rsidRPr="000B697A" w:rsidTr="0085588B">
        <w:trPr>
          <w:trHeight w:val="170"/>
          <w:jc w:val="center"/>
        </w:trPr>
        <w:tc>
          <w:tcPr>
            <w:tcW w:w="2353" w:type="pct"/>
            <w:shd w:val="clear" w:color="auto" w:fill="auto"/>
            <w:vAlign w:val="bottom"/>
            <w:hideMark/>
          </w:tcPr>
          <w:p w:rsidR="00100052" w:rsidRPr="000B697A" w:rsidRDefault="00100052" w:rsidP="0045294E">
            <w:pPr>
              <w:pStyle w:val="a5"/>
              <w:rPr>
                <w:rFonts w:ascii="Calibri" w:hAnsi="Calibri" w:cs="Calibri"/>
                <w:color w:val="auto"/>
                <w:szCs w:val="20"/>
              </w:rPr>
            </w:pPr>
            <w:r w:rsidRPr="000B697A">
              <w:rPr>
                <w:rFonts w:ascii="Calibri" w:hAnsi="Calibri" w:cs="Calibri"/>
                <w:color w:val="auto"/>
                <w:szCs w:val="20"/>
              </w:rPr>
              <w:t>Инвестиции на разположение за продажба</w:t>
            </w:r>
          </w:p>
        </w:tc>
        <w:tc>
          <w:tcPr>
            <w:tcW w:w="653"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2 008</w:t>
            </w:r>
          </w:p>
        </w:tc>
        <w:tc>
          <w:tcPr>
            <w:tcW w:w="660"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w:t>
            </w:r>
          </w:p>
        </w:tc>
        <w:tc>
          <w:tcPr>
            <w:tcW w:w="659"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355</w:t>
            </w:r>
          </w:p>
        </w:tc>
        <w:tc>
          <w:tcPr>
            <w:tcW w:w="675" w:type="pct"/>
            <w:shd w:val="clear" w:color="auto" w:fill="auto"/>
            <w:noWrap/>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2 363</w:t>
            </w:r>
          </w:p>
        </w:tc>
      </w:tr>
      <w:tr w:rsidR="00100052" w:rsidRPr="000B697A" w:rsidTr="0085588B">
        <w:trPr>
          <w:trHeight w:val="170"/>
          <w:jc w:val="center"/>
        </w:trPr>
        <w:tc>
          <w:tcPr>
            <w:tcW w:w="2353" w:type="pct"/>
            <w:shd w:val="clear" w:color="auto" w:fill="auto"/>
            <w:vAlign w:val="bottom"/>
            <w:hideMark/>
          </w:tcPr>
          <w:p w:rsidR="00100052" w:rsidRPr="000B697A" w:rsidRDefault="00100052" w:rsidP="0045294E">
            <w:pPr>
              <w:pStyle w:val="a5"/>
              <w:rPr>
                <w:rFonts w:ascii="Calibri" w:hAnsi="Calibri" w:cs="Calibri"/>
                <w:color w:val="auto"/>
                <w:szCs w:val="20"/>
              </w:rPr>
            </w:pPr>
            <w:r w:rsidRPr="000B697A">
              <w:rPr>
                <w:rFonts w:ascii="Calibri" w:hAnsi="Calibri" w:cs="Calibri"/>
                <w:color w:val="auto"/>
                <w:szCs w:val="20"/>
              </w:rPr>
              <w:t>Търговски вземания</w:t>
            </w:r>
          </w:p>
        </w:tc>
        <w:tc>
          <w:tcPr>
            <w:tcW w:w="653"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w:t>
            </w:r>
          </w:p>
        </w:tc>
        <w:tc>
          <w:tcPr>
            <w:tcW w:w="660"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w:t>
            </w:r>
          </w:p>
        </w:tc>
        <w:tc>
          <w:tcPr>
            <w:tcW w:w="659" w:type="pct"/>
            <w:shd w:val="clear" w:color="auto" w:fill="auto"/>
            <w:vAlign w:val="bottom"/>
            <w:hideMark/>
          </w:tcPr>
          <w:p w:rsidR="00100052" w:rsidRPr="000B697A" w:rsidRDefault="00100052" w:rsidP="00E50923">
            <w:pPr>
              <w:pStyle w:val="a6"/>
              <w:rPr>
                <w:rFonts w:ascii="Calibri" w:hAnsi="Calibri" w:cs="Calibri"/>
                <w:color w:val="auto"/>
                <w:szCs w:val="20"/>
              </w:rPr>
            </w:pPr>
            <w:r w:rsidRPr="000B697A">
              <w:rPr>
                <w:rFonts w:ascii="Calibri" w:hAnsi="Calibri" w:cs="Calibri"/>
                <w:color w:val="auto"/>
                <w:szCs w:val="20"/>
              </w:rPr>
              <w:t>12</w:t>
            </w:r>
            <w:r w:rsidR="00E50923" w:rsidRPr="000B697A">
              <w:rPr>
                <w:rFonts w:ascii="Calibri" w:hAnsi="Calibri" w:cs="Calibri"/>
                <w:color w:val="auto"/>
                <w:szCs w:val="20"/>
              </w:rPr>
              <w:t>2</w:t>
            </w:r>
          </w:p>
        </w:tc>
        <w:tc>
          <w:tcPr>
            <w:tcW w:w="675" w:type="pct"/>
            <w:shd w:val="clear" w:color="auto" w:fill="auto"/>
            <w:noWrap/>
            <w:vAlign w:val="bottom"/>
            <w:hideMark/>
          </w:tcPr>
          <w:p w:rsidR="00100052" w:rsidRPr="000B697A" w:rsidRDefault="00E50923" w:rsidP="0045294E">
            <w:pPr>
              <w:pStyle w:val="a6"/>
              <w:rPr>
                <w:rFonts w:ascii="Calibri" w:hAnsi="Calibri" w:cs="Calibri"/>
                <w:color w:val="auto"/>
                <w:szCs w:val="20"/>
              </w:rPr>
            </w:pPr>
            <w:r w:rsidRPr="000B697A">
              <w:rPr>
                <w:rFonts w:ascii="Calibri" w:hAnsi="Calibri" w:cs="Calibri"/>
                <w:color w:val="auto"/>
                <w:szCs w:val="20"/>
              </w:rPr>
              <w:t>122</w:t>
            </w:r>
          </w:p>
        </w:tc>
      </w:tr>
      <w:tr w:rsidR="00100052" w:rsidRPr="000B697A" w:rsidTr="0085588B">
        <w:trPr>
          <w:trHeight w:val="170"/>
          <w:jc w:val="center"/>
        </w:trPr>
        <w:tc>
          <w:tcPr>
            <w:tcW w:w="2353" w:type="pct"/>
            <w:shd w:val="clear" w:color="auto" w:fill="auto"/>
            <w:vAlign w:val="bottom"/>
            <w:hideMark/>
          </w:tcPr>
          <w:p w:rsidR="00100052" w:rsidRPr="000B697A" w:rsidRDefault="00100052" w:rsidP="0045294E">
            <w:pPr>
              <w:pStyle w:val="a5"/>
              <w:rPr>
                <w:rFonts w:ascii="Calibri" w:hAnsi="Calibri" w:cs="Calibri"/>
                <w:color w:val="auto"/>
                <w:szCs w:val="20"/>
              </w:rPr>
            </w:pPr>
            <w:r w:rsidRPr="000B697A">
              <w:rPr>
                <w:rFonts w:ascii="Calibri" w:hAnsi="Calibri" w:cs="Calibri"/>
                <w:color w:val="auto"/>
                <w:szCs w:val="20"/>
              </w:rPr>
              <w:t>Други текущи вземания</w:t>
            </w:r>
          </w:p>
        </w:tc>
        <w:tc>
          <w:tcPr>
            <w:tcW w:w="653"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1 214</w:t>
            </w:r>
          </w:p>
        </w:tc>
        <w:tc>
          <w:tcPr>
            <w:tcW w:w="660"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w:t>
            </w:r>
          </w:p>
        </w:tc>
        <w:tc>
          <w:tcPr>
            <w:tcW w:w="659"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w:t>
            </w:r>
          </w:p>
        </w:tc>
        <w:tc>
          <w:tcPr>
            <w:tcW w:w="675" w:type="pct"/>
            <w:shd w:val="clear" w:color="auto" w:fill="auto"/>
            <w:noWrap/>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1 214</w:t>
            </w:r>
          </w:p>
        </w:tc>
      </w:tr>
      <w:tr w:rsidR="00100052" w:rsidRPr="000B697A" w:rsidTr="0085588B">
        <w:trPr>
          <w:trHeight w:val="170"/>
          <w:jc w:val="center"/>
        </w:trPr>
        <w:tc>
          <w:tcPr>
            <w:tcW w:w="2353" w:type="pct"/>
            <w:shd w:val="clear" w:color="auto" w:fill="auto"/>
            <w:vAlign w:val="bottom"/>
            <w:hideMark/>
          </w:tcPr>
          <w:p w:rsidR="00100052" w:rsidRPr="000B697A" w:rsidRDefault="00100052" w:rsidP="0045294E">
            <w:pPr>
              <w:pStyle w:val="a5"/>
              <w:rPr>
                <w:rFonts w:ascii="Calibri" w:hAnsi="Calibri" w:cs="Calibri"/>
                <w:color w:val="auto"/>
                <w:szCs w:val="20"/>
              </w:rPr>
            </w:pPr>
            <w:r w:rsidRPr="000B697A">
              <w:rPr>
                <w:rFonts w:ascii="Calibri" w:hAnsi="Calibri" w:cs="Calibri"/>
                <w:color w:val="auto"/>
                <w:szCs w:val="20"/>
              </w:rPr>
              <w:t>Парични средства и парични еквиваленти</w:t>
            </w:r>
          </w:p>
        </w:tc>
        <w:tc>
          <w:tcPr>
            <w:tcW w:w="653"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w:t>
            </w:r>
          </w:p>
        </w:tc>
        <w:tc>
          <w:tcPr>
            <w:tcW w:w="660" w:type="pct"/>
            <w:shd w:val="clear" w:color="auto" w:fill="auto"/>
            <w:vAlign w:val="bottom"/>
            <w:hideMark/>
          </w:tcPr>
          <w:p w:rsidR="00100052" w:rsidRPr="000B697A" w:rsidRDefault="00100052" w:rsidP="00A6322B">
            <w:pPr>
              <w:pStyle w:val="a6"/>
              <w:rPr>
                <w:rFonts w:ascii="Calibri" w:hAnsi="Calibri" w:cs="Calibri"/>
                <w:color w:val="auto"/>
                <w:szCs w:val="20"/>
              </w:rPr>
            </w:pPr>
            <w:r w:rsidRPr="000B697A">
              <w:rPr>
                <w:rFonts w:ascii="Calibri" w:hAnsi="Calibri" w:cs="Calibri"/>
                <w:color w:val="auto"/>
                <w:szCs w:val="20"/>
              </w:rPr>
              <w:t xml:space="preserve">1 </w:t>
            </w:r>
            <w:r w:rsidR="00A6322B" w:rsidRPr="000B697A">
              <w:rPr>
                <w:rFonts w:ascii="Calibri" w:hAnsi="Calibri" w:cs="Calibri"/>
                <w:color w:val="auto"/>
                <w:szCs w:val="20"/>
              </w:rPr>
              <w:t>578</w:t>
            </w:r>
          </w:p>
        </w:tc>
        <w:tc>
          <w:tcPr>
            <w:tcW w:w="659"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5</w:t>
            </w:r>
          </w:p>
        </w:tc>
        <w:tc>
          <w:tcPr>
            <w:tcW w:w="675" w:type="pct"/>
            <w:shd w:val="clear" w:color="auto" w:fill="auto"/>
            <w:noWrap/>
            <w:vAlign w:val="bottom"/>
            <w:hideMark/>
          </w:tcPr>
          <w:p w:rsidR="00100052" w:rsidRPr="000B697A" w:rsidRDefault="00100052" w:rsidP="00E50923">
            <w:pPr>
              <w:pStyle w:val="a6"/>
              <w:rPr>
                <w:rFonts w:ascii="Calibri" w:hAnsi="Calibri" w:cs="Calibri"/>
                <w:color w:val="auto"/>
                <w:szCs w:val="20"/>
              </w:rPr>
            </w:pPr>
            <w:r w:rsidRPr="000B697A">
              <w:rPr>
                <w:rFonts w:ascii="Calibri" w:hAnsi="Calibri" w:cs="Calibri"/>
                <w:color w:val="auto"/>
                <w:szCs w:val="20"/>
              </w:rPr>
              <w:t>1 5</w:t>
            </w:r>
            <w:r w:rsidR="00E50923" w:rsidRPr="000B697A">
              <w:rPr>
                <w:rFonts w:ascii="Calibri" w:hAnsi="Calibri" w:cs="Calibri"/>
                <w:color w:val="auto"/>
                <w:szCs w:val="20"/>
              </w:rPr>
              <w:t>83</w:t>
            </w:r>
          </w:p>
        </w:tc>
      </w:tr>
      <w:tr w:rsidR="00100052" w:rsidRPr="000B697A" w:rsidTr="0085588B">
        <w:trPr>
          <w:trHeight w:val="170"/>
          <w:jc w:val="center"/>
        </w:trPr>
        <w:tc>
          <w:tcPr>
            <w:tcW w:w="2353" w:type="pct"/>
            <w:shd w:val="clear" w:color="auto" w:fill="auto"/>
            <w:vAlign w:val="bottom"/>
            <w:hideMark/>
          </w:tcPr>
          <w:p w:rsidR="00100052" w:rsidRPr="000B697A" w:rsidRDefault="00100052" w:rsidP="0045294E">
            <w:pPr>
              <w:pStyle w:val="a5"/>
              <w:rPr>
                <w:rFonts w:ascii="Calibri" w:hAnsi="Calibri" w:cs="Calibri"/>
                <w:b/>
                <w:color w:val="auto"/>
                <w:szCs w:val="20"/>
              </w:rPr>
            </w:pPr>
          </w:p>
        </w:tc>
        <w:tc>
          <w:tcPr>
            <w:tcW w:w="653" w:type="pct"/>
            <w:shd w:val="clear" w:color="auto" w:fill="auto"/>
            <w:vAlign w:val="bottom"/>
            <w:hideMark/>
          </w:tcPr>
          <w:p w:rsidR="00100052" w:rsidRPr="000B697A" w:rsidRDefault="00100052" w:rsidP="0045294E">
            <w:pPr>
              <w:pStyle w:val="a6"/>
              <w:rPr>
                <w:rFonts w:ascii="Calibri" w:hAnsi="Calibri" w:cs="Calibri"/>
                <w:b/>
                <w:color w:val="auto"/>
                <w:szCs w:val="20"/>
              </w:rPr>
            </w:pPr>
            <w:r w:rsidRPr="000B697A">
              <w:rPr>
                <w:rFonts w:ascii="Calibri" w:hAnsi="Calibri" w:cs="Calibri"/>
                <w:b/>
                <w:color w:val="auto"/>
                <w:szCs w:val="20"/>
              </w:rPr>
              <w:t>7 191</w:t>
            </w:r>
          </w:p>
        </w:tc>
        <w:tc>
          <w:tcPr>
            <w:tcW w:w="660" w:type="pct"/>
            <w:shd w:val="clear" w:color="auto" w:fill="auto"/>
            <w:vAlign w:val="bottom"/>
            <w:hideMark/>
          </w:tcPr>
          <w:p w:rsidR="00100052" w:rsidRPr="000B697A" w:rsidRDefault="00100052" w:rsidP="00A6322B">
            <w:pPr>
              <w:pStyle w:val="a6"/>
              <w:rPr>
                <w:rFonts w:ascii="Calibri" w:hAnsi="Calibri" w:cs="Calibri"/>
                <w:b/>
                <w:color w:val="auto"/>
                <w:szCs w:val="20"/>
              </w:rPr>
            </w:pPr>
            <w:r w:rsidRPr="000B697A">
              <w:rPr>
                <w:rFonts w:ascii="Calibri" w:hAnsi="Calibri" w:cs="Calibri"/>
                <w:b/>
                <w:color w:val="auto"/>
                <w:szCs w:val="20"/>
              </w:rPr>
              <w:t>1 </w:t>
            </w:r>
            <w:r w:rsidR="00A6322B" w:rsidRPr="000B697A">
              <w:rPr>
                <w:rFonts w:ascii="Calibri" w:hAnsi="Calibri" w:cs="Calibri"/>
                <w:b/>
                <w:color w:val="auto"/>
                <w:szCs w:val="20"/>
              </w:rPr>
              <w:t>578</w:t>
            </w:r>
          </w:p>
        </w:tc>
        <w:tc>
          <w:tcPr>
            <w:tcW w:w="659" w:type="pct"/>
            <w:shd w:val="clear" w:color="auto" w:fill="auto"/>
            <w:vAlign w:val="bottom"/>
            <w:hideMark/>
          </w:tcPr>
          <w:p w:rsidR="00100052" w:rsidRPr="000B697A" w:rsidRDefault="00100052" w:rsidP="00E50923">
            <w:pPr>
              <w:pStyle w:val="a6"/>
              <w:rPr>
                <w:rFonts w:ascii="Calibri" w:hAnsi="Calibri" w:cs="Calibri"/>
                <w:b/>
                <w:color w:val="auto"/>
                <w:szCs w:val="20"/>
              </w:rPr>
            </w:pPr>
            <w:r w:rsidRPr="000B697A">
              <w:rPr>
                <w:rFonts w:ascii="Calibri" w:hAnsi="Calibri" w:cs="Calibri"/>
                <w:b/>
                <w:color w:val="auto"/>
                <w:szCs w:val="20"/>
              </w:rPr>
              <w:t>53</w:t>
            </w:r>
            <w:r w:rsidR="00E50923" w:rsidRPr="000B697A">
              <w:rPr>
                <w:rFonts w:ascii="Calibri" w:hAnsi="Calibri" w:cs="Calibri"/>
                <w:b/>
                <w:color w:val="auto"/>
                <w:szCs w:val="20"/>
              </w:rPr>
              <w:t>1</w:t>
            </w:r>
          </w:p>
        </w:tc>
        <w:tc>
          <w:tcPr>
            <w:tcW w:w="675" w:type="pct"/>
            <w:shd w:val="clear" w:color="auto" w:fill="auto"/>
            <w:vAlign w:val="bottom"/>
            <w:hideMark/>
          </w:tcPr>
          <w:p w:rsidR="00E50923" w:rsidRPr="000B697A" w:rsidRDefault="00E50923" w:rsidP="00E50923">
            <w:pPr>
              <w:pStyle w:val="a6"/>
              <w:rPr>
                <w:rFonts w:ascii="Calibri" w:hAnsi="Calibri" w:cs="Calibri"/>
                <w:b/>
                <w:color w:val="auto"/>
                <w:szCs w:val="20"/>
              </w:rPr>
            </w:pPr>
            <w:r w:rsidRPr="000B697A">
              <w:rPr>
                <w:rFonts w:ascii="Calibri" w:hAnsi="Calibri" w:cs="Calibri"/>
                <w:b/>
                <w:color w:val="auto"/>
                <w:szCs w:val="20"/>
              </w:rPr>
              <w:t>9 300</w:t>
            </w:r>
          </w:p>
        </w:tc>
      </w:tr>
      <w:tr w:rsidR="00100052" w:rsidRPr="000B697A" w:rsidTr="0085588B">
        <w:trPr>
          <w:trHeight w:val="170"/>
          <w:jc w:val="center"/>
        </w:trPr>
        <w:tc>
          <w:tcPr>
            <w:tcW w:w="2353" w:type="pct"/>
            <w:shd w:val="clear" w:color="auto" w:fill="auto"/>
            <w:vAlign w:val="bottom"/>
            <w:hideMark/>
          </w:tcPr>
          <w:p w:rsidR="00100052" w:rsidRPr="000B697A" w:rsidRDefault="00100052" w:rsidP="0045294E">
            <w:pPr>
              <w:pStyle w:val="a5"/>
              <w:rPr>
                <w:rFonts w:ascii="Calibri" w:hAnsi="Calibri" w:cs="Calibri"/>
                <w:b/>
                <w:color w:val="auto"/>
                <w:szCs w:val="20"/>
              </w:rPr>
            </w:pPr>
            <w:r w:rsidRPr="000B697A">
              <w:rPr>
                <w:rFonts w:ascii="Calibri" w:hAnsi="Calibri" w:cs="Calibri"/>
                <w:b/>
                <w:color w:val="auto"/>
                <w:szCs w:val="20"/>
              </w:rPr>
              <w:t>Финансови пасиви</w:t>
            </w:r>
          </w:p>
        </w:tc>
        <w:tc>
          <w:tcPr>
            <w:tcW w:w="653" w:type="pct"/>
            <w:shd w:val="clear" w:color="auto" w:fill="auto"/>
            <w:vAlign w:val="bottom"/>
            <w:hideMark/>
          </w:tcPr>
          <w:p w:rsidR="00100052" w:rsidRPr="000B697A" w:rsidRDefault="00100052" w:rsidP="0045294E">
            <w:pPr>
              <w:pStyle w:val="a6"/>
              <w:rPr>
                <w:rFonts w:ascii="Calibri" w:hAnsi="Calibri" w:cs="Calibri"/>
                <w:color w:val="auto"/>
                <w:szCs w:val="20"/>
              </w:rPr>
            </w:pPr>
          </w:p>
        </w:tc>
        <w:tc>
          <w:tcPr>
            <w:tcW w:w="660" w:type="pct"/>
            <w:shd w:val="clear" w:color="auto" w:fill="auto"/>
            <w:vAlign w:val="bottom"/>
            <w:hideMark/>
          </w:tcPr>
          <w:p w:rsidR="00100052" w:rsidRPr="000B697A" w:rsidRDefault="00100052" w:rsidP="0045294E">
            <w:pPr>
              <w:pStyle w:val="a6"/>
              <w:rPr>
                <w:rFonts w:ascii="Calibri" w:hAnsi="Calibri" w:cs="Calibri"/>
                <w:color w:val="auto"/>
                <w:szCs w:val="20"/>
              </w:rPr>
            </w:pPr>
          </w:p>
        </w:tc>
        <w:tc>
          <w:tcPr>
            <w:tcW w:w="659" w:type="pct"/>
            <w:shd w:val="clear" w:color="auto" w:fill="auto"/>
            <w:vAlign w:val="bottom"/>
            <w:hideMark/>
          </w:tcPr>
          <w:p w:rsidR="00100052" w:rsidRPr="000B697A" w:rsidRDefault="00100052" w:rsidP="0045294E">
            <w:pPr>
              <w:pStyle w:val="a6"/>
              <w:rPr>
                <w:rFonts w:ascii="Calibri" w:hAnsi="Calibri" w:cs="Calibri"/>
                <w:color w:val="auto"/>
                <w:szCs w:val="20"/>
              </w:rPr>
            </w:pPr>
          </w:p>
        </w:tc>
        <w:tc>
          <w:tcPr>
            <w:tcW w:w="675" w:type="pct"/>
            <w:shd w:val="clear" w:color="auto" w:fill="auto"/>
            <w:noWrap/>
            <w:vAlign w:val="bottom"/>
            <w:hideMark/>
          </w:tcPr>
          <w:p w:rsidR="00100052" w:rsidRPr="000B697A" w:rsidRDefault="00100052" w:rsidP="0045294E">
            <w:pPr>
              <w:pStyle w:val="a6"/>
              <w:rPr>
                <w:rFonts w:ascii="Calibri" w:hAnsi="Calibri" w:cs="Calibri"/>
                <w:color w:val="auto"/>
                <w:szCs w:val="20"/>
              </w:rPr>
            </w:pPr>
          </w:p>
        </w:tc>
      </w:tr>
      <w:tr w:rsidR="00100052" w:rsidRPr="000B697A" w:rsidTr="0085588B">
        <w:trPr>
          <w:trHeight w:val="170"/>
          <w:jc w:val="center"/>
        </w:trPr>
        <w:tc>
          <w:tcPr>
            <w:tcW w:w="2353" w:type="pct"/>
            <w:shd w:val="clear" w:color="auto" w:fill="auto"/>
            <w:vAlign w:val="bottom"/>
            <w:hideMark/>
          </w:tcPr>
          <w:p w:rsidR="00100052" w:rsidRPr="000B697A" w:rsidRDefault="00100052" w:rsidP="0045294E">
            <w:pPr>
              <w:pStyle w:val="a5"/>
              <w:rPr>
                <w:rFonts w:ascii="Calibri" w:hAnsi="Calibri" w:cs="Calibri"/>
                <w:color w:val="auto"/>
                <w:szCs w:val="20"/>
              </w:rPr>
            </w:pPr>
            <w:r w:rsidRPr="000B697A">
              <w:rPr>
                <w:rFonts w:ascii="Calibri" w:hAnsi="Calibri" w:cs="Calibri"/>
                <w:color w:val="auto"/>
                <w:szCs w:val="20"/>
              </w:rPr>
              <w:t>Търговски задължения</w:t>
            </w:r>
          </w:p>
        </w:tc>
        <w:tc>
          <w:tcPr>
            <w:tcW w:w="653"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w:t>
            </w:r>
          </w:p>
        </w:tc>
        <w:tc>
          <w:tcPr>
            <w:tcW w:w="660"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w:t>
            </w:r>
          </w:p>
        </w:tc>
        <w:tc>
          <w:tcPr>
            <w:tcW w:w="659"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168</w:t>
            </w:r>
          </w:p>
        </w:tc>
        <w:tc>
          <w:tcPr>
            <w:tcW w:w="675" w:type="pct"/>
            <w:shd w:val="clear" w:color="auto" w:fill="auto"/>
            <w:noWrap/>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168</w:t>
            </w:r>
          </w:p>
        </w:tc>
      </w:tr>
      <w:tr w:rsidR="00100052" w:rsidRPr="000B697A" w:rsidTr="0085588B">
        <w:trPr>
          <w:trHeight w:val="170"/>
          <w:jc w:val="center"/>
        </w:trPr>
        <w:tc>
          <w:tcPr>
            <w:tcW w:w="2353" w:type="pct"/>
            <w:shd w:val="clear" w:color="auto" w:fill="auto"/>
            <w:vAlign w:val="bottom"/>
            <w:hideMark/>
          </w:tcPr>
          <w:p w:rsidR="00100052" w:rsidRPr="000B697A" w:rsidRDefault="00100052" w:rsidP="0045294E">
            <w:pPr>
              <w:pStyle w:val="a5"/>
              <w:rPr>
                <w:rFonts w:ascii="Calibri" w:hAnsi="Calibri" w:cs="Calibri"/>
                <w:color w:val="auto"/>
                <w:szCs w:val="20"/>
              </w:rPr>
            </w:pPr>
            <w:r w:rsidRPr="000B697A">
              <w:rPr>
                <w:rFonts w:ascii="Calibri" w:hAnsi="Calibri" w:cs="Calibri"/>
                <w:color w:val="auto"/>
                <w:szCs w:val="20"/>
              </w:rPr>
              <w:t>Задължения за дивиденти</w:t>
            </w:r>
          </w:p>
        </w:tc>
        <w:tc>
          <w:tcPr>
            <w:tcW w:w="653"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w:t>
            </w:r>
          </w:p>
        </w:tc>
        <w:tc>
          <w:tcPr>
            <w:tcW w:w="660"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w:t>
            </w:r>
          </w:p>
        </w:tc>
        <w:tc>
          <w:tcPr>
            <w:tcW w:w="659" w:type="pct"/>
            <w:shd w:val="clear" w:color="auto" w:fill="auto"/>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51</w:t>
            </w:r>
          </w:p>
        </w:tc>
        <w:tc>
          <w:tcPr>
            <w:tcW w:w="675" w:type="pct"/>
            <w:shd w:val="clear" w:color="auto" w:fill="auto"/>
            <w:noWrap/>
            <w:vAlign w:val="bottom"/>
            <w:hideMark/>
          </w:tcPr>
          <w:p w:rsidR="00100052" w:rsidRPr="000B697A" w:rsidRDefault="00100052" w:rsidP="0045294E">
            <w:pPr>
              <w:pStyle w:val="a6"/>
              <w:rPr>
                <w:rFonts w:ascii="Calibri" w:hAnsi="Calibri" w:cs="Calibri"/>
                <w:color w:val="auto"/>
                <w:szCs w:val="20"/>
              </w:rPr>
            </w:pPr>
            <w:r w:rsidRPr="000B697A">
              <w:rPr>
                <w:rFonts w:ascii="Calibri" w:hAnsi="Calibri" w:cs="Calibri"/>
                <w:color w:val="auto"/>
                <w:szCs w:val="20"/>
              </w:rPr>
              <w:t>51</w:t>
            </w:r>
          </w:p>
        </w:tc>
      </w:tr>
      <w:tr w:rsidR="00100052" w:rsidRPr="000B697A" w:rsidTr="0085588B">
        <w:trPr>
          <w:trHeight w:val="170"/>
          <w:jc w:val="center"/>
        </w:trPr>
        <w:tc>
          <w:tcPr>
            <w:tcW w:w="2353" w:type="pct"/>
            <w:shd w:val="clear" w:color="auto" w:fill="auto"/>
            <w:vAlign w:val="bottom"/>
            <w:hideMark/>
          </w:tcPr>
          <w:p w:rsidR="00100052" w:rsidRPr="000B697A" w:rsidRDefault="00100052" w:rsidP="0045294E">
            <w:pPr>
              <w:pStyle w:val="a5"/>
              <w:rPr>
                <w:rFonts w:ascii="Calibri" w:hAnsi="Calibri" w:cs="Calibri"/>
                <w:b/>
                <w:color w:val="auto"/>
                <w:szCs w:val="20"/>
              </w:rPr>
            </w:pPr>
          </w:p>
        </w:tc>
        <w:tc>
          <w:tcPr>
            <w:tcW w:w="653" w:type="pct"/>
            <w:shd w:val="clear" w:color="auto" w:fill="auto"/>
            <w:vAlign w:val="bottom"/>
            <w:hideMark/>
          </w:tcPr>
          <w:p w:rsidR="00100052" w:rsidRPr="000B697A" w:rsidRDefault="00100052" w:rsidP="0045294E">
            <w:pPr>
              <w:pStyle w:val="a6"/>
              <w:rPr>
                <w:rFonts w:ascii="Calibri" w:hAnsi="Calibri" w:cs="Calibri"/>
                <w:b/>
                <w:color w:val="auto"/>
                <w:szCs w:val="20"/>
              </w:rPr>
            </w:pPr>
            <w:r w:rsidRPr="000B697A">
              <w:rPr>
                <w:rFonts w:ascii="Calibri" w:hAnsi="Calibri" w:cs="Calibri"/>
                <w:b/>
                <w:color w:val="auto"/>
                <w:szCs w:val="20"/>
              </w:rPr>
              <w:t>-</w:t>
            </w:r>
          </w:p>
        </w:tc>
        <w:tc>
          <w:tcPr>
            <w:tcW w:w="660" w:type="pct"/>
            <w:shd w:val="clear" w:color="auto" w:fill="auto"/>
            <w:vAlign w:val="bottom"/>
            <w:hideMark/>
          </w:tcPr>
          <w:p w:rsidR="00100052" w:rsidRPr="000B697A" w:rsidRDefault="00100052" w:rsidP="0045294E">
            <w:pPr>
              <w:pStyle w:val="a6"/>
              <w:rPr>
                <w:rFonts w:ascii="Calibri" w:hAnsi="Calibri" w:cs="Calibri"/>
                <w:b/>
                <w:color w:val="auto"/>
                <w:szCs w:val="20"/>
              </w:rPr>
            </w:pPr>
            <w:r w:rsidRPr="000B697A">
              <w:rPr>
                <w:rFonts w:ascii="Calibri" w:hAnsi="Calibri" w:cs="Calibri"/>
                <w:b/>
                <w:color w:val="auto"/>
                <w:szCs w:val="20"/>
              </w:rPr>
              <w:t>-</w:t>
            </w:r>
          </w:p>
        </w:tc>
        <w:tc>
          <w:tcPr>
            <w:tcW w:w="659" w:type="pct"/>
            <w:shd w:val="clear" w:color="auto" w:fill="auto"/>
            <w:vAlign w:val="bottom"/>
            <w:hideMark/>
          </w:tcPr>
          <w:p w:rsidR="00100052" w:rsidRPr="000B697A" w:rsidRDefault="00100052" w:rsidP="0045294E">
            <w:pPr>
              <w:pStyle w:val="a6"/>
              <w:rPr>
                <w:rFonts w:ascii="Calibri" w:hAnsi="Calibri" w:cs="Calibri"/>
                <w:b/>
                <w:color w:val="auto"/>
                <w:szCs w:val="20"/>
              </w:rPr>
            </w:pPr>
            <w:r w:rsidRPr="000B697A">
              <w:rPr>
                <w:rFonts w:ascii="Calibri" w:hAnsi="Calibri" w:cs="Calibri"/>
                <w:b/>
                <w:color w:val="auto"/>
                <w:szCs w:val="20"/>
              </w:rPr>
              <w:t>219</w:t>
            </w:r>
          </w:p>
        </w:tc>
        <w:tc>
          <w:tcPr>
            <w:tcW w:w="675" w:type="pct"/>
            <w:shd w:val="clear" w:color="auto" w:fill="auto"/>
            <w:vAlign w:val="bottom"/>
            <w:hideMark/>
          </w:tcPr>
          <w:p w:rsidR="00100052" w:rsidRPr="000B697A" w:rsidRDefault="00100052" w:rsidP="0045294E">
            <w:pPr>
              <w:pStyle w:val="a6"/>
              <w:rPr>
                <w:rFonts w:ascii="Calibri" w:hAnsi="Calibri" w:cs="Calibri"/>
                <w:b/>
                <w:color w:val="auto"/>
                <w:szCs w:val="20"/>
              </w:rPr>
            </w:pPr>
            <w:r w:rsidRPr="000B697A">
              <w:rPr>
                <w:rFonts w:ascii="Calibri" w:hAnsi="Calibri" w:cs="Calibri"/>
                <w:b/>
                <w:color w:val="auto"/>
                <w:szCs w:val="20"/>
              </w:rPr>
              <w:t>219</w:t>
            </w:r>
          </w:p>
        </w:tc>
      </w:tr>
    </w:tbl>
    <w:p w:rsidR="006F184F" w:rsidRPr="000B697A" w:rsidRDefault="006F184F" w:rsidP="00492DF1">
      <w:pPr>
        <w:rPr>
          <w:rFonts w:cs="Calibri"/>
        </w:rPr>
      </w:pPr>
    </w:p>
    <w:p w:rsidR="003939A6" w:rsidRPr="000B697A" w:rsidRDefault="002B5183" w:rsidP="003939A6">
      <w:pPr>
        <w:rPr>
          <w:rFonts w:cs="Calibri"/>
        </w:rPr>
      </w:pPr>
      <w:r w:rsidRPr="000B697A">
        <w:rPr>
          <w:rFonts w:cs="Calibri"/>
        </w:rPr>
        <w:lastRenderedPageBreak/>
        <w:t>Към 31.12.201</w:t>
      </w:r>
      <w:r w:rsidR="0085588B">
        <w:rPr>
          <w:rFonts w:cs="Calibri"/>
        </w:rPr>
        <w:t>8</w:t>
      </w:r>
      <w:r w:rsidRPr="000B697A">
        <w:rPr>
          <w:rFonts w:cs="Calibri"/>
        </w:rPr>
        <w:t xml:space="preserve"> г. парични средства на срочни депозити в банки </w:t>
      </w:r>
      <w:r w:rsidR="00E50923" w:rsidRPr="000B697A">
        <w:rPr>
          <w:rFonts w:cs="Calibri"/>
        </w:rPr>
        <w:t>няма</w:t>
      </w:r>
      <w:r w:rsidRPr="000B697A">
        <w:rPr>
          <w:rFonts w:cs="Calibri"/>
        </w:rPr>
        <w:t>. (31.12.201</w:t>
      </w:r>
      <w:r w:rsidR="0085588B">
        <w:rPr>
          <w:rFonts w:cs="Calibri"/>
        </w:rPr>
        <w:t>7</w:t>
      </w:r>
      <w:r w:rsidRPr="000B697A">
        <w:rPr>
          <w:rFonts w:cs="Calibri"/>
        </w:rPr>
        <w:t xml:space="preserve"> г. : </w:t>
      </w:r>
      <w:r w:rsidR="0085588B">
        <w:rPr>
          <w:rFonts w:cs="Calibri"/>
        </w:rPr>
        <w:t>няма</w:t>
      </w:r>
      <w:r w:rsidR="00E50923" w:rsidRPr="000B697A">
        <w:rPr>
          <w:rFonts w:cs="Calibri"/>
        </w:rPr>
        <w:t>)</w:t>
      </w:r>
      <w:r w:rsidR="003939A6" w:rsidRPr="000B697A">
        <w:rPr>
          <w:rFonts w:cs="Calibri"/>
        </w:rPr>
        <w:t>.</w:t>
      </w:r>
    </w:p>
    <w:p w:rsidR="00380BFE" w:rsidRPr="000B697A" w:rsidRDefault="0085588B" w:rsidP="003939A6">
      <w:pPr>
        <w:rPr>
          <w:rFonts w:cs="Calibri"/>
        </w:rPr>
      </w:pPr>
      <w:r>
        <w:rPr>
          <w:rFonts w:cs="Calibri"/>
        </w:rPr>
        <w:t>Наличните към 31.12.2018</w:t>
      </w:r>
      <w:r w:rsidR="002B5183" w:rsidRPr="000B697A">
        <w:rPr>
          <w:rFonts w:cs="Calibri"/>
        </w:rPr>
        <w:t xml:space="preserve"> г. парични средства са по текущи сметки на дружеств</w:t>
      </w:r>
      <w:r w:rsidR="00A6322B" w:rsidRPr="000B697A">
        <w:rPr>
          <w:rFonts w:cs="Calibri"/>
        </w:rPr>
        <w:t>а</w:t>
      </w:r>
      <w:r w:rsidR="002B5183" w:rsidRPr="000B697A">
        <w:rPr>
          <w:rFonts w:cs="Calibri"/>
        </w:rPr>
        <w:t>т</w:t>
      </w:r>
      <w:r w:rsidR="00A6322B" w:rsidRPr="000B697A">
        <w:rPr>
          <w:rFonts w:cs="Calibri"/>
        </w:rPr>
        <w:t>а</w:t>
      </w:r>
      <w:r w:rsidR="002B5183" w:rsidRPr="000B697A">
        <w:rPr>
          <w:rFonts w:cs="Calibri"/>
        </w:rPr>
        <w:t xml:space="preserve"> </w:t>
      </w:r>
      <w:r w:rsidR="00A6322B" w:rsidRPr="000B697A">
        <w:rPr>
          <w:rFonts w:cs="Calibri"/>
        </w:rPr>
        <w:t xml:space="preserve">от Групата </w:t>
      </w:r>
      <w:r w:rsidR="002B5183" w:rsidRPr="000B697A">
        <w:rPr>
          <w:rFonts w:cs="Calibri"/>
        </w:rPr>
        <w:t xml:space="preserve">в следните банки: </w:t>
      </w:r>
      <w:r w:rsidRPr="00774499">
        <w:rPr>
          <w:szCs w:val="20"/>
        </w:rPr>
        <w:t>Юробанк България АД, Обединена Българска Банка АД, Тексим Банк АД, Ситибанк Европа АД – клон България, Централна кооперативна банка АД, Сосиете Женерал Експресбанк АД, Уникредит Булбанк АД</w:t>
      </w:r>
      <w:r w:rsidR="002B5183" w:rsidRPr="000B697A">
        <w:rPr>
          <w:rFonts w:cs="Calibri"/>
        </w:rPr>
        <w:t>.</w:t>
      </w:r>
    </w:p>
    <w:p w:rsidR="007D0731" w:rsidRPr="000B697A" w:rsidRDefault="00010F33" w:rsidP="00A46753">
      <w:pPr>
        <w:pStyle w:val="Mainnumbers"/>
        <w:outlineLvl w:val="0"/>
        <w:rPr>
          <w:rFonts w:cs="Calibri"/>
          <w:lang w:val="bg-BG"/>
        </w:rPr>
      </w:pPr>
      <w:bookmarkStart w:id="162" w:name="_Toc6923288"/>
      <w:r w:rsidRPr="000B697A">
        <w:rPr>
          <w:rFonts w:cs="Calibri"/>
          <w:lang w:val="bg-BG"/>
        </w:rPr>
        <w:t>КОРПОРАТИВНО УПРАВЛЕНИЕ</w:t>
      </w:r>
      <w:bookmarkEnd w:id="162"/>
    </w:p>
    <w:p w:rsidR="00A30809" w:rsidRPr="000B697A" w:rsidRDefault="00A30809" w:rsidP="00846D25">
      <w:pPr>
        <w:rPr>
          <w:rFonts w:cs="Calibri"/>
        </w:rPr>
      </w:pPr>
      <w:r w:rsidRPr="000B697A">
        <w:rPr>
          <w:rFonts w:cs="Calibri"/>
        </w:rPr>
        <w:t xml:space="preserve">Дружеството-майка „Българска </w:t>
      </w:r>
      <w:r w:rsidR="0085588B" w:rsidRPr="000B697A">
        <w:rPr>
          <w:rFonts w:cs="Calibri"/>
        </w:rPr>
        <w:t>фондова борса</w:t>
      </w:r>
      <w:r w:rsidRPr="000B697A">
        <w:rPr>
          <w:rFonts w:cs="Calibri"/>
        </w:rPr>
        <w:t>“ АД е публично дружество, лицензирано от Държавната комисия по ценни книжа за извършване на дейност като фондова борса на 09.10.1997 г. и към настоящия момент е единствената действаща фондова борса в страната. Работата на Борсата винаги е била обект на специфични изисквания, свързани с поддържането на високи стандарти и прозрачност. Като водеща институция в постигането на трайна промяна на публичните политики в България, на прозрачността и публичността на капиталовия пазар, „</w:t>
      </w:r>
      <w:r w:rsidR="0085588B" w:rsidRPr="000B697A">
        <w:rPr>
          <w:rFonts w:cs="Calibri"/>
        </w:rPr>
        <w:t>Българска фондова борса</w:t>
      </w:r>
      <w:r w:rsidRPr="000B697A">
        <w:rPr>
          <w:rFonts w:cs="Calibri"/>
        </w:rPr>
        <w:t>“ АД винаги е била сред най-активните пазарни участници по отношение предприемането на различни инициативи свързани с повишаване качеството на корпоративното управление на публичните дружества у нас.</w:t>
      </w:r>
    </w:p>
    <w:p w:rsidR="00A30809" w:rsidRPr="000B697A" w:rsidRDefault="00A30809" w:rsidP="00846D25">
      <w:pPr>
        <w:rPr>
          <w:rFonts w:cs="Calibri"/>
        </w:rPr>
      </w:pPr>
      <w:r w:rsidRPr="000B697A">
        <w:rPr>
          <w:rFonts w:cs="Calibri"/>
        </w:rPr>
        <w:t>„</w:t>
      </w:r>
      <w:r w:rsidR="0085588B" w:rsidRPr="000B697A">
        <w:rPr>
          <w:rFonts w:cs="Calibri"/>
        </w:rPr>
        <w:t>Българска фондова борса</w:t>
      </w:r>
      <w:r w:rsidRPr="000B697A">
        <w:rPr>
          <w:rFonts w:cs="Calibri"/>
        </w:rPr>
        <w:t xml:space="preserve">“ АД вярва, че повишаването на качеството на корпоративното управление на дружествата у нас е едно от основните условия за увеличаване конкурентоспособността на българските компании и привличането на чуждестранни капитали. Именно с цел повишаване на доверието на националните и международни инвеститори, и на широката публика като цяло към управлението и надзора на публичните дружества у нас, още през 2006 г. Борсата разработи и прие Кодекс на корпоративното управление, чрез който предостави на бизнеса еталон, на база на който да определи състоянието и готовността си по отношение на прилагането на основните общоприети принципи на корпоративно управление. </w:t>
      </w:r>
    </w:p>
    <w:p w:rsidR="00A30809" w:rsidRPr="000B697A" w:rsidRDefault="00A30809" w:rsidP="00846D25">
      <w:pPr>
        <w:rPr>
          <w:rFonts w:cs="Calibri"/>
        </w:rPr>
      </w:pPr>
      <w:r w:rsidRPr="000B697A">
        <w:rPr>
          <w:rFonts w:cs="Calibri"/>
        </w:rPr>
        <w:t>Успоредно с разработването на своя Кодекс, „БФБ“ АД се включи и като инициатор в разработването на мащабен проект с национално значение – създаването на Национален кодекс за корпоративно управление. Националният кодекс на корпоративното управление бе официално представен на обществеността на 10.10.2007 г., а две години по-късно, през септември 2009 г., за да насърчава прилагането на добрите практики по корпоративно управление залегнали в него, бе учредена Национална комисия по корпоративно управление</w:t>
      </w:r>
      <w:r w:rsidR="00A46072">
        <w:rPr>
          <w:rFonts w:cs="Calibri"/>
        </w:rPr>
        <w:t xml:space="preserve"> (НККУ)</w:t>
      </w:r>
      <w:r w:rsidRPr="000B697A">
        <w:rPr>
          <w:rFonts w:cs="Calibri"/>
        </w:rPr>
        <w:t>. Тя функционира под патронажа на „БФБ“ АД и Комисията за финансов надзор.</w:t>
      </w:r>
    </w:p>
    <w:p w:rsidR="00A30809" w:rsidRPr="000B697A" w:rsidRDefault="00A30809" w:rsidP="00846D25">
      <w:pPr>
        <w:rPr>
          <w:rFonts w:cs="Calibri"/>
        </w:rPr>
      </w:pPr>
      <w:r w:rsidRPr="000B697A">
        <w:rPr>
          <w:rFonts w:cs="Calibri"/>
        </w:rPr>
        <w:t>През октомври 2009 г. „БФБ“ АД с единодушно решение на Съвета на директорите прие да следва принципите и препоръките на Националния кодекс за корпоративно управление, като с приемането на Националния кодекс Борсата затвърди своята водеща роля в областта на корпоративното управление в България и даде пример за своята практическата ангажираност в процеса на повишаване на неговото качество.</w:t>
      </w:r>
    </w:p>
    <w:p w:rsidR="00A30809" w:rsidRPr="000B697A" w:rsidRDefault="00A30809" w:rsidP="00846D25">
      <w:pPr>
        <w:rPr>
          <w:rStyle w:val="hps"/>
          <w:rFonts w:cs="Calibri"/>
        </w:rPr>
      </w:pPr>
      <w:r w:rsidRPr="000B697A">
        <w:rPr>
          <w:rFonts w:cs="Calibri"/>
        </w:rPr>
        <w:t xml:space="preserve">„Българска Фондова Борса“ АД е сред най-активните участници в Националната комисия по корпоративно управление. През 2011 г. Дружеството-майка разработи и предложи на НККУ правила за методология и правила за изчисляване на индекс на дружествата с добро </w:t>
      </w:r>
      <w:r w:rsidRPr="000B697A">
        <w:rPr>
          <w:rFonts w:cs="Calibri"/>
        </w:rPr>
        <w:lastRenderedPageBreak/>
        <w:t>корпоративно управление. Въз основа на последните, през септември 2011 официално стартира изчислението на единствения по рода си в страната индекс. В средата на 2013-а година индексът бе ревизиран, както предвижда методологията.</w:t>
      </w:r>
    </w:p>
    <w:p w:rsidR="00A30809" w:rsidRPr="000B697A" w:rsidRDefault="00A30809" w:rsidP="00846D25">
      <w:pPr>
        <w:rPr>
          <w:rStyle w:val="hps"/>
          <w:rFonts w:cs="Calibri"/>
        </w:rPr>
      </w:pPr>
      <w:r w:rsidRPr="000B697A">
        <w:rPr>
          <w:rStyle w:val="hps"/>
          <w:rFonts w:cs="Calibri"/>
        </w:rPr>
        <w:t>Борсата подкрепи инициативата за институционализиране на НККУ чрез регистрирането й като юридическо лице с нестопанска цел, като изработи и предприе стъпки по съгласуването с членовете на НККУ на проект на устав и на учредителен договор. Същите бяха приети по принцип от всички участващи членове и впоследствие официално одобрени. Със свое решение от 04.07.2014 г. Софийски градски съд вписа в регистъра на юридическите лица с нестопанска цел Сдружение „Национална комисия за корпоративно управление“.</w:t>
      </w:r>
    </w:p>
    <w:p w:rsidR="00A30809" w:rsidRPr="000B697A" w:rsidRDefault="00A30809" w:rsidP="00846D25">
      <w:pPr>
        <w:rPr>
          <w:rFonts w:cs="Calibri"/>
          <w:color w:val="000000"/>
          <w:shd w:val="clear" w:color="auto" w:fill="FFFFFF"/>
        </w:rPr>
      </w:pPr>
      <w:r w:rsidRPr="000B697A">
        <w:rPr>
          <w:rStyle w:val="hps"/>
          <w:rFonts w:cs="Calibri"/>
        </w:rPr>
        <w:t>От 25 ноември 2015 година БФБ-София пое председателството на НККУ за следващия тригодишен мандат от досегашния председател проф</w:t>
      </w:r>
      <w:r w:rsidRPr="000B697A">
        <w:rPr>
          <w:rFonts w:cs="Calibri"/>
          <w:color w:val="000000"/>
          <w:shd w:val="clear" w:color="auto" w:fill="FFFFFF"/>
        </w:rPr>
        <w:t xml:space="preserve">. д-р Стефан </w:t>
      </w:r>
      <w:proofErr w:type="spellStart"/>
      <w:r w:rsidRPr="000B697A">
        <w:rPr>
          <w:rFonts w:cs="Calibri"/>
          <w:color w:val="000000"/>
          <w:shd w:val="clear" w:color="auto" w:fill="FFFFFF"/>
        </w:rPr>
        <w:t>Петранов</w:t>
      </w:r>
      <w:proofErr w:type="spellEnd"/>
      <w:r w:rsidRPr="000B697A">
        <w:rPr>
          <w:rFonts w:cs="Calibri"/>
          <w:color w:val="000000"/>
          <w:shd w:val="clear" w:color="auto" w:fill="FFFFFF"/>
        </w:rPr>
        <w:t>.</w:t>
      </w:r>
    </w:p>
    <w:p w:rsidR="002B5183" w:rsidRPr="000B697A" w:rsidRDefault="002B5183" w:rsidP="002B5183">
      <w:pPr>
        <w:rPr>
          <w:rStyle w:val="hps"/>
          <w:rFonts w:cs="Calibri"/>
        </w:rPr>
      </w:pPr>
      <w:r w:rsidRPr="000B697A">
        <w:rPr>
          <w:rFonts w:cs="Calibri"/>
          <w:color w:val="000000"/>
          <w:shd w:val="clear" w:color="auto" w:fill="FFFFFF"/>
        </w:rPr>
        <w:t xml:space="preserve">През април 2016 година </w:t>
      </w:r>
      <w:r w:rsidRPr="000B697A">
        <w:rPr>
          <w:rStyle w:val="hps"/>
          <w:rFonts w:cs="Calibri"/>
        </w:rPr>
        <w:t>бе приет разширен и допълнен текст на Националния кодекс за корпоративно управление във връзка с Принципите на корпоративно управление на организацията за икономическо сътрудничество и развитие, представени на срещата на финансовите министри и гуверньорите на централни банки на страните от G20 в Турция през септември 2015 година.</w:t>
      </w:r>
    </w:p>
    <w:p w:rsidR="002B5183" w:rsidRPr="000B697A" w:rsidRDefault="002B5183" w:rsidP="002B5183">
      <w:pPr>
        <w:rPr>
          <w:rStyle w:val="hps"/>
          <w:rFonts w:cs="Calibri"/>
        </w:rPr>
      </w:pPr>
      <w:r w:rsidRPr="000B697A">
        <w:rPr>
          <w:rStyle w:val="hps"/>
          <w:rFonts w:cs="Calibri"/>
        </w:rPr>
        <w:t>Промените са свързани с:</w:t>
      </w:r>
    </w:p>
    <w:p w:rsidR="002B5183" w:rsidRPr="000B697A" w:rsidRDefault="002B5183" w:rsidP="002B5183">
      <w:pPr>
        <w:pStyle w:val="ListParagraph"/>
        <w:numPr>
          <w:ilvl w:val="0"/>
          <w:numId w:val="32"/>
        </w:numPr>
        <w:rPr>
          <w:rStyle w:val="hps"/>
          <w:rFonts w:cs="Calibri"/>
          <w:lang w:val="bg-BG"/>
        </w:rPr>
      </w:pPr>
      <w:r w:rsidRPr="000B697A">
        <w:rPr>
          <w:rStyle w:val="hps"/>
          <w:rFonts w:cs="Calibri"/>
          <w:lang w:val="bg-BG"/>
        </w:rPr>
        <w:t>избягване на конфликт на интереси между корпоративния мениджмънт и дружеството;</w:t>
      </w:r>
    </w:p>
    <w:p w:rsidR="002B5183" w:rsidRPr="000B697A" w:rsidRDefault="002B5183" w:rsidP="002B5183">
      <w:pPr>
        <w:pStyle w:val="ListParagraph"/>
        <w:numPr>
          <w:ilvl w:val="0"/>
          <w:numId w:val="32"/>
        </w:numPr>
        <w:rPr>
          <w:rStyle w:val="hps"/>
          <w:rFonts w:cs="Calibri"/>
          <w:lang w:val="bg-BG"/>
        </w:rPr>
      </w:pPr>
      <w:r w:rsidRPr="000B697A">
        <w:rPr>
          <w:rStyle w:val="hps"/>
          <w:rFonts w:cs="Calibri"/>
          <w:lang w:val="bg-BG"/>
        </w:rPr>
        <w:t>подобряване на прозрачността чрез приемане на правила за разкриване на периодична и инцидентна информация;</w:t>
      </w:r>
    </w:p>
    <w:p w:rsidR="002B5183" w:rsidRPr="000B697A" w:rsidRDefault="002B5183" w:rsidP="002B5183">
      <w:pPr>
        <w:pStyle w:val="ListParagraph"/>
        <w:numPr>
          <w:ilvl w:val="0"/>
          <w:numId w:val="32"/>
        </w:numPr>
        <w:rPr>
          <w:rStyle w:val="hps"/>
          <w:rFonts w:cs="Calibri"/>
          <w:lang w:val="bg-BG"/>
        </w:rPr>
      </w:pPr>
      <w:r w:rsidRPr="000B697A">
        <w:rPr>
          <w:rStyle w:val="hps"/>
          <w:rFonts w:cs="Calibri"/>
          <w:lang w:val="bg-BG"/>
        </w:rPr>
        <w:t>разширяване на обхвата на Кодекса така, че да включва дейността на дружества, които съхраняват и управляват портфейли от името и за сметка на клиенти (институционални инвеститори, довереници, попечители);</w:t>
      </w:r>
    </w:p>
    <w:p w:rsidR="002B5183" w:rsidRPr="000B697A" w:rsidRDefault="002B5183" w:rsidP="002B5183">
      <w:pPr>
        <w:pStyle w:val="ListParagraph"/>
        <w:numPr>
          <w:ilvl w:val="0"/>
          <w:numId w:val="32"/>
        </w:numPr>
        <w:rPr>
          <w:rStyle w:val="hps"/>
          <w:rFonts w:cs="Calibri"/>
          <w:lang w:val="bg-BG"/>
        </w:rPr>
      </w:pPr>
      <w:r w:rsidRPr="000B697A">
        <w:rPr>
          <w:rStyle w:val="hps"/>
          <w:rFonts w:cs="Calibri"/>
          <w:lang w:val="bg-BG"/>
        </w:rPr>
        <w:t>подобряване на спазването на правата на акционерите в публични компании от институционалните инвеститори, доверениците, попечителите;</w:t>
      </w:r>
    </w:p>
    <w:p w:rsidR="002B5183" w:rsidRPr="000B697A" w:rsidRDefault="002B5183" w:rsidP="002B5183">
      <w:pPr>
        <w:pStyle w:val="ListParagraph"/>
        <w:numPr>
          <w:ilvl w:val="0"/>
          <w:numId w:val="32"/>
        </w:numPr>
        <w:rPr>
          <w:rStyle w:val="hps"/>
          <w:rFonts w:cs="Calibri"/>
          <w:lang w:val="bg-BG"/>
        </w:rPr>
      </w:pPr>
      <w:r w:rsidRPr="000B697A">
        <w:rPr>
          <w:rStyle w:val="hps"/>
          <w:rFonts w:cs="Calibri"/>
          <w:lang w:val="bg-BG"/>
        </w:rPr>
        <w:t>спазването на правата на акционерите при международен крос-листинг;</w:t>
      </w:r>
    </w:p>
    <w:p w:rsidR="002B5183" w:rsidRPr="000B697A" w:rsidRDefault="002B5183" w:rsidP="002B5183">
      <w:pPr>
        <w:pStyle w:val="ListParagraph"/>
        <w:numPr>
          <w:ilvl w:val="0"/>
          <w:numId w:val="32"/>
        </w:numPr>
        <w:rPr>
          <w:rStyle w:val="hps"/>
          <w:rFonts w:cs="Calibri"/>
          <w:lang w:val="bg-BG"/>
        </w:rPr>
      </w:pPr>
      <w:r w:rsidRPr="000B697A">
        <w:rPr>
          <w:rStyle w:val="hps"/>
          <w:rFonts w:cs="Calibri"/>
          <w:lang w:val="bg-BG"/>
        </w:rPr>
        <w:t>разширяване обхвата на кодекса, така че да включва регулираните пазари, когато дадено дружество се търгува на повече от един регулиран пазар и да осигури релевантна пазарна информация на акционерите.</w:t>
      </w:r>
    </w:p>
    <w:p w:rsidR="00E50923" w:rsidRPr="000B697A" w:rsidRDefault="00E50923" w:rsidP="00E50923">
      <w:pPr>
        <w:rPr>
          <w:rStyle w:val="hps"/>
          <w:rFonts w:cs="Calibri"/>
        </w:rPr>
      </w:pPr>
      <w:r w:rsidRPr="000B697A">
        <w:rPr>
          <w:rStyle w:val="hps"/>
          <w:rFonts w:cs="Calibri"/>
        </w:rPr>
        <w:t>Националната комисия за корпоративно управление заседава периодично, като на заседанията се обсъждат текущи въпроси, свързани със законодателни промени и други инициативи в областта на корпоративното управление.</w:t>
      </w:r>
    </w:p>
    <w:p w:rsidR="00E50923" w:rsidRPr="000B697A" w:rsidRDefault="00E50923" w:rsidP="00E50923">
      <w:pPr>
        <w:rPr>
          <w:rFonts w:cs="Calibri"/>
        </w:rPr>
      </w:pPr>
      <w:r w:rsidRPr="000B697A">
        <w:rPr>
          <w:rFonts w:cs="Calibri"/>
        </w:rPr>
        <w:t xml:space="preserve">Ръководството на „Българска </w:t>
      </w:r>
      <w:r w:rsidR="007A01E2" w:rsidRPr="000B697A">
        <w:rPr>
          <w:rFonts w:cs="Calibri"/>
        </w:rPr>
        <w:t>фондова борса</w:t>
      </w:r>
      <w:r w:rsidRPr="000B697A">
        <w:rPr>
          <w:rFonts w:cs="Calibri"/>
        </w:rPr>
        <w:t>“ АД има дългосрочна стратегия по повишаване прозрачността на работа на дружеството, във връзка с което ежегодно се предприемат различни проекти свързани с повишаване информативността на интернет страницата на Борсата, както и подобряване ефективността на разпространение на регулираната и другата информация.</w:t>
      </w:r>
    </w:p>
    <w:p w:rsidR="00E50923" w:rsidRPr="000B697A" w:rsidRDefault="00E50923" w:rsidP="00E50923">
      <w:pPr>
        <w:rPr>
          <w:rFonts w:cs="Calibri"/>
        </w:rPr>
      </w:pPr>
      <w:r w:rsidRPr="000B697A">
        <w:rPr>
          <w:rFonts w:cs="Calibri"/>
        </w:rPr>
        <w:t xml:space="preserve">Информация относно изпълнението на принципите и препоръките на Националния кодекс за корпоративно управление, в съответствие с принципа „спазвай или обяснявай”, включваща </w:t>
      </w:r>
      <w:r w:rsidRPr="000B697A">
        <w:rPr>
          <w:rFonts w:cs="Calibri"/>
        </w:rPr>
        <w:lastRenderedPageBreak/>
        <w:t>изискуемата по чл. 100н, ал. 7 от ЗППЦК информация, е представена в Приложение 1 към настоящия Доклад за дейността: Декларация за корпоративно управление.</w:t>
      </w:r>
    </w:p>
    <w:sectPr w:rsidR="00E50923" w:rsidRPr="000B697A" w:rsidSect="00147CB4">
      <w:headerReference w:type="default" r:id="rId19"/>
      <w:footerReference w:type="even" r:id="rId20"/>
      <w:footerReference w:type="default" r:id="rId21"/>
      <w:pgSz w:w="11906" w:h="16838" w:code="9"/>
      <w:pgMar w:top="2160" w:right="1133" w:bottom="1276" w:left="993" w:header="0" w:footer="6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149E" w:rsidRDefault="004D149E" w:rsidP="00281505">
      <w:r>
        <w:separator/>
      </w:r>
    </w:p>
  </w:endnote>
  <w:endnote w:type="continuationSeparator" w:id="0">
    <w:p w:rsidR="004D149E" w:rsidRDefault="004D149E" w:rsidP="00281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s Gothic Cyr">
    <w:altName w:val="Microsoft YaHei"/>
    <w:panose1 w:val="020B0503020103020203"/>
    <w:charset w:val="CC"/>
    <w:family w:val="swiss"/>
    <w:pitch w:val="variable"/>
    <w:sig w:usb0="00000201" w:usb1="00000000" w:usb2="00000000" w:usb3="00000000" w:csb0="00000004" w:csb1="00000000"/>
    <w:embedRegular r:id="rId1" w:fontKey="{E53309EE-654B-4E37-9EF1-2DEE5640A068}"/>
    <w:embedBold r:id="rId2" w:fontKey="{FB674FFE-D1E8-48A1-91EA-5A00FA8AB4F2}"/>
    <w:embedItalic r:id="rId3" w:fontKey="{E5C1DDDC-6E5D-4F97-8B2A-C4FCA77F9975}"/>
    <w:embedBoldItalic r:id="rId4" w:fontKey="{C0DAEECF-2077-4400-BECD-4277EFEE3199}"/>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5" w:fontKey="{01C5EF1B-5D39-44C9-88E0-6446E3807AC2}"/>
    <w:embedBold r:id="rId6" w:fontKey="{E1C13D8C-401A-4689-A562-10B0A77D37DF}"/>
    <w:embedItalic r:id="rId7" w:fontKey="{FA4A5CF3-78C9-4FBB-BB98-814B4DC642DD}"/>
    <w:embedBoldItalic r:id="rId8" w:fontKey="{223BA6D4-77C7-4C96-82A3-72A6391F5AAC}"/>
  </w:font>
  <w:font w:name="Cambria">
    <w:panose1 w:val="02040503050406030204"/>
    <w:charset w:val="CC"/>
    <w:family w:val="roman"/>
    <w:pitch w:val="variable"/>
    <w:sig w:usb0="E00002FF" w:usb1="400004FF" w:usb2="00000000" w:usb3="00000000" w:csb0="0000019F" w:csb1="00000000"/>
    <w:embedRegular r:id="rId9" w:fontKey="{3EC2D584-B48D-41C4-B718-74EB7F6B2907}"/>
    <w:embedBold r:id="rId10" w:fontKey="{F6C27C1E-16E0-4293-8220-9C4246CB5F11}"/>
    <w:embedItalic r:id="rId11" w:fontKey="{84E9F82C-D36E-47E2-8885-F9DE425F4CCF}"/>
  </w:font>
  <w:font w:name="Verdana">
    <w:panose1 w:val="020B0604030504040204"/>
    <w:charset w:val="CC"/>
    <w:family w:val="swiss"/>
    <w:pitch w:val="variable"/>
    <w:sig w:usb0="A10006FF" w:usb1="4000205B" w:usb2="00000010" w:usb3="00000000" w:csb0="0000019F" w:csb1="00000000"/>
    <w:embedBold r:id="rId12" w:fontKey="{85AC3D82-FC2B-48D5-B8FE-148B31B7C29F}"/>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486" w:rsidRDefault="008F3486" w:rsidP="00281505">
    <w:pPr>
      <w:rPr>
        <w:rStyle w:val="PageNumber"/>
      </w:rPr>
    </w:pPr>
    <w:r>
      <w:rPr>
        <w:rStyle w:val="PageNumber"/>
      </w:rPr>
      <w:fldChar w:fldCharType="begin"/>
    </w:r>
    <w:r>
      <w:rPr>
        <w:rStyle w:val="PageNumber"/>
      </w:rPr>
      <w:instrText xml:space="preserve">PAGE  </w:instrText>
    </w:r>
    <w:r>
      <w:rPr>
        <w:rStyle w:val="PageNumber"/>
      </w:rPr>
      <w:fldChar w:fldCharType="end"/>
    </w:r>
  </w:p>
  <w:p w:rsidR="008F3486" w:rsidRDefault="008F3486" w:rsidP="002815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486" w:rsidRDefault="008F3486" w:rsidP="0085588B">
    <w:pPr>
      <w:jc w:val="right"/>
    </w:pPr>
    <w:r>
      <w:rPr>
        <w:noProof/>
        <w:lang w:val="en-US" w:eastAsia="en-US"/>
      </w:rPr>
      <w:drawing>
        <wp:anchor distT="0" distB="0" distL="114300" distR="114300" simplePos="0" relativeHeight="251658752" behindDoc="1" locked="0" layoutInCell="1" allowOverlap="1">
          <wp:simplePos x="0" y="0"/>
          <wp:positionH relativeFrom="column">
            <wp:posOffset>-754381</wp:posOffset>
          </wp:positionH>
          <wp:positionV relativeFrom="paragraph">
            <wp:posOffset>-68580</wp:posOffset>
          </wp:positionV>
          <wp:extent cx="7686675" cy="673100"/>
          <wp:effectExtent l="0" t="0" r="9525" b="0"/>
          <wp:wrapNone/>
          <wp:docPr id="18" name="Картина 1"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footer"/>
                  <pic:cNvPicPr>
                    <a:picLocks noChangeAspect="1" noChangeArrowheads="1"/>
                  </pic:cNvPicPr>
                </pic:nvPicPr>
                <pic:blipFill>
                  <a:blip r:embed="rId1"/>
                  <a:srcRect/>
                  <a:stretch>
                    <a:fillRect/>
                  </a:stretch>
                </pic:blipFill>
                <pic:spPr bwMode="auto">
                  <a:xfrm>
                    <a:off x="0" y="0"/>
                    <a:ext cx="7686675" cy="673100"/>
                  </a:xfrm>
                  <a:prstGeom prst="rect">
                    <a:avLst/>
                  </a:prstGeom>
                  <a:noFill/>
                </pic:spPr>
              </pic:pic>
            </a:graphicData>
          </a:graphic>
          <wp14:sizeRelH relativeFrom="margin">
            <wp14:pctWidth>0</wp14:pctWidth>
          </wp14:sizeRelH>
        </wp:anchor>
      </w:drawing>
    </w: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149E" w:rsidRDefault="004D149E" w:rsidP="00281505">
      <w:r>
        <w:separator/>
      </w:r>
    </w:p>
  </w:footnote>
  <w:footnote w:type="continuationSeparator" w:id="0">
    <w:p w:rsidR="004D149E" w:rsidRDefault="004D149E" w:rsidP="00281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486" w:rsidRPr="001923AD" w:rsidRDefault="008F3486" w:rsidP="001923AD">
    <w:pPr>
      <w:pStyle w:val="Header"/>
    </w:pPr>
    <w:r>
      <w:rPr>
        <w:noProof/>
        <w:lang w:val="en-US" w:eastAsia="en-US"/>
      </w:rPr>
      <w:drawing>
        <wp:anchor distT="0" distB="0" distL="114300" distR="114300" simplePos="0" relativeHeight="251659776" behindDoc="1" locked="0" layoutInCell="1" allowOverlap="1">
          <wp:simplePos x="0" y="0"/>
          <wp:positionH relativeFrom="column">
            <wp:posOffset>-621030</wp:posOffset>
          </wp:positionH>
          <wp:positionV relativeFrom="paragraph">
            <wp:posOffset>0</wp:posOffset>
          </wp:positionV>
          <wp:extent cx="7553325" cy="1295337"/>
          <wp:effectExtent l="0" t="0" r="0" b="635"/>
          <wp:wrapNone/>
          <wp:docPr id="3" name="Picture 3" descr="D:\Documents and Settings\My Documents\работна - ПОВЕРИТЕЛНО\DVI\2018\annual\head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My Documents\работна - ПОВЕРИТЕЛНО\DVI\2018\annual\head_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287" cy="1300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14C85"/>
    <w:multiLevelType w:val="hybridMultilevel"/>
    <w:tmpl w:val="80687712"/>
    <w:lvl w:ilvl="0" w:tplc="CD2EE410">
      <w:numFmt w:val="bullet"/>
      <w:lvlText w:val="-"/>
      <w:lvlJc w:val="left"/>
      <w:pPr>
        <w:ind w:left="720" w:hanging="360"/>
      </w:pPr>
      <w:rPr>
        <w:rFonts w:ascii="News Gothic Cyr" w:eastAsia="Times New Roman" w:hAnsi="News Gothic Cyr"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26F88"/>
    <w:multiLevelType w:val="hybridMultilevel"/>
    <w:tmpl w:val="E5E886AE"/>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 w15:restartNumberingAfterBreak="0">
    <w:nsid w:val="0CD03138"/>
    <w:multiLevelType w:val="hybridMultilevel"/>
    <w:tmpl w:val="D682E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D31C0"/>
    <w:multiLevelType w:val="hybridMultilevel"/>
    <w:tmpl w:val="A37081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3BB2614"/>
    <w:multiLevelType w:val="hybridMultilevel"/>
    <w:tmpl w:val="2878112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149603FD"/>
    <w:multiLevelType w:val="hybridMultilevel"/>
    <w:tmpl w:val="8612E536"/>
    <w:lvl w:ilvl="0" w:tplc="4EC8DC72">
      <w:start w:val="1"/>
      <w:numFmt w:val="decimal"/>
      <w:lvlText w:val="%1."/>
      <w:lvlJc w:val="left"/>
      <w:pPr>
        <w:ind w:left="1065" w:hanging="705"/>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58424C8"/>
    <w:multiLevelType w:val="hybridMultilevel"/>
    <w:tmpl w:val="780E46D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8221313"/>
    <w:multiLevelType w:val="hybridMultilevel"/>
    <w:tmpl w:val="E4B0B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86770"/>
    <w:multiLevelType w:val="hybridMultilevel"/>
    <w:tmpl w:val="58AE9C68"/>
    <w:lvl w:ilvl="0" w:tplc="3A9E4846">
      <w:numFmt w:val="bullet"/>
      <w:lvlText w:val="•"/>
      <w:lvlJc w:val="left"/>
      <w:pPr>
        <w:ind w:left="720" w:hanging="360"/>
      </w:pPr>
      <w:rPr>
        <w:rFonts w:ascii="News Gothic Cyr" w:eastAsia="Times New Roman" w:hAnsi="News Gothic Cyr" w:cs="Times New Roman" w:hint="default"/>
      </w:rPr>
    </w:lvl>
    <w:lvl w:ilvl="1" w:tplc="0402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305BC4"/>
    <w:multiLevelType w:val="hybridMultilevel"/>
    <w:tmpl w:val="FC0C07B6"/>
    <w:lvl w:ilvl="0" w:tplc="741607FE">
      <w:start w:val="1"/>
      <w:numFmt w:val="bullet"/>
      <w:pStyle w:val="Bullets"/>
      <w:lvlText w:val=""/>
      <w:lvlJc w:val="left"/>
      <w:pPr>
        <w:tabs>
          <w:tab w:val="num" w:pos="454"/>
        </w:tabs>
        <w:ind w:left="454" w:hanging="17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3F333B"/>
    <w:multiLevelType w:val="hybridMultilevel"/>
    <w:tmpl w:val="52C24BF4"/>
    <w:lvl w:ilvl="0" w:tplc="04020001">
      <w:start w:val="1"/>
      <w:numFmt w:val="bullet"/>
      <w:lvlText w:val=""/>
      <w:lvlJc w:val="left"/>
      <w:pPr>
        <w:ind w:left="720" w:hanging="360"/>
      </w:pPr>
      <w:rPr>
        <w:rFonts w:ascii="Symbol" w:hAnsi="Symbol" w:hint="default"/>
      </w:rPr>
    </w:lvl>
    <w:lvl w:ilvl="1" w:tplc="5E4C18CA">
      <w:numFmt w:val="bullet"/>
      <w:lvlText w:val="-"/>
      <w:lvlJc w:val="left"/>
      <w:pPr>
        <w:ind w:left="1785" w:hanging="705"/>
      </w:pPr>
      <w:rPr>
        <w:rFonts w:ascii="News Gothic Cyr" w:eastAsia="Times New Roman" w:hAnsi="News Gothic Cyr"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8BC7B9B"/>
    <w:multiLevelType w:val="hybridMultilevel"/>
    <w:tmpl w:val="7AA6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BD1D2E"/>
    <w:multiLevelType w:val="hybridMultilevel"/>
    <w:tmpl w:val="53A09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75724"/>
    <w:multiLevelType w:val="hybridMultilevel"/>
    <w:tmpl w:val="9B1608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C236424"/>
    <w:multiLevelType w:val="hybridMultilevel"/>
    <w:tmpl w:val="F7D8B22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5" w15:restartNumberingAfterBreak="0">
    <w:nsid w:val="2C7D7F66"/>
    <w:multiLevelType w:val="hybridMultilevel"/>
    <w:tmpl w:val="76FE7D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E7D2477"/>
    <w:multiLevelType w:val="hybridMultilevel"/>
    <w:tmpl w:val="3D4047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309E621E"/>
    <w:multiLevelType w:val="hybridMultilevel"/>
    <w:tmpl w:val="FCD87F50"/>
    <w:lvl w:ilvl="0" w:tplc="C6DC8520">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383A484C"/>
    <w:multiLevelType w:val="hybridMultilevel"/>
    <w:tmpl w:val="C3FE7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D7528F"/>
    <w:multiLevelType w:val="hybridMultilevel"/>
    <w:tmpl w:val="F348BC4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A267DE3"/>
    <w:multiLevelType w:val="hybridMultilevel"/>
    <w:tmpl w:val="868E5E7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1" w15:restartNumberingAfterBreak="0">
    <w:nsid w:val="3B737D92"/>
    <w:multiLevelType w:val="hybridMultilevel"/>
    <w:tmpl w:val="2AB0F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F014BB"/>
    <w:multiLevelType w:val="hybridMultilevel"/>
    <w:tmpl w:val="18107A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1506042"/>
    <w:multiLevelType w:val="hybridMultilevel"/>
    <w:tmpl w:val="6BC2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23036E"/>
    <w:multiLevelType w:val="hybridMultilevel"/>
    <w:tmpl w:val="741A8BFE"/>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5" w15:restartNumberingAfterBreak="0">
    <w:nsid w:val="52F83D21"/>
    <w:multiLevelType w:val="hybridMultilevel"/>
    <w:tmpl w:val="71AA09E8"/>
    <w:lvl w:ilvl="0" w:tplc="7688B734">
      <w:start w:val="1"/>
      <w:numFmt w:val="decimal"/>
      <w:pStyle w:val="Heading1"/>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588C3BFF"/>
    <w:multiLevelType w:val="hybridMultilevel"/>
    <w:tmpl w:val="E880088A"/>
    <w:lvl w:ilvl="0" w:tplc="04020001">
      <w:start w:val="1"/>
      <w:numFmt w:val="bullet"/>
      <w:lvlText w:val=""/>
      <w:lvlJc w:val="left"/>
      <w:pPr>
        <w:ind w:left="1066" w:hanging="360"/>
      </w:pPr>
      <w:rPr>
        <w:rFonts w:ascii="Symbol" w:hAnsi="Symbol" w:hint="default"/>
      </w:rPr>
    </w:lvl>
    <w:lvl w:ilvl="1" w:tplc="E15ACFAE">
      <w:numFmt w:val="bullet"/>
      <w:lvlText w:val="•"/>
      <w:lvlJc w:val="left"/>
      <w:pPr>
        <w:ind w:left="2131" w:hanging="705"/>
      </w:pPr>
      <w:rPr>
        <w:rFonts w:ascii="News Gothic Cyr" w:eastAsia="Times New Roman" w:hAnsi="News Gothic Cyr" w:cs="Times New Roman" w:hint="default"/>
      </w:rPr>
    </w:lvl>
    <w:lvl w:ilvl="2" w:tplc="04020005" w:tentative="1">
      <w:start w:val="1"/>
      <w:numFmt w:val="bullet"/>
      <w:lvlText w:val=""/>
      <w:lvlJc w:val="left"/>
      <w:pPr>
        <w:ind w:left="2506" w:hanging="360"/>
      </w:pPr>
      <w:rPr>
        <w:rFonts w:ascii="Wingdings" w:hAnsi="Wingdings" w:hint="default"/>
      </w:rPr>
    </w:lvl>
    <w:lvl w:ilvl="3" w:tplc="04020001" w:tentative="1">
      <w:start w:val="1"/>
      <w:numFmt w:val="bullet"/>
      <w:lvlText w:val=""/>
      <w:lvlJc w:val="left"/>
      <w:pPr>
        <w:ind w:left="3226" w:hanging="360"/>
      </w:pPr>
      <w:rPr>
        <w:rFonts w:ascii="Symbol" w:hAnsi="Symbol" w:hint="default"/>
      </w:rPr>
    </w:lvl>
    <w:lvl w:ilvl="4" w:tplc="04020003" w:tentative="1">
      <w:start w:val="1"/>
      <w:numFmt w:val="bullet"/>
      <w:lvlText w:val="o"/>
      <w:lvlJc w:val="left"/>
      <w:pPr>
        <w:ind w:left="3946" w:hanging="360"/>
      </w:pPr>
      <w:rPr>
        <w:rFonts w:ascii="Courier New" w:hAnsi="Courier New" w:hint="default"/>
      </w:rPr>
    </w:lvl>
    <w:lvl w:ilvl="5" w:tplc="04020005" w:tentative="1">
      <w:start w:val="1"/>
      <w:numFmt w:val="bullet"/>
      <w:lvlText w:val=""/>
      <w:lvlJc w:val="left"/>
      <w:pPr>
        <w:ind w:left="4666" w:hanging="360"/>
      </w:pPr>
      <w:rPr>
        <w:rFonts w:ascii="Wingdings" w:hAnsi="Wingdings" w:hint="default"/>
      </w:rPr>
    </w:lvl>
    <w:lvl w:ilvl="6" w:tplc="04020001" w:tentative="1">
      <w:start w:val="1"/>
      <w:numFmt w:val="bullet"/>
      <w:lvlText w:val=""/>
      <w:lvlJc w:val="left"/>
      <w:pPr>
        <w:ind w:left="5386" w:hanging="360"/>
      </w:pPr>
      <w:rPr>
        <w:rFonts w:ascii="Symbol" w:hAnsi="Symbol" w:hint="default"/>
      </w:rPr>
    </w:lvl>
    <w:lvl w:ilvl="7" w:tplc="04020003" w:tentative="1">
      <w:start w:val="1"/>
      <w:numFmt w:val="bullet"/>
      <w:lvlText w:val="o"/>
      <w:lvlJc w:val="left"/>
      <w:pPr>
        <w:ind w:left="6106" w:hanging="360"/>
      </w:pPr>
      <w:rPr>
        <w:rFonts w:ascii="Courier New" w:hAnsi="Courier New" w:hint="default"/>
      </w:rPr>
    </w:lvl>
    <w:lvl w:ilvl="8" w:tplc="04020005" w:tentative="1">
      <w:start w:val="1"/>
      <w:numFmt w:val="bullet"/>
      <w:lvlText w:val=""/>
      <w:lvlJc w:val="left"/>
      <w:pPr>
        <w:ind w:left="6826" w:hanging="360"/>
      </w:pPr>
      <w:rPr>
        <w:rFonts w:ascii="Wingdings" w:hAnsi="Wingdings" w:hint="default"/>
      </w:rPr>
    </w:lvl>
  </w:abstractNum>
  <w:abstractNum w:abstractNumId="27" w15:restartNumberingAfterBreak="0">
    <w:nsid w:val="5A6C3CF1"/>
    <w:multiLevelType w:val="hybridMultilevel"/>
    <w:tmpl w:val="6FC444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61764204"/>
    <w:multiLevelType w:val="hybridMultilevel"/>
    <w:tmpl w:val="85BC1C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62F8157D"/>
    <w:multiLevelType w:val="hybridMultilevel"/>
    <w:tmpl w:val="385EC3F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0" w15:restartNumberingAfterBreak="0">
    <w:nsid w:val="64612435"/>
    <w:multiLevelType w:val="hybridMultilevel"/>
    <w:tmpl w:val="95D8253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72D65A77"/>
    <w:multiLevelType w:val="hybridMultilevel"/>
    <w:tmpl w:val="ADAE8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C95D40"/>
    <w:multiLevelType w:val="hybridMultilevel"/>
    <w:tmpl w:val="38D6BC4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79C01111"/>
    <w:multiLevelType w:val="hybridMultilevel"/>
    <w:tmpl w:val="AF46A11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7F1408C5"/>
    <w:multiLevelType w:val="multilevel"/>
    <w:tmpl w:val="43683A20"/>
    <w:lvl w:ilvl="0">
      <w:start w:val="1"/>
      <w:numFmt w:val="decimal"/>
      <w:pStyle w:val="Mainnumbers"/>
      <w:lvlText w:val="%1."/>
      <w:lvlJc w:val="left"/>
      <w:pPr>
        <w:ind w:left="360" w:hanging="360"/>
      </w:pPr>
    </w:lvl>
    <w:lvl w:ilvl="1">
      <w:start w:val="1"/>
      <w:numFmt w:val="decimal"/>
      <w:pStyle w:val="SubNumbers"/>
      <w:lvlText w:val="%1.%2."/>
      <w:lvlJc w:val="left"/>
      <w:pPr>
        <w:ind w:left="79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ubSubNumb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22"/>
  </w:num>
  <w:num w:numId="3">
    <w:abstractNumId w:val="19"/>
  </w:num>
  <w:num w:numId="4">
    <w:abstractNumId w:val="16"/>
  </w:num>
  <w:num w:numId="5">
    <w:abstractNumId w:val="27"/>
  </w:num>
  <w:num w:numId="6">
    <w:abstractNumId w:val="25"/>
  </w:num>
  <w:num w:numId="7">
    <w:abstractNumId w:val="34"/>
  </w:num>
  <w:num w:numId="8">
    <w:abstractNumId w:val="29"/>
  </w:num>
  <w:num w:numId="9">
    <w:abstractNumId w:val="26"/>
  </w:num>
  <w:num w:numId="10">
    <w:abstractNumId w:val="24"/>
  </w:num>
  <w:num w:numId="11">
    <w:abstractNumId w:val="10"/>
  </w:num>
  <w:num w:numId="12">
    <w:abstractNumId w:val="23"/>
  </w:num>
  <w:num w:numId="13">
    <w:abstractNumId w:val="13"/>
  </w:num>
  <w:num w:numId="14">
    <w:abstractNumId w:val="15"/>
  </w:num>
  <w:num w:numId="15">
    <w:abstractNumId w:val="17"/>
  </w:num>
  <w:num w:numId="16">
    <w:abstractNumId w:val="28"/>
  </w:num>
  <w:num w:numId="17">
    <w:abstractNumId w:val="32"/>
  </w:num>
  <w:num w:numId="18">
    <w:abstractNumId w:val="33"/>
  </w:num>
  <w:num w:numId="19">
    <w:abstractNumId w:val="14"/>
  </w:num>
  <w:num w:numId="20">
    <w:abstractNumId w:val="20"/>
  </w:num>
  <w:num w:numId="21">
    <w:abstractNumId w:val="34"/>
  </w:num>
  <w:num w:numId="22">
    <w:abstractNumId w:val="34"/>
  </w:num>
  <w:num w:numId="23">
    <w:abstractNumId w:val="34"/>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34"/>
  </w:num>
  <w:num w:numId="27">
    <w:abstractNumId w:val="1"/>
  </w:num>
  <w:num w:numId="28">
    <w:abstractNumId w:val="11"/>
  </w:num>
  <w:num w:numId="29">
    <w:abstractNumId w:val="1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4"/>
  </w:num>
  <w:num w:numId="34">
    <w:abstractNumId w:val="8"/>
  </w:num>
  <w:num w:numId="35">
    <w:abstractNumId w:val="2"/>
  </w:num>
  <w:num w:numId="36">
    <w:abstractNumId w:val="21"/>
  </w:num>
  <w:num w:numId="37">
    <w:abstractNumId w:val="0"/>
  </w:num>
  <w:num w:numId="38">
    <w:abstractNumId w:val="6"/>
  </w:num>
  <w:num w:numId="39">
    <w:abstractNumId w:val="4"/>
  </w:num>
  <w:num w:numId="40">
    <w:abstractNumId w:val="30"/>
  </w:num>
  <w:num w:numId="41">
    <w:abstractNumId w:val="5"/>
  </w:num>
  <w:num w:numId="42">
    <w:abstractNumId w:val="3"/>
  </w:num>
  <w:num w:numId="43">
    <w:abstractNumId w:val="18"/>
  </w:num>
  <w:num w:numId="44">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A1MrQ0NjY0NTQ0MjZS0lEKTi0uzszPAykwNK8FAKZeaLstAAAA"/>
  </w:docVars>
  <w:rsids>
    <w:rsidRoot w:val="00376AC3"/>
    <w:rsid w:val="00000041"/>
    <w:rsid w:val="0000036F"/>
    <w:rsid w:val="00000571"/>
    <w:rsid w:val="000016E2"/>
    <w:rsid w:val="0000284A"/>
    <w:rsid w:val="000028E7"/>
    <w:rsid w:val="000032B0"/>
    <w:rsid w:val="00003431"/>
    <w:rsid w:val="00003BFE"/>
    <w:rsid w:val="000045A6"/>
    <w:rsid w:val="00004686"/>
    <w:rsid w:val="0000473D"/>
    <w:rsid w:val="00004CA5"/>
    <w:rsid w:val="0000684B"/>
    <w:rsid w:val="00006BAE"/>
    <w:rsid w:val="00006CD3"/>
    <w:rsid w:val="00006E0D"/>
    <w:rsid w:val="000077F6"/>
    <w:rsid w:val="00007940"/>
    <w:rsid w:val="00007945"/>
    <w:rsid w:val="00007AFC"/>
    <w:rsid w:val="00007D0C"/>
    <w:rsid w:val="00007FC8"/>
    <w:rsid w:val="00010416"/>
    <w:rsid w:val="00010F33"/>
    <w:rsid w:val="000115F9"/>
    <w:rsid w:val="00011853"/>
    <w:rsid w:val="00011A3D"/>
    <w:rsid w:val="00011DAE"/>
    <w:rsid w:val="00011E88"/>
    <w:rsid w:val="00012255"/>
    <w:rsid w:val="00013257"/>
    <w:rsid w:val="00013428"/>
    <w:rsid w:val="00013A0F"/>
    <w:rsid w:val="00013CE6"/>
    <w:rsid w:val="00013EE6"/>
    <w:rsid w:val="00014528"/>
    <w:rsid w:val="000159B7"/>
    <w:rsid w:val="00016463"/>
    <w:rsid w:val="00016A61"/>
    <w:rsid w:val="00016C7D"/>
    <w:rsid w:val="0001760B"/>
    <w:rsid w:val="000176FD"/>
    <w:rsid w:val="00017D76"/>
    <w:rsid w:val="00017EBE"/>
    <w:rsid w:val="0002008B"/>
    <w:rsid w:val="00020154"/>
    <w:rsid w:val="00022A34"/>
    <w:rsid w:val="00023314"/>
    <w:rsid w:val="00024461"/>
    <w:rsid w:val="00024649"/>
    <w:rsid w:val="00024B65"/>
    <w:rsid w:val="00024EE4"/>
    <w:rsid w:val="0002533C"/>
    <w:rsid w:val="0002534C"/>
    <w:rsid w:val="00027FA6"/>
    <w:rsid w:val="000300D9"/>
    <w:rsid w:val="000309D7"/>
    <w:rsid w:val="0003180C"/>
    <w:rsid w:val="0003194C"/>
    <w:rsid w:val="000322B0"/>
    <w:rsid w:val="00032CB2"/>
    <w:rsid w:val="00032D3F"/>
    <w:rsid w:val="00033520"/>
    <w:rsid w:val="00034288"/>
    <w:rsid w:val="00034626"/>
    <w:rsid w:val="00034655"/>
    <w:rsid w:val="0003544F"/>
    <w:rsid w:val="00035A7E"/>
    <w:rsid w:val="00035AEF"/>
    <w:rsid w:val="00035AF0"/>
    <w:rsid w:val="000360BB"/>
    <w:rsid w:val="00036C58"/>
    <w:rsid w:val="00036D66"/>
    <w:rsid w:val="00037100"/>
    <w:rsid w:val="0003723F"/>
    <w:rsid w:val="00040C2F"/>
    <w:rsid w:val="00041099"/>
    <w:rsid w:val="00041234"/>
    <w:rsid w:val="0004126A"/>
    <w:rsid w:val="00041511"/>
    <w:rsid w:val="00041F08"/>
    <w:rsid w:val="00042074"/>
    <w:rsid w:val="00042518"/>
    <w:rsid w:val="00042EB2"/>
    <w:rsid w:val="00043168"/>
    <w:rsid w:val="00043191"/>
    <w:rsid w:val="000432F0"/>
    <w:rsid w:val="00043FFF"/>
    <w:rsid w:val="000445DF"/>
    <w:rsid w:val="00044C6A"/>
    <w:rsid w:val="00045BDB"/>
    <w:rsid w:val="000469F2"/>
    <w:rsid w:val="00046CD6"/>
    <w:rsid w:val="00047537"/>
    <w:rsid w:val="00047632"/>
    <w:rsid w:val="00047C32"/>
    <w:rsid w:val="00050984"/>
    <w:rsid w:val="00050AD0"/>
    <w:rsid w:val="00050B58"/>
    <w:rsid w:val="00051678"/>
    <w:rsid w:val="000523C7"/>
    <w:rsid w:val="00052C64"/>
    <w:rsid w:val="00052D72"/>
    <w:rsid w:val="00053422"/>
    <w:rsid w:val="000534A3"/>
    <w:rsid w:val="00053F57"/>
    <w:rsid w:val="00054CA0"/>
    <w:rsid w:val="000556F7"/>
    <w:rsid w:val="00055760"/>
    <w:rsid w:val="000564E8"/>
    <w:rsid w:val="0005666C"/>
    <w:rsid w:val="00056A5B"/>
    <w:rsid w:val="00056FA5"/>
    <w:rsid w:val="000575D3"/>
    <w:rsid w:val="000617B9"/>
    <w:rsid w:val="00061B88"/>
    <w:rsid w:val="00061F58"/>
    <w:rsid w:val="00062B76"/>
    <w:rsid w:val="00062F33"/>
    <w:rsid w:val="00063B4D"/>
    <w:rsid w:val="00063C5C"/>
    <w:rsid w:val="000642A8"/>
    <w:rsid w:val="000647EC"/>
    <w:rsid w:val="000664A4"/>
    <w:rsid w:val="00066961"/>
    <w:rsid w:val="00067AF2"/>
    <w:rsid w:val="00067C56"/>
    <w:rsid w:val="00070105"/>
    <w:rsid w:val="000723C1"/>
    <w:rsid w:val="00073492"/>
    <w:rsid w:val="00073BD3"/>
    <w:rsid w:val="000762EC"/>
    <w:rsid w:val="0007657E"/>
    <w:rsid w:val="00076C6C"/>
    <w:rsid w:val="00080329"/>
    <w:rsid w:val="0008045C"/>
    <w:rsid w:val="00080E7D"/>
    <w:rsid w:val="00081486"/>
    <w:rsid w:val="0008301C"/>
    <w:rsid w:val="000839FD"/>
    <w:rsid w:val="0008473D"/>
    <w:rsid w:val="000847E0"/>
    <w:rsid w:val="00085ADA"/>
    <w:rsid w:val="00086411"/>
    <w:rsid w:val="000873AD"/>
    <w:rsid w:val="00087A03"/>
    <w:rsid w:val="000901A2"/>
    <w:rsid w:val="0009038D"/>
    <w:rsid w:val="00090C53"/>
    <w:rsid w:val="00092E42"/>
    <w:rsid w:val="00092EF7"/>
    <w:rsid w:val="0009310E"/>
    <w:rsid w:val="000935FE"/>
    <w:rsid w:val="00095700"/>
    <w:rsid w:val="000965FA"/>
    <w:rsid w:val="00096CBF"/>
    <w:rsid w:val="000975AB"/>
    <w:rsid w:val="000A05CE"/>
    <w:rsid w:val="000A0B56"/>
    <w:rsid w:val="000A0F0F"/>
    <w:rsid w:val="000A1654"/>
    <w:rsid w:val="000A18F8"/>
    <w:rsid w:val="000A195C"/>
    <w:rsid w:val="000A1E6D"/>
    <w:rsid w:val="000A2BF1"/>
    <w:rsid w:val="000A3418"/>
    <w:rsid w:val="000A34F2"/>
    <w:rsid w:val="000A377F"/>
    <w:rsid w:val="000A3890"/>
    <w:rsid w:val="000A3EE6"/>
    <w:rsid w:val="000A3F0D"/>
    <w:rsid w:val="000A472C"/>
    <w:rsid w:val="000A4771"/>
    <w:rsid w:val="000A5364"/>
    <w:rsid w:val="000A579B"/>
    <w:rsid w:val="000A5924"/>
    <w:rsid w:val="000A6355"/>
    <w:rsid w:val="000A66A7"/>
    <w:rsid w:val="000A7A97"/>
    <w:rsid w:val="000A7D69"/>
    <w:rsid w:val="000B0F2B"/>
    <w:rsid w:val="000B1246"/>
    <w:rsid w:val="000B1819"/>
    <w:rsid w:val="000B1C6A"/>
    <w:rsid w:val="000B27B7"/>
    <w:rsid w:val="000B28B4"/>
    <w:rsid w:val="000B2A15"/>
    <w:rsid w:val="000B2F4F"/>
    <w:rsid w:val="000B3083"/>
    <w:rsid w:val="000B30FE"/>
    <w:rsid w:val="000B343F"/>
    <w:rsid w:val="000B480F"/>
    <w:rsid w:val="000B4A34"/>
    <w:rsid w:val="000B532A"/>
    <w:rsid w:val="000B57D2"/>
    <w:rsid w:val="000B59AD"/>
    <w:rsid w:val="000B5BF1"/>
    <w:rsid w:val="000B5C4C"/>
    <w:rsid w:val="000B697A"/>
    <w:rsid w:val="000B69D4"/>
    <w:rsid w:val="000B777B"/>
    <w:rsid w:val="000B79F0"/>
    <w:rsid w:val="000B7D94"/>
    <w:rsid w:val="000C03C2"/>
    <w:rsid w:val="000C073B"/>
    <w:rsid w:val="000C0FB7"/>
    <w:rsid w:val="000C15D0"/>
    <w:rsid w:val="000C1E15"/>
    <w:rsid w:val="000C38F3"/>
    <w:rsid w:val="000C3CB4"/>
    <w:rsid w:val="000C4B73"/>
    <w:rsid w:val="000C5DD5"/>
    <w:rsid w:val="000C60E3"/>
    <w:rsid w:val="000C6B48"/>
    <w:rsid w:val="000C6E5F"/>
    <w:rsid w:val="000C6F29"/>
    <w:rsid w:val="000C7723"/>
    <w:rsid w:val="000C784E"/>
    <w:rsid w:val="000C7AFC"/>
    <w:rsid w:val="000C7D9D"/>
    <w:rsid w:val="000D0DCF"/>
    <w:rsid w:val="000D1972"/>
    <w:rsid w:val="000D19CF"/>
    <w:rsid w:val="000D1AE1"/>
    <w:rsid w:val="000D2738"/>
    <w:rsid w:val="000D289F"/>
    <w:rsid w:val="000D3442"/>
    <w:rsid w:val="000D3604"/>
    <w:rsid w:val="000D3697"/>
    <w:rsid w:val="000D3D97"/>
    <w:rsid w:val="000D48C7"/>
    <w:rsid w:val="000D4C66"/>
    <w:rsid w:val="000D537F"/>
    <w:rsid w:val="000D5FC3"/>
    <w:rsid w:val="000D61CA"/>
    <w:rsid w:val="000D62D2"/>
    <w:rsid w:val="000D638B"/>
    <w:rsid w:val="000D654F"/>
    <w:rsid w:val="000D657B"/>
    <w:rsid w:val="000D7024"/>
    <w:rsid w:val="000D73FA"/>
    <w:rsid w:val="000D7B56"/>
    <w:rsid w:val="000E0112"/>
    <w:rsid w:val="000E0180"/>
    <w:rsid w:val="000E103D"/>
    <w:rsid w:val="000E1095"/>
    <w:rsid w:val="000E2DAB"/>
    <w:rsid w:val="000E4544"/>
    <w:rsid w:val="000E456C"/>
    <w:rsid w:val="000E4B56"/>
    <w:rsid w:val="000E5568"/>
    <w:rsid w:val="000E5E19"/>
    <w:rsid w:val="000E60D4"/>
    <w:rsid w:val="000E6786"/>
    <w:rsid w:val="000E6CEE"/>
    <w:rsid w:val="000E7CDE"/>
    <w:rsid w:val="000E7FFD"/>
    <w:rsid w:val="000F0066"/>
    <w:rsid w:val="000F0877"/>
    <w:rsid w:val="000F1D9E"/>
    <w:rsid w:val="000F1F2E"/>
    <w:rsid w:val="000F222A"/>
    <w:rsid w:val="000F24E2"/>
    <w:rsid w:val="000F2ED8"/>
    <w:rsid w:val="000F2F80"/>
    <w:rsid w:val="000F3256"/>
    <w:rsid w:val="000F3D5D"/>
    <w:rsid w:val="000F3EBA"/>
    <w:rsid w:val="000F4A83"/>
    <w:rsid w:val="000F4D37"/>
    <w:rsid w:val="000F4FEC"/>
    <w:rsid w:val="000F5910"/>
    <w:rsid w:val="000F5A0B"/>
    <w:rsid w:val="000F6D9E"/>
    <w:rsid w:val="000F79C0"/>
    <w:rsid w:val="00100052"/>
    <w:rsid w:val="00100E06"/>
    <w:rsid w:val="00101260"/>
    <w:rsid w:val="00101518"/>
    <w:rsid w:val="001016B1"/>
    <w:rsid w:val="001016B8"/>
    <w:rsid w:val="00101707"/>
    <w:rsid w:val="00102405"/>
    <w:rsid w:val="00103136"/>
    <w:rsid w:val="0010330A"/>
    <w:rsid w:val="001035E7"/>
    <w:rsid w:val="0010427D"/>
    <w:rsid w:val="00104518"/>
    <w:rsid w:val="00104785"/>
    <w:rsid w:val="00104E63"/>
    <w:rsid w:val="001068F1"/>
    <w:rsid w:val="00106A90"/>
    <w:rsid w:val="00106C72"/>
    <w:rsid w:val="00106D11"/>
    <w:rsid w:val="00106F7F"/>
    <w:rsid w:val="001072CF"/>
    <w:rsid w:val="00107AAF"/>
    <w:rsid w:val="00111709"/>
    <w:rsid w:val="00111BF5"/>
    <w:rsid w:val="00113A76"/>
    <w:rsid w:val="00113FAF"/>
    <w:rsid w:val="001147B6"/>
    <w:rsid w:val="00115992"/>
    <w:rsid w:val="00116F96"/>
    <w:rsid w:val="00117133"/>
    <w:rsid w:val="00117924"/>
    <w:rsid w:val="00117F6E"/>
    <w:rsid w:val="00120522"/>
    <w:rsid w:val="001207DC"/>
    <w:rsid w:val="00120C84"/>
    <w:rsid w:val="00120FCC"/>
    <w:rsid w:val="001210F5"/>
    <w:rsid w:val="00121438"/>
    <w:rsid w:val="001218A8"/>
    <w:rsid w:val="00121AA5"/>
    <w:rsid w:val="00122383"/>
    <w:rsid w:val="001228FB"/>
    <w:rsid w:val="00122F00"/>
    <w:rsid w:val="0012430F"/>
    <w:rsid w:val="0012538C"/>
    <w:rsid w:val="00125597"/>
    <w:rsid w:val="00125854"/>
    <w:rsid w:val="0012666A"/>
    <w:rsid w:val="00126764"/>
    <w:rsid w:val="00126D1F"/>
    <w:rsid w:val="00127044"/>
    <w:rsid w:val="00127255"/>
    <w:rsid w:val="00130EFA"/>
    <w:rsid w:val="00131340"/>
    <w:rsid w:val="00132B0B"/>
    <w:rsid w:val="001341A4"/>
    <w:rsid w:val="001341D9"/>
    <w:rsid w:val="001346A6"/>
    <w:rsid w:val="00134A7C"/>
    <w:rsid w:val="0013500A"/>
    <w:rsid w:val="00136A6B"/>
    <w:rsid w:val="00137A68"/>
    <w:rsid w:val="00137D58"/>
    <w:rsid w:val="0014015F"/>
    <w:rsid w:val="00140553"/>
    <w:rsid w:val="00140B88"/>
    <w:rsid w:val="00143351"/>
    <w:rsid w:val="00143563"/>
    <w:rsid w:val="0014393C"/>
    <w:rsid w:val="001441C9"/>
    <w:rsid w:val="0014482E"/>
    <w:rsid w:val="00144B4C"/>
    <w:rsid w:val="00145783"/>
    <w:rsid w:val="001459CF"/>
    <w:rsid w:val="00145F07"/>
    <w:rsid w:val="0014603C"/>
    <w:rsid w:val="0014716C"/>
    <w:rsid w:val="001478CA"/>
    <w:rsid w:val="00147CB4"/>
    <w:rsid w:val="0015070E"/>
    <w:rsid w:val="001510FD"/>
    <w:rsid w:val="00151A2F"/>
    <w:rsid w:val="00151BA3"/>
    <w:rsid w:val="0015267A"/>
    <w:rsid w:val="00152ED4"/>
    <w:rsid w:val="0015513E"/>
    <w:rsid w:val="00155A28"/>
    <w:rsid w:val="00155CB5"/>
    <w:rsid w:val="00155EE6"/>
    <w:rsid w:val="00156B21"/>
    <w:rsid w:val="00156B43"/>
    <w:rsid w:val="00156F26"/>
    <w:rsid w:val="00157013"/>
    <w:rsid w:val="00157448"/>
    <w:rsid w:val="00157A0A"/>
    <w:rsid w:val="00160443"/>
    <w:rsid w:val="0016071A"/>
    <w:rsid w:val="00160F66"/>
    <w:rsid w:val="00161882"/>
    <w:rsid w:val="00161CA5"/>
    <w:rsid w:val="00163898"/>
    <w:rsid w:val="00163E78"/>
    <w:rsid w:val="0016443B"/>
    <w:rsid w:val="001644C8"/>
    <w:rsid w:val="001650BD"/>
    <w:rsid w:val="001657DF"/>
    <w:rsid w:val="00166924"/>
    <w:rsid w:val="00167059"/>
    <w:rsid w:val="00167528"/>
    <w:rsid w:val="00170A45"/>
    <w:rsid w:val="00171172"/>
    <w:rsid w:val="0017134E"/>
    <w:rsid w:val="001714D6"/>
    <w:rsid w:val="00171A25"/>
    <w:rsid w:val="00172002"/>
    <w:rsid w:val="00172202"/>
    <w:rsid w:val="00172FC0"/>
    <w:rsid w:val="001731B2"/>
    <w:rsid w:val="00174C3E"/>
    <w:rsid w:val="00174F05"/>
    <w:rsid w:val="00175539"/>
    <w:rsid w:val="00175600"/>
    <w:rsid w:val="00175B00"/>
    <w:rsid w:val="0017656B"/>
    <w:rsid w:val="001767D2"/>
    <w:rsid w:val="00177131"/>
    <w:rsid w:val="0017729F"/>
    <w:rsid w:val="00177C23"/>
    <w:rsid w:val="00177D3D"/>
    <w:rsid w:val="001803A2"/>
    <w:rsid w:val="00180BC8"/>
    <w:rsid w:val="00181DAA"/>
    <w:rsid w:val="0018257D"/>
    <w:rsid w:val="00182B8D"/>
    <w:rsid w:val="00182F8D"/>
    <w:rsid w:val="00183725"/>
    <w:rsid w:val="00183E8E"/>
    <w:rsid w:val="00183E99"/>
    <w:rsid w:val="001848D4"/>
    <w:rsid w:val="00184DB4"/>
    <w:rsid w:val="0018513D"/>
    <w:rsid w:val="00186C89"/>
    <w:rsid w:val="0018726A"/>
    <w:rsid w:val="0019049F"/>
    <w:rsid w:val="00190818"/>
    <w:rsid w:val="00190BCF"/>
    <w:rsid w:val="00190D41"/>
    <w:rsid w:val="00190ECE"/>
    <w:rsid w:val="00191705"/>
    <w:rsid w:val="00191C36"/>
    <w:rsid w:val="001923AD"/>
    <w:rsid w:val="00192957"/>
    <w:rsid w:val="00192F96"/>
    <w:rsid w:val="001933EA"/>
    <w:rsid w:val="00193641"/>
    <w:rsid w:val="00193CBC"/>
    <w:rsid w:val="00193E5C"/>
    <w:rsid w:val="00193E92"/>
    <w:rsid w:val="001945C8"/>
    <w:rsid w:val="001954E2"/>
    <w:rsid w:val="0019559A"/>
    <w:rsid w:val="00195A62"/>
    <w:rsid w:val="00195F93"/>
    <w:rsid w:val="00197076"/>
    <w:rsid w:val="00197828"/>
    <w:rsid w:val="001978F3"/>
    <w:rsid w:val="00197E10"/>
    <w:rsid w:val="00197F4F"/>
    <w:rsid w:val="001A0C2A"/>
    <w:rsid w:val="001A0C3E"/>
    <w:rsid w:val="001A19C2"/>
    <w:rsid w:val="001A1A99"/>
    <w:rsid w:val="001A1E43"/>
    <w:rsid w:val="001A2238"/>
    <w:rsid w:val="001A2465"/>
    <w:rsid w:val="001A2613"/>
    <w:rsid w:val="001A357C"/>
    <w:rsid w:val="001A42AC"/>
    <w:rsid w:val="001A458B"/>
    <w:rsid w:val="001A4C1F"/>
    <w:rsid w:val="001A50E0"/>
    <w:rsid w:val="001A56A7"/>
    <w:rsid w:val="001A672B"/>
    <w:rsid w:val="001A6A61"/>
    <w:rsid w:val="001A7DC4"/>
    <w:rsid w:val="001B1F22"/>
    <w:rsid w:val="001B2344"/>
    <w:rsid w:val="001B359F"/>
    <w:rsid w:val="001B41DF"/>
    <w:rsid w:val="001B6366"/>
    <w:rsid w:val="001B6B2B"/>
    <w:rsid w:val="001B6F76"/>
    <w:rsid w:val="001B7092"/>
    <w:rsid w:val="001B720A"/>
    <w:rsid w:val="001B7422"/>
    <w:rsid w:val="001C05F0"/>
    <w:rsid w:val="001C0795"/>
    <w:rsid w:val="001C0EFA"/>
    <w:rsid w:val="001C1B9B"/>
    <w:rsid w:val="001C1D69"/>
    <w:rsid w:val="001C23F0"/>
    <w:rsid w:val="001C3244"/>
    <w:rsid w:val="001C3990"/>
    <w:rsid w:val="001C3C2E"/>
    <w:rsid w:val="001C40A1"/>
    <w:rsid w:val="001C419F"/>
    <w:rsid w:val="001C4221"/>
    <w:rsid w:val="001C5787"/>
    <w:rsid w:val="001C5C97"/>
    <w:rsid w:val="001C5E58"/>
    <w:rsid w:val="001C655A"/>
    <w:rsid w:val="001C6D2A"/>
    <w:rsid w:val="001C7761"/>
    <w:rsid w:val="001C7A07"/>
    <w:rsid w:val="001C7A22"/>
    <w:rsid w:val="001D0173"/>
    <w:rsid w:val="001D2477"/>
    <w:rsid w:val="001D27A3"/>
    <w:rsid w:val="001D30EF"/>
    <w:rsid w:val="001D3448"/>
    <w:rsid w:val="001D3AE7"/>
    <w:rsid w:val="001D510C"/>
    <w:rsid w:val="001D653D"/>
    <w:rsid w:val="001E1229"/>
    <w:rsid w:val="001E1E9D"/>
    <w:rsid w:val="001E2C30"/>
    <w:rsid w:val="001E2EFC"/>
    <w:rsid w:val="001E30FA"/>
    <w:rsid w:val="001E3279"/>
    <w:rsid w:val="001E3EAD"/>
    <w:rsid w:val="001E4426"/>
    <w:rsid w:val="001E4CE0"/>
    <w:rsid w:val="001E5057"/>
    <w:rsid w:val="001E51BC"/>
    <w:rsid w:val="001E57CE"/>
    <w:rsid w:val="001E598C"/>
    <w:rsid w:val="001E5D04"/>
    <w:rsid w:val="001E5FB6"/>
    <w:rsid w:val="001E69E4"/>
    <w:rsid w:val="001E6C9F"/>
    <w:rsid w:val="001E750F"/>
    <w:rsid w:val="001E7917"/>
    <w:rsid w:val="001E7C96"/>
    <w:rsid w:val="001E7D90"/>
    <w:rsid w:val="001F04F9"/>
    <w:rsid w:val="001F06A0"/>
    <w:rsid w:val="001F0C6B"/>
    <w:rsid w:val="001F2159"/>
    <w:rsid w:val="001F2A4C"/>
    <w:rsid w:val="001F2C29"/>
    <w:rsid w:val="001F2E05"/>
    <w:rsid w:val="001F360F"/>
    <w:rsid w:val="001F3814"/>
    <w:rsid w:val="001F3DB8"/>
    <w:rsid w:val="001F4A2E"/>
    <w:rsid w:val="001F5081"/>
    <w:rsid w:val="001F5A78"/>
    <w:rsid w:val="001F63DA"/>
    <w:rsid w:val="001F68FE"/>
    <w:rsid w:val="001F7702"/>
    <w:rsid w:val="00200153"/>
    <w:rsid w:val="00200924"/>
    <w:rsid w:val="002017FF"/>
    <w:rsid w:val="00201E66"/>
    <w:rsid w:val="00202C25"/>
    <w:rsid w:val="00202CED"/>
    <w:rsid w:val="00203435"/>
    <w:rsid w:val="00203D44"/>
    <w:rsid w:val="00204316"/>
    <w:rsid w:val="00204996"/>
    <w:rsid w:val="00205464"/>
    <w:rsid w:val="002062F9"/>
    <w:rsid w:val="00206996"/>
    <w:rsid w:val="00206DD2"/>
    <w:rsid w:val="00207015"/>
    <w:rsid w:val="002070AB"/>
    <w:rsid w:val="002071BD"/>
    <w:rsid w:val="002103C6"/>
    <w:rsid w:val="00210763"/>
    <w:rsid w:val="00210B21"/>
    <w:rsid w:val="002119C0"/>
    <w:rsid w:val="0021248C"/>
    <w:rsid w:val="00213A3B"/>
    <w:rsid w:val="00213F29"/>
    <w:rsid w:val="00215C4D"/>
    <w:rsid w:val="00215F4C"/>
    <w:rsid w:val="00216775"/>
    <w:rsid w:val="00217441"/>
    <w:rsid w:val="00217C85"/>
    <w:rsid w:val="002203E9"/>
    <w:rsid w:val="002205EA"/>
    <w:rsid w:val="00220C09"/>
    <w:rsid w:val="002217A5"/>
    <w:rsid w:val="0022200A"/>
    <w:rsid w:val="00222118"/>
    <w:rsid w:val="002240DA"/>
    <w:rsid w:val="002253C7"/>
    <w:rsid w:val="00225A9C"/>
    <w:rsid w:val="00226507"/>
    <w:rsid w:val="00226B28"/>
    <w:rsid w:val="002276AC"/>
    <w:rsid w:val="00227B68"/>
    <w:rsid w:val="0023013D"/>
    <w:rsid w:val="0023052A"/>
    <w:rsid w:val="00230978"/>
    <w:rsid w:val="0023102F"/>
    <w:rsid w:val="00231646"/>
    <w:rsid w:val="00232338"/>
    <w:rsid w:val="00232E5E"/>
    <w:rsid w:val="002337D7"/>
    <w:rsid w:val="002344C6"/>
    <w:rsid w:val="00234E5E"/>
    <w:rsid w:val="0023507F"/>
    <w:rsid w:val="0023581D"/>
    <w:rsid w:val="00235C84"/>
    <w:rsid w:val="00236A8D"/>
    <w:rsid w:val="00237462"/>
    <w:rsid w:val="002377DC"/>
    <w:rsid w:val="00240387"/>
    <w:rsid w:val="00240B16"/>
    <w:rsid w:val="00241A8A"/>
    <w:rsid w:val="00241ABE"/>
    <w:rsid w:val="00241B33"/>
    <w:rsid w:val="00242005"/>
    <w:rsid w:val="00242479"/>
    <w:rsid w:val="0024252B"/>
    <w:rsid w:val="00244470"/>
    <w:rsid w:val="00245609"/>
    <w:rsid w:val="002468DB"/>
    <w:rsid w:val="00246BFA"/>
    <w:rsid w:val="00247C1F"/>
    <w:rsid w:val="00250690"/>
    <w:rsid w:val="002508DE"/>
    <w:rsid w:val="00250985"/>
    <w:rsid w:val="00251119"/>
    <w:rsid w:val="00251329"/>
    <w:rsid w:val="00251B6F"/>
    <w:rsid w:val="00252CFC"/>
    <w:rsid w:val="00252E6D"/>
    <w:rsid w:val="0025494A"/>
    <w:rsid w:val="00254AC3"/>
    <w:rsid w:val="00254C1A"/>
    <w:rsid w:val="00254C55"/>
    <w:rsid w:val="002557E8"/>
    <w:rsid w:val="00256317"/>
    <w:rsid w:val="0025647A"/>
    <w:rsid w:val="002564E8"/>
    <w:rsid w:val="00256C38"/>
    <w:rsid w:val="00257221"/>
    <w:rsid w:val="002600EE"/>
    <w:rsid w:val="00260598"/>
    <w:rsid w:val="002614C0"/>
    <w:rsid w:val="0026156A"/>
    <w:rsid w:val="00261E32"/>
    <w:rsid w:val="00264414"/>
    <w:rsid w:val="002658F1"/>
    <w:rsid w:val="002664FC"/>
    <w:rsid w:val="00266E75"/>
    <w:rsid w:val="00270D30"/>
    <w:rsid w:val="002711EB"/>
    <w:rsid w:val="00271248"/>
    <w:rsid w:val="002717C5"/>
    <w:rsid w:val="00271FD6"/>
    <w:rsid w:val="002727BD"/>
    <w:rsid w:val="002735FE"/>
    <w:rsid w:val="00273917"/>
    <w:rsid w:val="00274E87"/>
    <w:rsid w:val="0027517C"/>
    <w:rsid w:val="002753A0"/>
    <w:rsid w:val="00275B91"/>
    <w:rsid w:val="0027714B"/>
    <w:rsid w:val="00277ACD"/>
    <w:rsid w:val="00277B80"/>
    <w:rsid w:val="0028038B"/>
    <w:rsid w:val="0028089B"/>
    <w:rsid w:val="002808EC"/>
    <w:rsid w:val="0028103D"/>
    <w:rsid w:val="00281505"/>
    <w:rsid w:val="002818BB"/>
    <w:rsid w:val="00281BAA"/>
    <w:rsid w:val="00281F9F"/>
    <w:rsid w:val="00283925"/>
    <w:rsid w:val="00283BF9"/>
    <w:rsid w:val="002841D3"/>
    <w:rsid w:val="0028420D"/>
    <w:rsid w:val="0028469B"/>
    <w:rsid w:val="00284778"/>
    <w:rsid w:val="0028523A"/>
    <w:rsid w:val="00285551"/>
    <w:rsid w:val="00286AB5"/>
    <w:rsid w:val="00286CCB"/>
    <w:rsid w:val="00286E7F"/>
    <w:rsid w:val="00286F36"/>
    <w:rsid w:val="002907D7"/>
    <w:rsid w:val="002909E2"/>
    <w:rsid w:val="00290D4F"/>
    <w:rsid w:val="00290E22"/>
    <w:rsid w:val="00290F1C"/>
    <w:rsid w:val="0029187D"/>
    <w:rsid w:val="002919DC"/>
    <w:rsid w:val="00291D06"/>
    <w:rsid w:val="00292611"/>
    <w:rsid w:val="002936B6"/>
    <w:rsid w:val="00293855"/>
    <w:rsid w:val="00294981"/>
    <w:rsid w:val="002950A7"/>
    <w:rsid w:val="00295F7B"/>
    <w:rsid w:val="0029626B"/>
    <w:rsid w:val="002962A2"/>
    <w:rsid w:val="002970BF"/>
    <w:rsid w:val="002A0E22"/>
    <w:rsid w:val="002A1CF3"/>
    <w:rsid w:val="002A2194"/>
    <w:rsid w:val="002A21F2"/>
    <w:rsid w:val="002A226D"/>
    <w:rsid w:val="002A2996"/>
    <w:rsid w:val="002A2A9F"/>
    <w:rsid w:val="002A2AD6"/>
    <w:rsid w:val="002A30E4"/>
    <w:rsid w:val="002A319D"/>
    <w:rsid w:val="002A32A3"/>
    <w:rsid w:val="002A33E3"/>
    <w:rsid w:val="002A52FA"/>
    <w:rsid w:val="002A54B1"/>
    <w:rsid w:val="002A6E95"/>
    <w:rsid w:val="002A7D51"/>
    <w:rsid w:val="002B0914"/>
    <w:rsid w:val="002B0CF0"/>
    <w:rsid w:val="002B0F7A"/>
    <w:rsid w:val="002B3443"/>
    <w:rsid w:val="002B4518"/>
    <w:rsid w:val="002B494E"/>
    <w:rsid w:val="002B5183"/>
    <w:rsid w:val="002B5E67"/>
    <w:rsid w:val="002B7604"/>
    <w:rsid w:val="002B77E0"/>
    <w:rsid w:val="002B7836"/>
    <w:rsid w:val="002B788C"/>
    <w:rsid w:val="002C0D56"/>
    <w:rsid w:val="002C128C"/>
    <w:rsid w:val="002C1C01"/>
    <w:rsid w:val="002C2941"/>
    <w:rsid w:val="002C3897"/>
    <w:rsid w:val="002C3CC3"/>
    <w:rsid w:val="002C4C7C"/>
    <w:rsid w:val="002C4D60"/>
    <w:rsid w:val="002C4DBD"/>
    <w:rsid w:val="002C4FE1"/>
    <w:rsid w:val="002C534A"/>
    <w:rsid w:val="002C53AC"/>
    <w:rsid w:val="002C6DC0"/>
    <w:rsid w:val="002C7171"/>
    <w:rsid w:val="002D00D4"/>
    <w:rsid w:val="002D0FCB"/>
    <w:rsid w:val="002D1002"/>
    <w:rsid w:val="002D2996"/>
    <w:rsid w:val="002D3374"/>
    <w:rsid w:val="002D3A4D"/>
    <w:rsid w:val="002D4BC9"/>
    <w:rsid w:val="002D62F8"/>
    <w:rsid w:val="002D6848"/>
    <w:rsid w:val="002D77B0"/>
    <w:rsid w:val="002D7AD7"/>
    <w:rsid w:val="002E045D"/>
    <w:rsid w:val="002E21A0"/>
    <w:rsid w:val="002E22D8"/>
    <w:rsid w:val="002E23E8"/>
    <w:rsid w:val="002E323B"/>
    <w:rsid w:val="002E3443"/>
    <w:rsid w:val="002E3FC1"/>
    <w:rsid w:val="002E448D"/>
    <w:rsid w:val="002E4626"/>
    <w:rsid w:val="002E48F8"/>
    <w:rsid w:val="002E5EDB"/>
    <w:rsid w:val="002E6419"/>
    <w:rsid w:val="002E661F"/>
    <w:rsid w:val="002E6884"/>
    <w:rsid w:val="002E7ADC"/>
    <w:rsid w:val="002F0304"/>
    <w:rsid w:val="002F0A25"/>
    <w:rsid w:val="002F182D"/>
    <w:rsid w:val="002F1B5A"/>
    <w:rsid w:val="002F1CA0"/>
    <w:rsid w:val="002F2171"/>
    <w:rsid w:val="002F36EA"/>
    <w:rsid w:val="002F412C"/>
    <w:rsid w:val="002F41A6"/>
    <w:rsid w:val="002F427B"/>
    <w:rsid w:val="002F4758"/>
    <w:rsid w:val="002F4DFE"/>
    <w:rsid w:val="002F4FAD"/>
    <w:rsid w:val="002F5D9B"/>
    <w:rsid w:val="002F61E9"/>
    <w:rsid w:val="002F67F7"/>
    <w:rsid w:val="002F69C2"/>
    <w:rsid w:val="002F6D5A"/>
    <w:rsid w:val="002F706C"/>
    <w:rsid w:val="002F723A"/>
    <w:rsid w:val="002F7FBB"/>
    <w:rsid w:val="003002E2"/>
    <w:rsid w:val="00300443"/>
    <w:rsid w:val="00300896"/>
    <w:rsid w:val="00301445"/>
    <w:rsid w:val="00301500"/>
    <w:rsid w:val="003021AB"/>
    <w:rsid w:val="0030267F"/>
    <w:rsid w:val="00304526"/>
    <w:rsid w:val="00304BC1"/>
    <w:rsid w:val="00304D47"/>
    <w:rsid w:val="00305AEC"/>
    <w:rsid w:val="00305BD1"/>
    <w:rsid w:val="00305F16"/>
    <w:rsid w:val="00306155"/>
    <w:rsid w:val="003070AE"/>
    <w:rsid w:val="00307387"/>
    <w:rsid w:val="00307E33"/>
    <w:rsid w:val="00311B46"/>
    <w:rsid w:val="00311FB6"/>
    <w:rsid w:val="00312626"/>
    <w:rsid w:val="003127E9"/>
    <w:rsid w:val="00312CA7"/>
    <w:rsid w:val="00313903"/>
    <w:rsid w:val="00314E08"/>
    <w:rsid w:val="00314F87"/>
    <w:rsid w:val="00315590"/>
    <w:rsid w:val="00315833"/>
    <w:rsid w:val="00315B67"/>
    <w:rsid w:val="00315E8A"/>
    <w:rsid w:val="00315FD9"/>
    <w:rsid w:val="00316218"/>
    <w:rsid w:val="00316C04"/>
    <w:rsid w:val="00317686"/>
    <w:rsid w:val="0032119E"/>
    <w:rsid w:val="0032202A"/>
    <w:rsid w:val="003223EF"/>
    <w:rsid w:val="003229AD"/>
    <w:rsid w:val="003232F3"/>
    <w:rsid w:val="003234AB"/>
    <w:rsid w:val="003235C6"/>
    <w:rsid w:val="00325B8A"/>
    <w:rsid w:val="0032615D"/>
    <w:rsid w:val="00326727"/>
    <w:rsid w:val="00326759"/>
    <w:rsid w:val="003268A9"/>
    <w:rsid w:val="00326BCA"/>
    <w:rsid w:val="00326E61"/>
    <w:rsid w:val="00326F09"/>
    <w:rsid w:val="00327B2D"/>
    <w:rsid w:val="00327BE2"/>
    <w:rsid w:val="0033000C"/>
    <w:rsid w:val="0033070A"/>
    <w:rsid w:val="00330CD8"/>
    <w:rsid w:val="00330F24"/>
    <w:rsid w:val="00331039"/>
    <w:rsid w:val="00331084"/>
    <w:rsid w:val="0033108C"/>
    <w:rsid w:val="00331169"/>
    <w:rsid w:val="003316EC"/>
    <w:rsid w:val="00332D43"/>
    <w:rsid w:val="00332E61"/>
    <w:rsid w:val="003335AC"/>
    <w:rsid w:val="0033588E"/>
    <w:rsid w:val="00336120"/>
    <w:rsid w:val="0033625E"/>
    <w:rsid w:val="00336B60"/>
    <w:rsid w:val="00336D65"/>
    <w:rsid w:val="00336E43"/>
    <w:rsid w:val="00340313"/>
    <w:rsid w:val="00340334"/>
    <w:rsid w:val="0034033B"/>
    <w:rsid w:val="00342F1B"/>
    <w:rsid w:val="00342FD3"/>
    <w:rsid w:val="00343365"/>
    <w:rsid w:val="0034369C"/>
    <w:rsid w:val="00343E0B"/>
    <w:rsid w:val="00344014"/>
    <w:rsid w:val="00344162"/>
    <w:rsid w:val="00344236"/>
    <w:rsid w:val="003450E3"/>
    <w:rsid w:val="003457EB"/>
    <w:rsid w:val="0034593D"/>
    <w:rsid w:val="0034641B"/>
    <w:rsid w:val="00346A80"/>
    <w:rsid w:val="00346F4A"/>
    <w:rsid w:val="0034719C"/>
    <w:rsid w:val="00347992"/>
    <w:rsid w:val="00347DE2"/>
    <w:rsid w:val="003500EF"/>
    <w:rsid w:val="003507F8"/>
    <w:rsid w:val="0035099F"/>
    <w:rsid w:val="0035174A"/>
    <w:rsid w:val="00351D0D"/>
    <w:rsid w:val="0035213E"/>
    <w:rsid w:val="00352F9D"/>
    <w:rsid w:val="00353841"/>
    <w:rsid w:val="0035395F"/>
    <w:rsid w:val="00353E85"/>
    <w:rsid w:val="003546D0"/>
    <w:rsid w:val="00354964"/>
    <w:rsid w:val="00354D01"/>
    <w:rsid w:val="00354E76"/>
    <w:rsid w:val="00354F74"/>
    <w:rsid w:val="0035513A"/>
    <w:rsid w:val="00355586"/>
    <w:rsid w:val="00355B33"/>
    <w:rsid w:val="00355D7F"/>
    <w:rsid w:val="00356035"/>
    <w:rsid w:val="00356307"/>
    <w:rsid w:val="00356AF7"/>
    <w:rsid w:val="0035700F"/>
    <w:rsid w:val="00357C3E"/>
    <w:rsid w:val="003602ED"/>
    <w:rsid w:val="003605E8"/>
    <w:rsid w:val="00360A8B"/>
    <w:rsid w:val="00360DE9"/>
    <w:rsid w:val="00361C31"/>
    <w:rsid w:val="00361D0F"/>
    <w:rsid w:val="00361F9A"/>
    <w:rsid w:val="00362374"/>
    <w:rsid w:val="00362537"/>
    <w:rsid w:val="00362573"/>
    <w:rsid w:val="00362A95"/>
    <w:rsid w:val="00363783"/>
    <w:rsid w:val="0036389A"/>
    <w:rsid w:val="00363ECC"/>
    <w:rsid w:val="00364941"/>
    <w:rsid w:val="00364E43"/>
    <w:rsid w:val="00365205"/>
    <w:rsid w:val="0036542D"/>
    <w:rsid w:val="00365470"/>
    <w:rsid w:val="003658E9"/>
    <w:rsid w:val="00367A48"/>
    <w:rsid w:val="00367DC5"/>
    <w:rsid w:val="00367FAB"/>
    <w:rsid w:val="00370192"/>
    <w:rsid w:val="00370557"/>
    <w:rsid w:val="003706AF"/>
    <w:rsid w:val="00371F9E"/>
    <w:rsid w:val="003724E1"/>
    <w:rsid w:val="00373961"/>
    <w:rsid w:val="00373E6E"/>
    <w:rsid w:val="00374826"/>
    <w:rsid w:val="003758C7"/>
    <w:rsid w:val="003765D7"/>
    <w:rsid w:val="00376AC3"/>
    <w:rsid w:val="00376ADA"/>
    <w:rsid w:val="00376DC4"/>
    <w:rsid w:val="003772C7"/>
    <w:rsid w:val="00377431"/>
    <w:rsid w:val="00377B21"/>
    <w:rsid w:val="00377DB5"/>
    <w:rsid w:val="00380588"/>
    <w:rsid w:val="003809B7"/>
    <w:rsid w:val="00380AD1"/>
    <w:rsid w:val="00380BFE"/>
    <w:rsid w:val="00380EED"/>
    <w:rsid w:val="00380FD1"/>
    <w:rsid w:val="00381053"/>
    <w:rsid w:val="00381470"/>
    <w:rsid w:val="00382793"/>
    <w:rsid w:val="0038279E"/>
    <w:rsid w:val="003829D3"/>
    <w:rsid w:val="00382A7B"/>
    <w:rsid w:val="00383656"/>
    <w:rsid w:val="003839E3"/>
    <w:rsid w:val="003847E3"/>
    <w:rsid w:val="003849BB"/>
    <w:rsid w:val="003857F4"/>
    <w:rsid w:val="003857F9"/>
    <w:rsid w:val="00385846"/>
    <w:rsid w:val="003866BC"/>
    <w:rsid w:val="0038686A"/>
    <w:rsid w:val="00386B31"/>
    <w:rsid w:val="00386C5F"/>
    <w:rsid w:val="003900D7"/>
    <w:rsid w:val="0039020B"/>
    <w:rsid w:val="00390263"/>
    <w:rsid w:val="00390F03"/>
    <w:rsid w:val="00391091"/>
    <w:rsid w:val="0039118C"/>
    <w:rsid w:val="003939A6"/>
    <w:rsid w:val="0039412E"/>
    <w:rsid w:val="00394A2F"/>
    <w:rsid w:val="00394C06"/>
    <w:rsid w:val="003958A4"/>
    <w:rsid w:val="00395E50"/>
    <w:rsid w:val="003962FB"/>
    <w:rsid w:val="00396FD5"/>
    <w:rsid w:val="00397812"/>
    <w:rsid w:val="00397C49"/>
    <w:rsid w:val="00397D9B"/>
    <w:rsid w:val="00397DB6"/>
    <w:rsid w:val="003A0530"/>
    <w:rsid w:val="003A0A60"/>
    <w:rsid w:val="003A1851"/>
    <w:rsid w:val="003A1CC7"/>
    <w:rsid w:val="003A318C"/>
    <w:rsid w:val="003A3445"/>
    <w:rsid w:val="003A3823"/>
    <w:rsid w:val="003A3EF5"/>
    <w:rsid w:val="003A431F"/>
    <w:rsid w:val="003A45F7"/>
    <w:rsid w:val="003A4FDE"/>
    <w:rsid w:val="003A5F46"/>
    <w:rsid w:val="003A6912"/>
    <w:rsid w:val="003A69B6"/>
    <w:rsid w:val="003A6BEA"/>
    <w:rsid w:val="003A6CBB"/>
    <w:rsid w:val="003A6CCC"/>
    <w:rsid w:val="003B025F"/>
    <w:rsid w:val="003B0282"/>
    <w:rsid w:val="003B149F"/>
    <w:rsid w:val="003B2660"/>
    <w:rsid w:val="003B2CA5"/>
    <w:rsid w:val="003B3796"/>
    <w:rsid w:val="003B3E62"/>
    <w:rsid w:val="003B40C0"/>
    <w:rsid w:val="003B4513"/>
    <w:rsid w:val="003B5EDE"/>
    <w:rsid w:val="003B62FC"/>
    <w:rsid w:val="003B7006"/>
    <w:rsid w:val="003B7DF1"/>
    <w:rsid w:val="003C07E0"/>
    <w:rsid w:val="003C0CDE"/>
    <w:rsid w:val="003C157D"/>
    <w:rsid w:val="003C1D4F"/>
    <w:rsid w:val="003C2A48"/>
    <w:rsid w:val="003C3C52"/>
    <w:rsid w:val="003C3D35"/>
    <w:rsid w:val="003C4362"/>
    <w:rsid w:val="003C67FA"/>
    <w:rsid w:val="003C6C2F"/>
    <w:rsid w:val="003C6CB6"/>
    <w:rsid w:val="003C7301"/>
    <w:rsid w:val="003C7AB2"/>
    <w:rsid w:val="003D057B"/>
    <w:rsid w:val="003D0B7C"/>
    <w:rsid w:val="003D1308"/>
    <w:rsid w:val="003D2905"/>
    <w:rsid w:val="003D35E7"/>
    <w:rsid w:val="003D36FB"/>
    <w:rsid w:val="003D4756"/>
    <w:rsid w:val="003D4ED2"/>
    <w:rsid w:val="003D571C"/>
    <w:rsid w:val="003D5BEB"/>
    <w:rsid w:val="003D6459"/>
    <w:rsid w:val="003D69A1"/>
    <w:rsid w:val="003D71C7"/>
    <w:rsid w:val="003D7EEE"/>
    <w:rsid w:val="003E053F"/>
    <w:rsid w:val="003E0F1A"/>
    <w:rsid w:val="003E223E"/>
    <w:rsid w:val="003E33DE"/>
    <w:rsid w:val="003E368F"/>
    <w:rsid w:val="003E395E"/>
    <w:rsid w:val="003E4376"/>
    <w:rsid w:val="003E4CBC"/>
    <w:rsid w:val="003E52E1"/>
    <w:rsid w:val="003E5876"/>
    <w:rsid w:val="003E69EA"/>
    <w:rsid w:val="003E6C0A"/>
    <w:rsid w:val="003E6CCB"/>
    <w:rsid w:val="003F00B3"/>
    <w:rsid w:val="003F0E8E"/>
    <w:rsid w:val="003F1179"/>
    <w:rsid w:val="003F1308"/>
    <w:rsid w:val="003F1659"/>
    <w:rsid w:val="003F2260"/>
    <w:rsid w:val="003F262E"/>
    <w:rsid w:val="003F32E3"/>
    <w:rsid w:val="003F3B82"/>
    <w:rsid w:val="003F3C3E"/>
    <w:rsid w:val="003F492F"/>
    <w:rsid w:val="003F553E"/>
    <w:rsid w:val="003F68D0"/>
    <w:rsid w:val="003F70BD"/>
    <w:rsid w:val="003F7141"/>
    <w:rsid w:val="00401398"/>
    <w:rsid w:val="00401922"/>
    <w:rsid w:val="004021CF"/>
    <w:rsid w:val="00402969"/>
    <w:rsid w:val="00402A62"/>
    <w:rsid w:val="00403035"/>
    <w:rsid w:val="00404581"/>
    <w:rsid w:val="004045AB"/>
    <w:rsid w:val="00404C5D"/>
    <w:rsid w:val="004056E3"/>
    <w:rsid w:val="00406025"/>
    <w:rsid w:val="00406266"/>
    <w:rsid w:val="0040672E"/>
    <w:rsid w:val="00407144"/>
    <w:rsid w:val="00410DEA"/>
    <w:rsid w:val="004114C8"/>
    <w:rsid w:val="00411B99"/>
    <w:rsid w:val="00411F42"/>
    <w:rsid w:val="00412676"/>
    <w:rsid w:val="00413061"/>
    <w:rsid w:val="00413352"/>
    <w:rsid w:val="00415B34"/>
    <w:rsid w:val="004162DD"/>
    <w:rsid w:val="00416E3A"/>
    <w:rsid w:val="00417446"/>
    <w:rsid w:val="0041744E"/>
    <w:rsid w:val="00417512"/>
    <w:rsid w:val="004175A8"/>
    <w:rsid w:val="0042005A"/>
    <w:rsid w:val="00420633"/>
    <w:rsid w:val="00420D34"/>
    <w:rsid w:val="00421404"/>
    <w:rsid w:val="00421649"/>
    <w:rsid w:val="004224ED"/>
    <w:rsid w:val="00422BD2"/>
    <w:rsid w:val="00423627"/>
    <w:rsid w:val="00423E0E"/>
    <w:rsid w:val="004250C1"/>
    <w:rsid w:val="00425CFE"/>
    <w:rsid w:val="0042662C"/>
    <w:rsid w:val="0042693A"/>
    <w:rsid w:val="00427263"/>
    <w:rsid w:val="0043026B"/>
    <w:rsid w:val="0043078C"/>
    <w:rsid w:val="00430F55"/>
    <w:rsid w:val="0043153D"/>
    <w:rsid w:val="0043218F"/>
    <w:rsid w:val="00433303"/>
    <w:rsid w:val="00434D90"/>
    <w:rsid w:val="00435028"/>
    <w:rsid w:val="00435088"/>
    <w:rsid w:val="004353E4"/>
    <w:rsid w:val="0043588C"/>
    <w:rsid w:val="00435C04"/>
    <w:rsid w:val="00436F6A"/>
    <w:rsid w:val="00437D1C"/>
    <w:rsid w:val="004402BE"/>
    <w:rsid w:val="00440ACA"/>
    <w:rsid w:val="00440C1D"/>
    <w:rsid w:val="00441941"/>
    <w:rsid w:val="0044223F"/>
    <w:rsid w:val="004423B3"/>
    <w:rsid w:val="0044281A"/>
    <w:rsid w:val="00443A53"/>
    <w:rsid w:val="00443D66"/>
    <w:rsid w:val="00444484"/>
    <w:rsid w:val="00444E3C"/>
    <w:rsid w:val="00445404"/>
    <w:rsid w:val="00445FCD"/>
    <w:rsid w:val="004465E1"/>
    <w:rsid w:val="00446DE6"/>
    <w:rsid w:val="004502D5"/>
    <w:rsid w:val="00451061"/>
    <w:rsid w:val="00451466"/>
    <w:rsid w:val="00451D8E"/>
    <w:rsid w:val="0045294E"/>
    <w:rsid w:val="00452F31"/>
    <w:rsid w:val="00453F6F"/>
    <w:rsid w:val="00454A48"/>
    <w:rsid w:val="00454D2C"/>
    <w:rsid w:val="00455C89"/>
    <w:rsid w:val="0046035C"/>
    <w:rsid w:val="0046073B"/>
    <w:rsid w:val="004617F3"/>
    <w:rsid w:val="00461B1D"/>
    <w:rsid w:val="00461DF2"/>
    <w:rsid w:val="00462739"/>
    <w:rsid w:val="00462C4D"/>
    <w:rsid w:val="004632DF"/>
    <w:rsid w:val="00464068"/>
    <w:rsid w:val="004652A8"/>
    <w:rsid w:val="0046669F"/>
    <w:rsid w:val="0047007E"/>
    <w:rsid w:val="00470FB1"/>
    <w:rsid w:val="00471570"/>
    <w:rsid w:val="00473089"/>
    <w:rsid w:val="00474D5E"/>
    <w:rsid w:val="00474F12"/>
    <w:rsid w:val="00474FF7"/>
    <w:rsid w:val="004758BB"/>
    <w:rsid w:val="00475F62"/>
    <w:rsid w:val="0047614D"/>
    <w:rsid w:val="0047676C"/>
    <w:rsid w:val="00477171"/>
    <w:rsid w:val="004779BE"/>
    <w:rsid w:val="00480FF6"/>
    <w:rsid w:val="00480FF8"/>
    <w:rsid w:val="004818E4"/>
    <w:rsid w:val="00482242"/>
    <w:rsid w:val="00482443"/>
    <w:rsid w:val="00482CFE"/>
    <w:rsid w:val="00482D97"/>
    <w:rsid w:val="00483BD6"/>
    <w:rsid w:val="00483C38"/>
    <w:rsid w:val="00486003"/>
    <w:rsid w:val="0048664F"/>
    <w:rsid w:val="0048676E"/>
    <w:rsid w:val="0049026B"/>
    <w:rsid w:val="00490380"/>
    <w:rsid w:val="00490561"/>
    <w:rsid w:val="0049070B"/>
    <w:rsid w:val="00490882"/>
    <w:rsid w:val="0049144C"/>
    <w:rsid w:val="0049174F"/>
    <w:rsid w:val="004919A1"/>
    <w:rsid w:val="00491DEE"/>
    <w:rsid w:val="00492D95"/>
    <w:rsid w:val="00492DF1"/>
    <w:rsid w:val="0049366D"/>
    <w:rsid w:val="00493D27"/>
    <w:rsid w:val="0049443E"/>
    <w:rsid w:val="004947C9"/>
    <w:rsid w:val="0049483E"/>
    <w:rsid w:val="004964D5"/>
    <w:rsid w:val="0049694D"/>
    <w:rsid w:val="00497176"/>
    <w:rsid w:val="00497E75"/>
    <w:rsid w:val="00497FF5"/>
    <w:rsid w:val="004A019F"/>
    <w:rsid w:val="004A0525"/>
    <w:rsid w:val="004A2070"/>
    <w:rsid w:val="004A23E6"/>
    <w:rsid w:val="004A2BD0"/>
    <w:rsid w:val="004A3514"/>
    <w:rsid w:val="004A49C3"/>
    <w:rsid w:val="004A4D7A"/>
    <w:rsid w:val="004A4E80"/>
    <w:rsid w:val="004A56EC"/>
    <w:rsid w:val="004A5F77"/>
    <w:rsid w:val="004A7662"/>
    <w:rsid w:val="004B006C"/>
    <w:rsid w:val="004B045C"/>
    <w:rsid w:val="004B04CF"/>
    <w:rsid w:val="004B0B79"/>
    <w:rsid w:val="004B1369"/>
    <w:rsid w:val="004B15D6"/>
    <w:rsid w:val="004B299E"/>
    <w:rsid w:val="004B3936"/>
    <w:rsid w:val="004B394F"/>
    <w:rsid w:val="004B3D22"/>
    <w:rsid w:val="004B49FB"/>
    <w:rsid w:val="004B54F2"/>
    <w:rsid w:val="004B66C0"/>
    <w:rsid w:val="004B6706"/>
    <w:rsid w:val="004B74B5"/>
    <w:rsid w:val="004B7B2F"/>
    <w:rsid w:val="004C0801"/>
    <w:rsid w:val="004C1718"/>
    <w:rsid w:val="004C1CC3"/>
    <w:rsid w:val="004C1DB1"/>
    <w:rsid w:val="004C21B2"/>
    <w:rsid w:val="004C2294"/>
    <w:rsid w:val="004C23AD"/>
    <w:rsid w:val="004C2598"/>
    <w:rsid w:val="004C26F7"/>
    <w:rsid w:val="004C2C6E"/>
    <w:rsid w:val="004C33AE"/>
    <w:rsid w:val="004C3BC8"/>
    <w:rsid w:val="004C3D11"/>
    <w:rsid w:val="004C46C5"/>
    <w:rsid w:val="004C4BE3"/>
    <w:rsid w:val="004C574E"/>
    <w:rsid w:val="004C61D4"/>
    <w:rsid w:val="004C6F9D"/>
    <w:rsid w:val="004C7DB6"/>
    <w:rsid w:val="004D1299"/>
    <w:rsid w:val="004D149E"/>
    <w:rsid w:val="004D1C79"/>
    <w:rsid w:val="004D21E9"/>
    <w:rsid w:val="004D2469"/>
    <w:rsid w:val="004D2587"/>
    <w:rsid w:val="004D2635"/>
    <w:rsid w:val="004D2B66"/>
    <w:rsid w:val="004D33F3"/>
    <w:rsid w:val="004D42BE"/>
    <w:rsid w:val="004D48E7"/>
    <w:rsid w:val="004D5B70"/>
    <w:rsid w:val="004D7D0E"/>
    <w:rsid w:val="004E0040"/>
    <w:rsid w:val="004E0189"/>
    <w:rsid w:val="004E13DA"/>
    <w:rsid w:val="004E21EE"/>
    <w:rsid w:val="004E2AB2"/>
    <w:rsid w:val="004E2DA2"/>
    <w:rsid w:val="004E340D"/>
    <w:rsid w:val="004E3D1F"/>
    <w:rsid w:val="004E3D2B"/>
    <w:rsid w:val="004E42BD"/>
    <w:rsid w:val="004E4D14"/>
    <w:rsid w:val="004E6124"/>
    <w:rsid w:val="004E7019"/>
    <w:rsid w:val="004E71A2"/>
    <w:rsid w:val="004E7D1B"/>
    <w:rsid w:val="004F061F"/>
    <w:rsid w:val="004F0EB7"/>
    <w:rsid w:val="004F1465"/>
    <w:rsid w:val="004F1B9A"/>
    <w:rsid w:val="004F1C69"/>
    <w:rsid w:val="004F1EF3"/>
    <w:rsid w:val="004F25C2"/>
    <w:rsid w:val="004F2C33"/>
    <w:rsid w:val="004F36AB"/>
    <w:rsid w:val="004F41FE"/>
    <w:rsid w:val="004F4543"/>
    <w:rsid w:val="004F4645"/>
    <w:rsid w:val="004F4FB5"/>
    <w:rsid w:val="004F5560"/>
    <w:rsid w:val="004F75D7"/>
    <w:rsid w:val="004F7E46"/>
    <w:rsid w:val="00500262"/>
    <w:rsid w:val="005003A9"/>
    <w:rsid w:val="005006A9"/>
    <w:rsid w:val="00500A89"/>
    <w:rsid w:val="00500DD0"/>
    <w:rsid w:val="00500F35"/>
    <w:rsid w:val="00501001"/>
    <w:rsid w:val="0050108C"/>
    <w:rsid w:val="00501586"/>
    <w:rsid w:val="00501B03"/>
    <w:rsid w:val="00502A08"/>
    <w:rsid w:val="00504287"/>
    <w:rsid w:val="00504D7C"/>
    <w:rsid w:val="00504ECE"/>
    <w:rsid w:val="005057CF"/>
    <w:rsid w:val="005058A4"/>
    <w:rsid w:val="005068DC"/>
    <w:rsid w:val="00506F8A"/>
    <w:rsid w:val="005104C3"/>
    <w:rsid w:val="00510A56"/>
    <w:rsid w:val="00510B90"/>
    <w:rsid w:val="00510FB0"/>
    <w:rsid w:val="00512752"/>
    <w:rsid w:val="00512DD4"/>
    <w:rsid w:val="005132DE"/>
    <w:rsid w:val="0051441F"/>
    <w:rsid w:val="00514693"/>
    <w:rsid w:val="005147C7"/>
    <w:rsid w:val="00514E61"/>
    <w:rsid w:val="005160AC"/>
    <w:rsid w:val="00516EA6"/>
    <w:rsid w:val="0052053D"/>
    <w:rsid w:val="00520630"/>
    <w:rsid w:val="00520AEA"/>
    <w:rsid w:val="00521E45"/>
    <w:rsid w:val="005229FC"/>
    <w:rsid w:val="00523937"/>
    <w:rsid w:val="00523AF4"/>
    <w:rsid w:val="005244DB"/>
    <w:rsid w:val="00524C13"/>
    <w:rsid w:val="00524D16"/>
    <w:rsid w:val="005250F0"/>
    <w:rsid w:val="00525830"/>
    <w:rsid w:val="005258AB"/>
    <w:rsid w:val="00525A0D"/>
    <w:rsid w:val="00525CA1"/>
    <w:rsid w:val="00525FFD"/>
    <w:rsid w:val="0052667B"/>
    <w:rsid w:val="0052681E"/>
    <w:rsid w:val="00526BEA"/>
    <w:rsid w:val="00530636"/>
    <w:rsid w:val="0053071A"/>
    <w:rsid w:val="005307CE"/>
    <w:rsid w:val="00532396"/>
    <w:rsid w:val="005330E6"/>
    <w:rsid w:val="0053386A"/>
    <w:rsid w:val="00535BB3"/>
    <w:rsid w:val="00535CCF"/>
    <w:rsid w:val="005363E1"/>
    <w:rsid w:val="0053676A"/>
    <w:rsid w:val="00536843"/>
    <w:rsid w:val="00536EBA"/>
    <w:rsid w:val="0053703F"/>
    <w:rsid w:val="005400E8"/>
    <w:rsid w:val="005402C1"/>
    <w:rsid w:val="00541089"/>
    <w:rsid w:val="00541757"/>
    <w:rsid w:val="00541D0A"/>
    <w:rsid w:val="00541E23"/>
    <w:rsid w:val="00541EDA"/>
    <w:rsid w:val="00542281"/>
    <w:rsid w:val="0054233F"/>
    <w:rsid w:val="00542508"/>
    <w:rsid w:val="00542694"/>
    <w:rsid w:val="00542ACE"/>
    <w:rsid w:val="00542C08"/>
    <w:rsid w:val="00542DBE"/>
    <w:rsid w:val="0054389A"/>
    <w:rsid w:val="005439E0"/>
    <w:rsid w:val="00544567"/>
    <w:rsid w:val="00545E75"/>
    <w:rsid w:val="005460BC"/>
    <w:rsid w:val="00546761"/>
    <w:rsid w:val="00546BAC"/>
    <w:rsid w:val="00547242"/>
    <w:rsid w:val="0054789E"/>
    <w:rsid w:val="00550013"/>
    <w:rsid w:val="005505AB"/>
    <w:rsid w:val="00552A15"/>
    <w:rsid w:val="00552B0F"/>
    <w:rsid w:val="00552B83"/>
    <w:rsid w:val="005532ED"/>
    <w:rsid w:val="005538FA"/>
    <w:rsid w:val="00553A0E"/>
    <w:rsid w:val="005545E6"/>
    <w:rsid w:val="005545EA"/>
    <w:rsid w:val="0055468B"/>
    <w:rsid w:val="005546AD"/>
    <w:rsid w:val="00555097"/>
    <w:rsid w:val="005559B4"/>
    <w:rsid w:val="00555CD2"/>
    <w:rsid w:val="00555E1D"/>
    <w:rsid w:val="005560D3"/>
    <w:rsid w:val="0055687B"/>
    <w:rsid w:val="00556DC9"/>
    <w:rsid w:val="005573C5"/>
    <w:rsid w:val="00557986"/>
    <w:rsid w:val="00557C36"/>
    <w:rsid w:val="0056027A"/>
    <w:rsid w:val="00560419"/>
    <w:rsid w:val="00560AF7"/>
    <w:rsid w:val="00560CAD"/>
    <w:rsid w:val="00560D4F"/>
    <w:rsid w:val="00561F11"/>
    <w:rsid w:val="00561FAD"/>
    <w:rsid w:val="0056303A"/>
    <w:rsid w:val="005630DE"/>
    <w:rsid w:val="00565142"/>
    <w:rsid w:val="00565221"/>
    <w:rsid w:val="00565618"/>
    <w:rsid w:val="00566275"/>
    <w:rsid w:val="00566D94"/>
    <w:rsid w:val="00567CC0"/>
    <w:rsid w:val="00567F3C"/>
    <w:rsid w:val="005700F3"/>
    <w:rsid w:val="00570A47"/>
    <w:rsid w:val="00571709"/>
    <w:rsid w:val="00571C66"/>
    <w:rsid w:val="005720BE"/>
    <w:rsid w:val="00572814"/>
    <w:rsid w:val="00572CD0"/>
    <w:rsid w:val="00572EE1"/>
    <w:rsid w:val="00573CEF"/>
    <w:rsid w:val="00573EDA"/>
    <w:rsid w:val="00574A6F"/>
    <w:rsid w:val="00575A77"/>
    <w:rsid w:val="00576555"/>
    <w:rsid w:val="005769B4"/>
    <w:rsid w:val="00576BA4"/>
    <w:rsid w:val="0057752D"/>
    <w:rsid w:val="0058057B"/>
    <w:rsid w:val="00580977"/>
    <w:rsid w:val="00580C7B"/>
    <w:rsid w:val="005812C6"/>
    <w:rsid w:val="00583274"/>
    <w:rsid w:val="00584E9E"/>
    <w:rsid w:val="0058603F"/>
    <w:rsid w:val="00586A20"/>
    <w:rsid w:val="00586F66"/>
    <w:rsid w:val="00587A34"/>
    <w:rsid w:val="00587E4B"/>
    <w:rsid w:val="00590372"/>
    <w:rsid w:val="0059089C"/>
    <w:rsid w:val="00590AF3"/>
    <w:rsid w:val="00590DF1"/>
    <w:rsid w:val="00590E2D"/>
    <w:rsid w:val="005914BA"/>
    <w:rsid w:val="00591A57"/>
    <w:rsid w:val="00591CA2"/>
    <w:rsid w:val="005920E0"/>
    <w:rsid w:val="00593A60"/>
    <w:rsid w:val="00593D72"/>
    <w:rsid w:val="00594142"/>
    <w:rsid w:val="005941D0"/>
    <w:rsid w:val="00594D9A"/>
    <w:rsid w:val="005955C7"/>
    <w:rsid w:val="00597352"/>
    <w:rsid w:val="005A0470"/>
    <w:rsid w:val="005A0B08"/>
    <w:rsid w:val="005A0CB9"/>
    <w:rsid w:val="005A1939"/>
    <w:rsid w:val="005A1D57"/>
    <w:rsid w:val="005A242C"/>
    <w:rsid w:val="005A2843"/>
    <w:rsid w:val="005A3A67"/>
    <w:rsid w:val="005A51DC"/>
    <w:rsid w:val="005A552F"/>
    <w:rsid w:val="005A5978"/>
    <w:rsid w:val="005A5BA7"/>
    <w:rsid w:val="005A64E0"/>
    <w:rsid w:val="005A7066"/>
    <w:rsid w:val="005A72DF"/>
    <w:rsid w:val="005B00A9"/>
    <w:rsid w:val="005B00B9"/>
    <w:rsid w:val="005B0AB5"/>
    <w:rsid w:val="005B1F21"/>
    <w:rsid w:val="005B26E0"/>
    <w:rsid w:val="005B2DCB"/>
    <w:rsid w:val="005B2E45"/>
    <w:rsid w:val="005B2EC8"/>
    <w:rsid w:val="005B30E1"/>
    <w:rsid w:val="005B543A"/>
    <w:rsid w:val="005B5451"/>
    <w:rsid w:val="005B5F8C"/>
    <w:rsid w:val="005B6FD0"/>
    <w:rsid w:val="005B7190"/>
    <w:rsid w:val="005B77D8"/>
    <w:rsid w:val="005B79B4"/>
    <w:rsid w:val="005B7BA3"/>
    <w:rsid w:val="005C0776"/>
    <w:rsid w:val="005C1243"/>
    <w:rsid w:val="005C171B"/>
    <w:rsid w:val="005C184E"/>
    <w:rsid w:val="005C1863"/>
    <w:rsid w:val="005C1DD2"/>
    <w:rsid w:val="005C25D7"/>
    <w:rsid w:val="005C2F47"/>
    <w:rsid w:val="005C3018"/>
    <w:rsid w:val="005C391D"/>
    <w:rsid w:val="005C419D"/>
    <w:rsid w:val="005C43DE"/>
    <w:rsid w:val="005C44C0"/>
    <w:rsid w:val="005C44D6"/>
    <w:rsid w:val="005C462F"/>
    <w:rsid w:val="005C5492"/>
    <w:rsid w:val="005C6569"/>
    <w:rsid w:val="005C6977"/>
    <w:rsid w:val="005C6D69"/>
    <w:rsid w:val="005C7A2E"/>
    <w:rsid w:val="005C7F8D"/>
    <w:rsid w:val="005D01C0"/>
    <w:rsid w:val="005D227F"/>
    <w:rsid w:val="005D24D5"/>
    <w:rsid w:val="005D3E08"/>
    <w:rsid w:val="005D3E8E"/>
    <w:rsid w:val="005D4447"/>
    <w:rsid w:val="005D46FA"/>
    <w:rsid w:val="005D4768"/>
    <w:rsid w:val="005D4A4D"/>
    <w:rsid w:val="005D614E"/>
    <w:rsid w:val="005D6A59"/>
    <w:rsid w:val="005D6FC6"/>
    <w:rsid w:val="005D7587"/>
    <w:rsid w:val="005E03E9"/>
    <w:rsid w:val="005E0DB6"/>
    <w:rsid w:val="005E190E"/>
    <w:rsid w:val="005E1CE4"/>
    <w:rsid w:val="005E1DFD"/>
    <w:rsid w:val="005E2016"/>
    <w:rsid w:val="005E2324"/>
    <w:rsid w:val="005E259D"/>
    <w:rsid w:val="005E3BEE"/>
    <w:rsid w:val="005E3D48"/>
    <w:rsid w:val="005E4198"/>
    <w:rsid w:val="005E4226"/>
    <w:rsid w:val="005E4667"/>
    <w:rsid w:val="005E4916"/>
    <w:rsid w:val="005E51B0"/>
    <w:rsid w:val="005E5719"/>
    <w:rsid w:val="005E5ADD"/>
    <w:rsid w:val="005E7B17"/>
    <w:rsid w:val="005F065E"/>
    <w:rsid w:val="005F1705"/>
    <w:rsid w:val="005F18B4"/>
    <w:rsid w:val="005F261E"/>
    <w:rsid w:val="005F2FC8"/>
    <w:rsid w:val="005F32CC"/>
    <w:rsid w:val="005F3D86"/>
    <w:rsid w:val="005F4716"/>
    <w:rsid w:val="005F4B86"/>
    <w:rsid w:val="005F4F05"/>
    <w:rsid w:val="005F5261"/>
    <w:rsid w:val="005F55BF"/>
    <w:rsid w:val="005F5AC8"/>
    <w:rsid w:val="005F5C3E"/>
    <w:rsid w:val="005F5E75"/>
    <w:rsid w:val="005F681B"/>
    <w:rsid w:val="005F69AB"/>
    <w:rsid w:val="005F69CF"/>
    <w:rsid w:val="005F6D4F"/>
    <w:rsid w:val="005F6F49"/>
    <w:rsid w:val="005F7230"/>
    <w:rsid w:val="005F7ABE"/>
    <w:rsid w:val="005F7D03"/>
    <w:rsid w:val="00600854"/>
    <w:rsid w:val="006008F6"/>
    <w:rsid w:val="00600FB4"/>
    <w:rsid w:val="006011E9"/>
    <w:rsid w:val="00601C19"/>
    <w:rsid w:val="00601E17"/>
    <w:rsid w:val="006020BE"/>
    <w:rsid w:val="006021B0"/>
    <w:rsid w:val="0060298B"/>
    <w:rsid w:val="00602E30"/>
    <w:rsid w:val="006034FF"/>
    <w:rsid w:val="00603B87"/>
    <w:rsid w:val="006046E9"/>
    <w:rsid w:val="00604838"/>
    <w:rsid w:val="00604B60"/>
    <w:rsid w:val="00605EE4"/>
    <w:rsid w:val="006061ED"/>
    <w:rsid w:val="00606326"/>
    <w:rsid w:val="0060670C"/>
    <w:rsid w:val="006071F2"/>
    <w:rsid w:val="006076B0"/>
    <w:rsid w:val="00611A41"/>
    <w:rsid w:val="00611B43"/>
    <w:rsid w:val="0061388E"/>
    <w:rsid w:val="00613B9F"/>
    <w:rsid w:val="00614928"/>
    <w:rsid w:val="00615439"/>
    <w:rsid w:val="006159CF"/>
    <w:rsid w:val="00615DDB"/>
    <w:rsid w:val="0061671C"/>
    <w:rsid w:val="006167E0"/>
    <w:rsid w:val="00616C09"/>
    <w:rsid w:val="0061729A"/>
    <w:rsid w:val="00620AD3"/>
    <w:rsid w:val="00620BE6"/>
    <w:rsid w:val="006210A7"/>
    <w:rsid w:val="00621223"/>
    <w:rsid w:val="00621362"/>
    <w:rsid w:val="0062146C"/>
    <w:rsid w:val="00621B5D"/>
    <w:rsid w:val="00621FBF"/>
    <w:rsid w:val="00622188"/>
    <w:rsid w:val="00623FE8"/>
    <w:rsid w:val="00624795"/>
    <w:rsid w:val="006253E4"/>
    <w:rsid w:val="00625DEE"/>
    <w:rsid w:val="00626A42"/>
    <w:rsid w:val="00627527"/>
    <w:rsid w:val="0062764E"/>
    <w:rsid w:val="0062776A"/>
    <w:rsid w:val="0063033C"/>
    <w:rsid w:val="006308B4"/>
    <w:rsid w:val="006309D3"/>
    <w:rsid w:val="00631290"/>
    <w:rsid w:val="006328D2"/>
    <w:rsid w:val="00632AB0"/>
    <w:rsid w:val="00633812"/>
    <w:rsid w:val="00633951"/>
    <w:rsid w:val="00633A49"/>
    <w:rsid w:val="00635571"/>
    <w:rsid w:val="006359A1"/>
    <w:rsid w:val="00635A63"/>
    <w:rsid w:val="0063607D"/>
    <w:rsid w:val="0064030C"/>
    <w:rsid w:val="00640FE1"/>
    <w:rsid w:val="00641259"/>
    <w:rsid w:val="00641279"/>
    <w:rsid w:val="00641A1D"/>
    <w:rsid w:val="00642045"/>
    <w:rsid w:val="00642313"/>
    <w:rsid w:val="00642BED"/>
    <w:rsid w:val="00642C25"/>
    <w:rsid w:val="00642EAA"/>
    <w:rsid w:val="00643322"/>
    <w:rsid w:val="00643C50"/>
    <w:rsid w:val="00643F0F"/>
    <w:rsid w:val="006441F7"/>
    <w:rsid w:val="0064427D"/>
    <w:rsid w:val="006442F3"/>
    <w:rsid w:val="006447A3"/>
    <w:rsid w:val="00644B6E"/>
    <w:rsid w:val="00645790"/>
    <w:rsid w:val="0064649E"/>
    <w:rsid w:val="006464B1"/>
    <w:rsid w:val="006469BC"/>
    <w:rsid w:val="00646C5E"/>
    <w:rsid w:val="00646F15"/>
    <w:rsid w:val="006473C2"/>
    <w:rsid w:val="00647CFF"/>
    <w:rsid w:val="00650585"/>
    <w:rsid w:val="00650A4E"/>
    <w:rsid w:val="00650CC3"/>
    <w:rsid w:val="006526D9"/>
    <w:rsid w:val="00652AAC"/>
    <w:rsid w:val="00652CB7"/>
    <w:rsid w:val="00653AB5"/>
    <w:rsid w:val="00653B5D"/>
    <w:rsid w:val="00653E89"/>
    <w:rsid w:val="00653FC0"/>
    <w:rsid w:val="006562C4"/>
    <w:rsid w:val="00656D17"/>
    <w:rsid w:val="00656FB4"/>
    <w:rsid w:val="00657016"/>
    <w:rsid w:val="006572AB"/>
    <w:rsid w:val="0065789D"/>
    <w:rsid w:val="00660607"/>
    <w:rsid w:val="00660D58"/>
    <w:rsid w:val="0066165E"/>
    <w:rsid w:val="00661FDD"/>
    <w:rsid w:val="00664920"/>
    <w:rsid w:val="00664D48"/>
    <w:rsid w:val="00665D11"/>
    <w:rsid w:val="00665E27"/>
    <w:rsid w:val="00666791"/>
    <w:rsid w:val="0066703E"/>
    <w:rsid w:val="0066715F"/>
    <w:rsid w:val="0066748C"/>
    <w:rsid w:val="006674EB"/>
    <w:rsid w:val="00670163"/>
    <w:rsid w:val="006705A9"/>
    <w:rsid w:val="00671A51"/>
    <w:rsid w:val="006723DC"/>
    <w:rsid w:val="006728C4"/>
    <w:rsid w:val="00672A07"/>
    <w:rsid w:val="00673556"/>
    <w:rsid w:val="00673DCA"/>
    <w:rsid w:val="0067451D"/>
    <w:rsid w:val="00674E05"/>
    <w:rsid w:val="006750C1"/>
    <w:rsid w:val="006751A8"/>
    <w:rsid w:val="00675544"/>
    <w:rsid w:val="00675E2B"/>
    <w:rsid w:val="00676213"/>
    <w:rsid w:val="00676B3E"/>
    <w:rsid w:val="00677301"/>
    <w:rsid w:val="0067742B"/>
    <w:rsid w:val="006775F1"/>
    <w:rsid w:val="00677A59"/>
    <w:rsid w:val="006804BD"/>
    <w:rsid w:val="00680FA6"/>
    <w:rsid w:val="00682C46"/>
    <w:rsid w:val="0068324F"/>
    <w:rsid w:val="0068395E"/>
    <w:rsid w:val="00683CC5"/>
    <w:rsid w:val="00683D97"/>
    <w:rsid w:val="006843A2"/>
    <w:rsid w:val="00684975"/>
    <w:rsid w:val="00684BDE"/>
    <w:rsid w:val="00686473"/>
    <w:rsid w:val="00686580"/>
    <w:rsid w:val="00687262"/>
    <w:rsid w:val="00690053"/>
    <w:rsid w:val="00690782"/>
    <w:rsid w:val="00690EA1"/>
    <w:rsid w:val="00691732"/>
    <w:rsid w:val="006918E3"/>
    <w:rsid w:val="00691B3E"/>
    <w:rsid w:val="00691C64"/>
    <w:rsid w:val="00692C90"/>
    <w:rsid w:val="00692CD0"/>
    <w:rsid w:val="00692FD7"/>
    <w:rsid w:val="006936FE"/>
    <w:rsid w:val="0069404C"/>
    <w:rsid w:val="006943DF"/>
    <w:rsid w:val="00694658"/>
    <w:rsid w:val="006964A6"/>
    <w:rsid w:val="006975C0"/>
    <w:rsid w:val="0069771F"/>
    <w:rsid w:val="00697D63"/>
    <w:rsid w:val="006A0388"/>
    <w:rsid w:val="006A0674"/>
    <w:rsid w:val="006A0988"/>
    <w:rsid w:val="006A0D1D"/>
    <w:rsid w:val="006A23A5"/>
    <w:rsid w:val="006A27A6"/>
    <w:rsid w:val="006A35C4"/>
    <w:rsid w:val="006A3BF8"/>
    <w:rsid w:val="006A5227"/>
    <w:rsid w:val="006A541D"/>
    <w:rsid w:val="006A5D55"/>
    <w:rsid w:val="006A5FC6"/>
    <w:rsid w:val="006A6F33"/>
    <w:rsid w:val="006A78CD"/>
    <w:rsid w:val="006A7B22"/>
    <w:rsid w:val="006A7FF4"/>
    <w:rsid w:val="006B1A1A"/>
    <w:rsid w:val="006B3A71"/>
    <w:rsid w:val="006B3B6B"/>
    <w:rsid w:val="006B542F"/>
    <w:rsid w:val="006B56C2"/>
    <w:rsid w:val="006B5ED2"/>
    <w:rsid w:val="006B67A1"/>
    <w:rsid w:val="006B7337"/>
    <w:rsid w:val="006B75B0"/>
    <w:rsid w:val="006B7DC5"/>
    <w:rsid w:val="006C0244"/>
    <w:rsid w:val="006C0558"/>
    <w:rsid w:val="006C0EC7"/>
    <w:rsid w:val="006C1A9E"/>
    <w:rsid w:val="006C1C75"/>
    <w:rsid w:val="006C2FA7"/>
    <w:rsid w:val="006C304A"/>
    <w:rsid w:val="006C3459"/>
    <w:rsid w:val="006C44D3"/>
    <w:rsid w:val="006C459E"/>
    <w:rsid w:val="006C4815"/>
    <w:rsid w:val="006C4C53"/>
    <w:rsid w:val="006C5F38"/>
    <w:rsid w:val="006C6221"/>
    <w:rsid w:val="006C6557"/>
    <w:rsid w:val="006C6813"/>
    <w:rsid w:val="006C6ABF"/>
    <w:rsid w:val="006C6C9C"/>
    <w:rsid w:val="006C7336"/>
    <w:rsid w:val="006C79E6"/>
    <w:rsid w:val="006D003E"/>
    <w:rsid w:val="006D0F7E"/>
    <w:rsid w:val="006D0F7F"/>
    <w:rsid w:val="006D1277"/>
    <w:rsid w:val="006D132A"/>
    <w:rsid w:val="006D1DD6"/>
    <w:rsid w:val="006D2837"/>
    <w:rsid w:val="006D42B8"/>
    <w:rsid w:val="006D43F1"/>
    <w:rsid w:val="006D5565"/>
    <w:rsid w:val="006D571E"/>
    <w:rsid w:val="006D6438"/>
    <w:rsid w:val="006D662A"/>
    <w:rsid w:val="006D68C0"/>
    <w:rsid w:val="006D6E18"/>
    <w:rsid w:val="006D6F0B"/>
    <w:rsid w:val="006D770D"/>
    <w:rsid w:val="006E0D3B"/>
    <w:rsid w:val="006E14FF"/>
    <w:rsid w:val="006E285F"/>
    <w:rsid w:val="006E29D3"/>
    <w:rsid w:val="006E2F0D"/>
    <w:rsid w:val="006E2F1D"/>
    <w:rsid w:val="006E30D3"/>
    <w:rsid w:val="006E3868"/>
    <w:rsid w:val="006E3B13"/>
    <w:rsid w:val="006E3C44"/>
    <w:rsid w:val="006E421A"/>
    <w:rsid w:val="006E4EC4"/>
    <w:rsid w:val="006E5173"/>
    <w:rsid w:val="006E5C6B"/>
    <w:rsid w:val="006E6686"/>
    <w:rsid w:val="006E723E"/>
    <w:rsid w:val="006E76F9"/>
    <w:rsid w:val="006E7A5E"/>
    <w:rsid w:val="006E7DA3"/>
    <w:rsid w:val="006F01CF"/>
    <w:rsid w:val="006F0C38"/>
    <w:rsid w:val="006F0E03"/>
    <w:rsid w:val="006F184F"/>
    <w:rsid w:val="006F1CB9"/>
    <w:rsid w:val="006F2133"/>
    <w:rsid w:val="006F2969"/>
    <w:rsid w:val="006F3532"/>
    <w:rsid w:val="006F3D05"/>
    <w:rsid w:val="006F405C"/>
    <w:rsid w:val="006F5171"/>
    <w:rsid w:val="006F5B02"/>
    <w:rsid w:val="006F601A"/>
    <w:rsid w:val="006F6626"/>
    <w:rsid w:val="006F6AED"/>
    <w:rsid w:val="006F6EE0"/>
    <w:rsid w:val="006F6EFB"/>
    <w:rsid w:val="006F78EF"/>
    <w:rsid w:val="007004B2"/>
    <w:rsid w:val="00701D5F"/>
    <w:rsid w:val="00702AB0"/>
    <w:rsid w:val="007035D2"/>
    <w:rsid w:val="00703ACD"/>
    <w:rsid w:val="00703BE5"/>
    <w:rsid w:val="00703EE8"/>
    <w:rsid w:val="007044D4"/>
    <w:rsid w:val="00704620"/>
    <w:rsid w:val="007060B5"/>
    <w:rsid w:val="00706DF3"/>
    <w:rsid w:val="0070789A"/>
    <w:rsid w:val="00707B59"/>
    <w:rsid w:val="00707C04"/>
    <w:rsid w:val="00707CF0"/>
    <w:rsid w:val="00710F7A"/>
    <w:rsid w:val="00711328"/>
    <w:rsid w:val="007116DC"/>
    <w:rsid w:val="00713285"/>
    <w:rsid w:val="007132B6"/>
    <w:rsid w:val="007135A6"/>
    <w:rsid w:val="0071455E"/>
    <w:rsid w:val="00714573"/>
    <w:rsid w:val="0071632D"/>
    <w:rsid w:val="00716468"/>
    <w:rsid w:val="0071662F"/>
    <w:rsid w:val="007169BB"/>
    <w:rsid w:val="00717105"/>
    <w:rsid w:val="007174E7"/>
    <w:rsid w:val="00717DCF"/>
    <w:rsid w:val="00717FD7"/>
    <w:rsid w:val="00720194"/>
    <w:rsid w:val="007206BD"/>
    <w:rsid w:val="00721F40"/>
    <w:rsid w:val="00722ADB"/>
    <w:rsid w:val="00722D33"/>
    <w:rsid w:val="0072340B"/>
    <w:rsid w:val="00723473"/>
    <w:rsid w:val="00723D46"/>
    <w:rsid w:val="00723E7C"/>
    <w:rsid w:val="007241D3"/>
    <w:rsid w:val="00724467"/>
    <w:rsid w:val="0072527A"/>
    <w:rsid w:val="00725E78"/>
    <w:rsid w:val="00726D0E"/>
    <w:rsid w:val="007273BA"/>
    <w:rsid w:val="00727506"/>
    <w:rsid w:val="00727A68"/>
    <w:rsid w:val="00730219"/>
    <w:rsid w:val="0073067A"/>
    <w:rsid w:val="007308B2"/>
    <w:rsid w:val="00731976"/>
    <w:rsid w:val="007333BB"/>
    <w:rsid w:val="007339F6"/>
    <w:rsid w:val="00734AED"/>
    <w:rsid w:val="00735725"/>
    <w:rsid w:val="00735E27"/>
    <w:rsid w:val="007364B3"/>
    <w:rsid w:val="007365D3"/>
    <w:rsid w:val="007366CD"/>
    <w:rsid w:val="00737C15"/>
    <w:rsid w:val="00740256"/>
    <w:rsid w:val="00741018"/>
    <w:rsid w:val="007410C6"/>
    <w:rsid w:val="007418AE"/>
    <w:rsid w:val="00741D6F"/>
    <w:rsid w:val="00742282"/>
    <w:rsid w:val="0074229B"/>
    <w:rsid w:val="00742A03"/>
    <w:rsid w:val="007437A9"/>
    <w:rsid w:val="007437B4"/>
    <w:rsid w:val="00743BEF"/>
    <w:rsid w:val="0074464A"/>
    <w:rsid w:val="00744DFF"/>
    <w:rsid w:val="00744EEE"/>
    <w:rsid w:val="00744F12"/>
    <w:rsid w:val="007453FE"/>
    <w:rsid w:val="00745C7D"/>
    <w:rsid w:val="00745FEF"/>
    <w:rsid w:val="00746275"/>
    <w:rsid w:val="00746C1E"/>
    <w:rsid w:val="00747811"/>
    <w:rsid w:val="00747B02"/>
    <w:rsid w:val="007502CF"/>
    <w:rsid w:val="00750A03"/>
    <w:rsid w:val="00751A51"/>
    <w:rsid w:val="00751DDB"/>
    <w:rsid w:val="0075213E"/>
    <w:rsid w:val="00752A2A"/>
    <w:rsid w:val="00753217"/>
    <w:rsid w:val="00753474"/>
    <w:rsid w:val="007538F4"/>
    <w:rsid w:val="00754560"/>
    <w:rsid w:val="007551A5"/>
    <w:rsid w:val="007551E9"/>
    <w:rsid w:val="00755353"/>
    <w:rsid w:val="00755E5F"/>
    <w:rsid w:val="00756829"/>
    <w:rsid w:val="007569D4"/>
    <w:rsid w:val="00756E7F"/>
    <w:rsid w:val="00756F85"/>
    <w:rsid w:val="007579E4"/>
    <w:rsid w:val="00757B40"/>
    <w:rsid w:val="00757DC3"/>
    <w:rsid w:val="00760649"/>
    <w:rsid w:val="00760B8C"/>
    <w:rsid w:val="00761F87"/>
    <w:rsid w:val="00762139"/>
    <w:rsid w:val="00762C94"/>
    <w:rsid w:val="00762FC7"/>
    <w:rsid w:val="00763468"/>
    <w:rsid w:val="00763CD3"/>
    <w:rsid w:val="00764388"/>
    <w:rsid w:val="00764F58"/>
    <w:rsid w:val="007657B3"/>
    <w:rsid w:val="00766843"/>
    <w:rsid w:val="007671CB"/>
    <w:rsid w:val="007719B2"/>
    <w:rsid w:val="0077222F"/>
    <w:rsid w:val="0077230C"/>
    <w:rsid w:val="00772A63"/>
    <w:rsid w:val="007733ED"/>
    <w:rsid w:val="00773990"/>
    <w:rsid w:val="007740E1"/>
    <w:rsid w:val="00774652"/>
    <w:rsid w:val="007747F8"/>
    <w:rsid w:val="00774CC9"/>
    <w:rsid w:val="007750EC"/>
    <w:rsid w:val="00775AD9"/>
    <w:rsid w:val="00775C75"/>
    <w:rsid w:val="00776780"/>
    <w:rsid w:val="0077707C"/>
    <w:rsid w:val="007779AE"/>
    <w:rsid w:val="00780065"/>
    <w:rsid w:val="0078019C"/>
    <w:rsid w:val="007804ED"/>
    <w:rsid w:val="00780613"/>
    <w:rsid w:val="007809BF"/>
    <w:rsid w:val="00780D24"/>
    <w:rsid w:val="00780D2C"/>
    <w:rsid w:val="00782881"/>
    <w:rsid w:val="00782B65"/>
    <w:rsid w:val="00782D5F"/>
    <w:rsid w:val="00783443"/>
    <w:rsid w:val="00783F37"/>
    <w:rsid w:val="00785113"/>
    <w:rsid w:val="00787ED6"/>
    <w:rsid w:val="00792000"/>
    <w:rsid w:val="00792E45"/>
    <w:rsid w:val="0079364D"/>
    <w:rsid w:val="007939A8"/>
    <w:rsid w:val="007942D8"/>
    <w:rsid w:val="00795098"/>
    <w:rsid w:val="00795278"/>
    <w:rsid w:val="007958EE"/>
    <w:rsid w:val="00795A63"/>
    <w:rsid w:val="007964F7"/>
    <w:rsid w:val="00796630"/>
    <w:rsid w:val="00796E52"/>
    <w:rsid w:val="00797AC8"/>
    <w:rsid w:val="00797E3A"/>
    <w:rsid w:val="00797FF2"/>
    <w:rsid w:val="007A01E2"/>
    <w:rsid w:val="007A0868"/>
    <w:rsid w:val="007A0E55"/>
    <w:rsid w:val="007A1D61"/>
    <w:rsid w:val="007A2CC8"/>
    <w:rsid w:val="007A3B82"/>
    <w:rsid w:val="007A42E4"/>
    <w:rsid w:val="007A45D5"/>
    <w:rsid w:val="007A4609"/>
    <w:rsid w:val="007A4F71"/>
    <w:rsid w:val="007A513E"/>
    <w:rsid w:val="007A57FF"/>
    <w:rsid w:val="007A6A3A"/>
    <w:rsid w:val="007A771B"/>
    <w:rsid w:val="007A7A88"/>
    <w:rsid w:val="007A7DEE"/>
    <w:rsid w:val="007B2F07"/>
    <w:rsid w:val="007B3DA3"/>
    <w:rsid w:val="007B58A5"/>
    <w:rsid w:val="007B617A"/>
    <w:rsid w:val="007B6E34"/>
    <w:rsid w:val="007B75DA"/>
    <w:rsid w:val="007B7717"/>
    <w:rsid w:val="007C01F2"/>
    <w:rsid w:val="007C0B9C"/>
    <w:rsid w:val="007C112F"/>
    <w:rsid w:val="007C1AFC"/>
    <w:rsid w:val="007C1E73"/>
    <w:rsid w:val="007C248F"/>
    <w:rsid w:val="007C2C5A"/>
    <w:rsid w:val="007C2C9E"/>
    <w:rsid w:val="007C36A8"/>
    <w:rsid w:val="007C3F29"/>
    <w:rsid w:val="007C40FD"/>
    <w:rsid w:val="007C4307"/>
    <w:rsid w:val="007C49F1"/>
    <w:rsid w:val="007C5064"/>
    <w:rsid w:val="007C5282"/>
    <w:rsid w:val="007C571F"/>
    <w:rsid w:val="007C600B"/>
    <w:rsid w:val="007C6EF0"/>
    <w:rsid w:val="007C7111"/>
    <w:rsid w:val="007C73D7"/>
    <w:rsid w:val="007C7553"/>
    <w:rsid w:val="007C7729"/>
    <w:rsid w:val="007C7E4E"/>
    <w:rsid w:val="007D0384"/>
    <w:rsid w:val="007D0492"/>
    <w:rsid w:val="007D04A6"/>
    <w:rsid w:val="007D0731"/>
    <w:rsid w:val="007D0C1A"/>
    <w:rsid w:val="007D0D26"/>
    <w:rsid w:val="007D196A"/>
    <w:rsid w:val="007D299D"/>
    <w:rsid w:val="007D4A19"/>
    <w:rsid w:val="007D524F"/>
    <w:rsid w:val="007D5537"/>
    <w:rsid w:val="007D5A11"/>
    <w:rsid w:val="007D7087"/>
    <w:rsid w:val="007D79FC"/>
    <w:rsid w:val="007E0A07"/>
    <w:rsid w:val="007E0ED1"/>
    <w:rsid w:val="007E15E0"/>
    <w:rsid w:val="007E1617"/>
    <w:rsid w:val="007E1F11"/>
    <w:rsid w:val="007E2111"/>
    <w:rsid w:val="007E263A"/>
    <w:rsid w:val="007E29BD"/>
    <w:rsid w:val="007E2C3E"/>
    <w:rsid w:val="007E3648"/>
    <w:rsid w:val="007E51F3"/>
    <w:rsid w:val="007E5855"/>
    <w:rsid w:val="007E6F53"/>
    <w:rsid w:val="007E77DC"/>
    <w:rsid w:val="007E7AA1"/>
    <w:rsid w:val="007E7EDC"/>
    <w:rsid w:val="007F05B6"/>
    <w:rsid w:val="007F0D0C"/>
    <w:rsid w:val="007F1182"/>
    <w:rsid w:val="007F202C"/>
    <w:rsid w:val="007F217B"/>
    <w:rsid w:val="007F2C40"/>
    <w:rsid w:val="007F3469"/>
    <w:rsid w:val="007F361A"/>
    <w:rsid w:val="007F3720"/>
    <w:rsid w:val="007F3F29"/>
    <w:rsid w:val="007F4421"/>
    <w:rsid w:val="007F4786"/>
    <w:rsid w:val="007F64F2"/>
    <w:rsid w:val="007F7362"/>
    <w:rsid w:val="007F7496"/>
    <w:rsid w:val="00800626"/>
    <w:rsid w:val="0080084B"/>
    <w:rsid w:val="00800A2D"/>
    <w:rsid w:val="00800AB0"/>
    <w:rsid w:val="00800D61"/>
    <w:rsid w:val="00801781"/>
    <w:rsid w:val="008022E4"/>
    <w:rsid w:val="0080300A"/>
    <w:rsid w:val="00803068"/>
    <w:rsid w:val="00803A1B"/>
    <w:rsid w:val="00806849"/>
    <w:rsid w:val="00806CF8"/>
    <w:rsid w:val="00807304"/>
    <w:rsid w:val="00807312"/>
    <w:rsid w:val="0080757F"/>
    <w:rsid w:val="00811C9D"/>
    <w:rsid w:val="00811DBF"/>
    <w:rsid w:val="00811E6E"/>
    <w:rsid w:val="008125F8"/>
    <w:rsid w:val="0081291D"/>
    <w:rsid w:val="00812A66"/>
    <w:rsid w:val="00812BBB"/>
    <w:rsid w:val="008133AF"/>
    <w:rsid w:val="00813A33"/>
    <w:rsid w:val="00813F55"/>
    <w:rsid w:val="008146FE"/>
    <w:rsid w:val="00814CE2"/>
    <w:rsid w:val="00814EA5"/>
    <w:rsid w:val="0081522D"/>
    <w:rsid w:val="00816022"/>
    <w:rsid w:val="008160AA"/>
    <w:rsid w:val="008160B4"/>
    <w:rsid w:val="00816406"/>
    <w:rsid w:val="0081778B"/>
    <w:rsid w:val="00817FFB"/>
    <w:rsid w:val="00820176"/>
    <w:rsid w:val="00820207"/>
    <w:rsid w:val="008204A9"/>
    <w:rsid w:val="00820C53"/>
    <w:rsid w:val="00820E88"/>
    <w:rsid w:val="008214B3"/>
    <w:rsid w:val="00821A7C"/>
    <w:rsid w:val="00821BBB"/>
    <w:rsid w:val="0082201D"/>
    <w:rsid w:val="008222A9"/>
    <w:rsid w:val="008225F9"/>
    <w:rsid w:val="008226A2"/>
    <w:rsid w:val="008230D9"/>
    <w:rsid w:val="008237D7"/>
    <w:rsid w:val="008239E5"/>
    <w:rsid w:val="00823FBD"/>
    <w:rsid w:val="00823FC2"/>
    <w:rsid w:val="00824796"/>
    <w:rsid w:val="00824CA7"/>
    <w:rsid w:val="00824EA5"/>
    <w:rsid w:val="00825276"/>
    <w:rsid w:val="00825348"/>
    <w:rsid w:val="008258BF"/>
    <w:rsid w:val="00825B34"/>
    <w:rsid w:val="00825E6D"/>
    <w:rsid w:val="00826206"/>
    <w:rsid w:val="0082622D"/>
    <w:rsid w:val="00826E64"/>
    <w:rsid w:val="00827AA1"/>
    <w:rsid w:val="00827B09"/>
    <w:rsid w:val="00827BE7"/>
    <w:rsid w:val="00830ABD"/>
    <w:rsid w:val="00830BC9"/>
    <w:rsid w:val="00831746"/>
    <w:rsid w:val="00832A44"/>
    <w:rsid w:val="00832E19"/>
    <w:rsid w:val="008331C2"/>
    <w:rsid w:val="00833680"/>
    <w:rsid w:val="008345F1"/>
    <w:rsid w:val="0083519C"/>
    <w:rsid w:val="00835BB3"/>
    <w:rsid w:val="00836DD7"/>
    <w:rsid w:val="0083768E"/>
    <w:rsid w:val="00837D66"/>
    <w:rsid w:val="008407F8"/>
    <w:rsid w:val="00840A8F"/>
    <w:rsid w:val="00840B0D"/>
    <w:rsid w:val="00840BC7"/>
    <w:rsid w:val="00841BC1"/>
    <w:rsid w:val="008423E3"/>
    <w:rsid w:val="008432F0"/>
    <w:rsid w:val="00843499"/>
    <w:rsid w:val="008439A2"/>
    <w:rsid w:val="00843B03"/>
    <w:rsid w:val="00843D70"/>
    <w:rsid w:val="00844758"/>
    <w:rsid w:val="00844A5D"/>
    <w:rsid w:val="00844DC9"/>
    <w:rsid w:val="008452B2"/>
    <w:rsid w:val="00845EAB"/>
    <w:rsid w:val="00846966"/>
    <w:rsid w:val="00846D25"/>
    <w:rsid w:val="00847536"/>
    <w:rsid w:val="00850AB5"/>
    <w:rsid w:val="00850BCE"/>
    <w:rsid w:val="00851CC4"/>
    <w:rsid w:val="0085279A"/>
    <w:rsid w:val="00852A7A"/>
    <w:rsid w:val="00854DEE"/>
    <w:rsid w:val="0085588B"/>
    <w:rsid w:val="0085592A"/>
    <w:rsid w:val="0085611A"/>
    <w:rsid w:val="00856744"/>
    <w:rsid w:val="008572A2"/>
    <w:rsid w:val="008575FB"/>
    <w:rsid w:val="008577A6"/>
    <w:rsid w:val="00857824"/>
    <w:rsid w:val="00860DE3"/>
    <w:rsid w:val="008610F4"/>
    <w:rsid w:val="00861296"/>
    <w:rsid w:val="00862F45"/>
    <w:rsid w:val="0086345D"/>
    <w:rsid w:val="008636E7"/>
    <w:rsid w:val="00863A48"/>
    <w:rsid w:val="00863DBA"/>
    <w:rsid w:val="00863E84"/>
    <w:rsid w:val="00864487"/>
    <w:rsid w:val="0086461F"/>
    <w:rsid w:val="00864FB5"/>
    <w:rsid w:val="0086557A"/>
    <w:rsid w:val="008658E7"/>
    <w:rsid w:val="00865F6B"/>
    <w:rsid w:val="0086680F"/>
    <w:rsid w:val="00866B06"/>
    <w:rsid w:val="00867E08"/>
    <w:rsid w:val="00867E91"/>
    <w:rsid w:val="00870AA4"/>
    <w:rsid w:val="00870C7A"/>
    <w:rsid w:val="0087161D"/>
    <w:rsid w:val="008716E0"/>
    <w:rsid w:val="008718CC"/>
    <w:rsid w:val="008735FC"/>
    <w:rsid w:val="0087378F"/>
    <w:rsid w:val="00873987"/>
    <w:rsid w:val="00874362"/>
    <w:rsid w:val="00874BCB"/>
    <w:rsid w:val="00874EFC"/>
    <w:rsid w:val="008751F3"/>
    <w:rsid w:val="00875382"/>
    <w:rsid w:val="00875E7B"/>
    <w:rsid w:val="008768DA"/>
    <w:rsid w:val="008777AD"/>
    <w:rsid w:val="00877F8B"/>
    <w:rsid w:val="00880B04"/>
    <w:rsid w:val="00881608"/>
    <w:rsid w:val="0088176B"/>
    <w:rsid w:val="00881C61"/>
    <w:rsid w:val="00881E63"/>
    <w:rsid w:val="00882762"/>
    <w:rsid w:val="00882A7A"/>
    <w:rsid w:val="00882A89"/>
    <w:rsid w:val="008835B2"/>
    <w:rsid w:val="008856F6"/>
    <w:rsid w:val="00885964"/>
    <w:rsid w:val="00886CFD"/>
    <w:rsid w:val="00887B31"/>
    <w:rsid w:val="00887F50"/>
    <w:rsid w:val="008909B8"/>
    <w:rsid w:val="00890D36"/>
    <w:rsid w:val="008914CC"/>
    <w:rsid w:val="008918D3"/>
    <w:rsid w:val="0089196E"/>
    <w:rsid w:val="00891CFA"/>
    <w:rsid w:val="0089433A"/>
    <w:rsid w:val="00895129"/>
    <w:rsid w:val="008953F2"/>
    <w:rsid w:val="008962C5"/>
    <w:rsid w:val="008965BB"/>
    <w:rsid w:val="00896BB5"/>
    <w:rsid w:val="00896C30"/>
    <w:rsid w:val="00896D31"/>
    <w:rsid w:val="008973B6"/>
    <w:rsid w:val="00897639"/>
    <w:rsid w:val="008978C6"/>
    <w:rsid w:val="00897E8D"/>
    <w:rsid w:val="008A01DF"/>
    <w:rsid w:val="008A0E8D"/>
    <w:rsid w:val="008A17F0"/>
    <w:rsid w:val="008A2270"/>
    <w:rsid w:val="008A33D1"/>
    <w:rsid w:val="008A3562"/>
    <w:rsid w:val="008A459D"/>
    <w:rsid w:val="008A5107"/>
    <w:rsid w:val="008A5345"/>
    <w:rsid w:val="008A5369"/>
    <w:rsid w:val="008A6B70"/>
    <w:rsid w:val="008A766A"/>
    <w:rsid w:val="008B083D"/>
    <w:rsid w:val="008B0E19"/>
    <w:rsid w:val="008B109D"/>
    <w:rsid w:val="008B1750"/>
    <w:rsid w:val="008B19C6"/>
    <w:rsid w:val="008B219D"/>
    <w:rsid w:val="008B2C02"/>
    <w:rsid w:val="008B30C0"/>
    <w:rsid w:val="008B36D0"/>
    <w:rsid w:val="008B44B8"/>
    <w:rsid w:val="008B4AA0"/>
    <w:rsid w:val="008B5F5C"/>
    <w:rsid w:val="008B6322"/>
    <w:rsid w:val="008B689B"/>
    <w:rsid w:val="008B69D9"/>
    <w:rsid w:val="008B7264"/>
    <w:rsid w:val="008B762F"/>
    <w:rsid w:val="008C023E"/>
    <w:rsid w:val="008C079D"/>
    <w:rsid w:val="008C0DD3"/>
    <w:rsid w:val="008C147E"/>
    <w:rsid w:val="008C1762"/>
    <w:rsid w:val="008C341E"/>
    <w:rsid w:val="008C3EB9"/>
    <w:rsid w:val="008C3F9B"/>
    <w:rsid w:val="008C47C4"/>
    <w:rsid w:val="008C54E1"/>
    <w:rsid w:val="008C553A"/>
    <w:rsid w:val="008C7401"/>
    <w:rsid w:val="008C742B"/>
    <w:rsid w:val="008C7ACF"/>
    <w:rsid w:val="008D0115"/>
    <w:rsid w:val="008D0743"/>
    <w:rsid w:val="008D1CCC"/>
    <w:rsid w:val="008D1E64"/>
    <w:rsid w:val="008D2F11"/>
    <w:rsid w:val="008D44F0"/>
    <w:rsid w:val="008D44F9"/>
    <w:rsid w:val="008D49D3"/>
    <w:rsid w:val="008D4EB0"/>
    <w:rsid w:val="008D6707"/>
    <w:rsid w:val="008D697E"/>
    <w:rsid w:val="008D6BE8"/>
    <w:rsid w:val="008D78BA"/>
    <w:rsid w:val="008D7F1D"/>
    <w:rsid w:val="008E007F"/>
    <w:rsid w:val="008E11FB"/>
    <w:rsid w:val="008E13B8"/>
    <w:rsid w:val="008E1617"/>
    <w:rsid w:val="008E16B8"/>
    <w:rsid w:val="008E1889"/>
    <w:rsid w:val="008E190B"/>
    <w:rsid w:val="008E1EEE"/>
    <w:rsid w:val="008E249D"/>
    <w:rsid w:val="008E271A"/>
    <w:rsid w:val="008E3A51"/>
    <w:rsid w:val="008E411F"/>
    <w:rsid w:val="008E4373"/>
    <w:rsid w:val="008E46FE"/>
    <w:rsid w:val="008E5807"/>
    <w:rsid w:val="008E5D44"/>
    <w:rsid w:val="008E5EEA"/>
    <w:rsid w:val="008E79B8"/>
    <w:rsid w:val="008E7E2D"/>
    <w:rsid w:val="008F0DA2"/>
    <w:rsid w:val="008F159B"/>
    <w:rsid w:val="008F1962"/>
    <w:rsid w:val="008F2769"/>
    <w:rsid w:val="008F2CFD"/>
    <w:rsid w:val="008F30C8"/>
    <w:rsid w:val="008F335A"/>
    <w:rsid w:val="008F3486"/>
    <w:rsid w:val="008F45D7"/>
    <w:rsid w:val="008F46F7"/>
    <w:rsid w:val="008F4F65"/>
    <w:rsid w:val="008F5B8B"/>
    <w:rsid w:val="008F5FCF"/>
    <w:rsid w:val="008F61B7"/>
    <w:rsid w:val="008F6864"/>
    <w:rsid w:val="008F6FCA"/>
    <w:rsid w:val="00901124"/>
    <w:rsid w:val="00901ABF"/>
    <w:rsid w:val="00901F64"/>
    <w:rsid w:val="0090297D"/>
    <w:rsid w:val="00902DE2"/>
    <w:rsid w:val="00902F28"/>
    <w:rsid w:val="0090469A"/>
    <w:rsid w:val="009047C6"/>
    <w:rsid w:val="00904861"/>
    <w:rsid w:val="00904CD9"/>
    <w:rsid w:val="009052DA"/>
    <w:rsid w:val="00905AD2"/>
    <w:rsid w:val="00906866"/>
    <w:rsid w:val="00906933"/>
    <w:rsid w:val="0090695D"/>
    <w:rsid w:val="00907EF3"/>
    <w:rsid w:val="009100E7"/>
    <w:rsid w:val="0091013F"/>
    <w:rsid w:val="0091084F"/>
    <w:rsid w:val="00910AE6"/>
    <w:rsid w:val="00911486"/>
    <w:rsid w:val="009114C9"/>
    <w:rsid w:val="0091322E"/>
    <w:rsid w:val="00913271"/>
    <w:rsid w:val="00913E4B"/>
    <w:rsid w:val="009141A6"/>
    <w:rsid w:val="00914D21"/>
    <w:rsid w:val="00915084"/>
    <w:rsid w:val="009156F7"/>
    <w:rsid w:val="00915CCE"/>
    <w:rsid w:val="009163E7"/>
    <w:rsid w:val="00917463"/>
    <w:rsid w:val="009174BA"/>
    <w:rsid w:val="009201BF"/>
    <w:rsid w:val="00920742"/>
    <w:rsid w:val="00920CB3"/>
    <w:rsid w:val="0092156D"/>
    <w:rsid w:val="00921CCF"/>
    <w:rsid w:val="00921D13"/>
    <w:rsid w:val="00921E26"/>
    <w:rsid w:val="009228DF"/>
    <w:rsid w:val="00922B95"/>
    <w:rsid w:val="00923127"/>
    <w:rsid w:val="0092502F"/>
    <w:rsid w:val="0092537A"/>
    <w:rsid w:val="009257F6"/>
    <w:rsid w:val="009273F5"/>
    <w:rsid w:val="009275C3"/>
    <w:rsid w:val="0092787D"/>
    <w:rsid w:val="00930655"/>
    <w:rsid w:val="00931032"/>
    <w:rsid w:val="009311A9"/>
    <w:rsid w:val="00931A38"/>
    <w:rsid w:val="009333A0"/>
    <w:rsid w:val="00933503"/>
    <w:rsid w:val="00934274"/>
    <w:rsid w:val="00934B6D"/>
    <w:rsid w:val="00935D45"/>
    <w:rsid w:val="00936F21"/>
    <w:rsid w:val="00937338"/>
    <w:rsid w:val="00940293"/>
    <w:rsid w:val="00940D3C"/>
    <w:rsid w:val="0094154D"/>
    <w:rsid w:val="00941C9C"/>
    <w:rsid w:val="00941CB7"/>
    <w:rsid w:val="00942AFB"/>
    <w:rsid w:val="00943E6A"/>
    <w:rsid w:val="009471DD"/>
    <w:rsid w:val="009476FB"/>
    <w:rsid w:val="009477C8"/>
    <w:rsid w:val="00947CB6"/>
    <w:rsid w:val="0095063A"/>
    <w:rsid w:val="00950A64"/>
    <w:rsid w:val="00950A6E"/>
    <w:rsid w:val="00951130"/>
    <w:rsid w:val="00951192"/>
    <w:rsid w:val="00951476"/>
    <w:rsid w:val="009517DF"/>
    <w:rsid w:val="00951B1A"/>
    <w:rsid w:val="00952B2D"/>
    <w:rsid w:val="00952B4D"/>
    <w:rsid w:val="00952B76"/>
    <w:rsid w:val="00953C4D"/>
    <w:rsid w:val="00953D6F"/>
    <w:rsid w:val="00955BAE"/>
    <w:rsid w:val="009562FE"/>
    <w:rsid w:val="00961609"/>
    <w:rsid w:val="00962A5B"/>
    <w:rsid w:val="0096345A"/>
    <w:rsid w:val="0096362A"/>
    <w:rsid w:val="00963643"/>
    <w:rsid w:val="00963C1C"/>
    <w:rsid w:val="00963D12"/>
    <w:rsid w:val="00963FF2"/>
    <w:rsid w:val="00964113"/>
    <w:rsid w:val="0096446E"/>
    <w:rsid w:val="009651B9"/>
    <w:rsid w:val="00965E2F"/>
    <w:rsid w:val="00966420"/>
    <w:rsid w:val="00966818"/>
    <w:rsid w:val="0096689B"/>
    <w:rsid w:val="00966ADD"/>
    <w:rsid w:val="00967101"/>
    <w:rsid w:val="00967574"/>
    <w:rsid w:val="00967E02"/>
    <w:rsid w:val="0097218D"/>
    <w:rsid w:val="00972402"/>
    <w:rsid w:val="00972516"/>
    <w:rsid w:val="00972896"/>
    <w:rsid w:val="00972B88"/>
    <w:rsid w:val="00973245"/>
    <w:rsid w:val="00974105"/>
    <w:rsid w:val="00974CEA"/>
    <w:rsid w:val="009769AB"/>
    <w:rsid w:val="00976B74"/>
    <w:rsid w:val="00977B6E"/>
    <w:rsid w:val="00980832"/>
    <w:rsid w:val="00980E33"/>
    <w:rsid w:val="009817A6"/>
    <w:rsid w:val="0098260E"/>
    <w:rsid w:val="009826F9"/>
    <w:rsid w:val="0098305C"/>
    <w:rsid w:val="009831F1"/>
    <w:rsid w:val="00983E04"/>
    <w:rsid w:val="009841F4"/>
    <w:rsid w:val="00984612"/>
    <w:rsid w:val="0098481A"/>
    <w:rsid w:val="00984936"/>
    <w:rsid w:val="009851C3"/>
    <w:rsid w:val="009859D8"/>
    <w:rsid w:val="00985DB1"/>
    <w:rsid w:val="00985E8C"/>
    <w:rsid w:val="00986904"/>
    <w:rsid w:val="00986B98"/>
    <w:rsid w:val="00986DC8"/>
    <w:rsid w:val="00987256"/>
    <w:rsid w:val="00987B90"/>
    <w:rsid w:val="00987D4D"/>
    <w:rsid w:val="00987ED4"/>
    <w:rsid w:val="00987ED7"/>
    <w:rsid w:val="0099025F"/>
    <w:rsid w:val="0099129E"/>
    <w:rsid w:val="00991A79"/>
    <w:rsid w:val="00991FE8"/>
    <w:rsid w:val="00992424"/>
    <w:rsid w:val="009926BC"/>
    <w:rsid w:val="00992736"/>
    <w:rsid w:val="00992857"/>
    <w:rsid w:val="00992D8D"/>
    <w:rsid w:val="00993282"/>
    <w:rsid w:val="00994289"/>
    <w:rsid w:val="009943FE"/>
    <w:rsid w:val="009948A8"/>
    <w:rsid w:val="0099555F"/>
    <w:rsid w:val="00995A9B"/>
    <w:rsid w:val="00995D39"/>
    <w:rsid w:val="00995D94"/>
    <w:rsid w:val="00996639"/>
    <w:rsid w:val="009968E2"/>
    <w:rsid w:val="0099787F"/>
    <w:rsid w:val="009A0A82"/>
    <w:rsid w:val="009A1164"/>
    <w:rsid w:val="009A1691"/>
    <w:rsid w:val="009A1949"/>
    <w:rsid w:val="009A21F5"/>
    <w:rsid w:val="009A37F2"/>
    <w:rsid w:val="009A57F4"/>
    <w:rsid w:val="009A6554"/>
    <w:rsid w:val="009A6A3D"/>
    <w:rsid w:val="009A793F"/>
    <w:rsid w:val="009B0515"/>
    <w:rsid w:val="009B0BD2"/>
    <w:rsid w:val="009B0FC9"/>
    <w:rsid w:val="009B18C6"/>
    <w:rsid w:val="009B1906"/>
    <w:rsid w:val="009B284D"/>
    <w:rsid w:val="009B447B"/>
    <w:rsid w:val="009B4494"/>
    <w:rsid w:val="009B4C3E"/>
    <w:rsid w:val="009B5675"/>
    <w:rsid w:val="009B6E2E"/>
    <w:rsid w:val="009B7198"/>
    <w:rsid w:val="009B78D3"/>
    <w:rsid w:val="009B79B9"/>
    <w:rsid w:val="009C07F6"/>
    <w:rsid w:val="009C0E1A"/>
    <w:rsid w:val="009C1898"/>
    <w:rsid w:val="009C23DB"/>
    <w:rsid w:val="009C2A38"/>
    <w:rsid w:val="009C2A4B"/>
    <w:rsid w:val="009C2E2C"/>
    <w:rsid w:val="009C30AA"/>
    <w:rsid w:val="009C3790"/>
    <w:rsid w:val="009C3B41"/>
    <w:rsid w:val="009C4671"/>
    <w:rsid w:val="009C47BF"/>
    <w:rsid w:val="009C49A3"/>
    <w:rsid w:val="009C4D89"/>
    <w:rsid w:val="009C571E"/>
    <w:rsid w:val="009C5CE2"/>
    <w:rsid w:val="009C5E0C"/>
    <w:rsid w:val="009C65F3"/>
    <w:rsid w:val="009C6686"/>
    <w:rsid w:val="009C66C7"/>
    <w:rsid w:val="009C6E5F"/>
    <w:rsid w:val="009C726B"/>
    <w:rsid w:val="009C794A"/>
    <w:rsid w:val="009C7B6F"/>
    <w:rsid w:val="009D00D6"/>
    <w:rsid w:val="009D030D"/>
    <w:rsid w:val="009D0400"/>
    <w:rsid w:val="009D1C69"/>
    <w:rsid w:val="009D24E4"/>
    <w:rsid w:val="009D2F1D"/>
    <w:rsid w:val="009D2FFC"/>
    <w:rsid w:val="009D3AAA"/>
    <w:rsid w:val="009D4271"/>
    <w:rsid w:val="009D43DD"/>
    <w:rsid w:val="009D506A"/>
    <w:rsid w:val="009D5D3B"/>
    <w:rsid w:val="009D61D0"/>
    <w:rsid w:val="009D67C4"/>
    <w:rsid w:val="009D6AA9"/>
    <w:rsid w:val="009E0020"/>
    <w:rsid w:val="009E0B7F"/>
    <w:rsid w:val="009E1F25"/>
    <w:rsid w:val="009E2021"/>
    <w:rsid w:val="009E4D06"/>
    <w:rsid w:val="009E6349"/>
    <w:rsid w:val="009E6547"/>
    <w:rsid w:val="009E6CEB"/>
    <w:rsid w:val="009E7DD8"/>
    <w:rsid w:val="009E7F8A"/>
    <w:rsid w:val="009F03A6"/>
    <w:rsid w:val="009F0984"/>
    <w:rsid w:val="009F0C1C"/>
    <w:rsid w:val="009F0C1D"/>
    <w:rsid w:val="009F1D22"/>
    <w:rsid w:val="009F2B4E"/>
    <w:rsid w:val="009F39A4"/>
    <w:rsid w:val="009F4583"/>
    <w:rsid w:val="009F4910"/>
    <w:rsid w:val="009F4BAF"/>
    <w:rsid w:val="009F5BF2"/>
    <w:rsid w:val="009F6E04"/>
    <w:rsid w:val="009F74D0"/>
    <w:rsid w:val="00A0006B"/>
    <w:rsid w:val="00A00A56"/>
    <w:rsid w:val="00A00A93"/>
    <w:rsid w:val="00A00B6F"/>
    <w:rsid w:val="00A01547"/>
    <w:rsid w:val="00A04ECE"/>
    <w:rsid w:val="00A04F60"/>
    <w:rsid w:val="00A0539E"/>
    <w:rsid w:val="00A0599C"/>
    <w:rsid w:val="00A05D3C"/>
    <w:rsid w:val="00A060DF"/>
    <w:rsid w:val="00A0653D"/>
    <w:rsid w:val="00A06DB0"/>
    <w:rsid w:val="00A06F8C"/>
    <w:rsid w:val="00A07883"/>
    <w:rsid w:val="00A11B1B"/>
    <w:rsid w:val="00A13495"/>
    <w:rsid w:val="00A135FD"/>
    <w:rsid w:val="00A14096"/>
    <w:rsid w:val="00A1432B"/>
    <w:rsid w:val="00A15601"/>
    <w:rsid w:val="00A1613C"/>
    <w:rsid w:val="00A16430"/>
    <w:rsid w:val="00A16714"/>
    <w:rsid w:val="00A16BFC"/>
    <w:rsid w:val="00A16F30"/>
    <w:rsid w:val="00A2073D"/>
    <w:rsid w:val="00A20FC0"/>
    <w:rsid w:val="00A21031"/>
    <w:rsid w:val="00A21F0A"/>
    <w:rsid w:val="00A22320"/>
    <w:rsid w:val="00A2285B"/>
    <w:rsid w:val="00A232F2"/>
    <w:rsid w:val="00A23C89"/>
    <w:rsid w:val="00A246F1"/>
    <w:rsid w:val="00A247B5"/>
    <w:rsid w:val="00A25243"/>
    <w:rsid w:val="00A2579A"/>
    <w:rsid w:val="00A25AB8"/>
    <w:rsid w:val="00A25FC6"/>
    <w:rsid w:val="00A2721B"/>
    <w:rsid w:val="00A27938"/>
    <w:rsid w:val="00A3064E"/>
    <w:rsid w:val="00A30809"/>
    <w:rsid w:val="00A30E78"/>
    <w:rsid w:val="00A3251C"/>
    <w:rsid w:val="00A325E3"/>
    <w:rsid w:val="00A32757"/>
    <w:rsid w:val="00A32E7F"/>
    <w:rsid w:val="00A33F82"/>
    <w:rsid w:val="00A35014"/>
    <w:rsid w:val="00A3512C"/>
    <w:rsid w:val="00A35988"/>
    <w:rsid w:val="00A36269"/>
    <w:rsid w:val="00A4005D"/>
    <w:rsid w:val="00A40CD4"/>
    <w:rsid w:val="00A4161C"/>
    <w:rsid w:val="00A41C62"/>
    <w:rsid w:val="00A41CEF"/>
    <w:rsid w:val="00A42EE1"/>
    <w:rsid w:val="00A4310F"/>
    <w:rsid w:val="00A43561"/>
    <w:rsid w:val="00A45F20"/>
    <w:rsid w:val="00A46072"/>
    <w:rsid w:val="00A4607C"/>
    <w:rsid w:val="00A46753"/>
    <w:rsid w:val="00A46896"/>
    <w:rsid w:val="00A46DD9"/>
    <w:rsid w:val="00A474BB"/>
    <w:rsid w:val="00A500BA"/>
    <w:rsid w:val="00A50C23"/>
    <w:rsid w:val="00A50F97"/>
    <w:rsid w:val="00A513B8"/>
    <w:rsid w:val="00A51639"/>
    <w:rsid w:val="00A5166A"/>
    <w:rsid w:val="00A51FC9"/>
    <w:rsid w:val="00A5251F"/>
    <w:rsid w:val="00A52F59"/>
    <w:rsid w:val="00A537A3"/>
    <w:rsid w:val="00A53F93"/>
    <w:rsid w:val="00A5409B"/>
    <w:rsid w:val="00A54B7D"/>
    <w:rsid w:val="00A54E12"/>
    <w:rsid w:val="00A54E67"/>
    <w:rsid w:val="00A55057"/>
    <w:rsid w:val="00A559A6"/>
    <w:rsid w:val="00A56432"/>
    <w:rsid w:val="00A575AE"/>
    <w:rsid w:val="00A57710"/>
    <w:rsid w:val="00A57F93"/>
    <w:rsid w:val="00A604D2"/>
    <w:rsid w:val="00A6086C"/>
    <w:rsid w:val="00A608AC"/>
    <w:rsid w:val="00A61A30"/>
    <w:rsid w:val="00A61E1F"/>
    <w:rsid w:val="00A6240E"/>
    <w:rsid w:val="00A6295E"/>
    <w:rsid w:val="00A62B4D"/>
    <w:rsid w:val="00A6322B"/>
    <w:rsid w:val="00A64CBD"/>
    <w:rsid w:val="00A64E68"/>
    <w:rsid w:val="00A6568D"/>
    <w:rsid w:val="00A656C1"/>
    <w:rsid w:val="00A657ED"/>
    <w:rsid w:val="00A674E5"/>
    <w:rsid w:val="00A67A91"/>
    <w:rsid w:val="00A70822"/>
    <w:rsid w:val="00A70965"/>
    <w:rsid w:val="00A7104F"/>
    <w:rsid w:val="00A71FE6"/>
    <w:rsid w:val="00A7331A"/>
    <w:rsid w:val="00A740E9"/>
    <w:rsid w:val="00A75F8B"/>
    <w:rsid w:val="00A75F9D"/>
    <w:rsid w:val="00A772D2"/>
    <w:rsid w:val="00A77823"/>
    <w:rsid w:val="00A83688"/>
    <w:rsid w:val="00A83FAE"/>
    <w:rsid w:val="00A84267"/>
    <w:rsid w:val="00A8474B"/>
    <w:rsid w:val="00A84E6E"/>
    <w:rsid w:val="00A853B7"/>
    <w:rsid w:val="00A85845"/>
    <w:rsid w:val="00A85B27"/>
    <w:rsid w:val="00A8663D"/>
    <w:rsid w:val="00A86E92"/>
    <w:rsid w:val="00A87193"/>
    <w:rsid w:val="00A90CF7"/>
    <w:rsid w:val="00A90DC9"/>
    <w:rsid w:val="00A916CF"/>
    <w:rsid w:val="00A918DA"/>
    <w:rsid w:val="00A91955"/>
    <w:rsid w:val="00A91CD6"/>
    <w:rsid w:val="00A923FE"/>
    <w:rsid w:val="00A92738"/>
    <w:rsid w:val="00A93772"/>
    <w:rsid w:val="00A93873"/>
    <w:rsid w:val="00A93ABC"/>
    <w:rsid w:val="00A94F48"/>
    <w:rsid w:val="00A95BA3"/>
    <w:rsid w:val="00A964BF"/>
    <w:rsid w:val="00A9689C"/>
    <w:rsid w:val="00AA0661"/>
    <w:rsid w:val="00AA0C64"/>
    <w:rsid w:val="00AA0D62"/>
    <w:rsid w:val="00AA113C"/>
    <w:rsid w:val="00AA16E4"/>
    <w:rsid w:val="00AA19AD"/>
    <w:rsid w:val="00AA1E3F"/>
    <w:rsid w:val="00AA209C"/>
    <w:rsid w:val="00AA2592"/>
    <w:rsid w:val="00AA2602"/>
    <w:rsid w:val="00AA461F"/>
    <w:rsid w:val="00AA4A0A"/>
    <w:rsid w:val="00AA4D1F"/>
    <w:rsid w:val="00AA51F3"/>
    <w:rsid w:val="00AA583A"/>
    <w:rsid w:val="00AA617A"/>
    <w:rsid w:val="00AA6ADC"/>
    <w:rsid w:val="00AB072A"/>
    <w:rsid w:val="00AB10F6"/>
    <w:rsid w:val="00AB13D6"/>
    <w:rsid w:val="00AB1AFB"/>
    <w:rsid w:val="00AB2B80"/>
    <w:rsid w:val="00AB3112"/>
    <w:rsid w:val="00AB53AF"/>
    <w:rsid w:val="00AB6232"/>
    <w:rsid w:val="00AB6764"/>
    <w:rsid w:val="00AB7770"/>
    <w:rsid w:val="00AC0853"/>
    <w:rsid w:val="00AC21AC"/>
    <w:rsid w:val="00AC2EA9"/>
    <w:rsid w:val="00AC3C08"/>
    <w:rsid w:val="00AC4075"/>
    <w:rsid w:val="00AC4D1A"/>
    <w:rsid w:val="00AC5D0F"/>
    <w:rsid w:val="00AC62A3"/>
    <w:rsid w:val="00AC63D9"/>
    <w:rsid w:val="00AC64FE"/>
    <w:rsid w:val="00AC7CFA"/>
    <w:rsid w:val="00AD0051"/>
    <w:rsid w:val="00AD03AC"/>
    <w:rsid w:val="00AD0C2A"/>
    <w:rsid w:val="00AD0C94"/>
    <w:rsid w:val="00AD0FE1"/>
    <w:rsid w:val="00AD1244"/>
    <w:rsid w:val="00AD2A30"/>
    <w:rsid w:val="00AD3FDE"/>
    <w:rsid w:val="00AD4150"/>
    <w:rsid w:val="00AD44AF"/>
    <w:rsid w:val="00AD4F18"/>
    <w:rsid w:val="00AD50A7"/>
    <w:rsid w:val="00AD58C4"/>
    <w:rsid w:val="00AD5ED1"/>
    <w:rsid w:val="00AD6002"/>
    <w:rsid w:val="00AD73E6"/>
    <w:rsid w:val="00AD7708"/>
    <w:rsid w:val="00AD7B36"/>
    <w:rsid w:val="00AD7F7D"/>
    <w:rsid w:val="00AE0B75"/>
    <w:rsid w:val="00AE0D4B"/>
    <w:rsid w:val="00AE0EB0"/>
    <w:rsid w:val="00AE19C8"/>
    <w:rsid w:val="00AE3183"/>
    <w:rsid w:val="00AE3C94"/>
    <w:rsid w:val="00AE4056"/>
    <w:rsid w:val="00AE4D9A"/>
    <w:rsid w:val="00AE5199"/>
    <w:rsid w:val="00AE56E3"/>
    <w:rsid w:val="00AE5721"/>
    <w:rsid w:val="00AE580B"/>
    <w:rsid w:val="00AE7C14"/>
    <w:rsid w:val="00AF0309"/>
    <w:rsid w:val="00AF0F66"/>
    <w:rsid w:val="00AF1838"/>
    <w:rsid w:val="00AF18A8"/>
    <w:rsid w:val="00AF20F3"/>
    <w:rsid w:val="00AF242F"/>
    <w:rsid w:val="00AF27EF"/>
    <w:rsid w:val="00AF2B20"/>
    <w:rsid w:val="00AF32B3"/>
    <w:rsid w:val="00AF3372"/>
    <w:rsid w:val="00AF3F72"/>
    <w:rsid w:val="00AF49EC"/>
    <w:rsid w:val="00AF4D6F"/>
    <w:rsid w:val="00AF5CA3"/>
    <w:rsid w:val="00AF6015"/>
    <w:rsid w:val="00AF65D9"/>
    <w:rsid w:val="00AF74D9"/>
    <w:rsid w:val="00AF7CCF"/>
    <w:rsid w:val="00B000BA"/>
    <w:rsid w:val="00B00BD1"/>
    <w:rsid w:val="00B00F13"/>
    <w:rsid w:val="00B0147B"/>
    <w:rsid w:val="00B01B38"/>
    <w:rsid w:val="00B02235"/>
    <w:rsid w:val="00B031E7"/>
    <w:rsid w:val="00B0359D"/>
    <w:rsid w:val="00B03CF2"/>
    <w:rsid w:val="00B049FE"/>
    <w:rsid w:val="00B04A6F"/>
    <w:rsid w:val="00B05A85"/>
    <w:rsid w:val="00B05AD0"/>
    <w:rsid w:val="00B05C92"/>
    <w:rsid w:val="00B05ECD"/>
    <w:rsid w:val="00B0705D"/>
    <w:rsid w:val="00B076BB"/>
    <w:rsid w:val="00B07739"/>
    <w:rsid w:val="00B07781"/>
    <w:rsid w:val="00B07C88"/>
    <w:rsid w:val="00B1074F"/>
    <w:rsid w:val="00B110B1"/>
    <w:rsid w:val="00B112F7"/>
    <w:rsid w:val="00B121DB"/>
    <w:rsid w:val="00B13DD0"/>
    <w:rsid w:val="00B14160"/>
    <w:rsid w:val="00B14289"/>
    <w:rsid w:val="00B15E94"/>
    <w:rsid w:val="00B17062"/>
    <w:rsid w:val="00B176ED"/>
    <w:rsid w:val="00B1799D"/>
    <w:rsid w:val="00B17C44"/>
    <w:rsid w:val="00B17DEE"/>
    <w:rsid w:val="00B20210"/>
    <w:rsid w:val="00B208F5"/>
    <w:rsid w:val="00B20B10"/>
    <w:rsid w:val="00B2148C"/>
    <w:rsid w:val="00B224A3"/>
    <w:rsid w:val="00B229CB"/>
    <w:rsid w:val="00B2319A"/>
    <w:rsid w:val="00B2354A"/>
    <w:rsid w:val="00B23D47"/>
    <w:rsid w:val="00B2463D"/>
    <w:rsid w:val="00B24815"/>
    <w:rsid w:val="00B24C35"/>
    <w:rsid w:val="00B259E9"/>
    <w:rsid w:val="00B25E16"/>
    <w:rsid w:val="00B2730B"/>
    <w:rsid w:val="00B3081A"/>
    <w:rsid w:val="00B30AED"/>
    <w:rsid w:val="00B30EB6"/>
    <w:rsid w:val="00B31BB4"/>
    <w:rsid w:val="00B31EEA"/>
    <w:rsid w:val="00B32C82"/>
    <w:rsid w:val="00B32E57"/>
    <w:rsid w:val="00B33BC6"/>
    <w:rsid w:val="00B343F5"/>
    <w:rsid w:val="00B346C1"/>
    <w:rsid w:val="00B3509B"/>
    <w:rsid w:val="00B3510C"/>
    <w:rsid w:val="00B3564B"/>
    <w:rsid w:val="00B36094"/>
    <w:rsid w:val="00B36179"/>
    <w:rsid w:val="00B36661"/>
    <w:rsid w:val="00B37E4D"/>
    <w:rsid w:val="00B4040A"/>
    <w:rsid w:val="00B4141F"/>
    <w:rsid w:val="00B415C4"/>
    <w:rsid w:val="00B42039"/>
    <w:rsid w:val="00B43BCE"/>
    <w:rsid w:val="00B43D78"/>
    <w:rsid w:val="00B4482A"/>
    <w:rsid w:val="00B4517F"/>
    <w:rsid w:val="00B462A7"/>
    <w:rsid w:val="00B46BE8"/>
    <w:rsid w:val="00B47F08"/>
    <w:rsid w:val="00B50EB5"/>
    <w:rsid w:val="00B5288E"/>
    <w:rsid w:val="00B530C5"/>
    <w:rsid w:val="00B53128"/>
    <w:rsid w:val="00B533CD"/>
    <w:rsid w:val="00B53439"/>
    <w:rsid w:val="00B5502D"/>
    <w:rsid w:val="00B55221"/>
    <w:rsid w:val="00B5557E"/>
    <w:rsid w:val="00B558D9"/>
    <w:rsid w:val="00B56324"/>
    <w:rsid w:val="00B56356"/>
    <w:rsid w:val="00B56712"/>
    <w:rsid w:val="00B56C35"/>
    <w:rsid w:val="00B57370"/>
    <w:rsid w:val="00B604D7"/>
    <w:rsid w:val="00B605A5"/>
    <w:rsid w:val="00B61942"/>
    <w:rsid w:val="00B61944"/>
    <w:rsid w:val="00B62B56"/>
    <w:rsid w:val="00B62E0C"/>
    <w:rsid w:val="00B62FE2"/>
    <w:rsid w:val="00B6345B"/>
    <w:rsid w:val="00B65145"/>
    <w:rsid w:val="00B652A2"/>
    <w:rsid w:val="00B65616"/>
    <w:rsid w:val="00B65AEF"/>
    <w:rsid w:val="00B66212"/>
    <w:rsid w:val="00B670CD"/>
    <w:rsid w:val="00B670D2"/>
    <w:rsid w:val="00B677C2"/>
    <w:rsid w:val="00B700DC"/>
    <w:rsid w:val="00B7019A"/>
    <w:rsid w:val="00B70E89"/>
    <w:rsid w:val="00B710B7"/>
    <w:rsid w:val="00B71455"/>
    <w:rsid w:val="00B71A52"/>
    <w:rsid w:val="00B71BB8"/>
    <w:rsid w:val="00B7219D"/>
    <w:rsid w:val="00B72528"/>
    <w:rsid w:val="00B73132"/>
    <w:rsid w:val="00B74238"/>
    <w:rsid w:val="00B746EE"/>
    <w:rsid w:val="00B75BF7"/>
    <w:rsid w:val="00B75E12"/>
    <w:rsid w:val="00B7629C"/>
    <w:rsid w:val="00B76968"/>
    <w:rsid w:val="00B772DB"/>
    <w:rsid w:val="00B823F1"/>
    <w:rsid w:val="00B82C06"/>
    <w:rsid w:val="00B83F33"/>
    <w:rsid w:val="00B84CCD"/>
    <w:rsid w:val="00B85953"/>
    <w:rsid w:val="00B85A4F"/>
    <w:rsid w:val="00B85FFF"/>
    <w:rsid w:val="00B86200"/>
    <w:rsid w:val="00B870D8"/>
    <w:rsid w:val="00B876BB"/>
    <w:rsid w:val="00B87EBD"/>
    <w:rsid w:val="00B9053A"/>
    <w:rsid w:val="00B90924"/>
    <w:rsid w:val="00B910E9"/>
    <w:rsid w:val="00B92BE1"/>
    <w:rsid w:val="00B934AB"/>
    <w:rsid w:val="00B93B72"/>
    <w:rsid w:val="00B9438A"/>
    <w:rsid w:val="00B950EA"/>
    <w:rsid w:val="00B95512"/>
    <w:rsid w:val="00B95553"/>
    <w:rsid w:val="00B96D62"/>
    <w:rsid w:val="00B97093"/>
    <w:rsid w:val="00BA03DD"/>
    <w:rsid w:val="00BA0490"/>
    <w:rsid w:val="00BA19CA"/>
    <w:rsid w:val="00BA2FEF"/>
    <w:rsid w:val="00BA3D26"/>
    <w:rsid w:val="00BA40BC"/>
    <w:rsid w:val="00BA5492"/>
    <w:rsid w:val="00BA5E0B"/>
    <w:rsid w:val="00BA6F97"/>
    <w:rsid w:val="00BA70B8"/>
    <w:rsid w:val="00BA72AA"/>
    <w:rsid w:val="00BA7DC9"/>
    <w:rsid w:val="00BA7FDB"/>
    <w:rsid w:val="00BB018C"/>
    <w:rsid w:val="00BB1BEB"/>
    <w:rsid w:val="00BB266B"/>
    <w:rsid w:val="00BB2AA1"/>
    <w:rsid w:val="00BB2D4B"/>
    <w:rsid w:val="00BB3934"/>
    <w:rsid w:val="00BB404C"/>
    <w:rsid w:val="00BB425E"/>
    <w:rsid w:val="00BB5581"/>
    <w:rsid w:val="00BB62E0"/>
    <w:rsid w:val="00BB68BF"/>
    <w:rsid w:val="00BB6B16"/>
    <w:rsid w:val="00BB78BD"/>
    <w:rsid w:val="00BC25F1"/>
    <w:rsid w:val="00BC26DB"/>
    <w:rsid w:val="00BC4777"/>
    <w:rsid w:val="00BC4BF0"/>
    <w:rsid w:val="00BC5066"/>
    <w:rsid w:val="00BC5267"/>
    <w:rsid w:val="00BC52B7"/>
    <w:rsid w:val="00BC596E"/>
    <w:rsid w:val="00BC6023"/>
    <w:rsid w:val="00BC6155"/>
    <w:rsid w:val="00BC62BB"/>
    <w:rsid w:val="00BC7A89"/>
    <w:rsid w:val="00BD07DB"/>
    <w:rsid w:val="00BD0C38"/>
    <w:rsid w:val="00BD15D6"/>
    <w:rsid w:val="00BD3D98"/>
    <w:rsid w:val="00BD4026"/>
    <w:rsid w:val="00BD46FA"/>
    <w:rsid w:val="00BD4728"/>
    <w:rsid w:val="00BD5108"/>
    <w:rsid w:val="00BD5549"/>
    <w:rsid w:val="00BD5A6E"/>
    <w:rsid w:val="00BD672A"/>
    <w:rsid w:val="00BD724A"/>
    <w:rsid w:val="00BD76B8"/>
    <w:rsid w:val="00BD778B"/>
    <w:rsid w:val="00BD7B38"/>
    <w:rsid w:val="00BE005E"/>
    <w:rsid w:val="00BE0D85"/>
    <w:rsid w:val="00BE111F"/>
    <w:rsid w:val="00BE2407"/>
    <w:rsid w:val="00BE318D"/>
    <w:rsid w:val="00BE3F38"/>
    <w:rsid w:val="00BE586D"/>
    <w:rsid w:val="00BE5917"/>
    <w:rsid w:val="00BE7A77"/>
    <w:rsid w:val="00BE7EE7"/>
    <w:rsid w:val="00BF0128"/>
    <w:rsid w:val="00BF024A"/>
    <w:rsid w:val="00BF19C3"/>
    <w:rsid w:val="00BF1E4C"/>
    <w:rsid w:val="00BF2945"/>
    <w:rsid w:val="00BF3204"/>
    <w:rsid w:val="00BF405F"/>
    <w:rsid w:val="00BF4A0C"/>
    <w:rsid w:val="00BF5438"/>
    <w:rsid w:val="00BF5AB9"/>
    <w:rsid w:val="00BF5D00"/>
    <w:rsid w:val="00BF6339"/>
    <w:rsid w:val="00BF6FFD"/>
    <w:rsid w:val="00BF7078"/>
    <w:rsid w:val="00BF78B4"/>
    <w:rsid w:val="00BF7A2A"/>
    <w:rsid w:val="00BF7BC7"/>
    <w:rsid w:val="00C00140"/>
    <w:rsid w:val="00C008EE"/>
    <w:rsid w:val="00C01962"/>
    <w:rsid w:val="00C01FAF"/>
    <w:rsid w:val="00C021D8"/>
    <w:rsid w:val="00C02C2C"/>
    <w:rsid w:val="00C02E1F"/>
    <w:rsid w:val="00C02F0B"/>
    <w:rsid w:val="00C0372F"/>
    <w:rsid w:val="00C0498A"/>
    <w:rsid w:val="00C068AD"/>
    <w:rsid w:val="00C0707B"/>
    <w:rsid w:val="00C07923"/>
    <w:rsid w:val="00C079D4"/>
    <w:rsid w:val="00C07D51"/>
    <w:rsid w:val="00C10666"/>
    <w:rsid w:val="00C11DF4"/>
    <w:rsid w:val="00C12AAE"/>
    <w:rsid w:val="00C13320"/>
    <w:rsid w:val="00C1443B"/>
    <w:rsid w:val="00C14A06"/>
    <w:rsid w:val="00C15009"/>
    <w:rsid w:val="00C15CA0"/>
    <w:rsid w:val="00C15D65"/>
    <w:rsid w:val="00C1750E"/>
    <w:rsid w:val="00C176A0"/>
    <w:rsid w:val="00C17EF6"/>
    <w:rsid w:val="00C20031"/>
    <w:rsid w:val="00C20F8F"/>
    <w:rsid w:val="00C22210"/>
    <w:rsid w:val="00C222F3"/>
    <w:rsid w:val="00C22881"/>
    <w:rsid w:val="00C22CDC"/>
    <w:rsid w:val="00C23BF4"/>
    <w:rsid w:val="00C23F8C"/>
    <w:rsid w:val="00C24DB5"/>
    <w:rsid w:val="00C25195"/>
    <w:rsid w:val="00C25AE2"/>
    <w:rsid w:val="00C25EB3"/>
    <w:rsid w:val="00C2636C"/>
    <w:rsid w:val="00C265F7"/>
    <w:rsid w:val="00C2687D"/>
    <w:rsid w:val="00C271F3"/>
    <w:rsid w:val="00C27641"/>
    <w:rsid w:val="00C27E72"/>
    <w:rsid w:val="00C30661"/>
    <w:rsid w:val="00C314C8"/>
    <w:rsid w:val="00C31DFD"/>
    <w:rsid w:val="00C32822"/>
    <w:rsid w:val="00C32ACE"/>
    <w:rsid w:val="00C32D38"/>
    <w:rsid w:val="00C32FEE"/>
    <w:rsid w:val="00C33583"/>
    <w:rsid w:val="00C34500"/>
    <w:rsid w:val="00C34E8D"/>
    <w:rsid w:val="00C35308"/>
    <w:rsid w:val="00C35787"/>
    <w:rsid w:val="00C36CEC"/>
    <w:rsid w:val="00C36F97"/>
    <w:rsid w:val="00C4076F"/>
    <w:rsid w:val="00C40E79"/>
    <w:rsid w:val="00C42178"/>
    <w:rsid w:val="00C42F50"/>
    <w:rsid w:val="00C43B1E"/>
    <w:rsid w:val="00C43CE3"/>
    <w:rsid w:val="00C43E77"/>
    <w:rsid w:val="00C442DF"/>
    <w:rsid w:val="00C4520E"/>
    <w:rsid w:val="00C4686D"/>
    <w:rsid w:val="00C468C3"/>
    <w:rsid w:val="00C47216"/>
    <w:rsid w:val="00C47A38"/>
    <w:rsid w:val="00C47D87"/>
    <w:rsid w:val="00C500EA"/>
    <w:rsid w:val="00C503DE"/>
    <w:rsid w:val="00C50ACD"/>
    <w:rsid w:val="00C50B49"/>
    <w:rsid w:val="00C5102F"/>
    <w:rsid w:val="00C5194B"/>
    <w:rsid w:val="00C51EA1"/>
    <w:rsid w:val="00C5207D"/>
    <w:rsid w:val="00C525C0"/>
    <w:rsid w:val="00C528DA"/>
    <w:rsid w:val="00C543B0"/>
    <w:rsid w:val="00C547CC"/>
    <w:rsid w:val="00C55192"/>
    <w:rsid w:val="00C55CC6"/>
    <w:rsid w:val="00C56C13"/>
    <w:rsid w:val="00C5723D"/>
    <w:rsid w:val="00C57640"/>
    <w:rsid w:val="00C57A3B"/>
    <w:rsid w:val="00C607AF"/>
    <w:rsid w:val="00C607E8"/>
    <w:rsid w:val="00C60B14"/>
    <w:rsid w:val="00C60D56"/>
    <w:rsid w:val="00C60E5C"/>
    <w:rsid w:val="00C614F1"/>
    <w:rsid w:val="00C619B5"/>
    <w:rsid w:val="00C625A6"/>
    <w:rsid w:val="00C64AD7"/>
    <w:rsid w:val="00C64B7B"/>
    <w:rsid w:val="00C64C85"/>
    <w:rsid w:val="00C66627"/>
    <w:rsid w:val="00C6798B"/>
    <w:rsid w:val="00C67A38"/>
    <w:rsid w:val="00C67D3E"/>
    <w:rsid w:val="00C7064E"/>
    <w:rsid w:val="00C70AB5"/>
    <w:rsid w:val="00C70EC9"/>
    <w:rsid w:val="00C70FF4"/>
    <w:rsid w:val="00C71032"/>
    <w:rsid w:val="00C71C90"/>
    <w:rsid w:val="00C720B4"/>
    <w:rsid w:val="00C7255D"/>
    <w:rsid w:val="00C72659"/>
    <w:rsid w:val="00C72FE1"/>
    <w:rsid w:val="00C730DC"/>
    <w:rsid w:val="00C7330E"/>
    <w:rsid w:val="00C73465"/>
    <w:rsid w:val="00C737FD"/>
    <w:rsid w:val="00C74BF8"/>
    <w:rsid w:val="00C755D1"/>
    <w:rsid w:val="00C75D08"/>
    <w:rsid w:val="00C76720"/>
    <w:rsid w:val="00C76B84"/>
    <w:rsid w:val="00C76C2D"/>
    <w:rsid w:val="00C807B5"/>
    <w:rsid w:val="00C809F6"/>
    <w:rsid w:val="00C80E3F"/>
    <w:rsid w:val="00C810E9"/>
    <w:rsid w:val="00C816E8"/>
    <w:rsid w:val="00C82AFD"/>
    <w:rsid w:val="00C835B9"/>
    <w:rsid w:val="00C83AC7"/>
    <w:rsid w:val="00C84A8C"/>
    <w:rsid w:val="00C85987"/>
    <w:rsid w:val="00C86580"/>
    <w:rsid w:val="00C8673C"/>
    <w:rsid w:val="00C87419"/>
    <w:rsid w:val="00C875BC"/>
    <w:rsid w:val="00C907ED"/>
    <w:rsid w:val="00C918C0"/>
    <w:rsid w:val="00C91ACA"/>
    <w:rsid w:val="00C91EDF"/>
    <w:rsid w:val="00C932FC"/>
    <w:rsid w:val="00C93500"/>
    <w:rsid w:val="00C935A4"/>
    <w:rsid w:val="00C93788"/>
    <w:rsid w:val="00C9448E"/>
    <w:rsid w:val="00C945C9"/>
    <w:rsid w:val="00C949B8"/>
    <w:rsid w:val="00C94B35"/>
    <w:rsid w:val="00C94D37"/>
    <w:rsid w:val="00C976FF"/>
    <w:rsid w:val="00C978C4"/>
    <w:rsid w:val="00C97D4F"/>
    <w:rsid w:val="00CA0FBA"/>
    <w:rsid w:val="00CA10DA"/>
    <w:rsid w:val="00CA1A93"/>
    <w:rsid w:val="00CA1D90"/>
    <w:rsid w:val="00CA1E59"/>
    <w:rsid w:val="00CA2293"/>
    <w:rsid w:val="00CA30BB"/>
    <w:rsid w:val="00CA35F7"/>
    <w:rsid w:val="00CA3FB7"/>
    <w:rsid w:val="00CA595D"/>
    <w:rsid w:val="00CA65F3"/>
    <w:rsid w:val="00CA6E11"/>
    <w:rsid w:val="00CA6FD5"/>
    <w:rsid w:val="00CA7528"/>
    <w:rsid w:val="00CA7BAF"/>
    <w:rsid w:val="00CB12B6"/>
    <w:rsid w:val="00CB13ED"/>
    <w:rsid w:val="00CB172D"/>
    <w:rsid w:val="00CB1E16"/>
    <w:rsid w:val="00CB22FE"/>
    <w:rsid w:val="00CB2BE3"/>
    <w:rsid w:val="00CB380E"/>
    <w:rsid w:val="00CB3A1F"/>
    <w:rsid w:val="00CB405F"/>
    <w:rsid w:val="00CB4A5D"/>
    <w:rsid w:val="00CB517F"/>
    <w:rsid w:val="00CB5BDE"/>
    <w:rsid w:val="00CB63FF"/>
    <w:rsid w:val="00CB6B7C"/>
    <w:rsid w:val="00CB6C39"/>
    <w:rsid w:val="00CB72BB"/>
    <w:rsid w:val="00CB758C"/>
    <w:rsid w:val="00CB7BE8"/>
    <w:rsid w:val="00CC0F2C"/>
    <w:rsid w:val="00CC120E"/>
    <w:rsid w:val="00CC24EB"/>
    <w:rsid w:val="00CC362B"/>
    <w:rsid w:val="00CC371D"/>
    <w:rsid w:val="00CC39F1"/>
    <w:rsid w:val="00CC3F5A"/>
    <w:rsid w:val="00CC4D5C"/>
    <w:rsid w:val="00CC4F32"/>
    <w:rsid w:val="00CC4F7E"/>
    <w:rsid w:val="00CC53C9"/>
    <w:rsid w:val="00CC7A2A"/>
    <w:rsid w:val="00CD013A"/>
    <w:rsid w:val="00CD13DE"/>
    <w:rsid w:val="00CD19FE"/>
    <w:rsid w:val="00CD1C61"/>
    <w:rsid w:val="00CD2679"/>
    <w:rsid w:val="00CD2681"/>
    <w:rsid w:val="00CD3D29"/>
    <w:rsid w:val="00CD3FB4"/>
    <w:rsid w:val="00CD4C7A"/>
    <w:rsid w:val="00CD4F2D"/>
    <w:rsid w:val="00CD5098"/>
    <w:rsid w:val="00CD5603"/>
    <w:rsid w:val="00CD6250"/>
    <w:rsid w:val="00CD6AE9"/>
    <w:rsid w:val="00CD7520"/>
    <w:rsid w:val="00CD7973"/>
    <w:rsid w:val="00CD7C59"/>
    <w:rsid w:val="00CD7E47"/>
    <w:rsid w:val="00CE106A"/>
    <w:rsid w:val="00CE127A"/>
    <w:rsid w:val="00CE2496"/>
    <w:rsid w:val="00CE3414"/>
    <w:rsid w:val="00CE3C9B"/>
    <w:rsid w:val="00CE3F49"/>
    <w:rsid w:val="00CE6C01"/>
    <w:rsid w:val="00CE73AF"/>
    <w:rsid w:val="00CE7831"/>
    <w:rsid w:val="00CF0300"/>
    <w:rsid w:val="00CF0387"/>
    <w:rsid w:val="00CF0938"/>
    <w:rsid w:val="00CF0A82"/>
    <w:rsid w:val="00CF1D30"/>
    <w:rsid w:val="00CF26AF"/>
    <w:rsid w:val="00CF2ED5"/>
    <w:rsid w:val="00CF36F7"/>
    <w:rsid w:val="00CF3711"/>
    <w:rsid w:val="00CF3ABF"/>
    <w:rsid w:val="00CF4069"/>
    <w:rsid w:val="00CF43E8"/>
    <w:rsid w:val="00CF4B6C"/>
    <w:rsid w:val="00CF51C6"/>
    <w:rsid w:val="00CF5885"/>
    <w:rsid w:val="00CF5D93"/>
    <w:rsid w:val="00CF716A"/>
    <w:rsid w:val="00D00F0D"/>
    <w:rsid w:val="00D011FE"/>
    <w:rsid w:val="00D02206"/>
    <w:rsid w:val="00D028DD"/>
    <w:rsid w:val="00D02FAC"/>
    <w:rsid w:val="00D03868"/>
    <w:rsid w:val="00D0447F"/>
    <w:rsid w:val="00D04786"/>
    <w:rsid w:val="00D053A6"/>
    <w:rsid w:val="00D05806"/>
    <w:rsid w:val="00D05953"/>
    <w:rsid w:val="00D05BA3"/>
    <w:rsid w:val="00D05E7A"/>
    <w:rsid w:val="00D06A17"/>
    <w:rsid w:val="00D06C89"/>
    <w:rsid w:val="00D0759C"/>
    <w:rsid w:val="00D07869"/>
    <w:rsid w:val="00D07CA1"/>
    <w:rsid w:val="00D10445"/>
    <w:rsid w:val="00D10F06"/>
    <w:rsid w:val="00D1145B"/>
    <w:rsid w:val="00D118F9"/>
    <w:rsid w:val="00D1205F"/>
    <w:rsid w:val="00D13807"/>
    <w:rsid w:val="00D13C3A"/>
    <w:rsid w:val="00D14694"/>
    <w:rsid w:val="00D14BDF"/>
    <w:rsid w:val="00D15074"/>
    <w:rsid w:val="00D15BAE"/>
    <w:rsid w:val="00D174C7"/>
    <w:rsid w:val="00D20608"/>
    <w:rsid w:val="00D21A56"/>
    <w:rsid w:val="00D2212D"/>
    <w:rsid w:val="00D22313"/>
    <w:rsid w:val="00D229E2"/>
    <w:rsid w:val="00D2371F"/>
    <w:rsid w:val="00D23ADC"/>
    <w:rsid w:val="00D23EF3"/>
    <w:rsid w:val="00D246B4"/>
    <w:rsid w:val="00D24AED"/>
    <w:rsid w:val="00D2543D"/>
    <w:rsid w:val="00D25A9D"/>
    <w:rsid w:val="00D25AF3"/>
    <w:rsid w:val="00D25E33"/>
    <w:rsid w:val="00D25E66"/>
    <w:rsid w:val="00D26899"/>
    <w:rsid w:val="00D26FAB"/>
    <w:rsid w:val="00D272FA"/>
    <w:rsid w:val="00D27A55"/>
    <w:rsid w:val="00D27B85"/>
    <w:rsid w:val="00D302A2"/>
    <w:rsid w:val="00D30FB7"/>
    <w:rsid w:val="00D3143B"/>
    <w:rsid w:val="00D31C76"/>
    <w:rsid w:val="00D329A0"/>
    <w:rsid w:val="00D33237"/>
    <w:rsid w:val="00D339E6"/>
    <w:rsid w:val="00D34391"/>
    <w:rsid w:val="00D34FFF"/>
    <w:rsid w:val="00D35B1F"/>
    <w:rsid w:val="00D369EE"/>
    <w:rsid w:val="00D377B8"/>
    <w:rsid w:val="00D37D12"/>
    <w:rsid w:val="00D37E95"/>
    <w:rsid w:val="00D40C3C"/>
    <w:rsid w:val="00D4121A"/>
    <w:rsid w:val="00D412E0"/>
    <w:rsid w:val="00D42B37"/>
    <w:rsid w:val="00D43394"/>
    <w:rsid w:val="00D443D7"/>
    <w:rsid w:val="00D445B7"/>
    <w:rsid w:val="00D44765"/>
    <w:rsid w:val="00D44845"/>
    <w:rsid w:val="00D449AE"/>
    <w:rsid w:val="00D44F20"/>
    <w:rsid w:val="00D460F8"/>
    <w:rsid w:val="00D46D78"/>
    <w:rsid w:val="00D47146"/>
    <w:rsid w:val="00D47A8D"/>
    <w:rsid w:val="00D47BC2"/>
    <w:rsid w:val="00D5145E"/>
    <w:rsid w:val="00D5195F"/>
    <w:rsid w:val="00D51AB4"/>
    <w:rsid w:val="00D52E6E"/>
    <w:rsid w:val="00D5308A"/>
    <w:rsid w:val="00D538A6"/>
    <w:rsid w:val="00D53FCA"/>
    <w:rsid w:val="00D5453D"/>
    <w:rsid w:val="00D5472E"/>
    <w:rsid w:val="00D548F1"/>
    <w:rsid w:val="00D55A9E"/>
    <w:rsid w:val="00D55E08"/>
    <w:rsid w:val="00D579D9"/>
    <w:rsid w:val="00D57EF3"/>
    <w:rsid w:val="00D6024F"/>
    <w:rsid w:val="00D6103D"/>
    <w:rsid w:val="00D629AB"/>
    <w:rsid w:val="00D63F77"/>
    <w:rsid w:val="00D64254"/>
    <w:rsid w:val="00D6444E"/>
    <w:rsid w:val="00D64D60"/>
    <w:rsid w:val="00D6575D"/>
    <w:rsid w:val="00D65EB6"/>
    <w:rsid w:val="00D66722"/>
    <w:rsid w:val="00D67AA0"/>
    <w:rsid w:val="00D7098F"/>
    <w:rsid w:val="00D7219B"/>
    <w:rsid w:val="00D7229B"/>
    <w:rsid w:val="00D7283C"/>
    <w:rsid w:val="00D7316E"/>
    <w:rsid w:val="00D73386"/>
    <w:rsid w:val="00D7384B"/>
    <w:rsid w:val="00D74379"/>
    <w:rsid w:val="00D74A9E"/>
    <w:rsid w:val="00D75559"/>
    <w:rsid w:val="00D757AB"/>
    <w:rsid w:val="00D758CC"/>
    <w:rsid w:val="00D75C44"/>
    <w:rsid w:val="00D764B2"/>
    <w:rsid w:val="00D77B23"/>
    <w:rsid w:val="00D80F51"/>
    <w:rsid w:val="00D81747"/>
    <w:rsid w:val="00D81E0F"/>
    <w:rsid w:val="00D821CB"/>
    <w:rsid w:val="00D82D02"/>
    <w:rsid w:val="00D83395"/>
    <w:rsid w:val="00D8404F"/>
    <w:rsid w:val="00D8457E"/>
    <w:rsid w:val="00D84DDB"/>
    <w:rsid w:val="00D85D09"/>
    <w:rsid w:val="00D866FF"/>
    <w:rsid w:val="00D901EA"/>
    <w:rsid w:val="00D905FC"/>
    <w:rsid w:val="00D92B30"/>
    <w:rsid w:val="00D92ED4"/>
    <w:rsid w:val="00D93706"/>
    <w:rsid w:val="00D93FAF"/>
    <w:rsid w:val="00D945A3"/>
    <w:rsid w:val="00D94A3E"/>
    <w:rsid w:val="00D955DB"/>
    <w:rsid w:val="00D95C21"/>
    <w:rsid w:val="00D96266"/>
    <w:rsid w:val="00D96E90"/>
    <w:rsid w:val="00D96EB3"/>
    <w:rsid w:val="00D97046"/>
    <w:rsid w:val="00D97A31"/>
    <w:rsid w:val="00DA0EDA"/>
    <w:rsid w:val="00DA2743"/>
    <w:rsid w:val="00DA2C40"/>
    <w:rsid w:val="00DA30F7"/>
    <w:rsid w:val="00DA345D"/>
    <w:rsid w:val="00DA377F"/>
    <w:rsid w:val="00DA3B3F"/>
    <w:rsid w:val="00DA3CF2"/>
    <w:rsid w:val="00DA43D3"/>
    <w:rsid w:val="00DA51B6"/>
    <w:rsid w:val="00DA5640"/>
    <w:rsid w:val="00DA57AF"/>
    <w:rsid w:val="00DA5D47"/>
    <w:rsid w:val="00DA7F13"/>
    <w:rsid w:val="00DA7FB4"/>
    <w:rsid w:val="00DB01F2"/>
    <w:rsid w:val="00DB145D"/>
    <w:rsid w:val="00DB1D8B"/>
    <w:rsid w:val="00DB1F07"/>
    <w:rsid w:val="00DB47B3"/>
    <w:rsid w:val="00DB5D9D"/>
    <w:rsid w:val="00DB5E59"/>
    <w:rsid w:val="00DB772B"/>
    <w:rsid w:val="00DB7B6B"/>
    <w:rsid w:val="00DB7D99"/>
    <w:rsid w:val="00DB7DD4"/>
    <w:rsid w:val="00DC076B"/>
    <w:rsid w:val="00DC0AEB"/>
    <w:rsid w:val="00DC0F91"/>
    <w:rsid w:val="00DC1FAD"/>
    <w:rsid w:val="00DC282E"/>
    <w:rsid w:val="00DC3CAF"/>
    <w:rsid w:val="00DC40E1"/>
    <w:rsid w:val="00DC55CA"/>
    <w:rsid w:val="00DC5CE8"/>
    <w:rsid w:val="00DC63D9"/>
    <w:rsid w:val="00DC6E43"/>
    <w:rsid w:val="00DD07B8"/>
    <w:rsid w:val="00DD0955"/>
    <w:rsid w:val="00DD0CF1"/>
    <w:rsid w:val="00DD0EB7"/>
    <w:rsid w:val="00DD18E3"/>
    <w:rsid w:val="00DD300D"/>
    <w:rsid w:val="00DD3429"/>
    <w:rsid w:val="00DD3998"/>
    <w:rsid w:val="00DD4931"/>
    <w:rsid w:val="00DD5339"/>
    <w:rsid w:val="00DD5629"/>
    <w:rsid w:val="00DD5998"/>
    <w:rsid w:val="00DD5F09"/>
    <w:rsid w:val="00DD6047"/>
    <w:rsid w:val="00DD66A6"/>
    <w:rsid w:val="00DD6A13"/>
    <w:rsid w:val="00DD7098"/>
    <w:rsid w:val="00DE068D"/>
    <w:rsid w:val="00DE09D6"/>
    <w:rsid w:val="00DE16E2"/>
    <w:rsid w:val="00DE266E"/>
    <w:rsid w:val="00DE277A"/>
    <w:rsid w:val="00DE27EC"/>
    <w:rsid w:val="00DE2BF5"/>
    <w:rsid w:val="00DE3353"/>
    <w:rsid w:val="00DE44AA"/>
    <w:rsid w:val="00DE61EB"/>
    <w:rsid w:val="00DE6300"/>
    <w:rsid w:val="00DE63F6"/>
    <w:rsid w:val="00DE6F10"/>
    <w:rsid w:val="00DE7D59"/>
    <w:rsid w:val="00DF02DC"/>
    <w:rsid w:val="00DF0835"/>
    <w:rsid w:val="00DF12F8"/>
    <w:rsid w:val="00DF1346"/>
    <w:rsid w:val="00DF14E9"/>
    <w:rsid w:val="00DF203D"/>
    <w:rsid w:val="00DF29ED"/>
    <w:rsid w:val="00DF3162"/>
    <w:rsid w:val="00DF3490"/>
    <w:rsid w:val="00DF370C"/>
    <w:rsid w:val="00DF46DD"/>
    <w:rsid w:val="00DF4A5C"/>
    <w:rsid w:val="00DF4CAF"/>
    <w:rsid w:val="00DF4DB9"/>
    <w:rsid w:val="00DF61EC"/>
    <w:rsid w:val="00DF6DDB"/>
    <w:rsid w:val="00DF7055"/>
    <w:rsid w:val="00DF7387"/>
    <w:rsid w:val="00DF795C"/>
    <w:rsid w:val="00E0051F"/>
    <w:rsid w:val="00E00C3E"/>
    <w:rsid w:val="00E00E9E"/>
    <w:rsid w:val="00E00F4C"/>
    <w:rsid w:val="00E01EDC"/>
    <w:rsid w:val="00E02F95"/>
    <w:rsid w:val="00E032A9"/>
    <w:rsid w:val="00E03E62"/>
    <w:rsid w:val="00E04180"/>
    <w:rsid w:val="00E0421F"/>
    <w:rsid w:val="00E0439F"/>
    <w:rsid w:val="00E04974"/>
    <w:rsid w:val="00E063D9"/>
    <w:rsid w:val="00E066C6"/>
    <w:rsid w:val="00E06932"/>
    <w:rsid w:val="00E06F7A"/>
    <w:rsid w:val="00E07BCD"/>
    <w:rsid w:val="00E10751"/>
    <w:rsid w:val="00E10CF6"/>
    <w:rsid w:val="00E11060"/>
    <w:rsid w:val="00E11A38"/>
    <w:rsid w:val="00E11F66"/>
    <w:rsid w:val="00E12132"/>
    <w:rsid w:val="00E12575"/>
    <w:rsid w:val="00E129D2"/>
    <w:rsid w:val="00E14915"/>
    <w:rsid w:val="00E152F7"/>
    <w:rsid w:val="00E15B59"/>
    <w:rsid w:val="00E15C8E"/>
    <w:rsid w:val="00E15D8C"/>
    <w:rsid w:val="00E1686D"/>
    <w:rsid w:val="00E169C2"/>
    <w:rsid w:val="00E20014"/>
    <w:rsid w:val="00E20938"/>
    <w:rsid w:val="00E213A6"/>
    <w:rsid w:val="00E21FC5"/>
    <w:rsid w:val="00E22764"/>
    <w:rsid w:val="00E23D6E"/>
    <w:rsid w:val="00E23E09"/>
    <w:rsid w:val="00E23E79"/>
    <w:rsid w:val="00E24744"/>
    <w:rsid w:val="00E24D4F"/>
    <w:rsid w:val="00E24EC2"/>
    <w:rsid w:val="00E26072"/>
    <w:rsid w:val="00E2620B"/>
    <w:rsid w:val="00E26288"/>
    <w:rsid w:val="00E26306"/>
    <w:rsid w:val="00E26453"/>
    <w:rsid w:val="00E27309"/>
    <w:rsid w:val="00E277E1"/>
    <w:rsid w:val="00E27E48"/>
    <w:rsid w:val="00E303B0"/>
    <w:rsid w:val="00E30658"/>
    <w:rsid w:val="00E30884"/>
    <w:rsid w:val="00E313F1"/>
    <w:rsid w:val="00E31D9B"/>
    <w:rsid w:val="00E31F3A"/>
    <w:rsid w:val="00E33C8A"/>
    <w:rsid w:val="00E33FB8"/>
    <w:rsid w:val="00E341D8"/>
    <w:rsid w:val="00E341F8"/>
    <w:rsid w:val="00E346BD"/>
    <w:rsid w:val="00E35D69"/>
    <w:rsid w:val="00E3691F"/>
    <w:rsid w:val="00E36D5E"/>
    <w:rsid w:val="00E37007"/>
    <w:rsid w:val="00E40DB8"/>
    <w:rsid w:val="00E412B3"/>
    <w:rsid w:val="00E41F04"/>
    <w:rsid w:val="00E42918"/>
    <w:rsid w:val="00E429AF"/>
    <w:rsid w:val="00E42B53"/>
    <w:rsid w:val="00E42CE2"/>
    <w:rsid w:val="00E42F1C"/>
    <w:rsid w:val="00E434FD"/>
    <w:rsid w:val="00E436C8"/>
    <w:rsid w:val="00E45293"/>
    <w:rsid w:val="00E45AE9"/>
    <w:rsid w:val="00E45B0A"/>
    <w:rsid w:val="00E46FD7"/>
    <w:rsid w:val="00E47CE2"/>
    <w:rsid w:val="00E47F1F"/>
    <w:rsid w:val="00E50923"/>
    <w:rsid w:val="00E509F3"/>
    <w:rsid w:val="00E510B7"/>
    <w:rsid w:val="00E5191D"/>
    <w:rsid w:val="00E52720"/>
    <w:rsid w:val="00E53842"/>
    <w:rsid w:val="00E550E6"/>
    <w:rsid w:val="00E55412"/>
    <w:rsid w:val="00E556E5"/>
    <w:rsid w:val="00E55CA8"/>
    <w:rsid w:val="00E5642F"/>
    <w:rsid w:val="00E56561"/>
    <w:rsid w:val="00E566FE"/>
    <w:rsid w:val="00E56CD5"/>
    <w:rsid w:val="00E56D6C"/>
    <w:rsid w:val="00E56E43"/>
    <w:rsid w:val="00E57B86"/>
    <w:rsid w:val="00E61E00"/>
    <w:rsid w:val="00E62288"/>
    <w:rsid w:val="00E63253"/>
    <w:rsid w:val="00E6338C"/>
    <w:rsid w:val="00E64F47"/>
    <w:rsid w:val="00E65FEF"/>
    <w:rsid w:val="00E66827"/>
    <w:rsid w:val="00E67755"/>
    <w:rsid w:val="00E67FE0"/>
    <w:rsid w:val="00E70388"/>
    <w:rsid w:val="00E70902"/>
    <w:rsid w:val="00E71B6B"/>
    <w:rsid w:val="00E71DC3"/>
    <w:rsid w:val="00E71FDE"/>
    <w:rsid w:val="00E721EA"/>
    <w:rsid w:val="00E72EB7"/>
    <w:rsid w:val="00E7318C"/>
    <w:rsid w:val="00E73CAC"/>
    <w:rsid w:val="00E74629"/>
    <w:rsid w:val="00E75580"/>
    <w:rsid w:val="00E755EF"/>
    <w:rsid w:val="00E75655"/>
    <w:rsid w:val="00E7595B"/>
    <w:rsid w:val="00E75D1C"/>
    <w:rsid w:val="00E75FDE"/>
    <w:rsid w:val="00E76AAF"/>
    <w:rsid w:val="00E77269"/>
    <w:rsid w:val="00E77C86"/>
    <w:rsid w:val="00E80099"/>
    <w:rsid w:val="00E80152"/>
    <w:rsid w:val="00E80DCC"/>
    <w:rsid w:val="00E8191C"/>
    <w:rsid w:val="00E82871"/>
    <w:rsid w:val="00E82A1A"/>
    <w:rsid w:val="00E82D13"/>
    <w:rsid w:val="00E84662"/>
    <w:rsid w:val="00E85152"/>
    <w:rsid w:val="00E860E1"/>
    <w:rsid w:val="00E86C26"/>
    <w:rsid w:val="00E86C55"/>
    <w:rsid w:val="00E87468"/>
    <w:rsid w:val="00E8774C"/>
    <w:rsid w:val="00E87E3E"/>
    <w:rsid w:val="00E90B57"/>
    <w:rsid w:val="00E90EE9"/>
    <w:rsid w:val="00E917A6"/>
    <w:rsid w:val="00E92057"/>
    <w:rsid w:val="00E9212A"/>
    <w:rsid w:val="00E921DD"/>
    <w:rsid w:val="00E92392"/>
    <w:rsid w:val="00E94798"/>
    <w:rsid w:val="00E94B1D"/>
    <w:rsid w:val="00E951DF"/>
    <w:rsid w:val="00E95C06"/>
    <w:rsid w:val="00E96025"/>
    <w:rsid w:val="00E9671F"/>
    <w:rsid w:val="00E97342"/>
    <w:rsid w:val="00E9734D"/>
    <w:rsid w:val="00E97459"/>
    <w:rsid w:val="00E97C44"/>
    <w:rsid w:val="00E97D31"/>
    <w:rsid w:val="00EA16B1"/>
    <w:rsid w:val="00EA19A0"/>
    <w:rsid w:val="00EA1A48"/>
    <w:rsid w:val="00EA25DC"/>
    <w:rsid w:val="00EA2765"/>
    <w:rsid w:val="00EA301D"/>
    <w:rsid w:val="00EA336E"/>
    <w:rsid w:val="00EA3811"/>
    <w:rsid w:val="00EA3B7E"/>
    <w:rsid w:val="00EA458C"/>
    <w:rsid w:val="00EA5921"/>
    <w:rsid w:val="00EA5BA8"/>
    <w:rsid w:val="00EA5D47"/>
    <w:rsid w:val="00EA6002"/>
    <w:rsid w:val="00EA7140"/>
    <w:rsid w:val="00EA7A4C"/>
    <w:rsid w:val="00EB0537"/>
    <w:rsid w:val="00EB1B78"/>
    <w:rsid w:val="00EB227E"/>
    <w:rsid w:val="00EB2839"/>
    <w:rsid w:val="00EB37D1"/>
    <w:rsid w:val="00EB62DC"/>
    <w:rsid w:val="00EB6337"/>
    <w:rsid w:val="00EB657E"/>
    <w:rsid w:val="00EB690F"/>
    <w:rsid w:val="00EB6FFD"/>
    <w:rsid w:val="00EB705F"/>
    <w:rsid w:val="00EB7A20"/>
    <w:rsid w:val="00EC04CE"/>
    <w:rsid w:val="00EC1665"/>
    <w:rsid w:val="00EC2AB1"/>
    <w:rsid w:val="00EC383A"/>
    <w:rsid w:val="00EC3A1E"/>
    <w:rsid w:val="00EC4349"/>
    <w:rsid w:val="00EC4446"/>
    <w:rsid w:val="00EC5354"/>
    <w:rsid w:val="00EC557C"/>
    <w:rsid w:val="00EC5A17"/>
    <w:rsid w:val="00EC6CD4"/>
    <w:rsid w:val="00EC6E2E"/>
    <w:rsid w:val="00EC7183"/>
    <w:rsid w:val="00EC7635"/>
    <w:rsid w:val="00EC784F"/>
    <w:rsid w:val="00EC7C53"/>
    <w:rsid w:val="00ED06A4"/>
    <w:rsid w:val="00ED0AC1"/>
    <w:rsid w:val="00ED0AE5"/>
    <w:rsid w:val="00ED1A5A"/>
    <w:rsid w:val="00ED1EEC"/>
    <w:rsid w:val="00ED222C"/>
    <w:rsid w:val="00ED25B4"/>
    <w:rsid w:val="00ED2D6E"/>
    <w:rsid w:val="00ED33F1"/>
    <w:rsid w:val="00ED36DF"/>
    <w:rsid w:val="00ED3C4B"/>
    <w:rsid w:val="00ED5432"/>
    <w:rsid w:val="00ED62BD"/>
    <w:rsid w:val="00ED63FF"/>
    <w:rsid w:val="00ED65C6"/>
    <w:rsid w:val="00ED69E0"/>
    <w:rsid w:val="00ED69E8"/>
    <w:rsid w:val="00ED6AE2"/>
    <w:rsid w:val="00ED75E0"/>
    <w:rsid w:val="00EE000D"/>
    <w:rsid w:val="00EE1C00"/>
    <w:rsid w:val="00EE300E"/>
    <w:rsid w:val="00EE337B"/>
    <w:rsid w:val="00EE349B"/>
    <w:rsid w:val="00EE3A7B"/>
    <w:rsid w:val="00EE4046"/>
    <w:rsid w:val="00EE5214"/>
    <w:rsid w:val="00EE5460"/>
    <w:rsid w:val="00EE5783"/>
    <w:rsid w:val="00EE5B06"/>
    <w:rsid w:val="00EE6430"/>
    <w:rsid w:val="00EE696A"/>
    <w:rsid w:val="00EE731F"/>
    <w:rsid w:val="00EE769F"/>
    <w:rsid w:val="00EF0828"/>
    <w:rsid w:val="00EF2E3E"/>
    <w:rsid w:val="00EF336C"/>
    <w:rsid w:val="00EF52C1"/>
    <w:rsid w:val="00EF5932"/>
    <w:rsid w:val="00EF5B30"/>
    <w:rsid w:val="00EF5F96"/>
    <w:rsid w:val="00EF62E9"/>
    <w:rsid w:val="00EF74BF"/>
    <w:rsid w:val="00EF7B9E"/>
    <w:rsid w:val="00EF7C96"/>
    <w:rsid w:val="00F0063B"/>
    <w:rsid w:val="00F016C0"/>
    <w:rsid w:val="00F01BE4"/>
    <w:rsid w:val="00F023BC"/>
    <w:rsid w:val="00F024D6"/>
    <w:rsid w:val="00F02957"/>
    <w:rsid w:val="00F03676"/>
    <w:rsid w:val="00F03863"/>
    <w:rsid w:val="00F03E35"/>
    <w:rsid w:val="00F04C67"/>
    <w:rsid w:val="00F04C7D"/>
    <w:rsid w:val="00F0522A"/>
    <w:rsid w:val="00F0578F"/>
    <w:rsid w:val="00F05F29"/>
    <w:rsid w:val="00F072E8"/>
    <w:rsid w:val="00F074CF"/>
    <w:rsid w:val="00F07BBE"/>
    <w:rsid w:val="00F10224"/>
    <w:rsid w:val="00F106D3"/>
    <w:rsid w:val="00F10FE6"/>
    <w:rsid w:val="00F11366"/>
    <w:rsid w:val="00F1154F"/>
    <w:rsid w:val="00F11F77"/>
    <w:rsid w:val="00F12528"/>
    <w:rsid w:val="00F13120"/>
    <w:rsid w:val="00F133C9"/>
    <w:rsid w:val="00F14079"/>
    <w:rsid w:val="00F14AB5"/>
    <w:rsid w:val="00F15C8D"/>
    <w:rsid w:val="00F16783"/>
    <w:rsid w:val="00F16CBD"/>
    <w:rsid w:val="00F16E9A"/>
    <w:rsid w:val="00F1741A"/>
    <w:rsid w:val="00F17E64"/>
    <w:rsid w:val="00F21026"/>
    <w:rsid w:val="00F21560"/>
    <w:rsid w:val="00F225E5"/>
    <w:rsid w:val="00F2275D"/>
    <w:rsid w:val="00F22934"/>
    <w:rsid w:val="00F22BA8"/>
    <w:rsid w:val="00F23F72"/>
    <w:rsid w:val="00F240DD"/>
    <w:rsid w:val="00F24CB6"/>
    <w:rsid w:val="00F24CFF"/>
    <w:rsid w:val="00F24DC8"/>
    <w:rsid w:val="00F25539"/>
    <w:rsid w:val="00F25852"/>
    <w:rsid w:val="00F26BD6"/>
    <w:rsid w:val="00F26ED0"/>
    <w:rsid w:val="00F2731E"/>
    <w:rsid w:val="00F27DFB"/>
    <w:rsid w:val="00F30919"/>
    <w:rsid w:val="00F3132A"/>
    <w:rsid w:val="00F31A96"/>
    <w:rsid w:val="00F32392"/>
    <w:rsid w:val="00F32E3D"/>
    <w:rsid w:val="00F33CA6"/>
    <w:rsid w:val="00F341F0"/>
    <w:rsid w:val="00F342B6"/>
    <w:rsid w:val="00F34780"/>
    <w:rsid w:val="00F356F0"/>
    <w:rsid w:val="00F35E47"/>
    <w:rsid w:val="00F36BE3"/>
    <w:rsid w:val="00F3708F"/>
    <w:rsid w:val="00F37409"/>
    <w:rsid w:val="00F37D6D"/>
    <w:rsid w:val="00F40358"/>
    <w:rsid w:val="00F40497"/>
    <w:rsid w:val="00F40840"/>
    <w:rsid w:val="00F40AE2"/>
    <w:rsid w:val="00F40FA4"/>
    <w:rsid w:val="00F410F3"/>
    <w:rsid w:val="00F41C94"/>
    <w:rsid w:val="00F41E11"/>
    <w:rsid w:val="00F41E1B"/>
    <w:rsid w:val="00F4250E"/>
    <w:rsid w:val="00F4265D"/>
    <w:rsid w:val="00F4289D"/>
    <w:rsid w:val="00F4381F"/>
    <w:rsid w:val="00F43985"/>
    <w:rsid w:val="00F442E6"/>
    <w:rsid w:val="00F45001"/>
    <w:rsid w:val="00F464D1"/>
    <w:rsid w:val="00F47A44"/>
    <w:rsid w:val="00F47E73"/>
    <w:rsid w:val="00F51050"/>
    <w:rsid w:val="00F51744"/>
    <w:rsid w:val="00F51880"/>
    <w:rsid w:val="00F51A7B"/>
    <w:rsid w:val="00F51B30"/>
    <w:rsid w:val="00F532B1"/>
    <w:rsid w:val="00F53B88"/>
    <w:rsid w:val="00F54317"/>
    <w:rsid w:val="00F5480C"/>
    <w:rsid w:val="00F55446"/>
    <w:rsid w:val="00F555E5"/>
    <w:rsid w:val="00F55D04"/>
    <w:rsid w:val="00F562AD"/>
    <w:rsid w:val="00F57496"/>
    <w:rsid w:val="00F57FA8"/>
    <w:rsid w:val="00F60914"/>
    <w:rsid w:val="00F61193"/>
    <w:rsid w:val="00F620CE"/>
    <w:rsid w:val="00F621B2"/>
    <w:rsid w:val="00F62A7B"/>
    <w:rsid w:val="00F62D9D"/>
    <w:rsid w:val="00F63753"/>
    <w:rsid w:val="00F6383D"/>
    <w:rsid w:val="00F639EC"/>
    <w:rsid w:val="00F640BB"/>
    <w:rsid w:val="00F64A28"/>
    <w:rsid w:val="00F6610E"/>
    <w:rsid w:val="00F6613C"/>
    <w:rsid w:val="00F665DC"/>
    <w:rsid w:val="00F66A30"/>
    <w:rsid w:val="00F6707D"/>
    <w:rsid w:val="00F67685"/>
    <w:rsid w:val="00F6772C"/>
    <w:rsid w:val="00F67A37"/>
    <w:rsid w:val="00F67C7E"/>
    <w:rsid w:val="00F706FB"/>
    <w:rsid w:val="00F70955"/>
    <w:rsid w:val="00F70CAD"/>
    <w:rsid w:val="00F70CFA"/>
    <w:rsid w:val="00F72642"/>
    <w:rsid w:val="00F728A0"/>
    <w:rsid w:val="00F72B46"/>
    <w:rsid w:val="00F73386"/>
    <w:rsid w:val="00F73859"/>
    <w:rsid w:val="00F73B65"/>
    <w:rsid w:val="00F73BCC"/>
    <w:rsid w:val="00F73C97"/>
    <w:rsid w:val="00F747AB"/>
    <w:rsid w:val="00F754BA"/>
    <w:rsid w:val="00F7568C"/>
    <w:rsid w:val="00F75D39"/>
    <w:rsid w:val="00F77892"/>
    <w:rsid w:val="00F77F0D"/>
    <w:rsid w:val="00F80468"/>
    <w:rsid w:val="00F80EC7"/>
    <w:rsid w:val="00F80EF3"/>
    <w:rsid w:val="00F8162A"/>
    <w:rsid w:val="00F81AB6"/>
    <w:rsid w:val="00F8252E"/>
    <w:rsid w:val="00F8262F"/>
    <w:rsid w:val="00F8302A"/>
    <w:rsid w:val="00F845F0"/>
    <w:rsid w:val="00F84619"/>
    <w:rsid w:val="00F857D1"/>
    <w:rsid w:val="00F85E00"/>
    <w:rsid w:val="00F863E1"/>
    <w:rsid w:val="00F86590"/>
    <w:rsid w:val="00F8663C"/>
    <w:rsid w:val="00F8716A"/>
    <w:rsid w:val="00F90042"/>
    <w:rsid w:val="00F901FE"/>
    <w:rsid w:val="00F902A8"/>
    <w:rsid w:val="00F90B7D"/>
    <w:rsid w:val="00F910BC"/>
    <w:rsid w:val="00F912D2"/>
    <w:rsid w:val="00F9213A"/>
    <w:rsid w:val="00F924A3"/>
    <w:rsid w:val="00F928EA"/>
    <w:rsid w:val="00F933C8"/>
    <w:rsid w:val="00F93674"/>
    <w:rsid w:val="00F93CD0"/>
    <w:rsid w:val="00F9425A"/>
    <w:rsid w:val="00F942D7"/>
    <w:rsid w:val="00F95042"/>
    <w:rsid w:val="00F9617E"/>
    <w:rsid w:val="00F964C3"/>
    <w:rsid w:val="00F96F83"/>
    <w:rsid w:val="00F96FB8"/>
    <w:rsid w:val="00F97A30"/>
    <w:rsid w:val="00FA120C"/>
    <w:rsid w:val="00FA2DC7"/>
    <w:rsid w:val="00FA3193"/>
    <w:rsid w:val="00FA355B"/>
    <w:rsid w:val="00FA4ABC"/>
    <w:rsid w:val="00FA4C81"/>
    <w:rsid w:val="00FA54BD"/>
    <w:rsid w:val="00FA600B"/>
    <w:rsid w:val="00FA6461"/>
    <w:rsid w:val="00FA768A"/>
    <w:rsid w:val="00FA7D65"/>
    <w:rsid w:val="00FB0AFF"/>
    <w:rsid w:val="00FB105A"/>
    <w:rsid w:val="00FB1155"/>
    <w:rsid w:val="00FB1440"/>
    <w:rsid w:val="00FB1ADB"/>
    <w:rsid w:val="00FB4271"/>
    <w:rsid w:val="00FB4D90"/>
    <w:rsid w:val="00FB55DC"/>
    <w:rsid w:val="00FB5CAC"/>
    <w:rsid w:val="00FB5D77"/>
    <w:rsid w:val="00FB60B0"/>
    <w:rsid w:val="00FB657D"/>
    <w:rsid w:val="00FB679D"/>
    <w:rsid w:val="00FB714A"/>
    <w:rsid w:val="00FB7435"/>
    <w:rsid w:val="00FB7534"/>
    <w:rsid w:val="00FB79E5"/>
    <w:rsid w:val="00FC087E"/>
    <w:rsid w:val="00FC120D"/>
    <w:rsid w:val="00FC130A"/>
    <w:rsid w:val="00FC14AF"/>
    <w:rsid w:val="00FC18D3"/>
    <w:rsid w:val="00FC1BCD"/>
    <w:rsid w:val="00FC2748"/>
    <w:rsid w:val="00FC2932"/>
    <w:rsid w:val="00FC3721"/>
    <w:rsid w:val="00FC495F"/>
    <w:rsid w:val="00FC4BF8"/>
    <w:rsid w:val="00FC52F4"/>
    <w:rsid w:val="00FC5A12"/>
    <w:rsid w:val="00FC72D0"/>
    <w:rsid w:val="00FC7438"/>
    <w:rsid w:val="00FC78E4"/>
    <w:rsid w:val="00FD06E7"/>
    <w:rsid w:val="00FD0AF4"/>
    <w:rsid w:val="00FD0E9B"/>
    <w:rsid w:val="00FD1849"/>
    <w:rsid w:val="00FD24D8"/>
    <w:rsid w:val="00FD29C8"/>
    <w:rsid w:val="00FD2E86"/>
    <w:rsid w:val="00FD316C"/>
    <w:rsid w:val="00FD3ABA"/>
    <w:rsid w:val="00FD4454"/>
    <w:rsid w:val="00FD48C3"/>
    <w:rsid w:val="00FD51B5"/>
    <w:rsid w:val="00FD5430"/>
    <w:rsid w:val="00FD5613"/>
    <w:rsid w:val="00FD6173"/>
    <w:rsid w:val="00FD64A2"/>
    <w:rsid w:val="00FD65D0"/>
    <w:rsid w:val="00FD7FDF"/>
    <w:rsid w:val="00FE1118"/>
    <w:rsid w:val="00FE1B76"/>
    <w:rsid w:val="00FE2CE0"/>
    <w:rsid w:val="00FE2D83"/>
    <w:rsid w:val="00FE3B54"/>
    <w:rsid w:val="00FE3D16"/>
    <w:rsid w:val="00FE4672"/>
    <w:rsid w:val="00FE53E0"/>
    <w:rsid w:val="00FE547C"/>
    <w:rsid w:val="00FE5A74"/>
    <w:rsid w:val="00FE5C13"/>
    <w:rsid w:val="00FE5DDA"/>
    <w:rsid w:val="00FE6120"/>
    <w:rsid w:val="00FE6A9D"/>
    <w:rsid w:val="00FE6FB0"/>
    <w:rsid w:val="00FF035A"/>
    <w:rsid w:val="00FF163E"/>
    <w:rsid w:val="00FF1840"/>
    <w:rsid w:val="00FF1DC8"/>
    <w:rsid w:val="00FF217C"/>
    <w:rsid w:val="00FF2643"/>
    <w:rsid w:val="00FF2804"/>
    <w:rsid w:val="00FF30E2"/>
    <w:rsid w:val="00FF4147"/>
    <w:rsid w:val="00FF48BC"/>
    <w:rsid w:val="00FF654B"/>
    <w:rsid w:val="00FF6EC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343C2C"/>
  <w15:docId w15:val="{685616E7-90FB-40A4-8384-29203BE98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6">
    <w:lsdException w:name="Normal" w:locked="1" w:uiPriority="0" w:qFormat="1"/>
    <w:lsdException w:name="heading 1" w:locked="1" w:uiPriority="0"/>
    <w:lsdException w:name="heading 2" w:locked="1" w:uiPriority="0"/>
    <w:lsdException w:name="heading 3" w:locked="1" w:uiPriority="0"/>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D1C"/>
    <w:pPr>
      <w:spacing w:line="276" w:lineRule="auto"/>
      <w:jc w:val="both"/>
    </w:pPr>
    <w:rPr>
      <w:rFonts w:ascii="Calibri" w:hAnsi="Calibri"/>
      <w:sz w:val="24"/>
      <w:szCs w:val="22"/>
    </w:rPr>
  </w:style>
  <w:style w:type="paragraph" w:styleId="Heading1">
    <w:name w:val="heading 1"/>
    <w:basedOn w:val="Normal"/>
    <w:next w:val="Normal"/>
    <w:link w:val="Heading1Char"/>
    <w:autoRedefine/>
    <w:rsid w:val="0000036F"/>
    <w:pPr>
      <w:numPr>
        <w:numId w:val="6"/>
      </w:numPr>
      <w:tabs>
        <w:tab w:val="left" w:pos="709"/>
      </w:tabs>
      <w:spacing w:before="240" w:after="240"/>
      <w:ind w:hanging="720"/>
      <w:outlineLvl w:val="0"/>
    </w:pPr>
    <w:rPr>
      <w:b/>
      <w:bCs/>
      <w:kern w:val="32"/>
    </w:rPr>
  </w:style>
  <w:style w:type="paragraph" w:styleId="Heading2">
    <w:name w:val="heading 2"/>
    <w:basedOn w:val="Normal"/>
    <w:next w:val="Normal"/>
    <w:link w:val="Heading2Char"/>
    <w:rsid w:val="001C5787"/>
    <w:pPr>
      <w:keepNext/>
      <w:tabs>
        <w:tab w:val="left" w:pos="1418"/>
      </w:tabs>
      <w:spacing w:before="240" w:after="120"/>
      <w:outlineLvl w:val="1"/>
    </w:pPr>
    <w:rPr>
      <w:b/>
      <w:bCs/>
      <w:i/>
      <w:iCs/>
    </w:rPr>
  </w:style>
  <w:style w:type="paragraph" w:styleId="Heading3">
    <w:name w:val="heading 3"/>
    <w:basedOn w:val="Normal"/>
    <w:next w:val="Normal"/>
    <w:link w:val="Heading3Char"/>
    <w:rsid w:val="004D2587"/>
    <w:pPr>
      <w:keepNext/>
      <w:spacing w:before="240" w:after="60"/>
      <w:outlineLvl w:val="2"/>
    </w:pPr>
    <w:rPr>
      <w:rFonts w:ascii="Cambria" w:hAnsi="Cambria"/>
      <w:b/>
      <w:bCs/>
      <w:sz w:val="26"/>
      <w:szCs w:val="26"/>
    </w:rPr>
  </w:style>
  <w:style w:type="paragraph" w:styleId="Heading7">
    <w:name w:val="heading 7"/>
    <w:basedOn w:val="Normal"/>
    <w:next w:val="Normal"/>
    <w:link w:val="Heading7Char"/>
    <w:semiHidden/>
    <w:unhideWhenUsed/>
    <w:qFormat/>
    <w:locked/>
    <w:rsid w:val="008133AF"/>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9"/>
    <w:locked/>
    <w:rsid w:val="00386B31"/>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0036F"/>
    <w:rPr>
      <w:rFonts w:ascii="News Gothic Cyr" w:hAnsi="News Gothic Cyr"/>
      <w:b/>
      <w:bCs/>
      <w:kern w:val="32"/>
      <w:sz w:val="22"/>
      <w:szCs w:val="22"/>
    </w:rPr>
  </w:style>
  <w:style w:type="character" w:customStyle="1" w:styleId="Heading2Char">
    <w:name w:val="Heading 2 Char"/>
    <w:link w:val="Heading2"/>
    <w:uiPriority w:val="99"/>
    <w:locked/>
    <w:rsid w:val="001C5787"/>
    <w:rPr>
      <w:rFonts w:ascii="News Gothic Cyr" w:hAnsi="News Gothic Cyr"/>
      <w:b/>
      <w:bCs/>
      <w:i/>
      <w:iCs/>
      <w:sz w:val="22"/>
      <w:szCs w:val="24"/>
    </w:rPr>
  </w:style>
  <w:style w:type="character" w:customStyle="1" w:styleId="Heading3Char">
    <w:name w:val="Heading 3 Char"/>
    <w:link w:val="Heading3"/>
    <w:uiPriority w:val="99"/>
    <w:semiHidden/>
    <w:locked/>
    <w:rsid w:val="00346F4A"/>
    <w:rPr>
      <w:rFonts w:ascii="Cambria" w:hAnsi="Cambria"/>
      <w:b/>
      <w:sz w:val="26"/>
    </w:rPr>
  </w:style>
  <w:style w:type="character" w:customStyle="1" w:styleId="Heading9Char">
    <w:name w:val="Heading 9 Char"/>
    <w:link w:val="Heading9"/>
    <w:uiPriority w:val="99"/>
    <w:semiHidden/>
    <w:locked/>
    <w:rsid w:val="00386B31"/>
    <w:rPr>
      <w:rFonts w:ascii="Cambria" w:hAnsi="Cambria" w:cs="Times New Roman"/>
      <w:i/>
      <w:iCs/>
      <w:color w:val="404040"/>
    </w:rPr>
  </w:style>
  <w:style w:type="paragraph" w:styleId="BalloonText">
    <w:name w:val="Balloon Text"/>
    <w:basedOn w:val="Normal"/>
    <w:link w:val="BalloonTextChar"/>
    <w:uiPriority w:val="99"/>
    <w:semiHidden/>
    <w:rsid w:val="008B6322"/>
    <w:rPr>
      <w:rFonts w:ascii="Times New Roman" w:hAnsi="Times New Roman"/>
      <w:sz w:val="2"/>
      <w:szCs w:val="20"/>
    </w:rPr>
  </w:style>
  <w:style w:type="character" w:customStyle="1" w:styleId="BalloonTextChar">
    <w:name w:val="Balloon Text Char"/>
    <w:link w:val="BalloonText"/>
    <w:uiPriority w:val="99"/>
    <w:semiHidden/>
    <w:locked/>
    <w:rsid w:val="00346F4A"/>
    <w:rPr>
      <w:sz w:val="2"/>
    </w:rPr>
  </w:style>
  <w:style w:type="paragraph" w:customStyle="1" w:styleId="a">
    <w:name w:val="Текст в таблица"/>
    <w:basedOn w:val="Normal"/>
    <w:next w:val="Normal"/>
    <w:link w:val="Char"/>
    <w:rsid w:val="00800D61"/>
  </w:style>
  <w:style w:type="character" w:customStyle="1" w:styleId="Char">
    <w:name w:val="Текст в таблица Char"/>
    <w:link w:val="a"/>
    <w:uiPriority w:val="99"/>
    <w:locked/>
    <w:rsid w:val="00800D61"/>
    <w:rPr>
      <w:rFonts w:ascii="News Gothic Cyr" w:hAnsi="News Gothic Cyr"/>
      <w:sz w:val="24"/>
      <w:lang w:val="bg-BG" w:eastAsia="bg-BG"/>
    </w:rPr>
  </w:style>
  <w:style w:type="paragraph" w:customStyle="1" w:styleId="a0">
    <w:name w:val="Числа в таблица"/>
    <w:basedOn w:val="Normal"/>
    <w:rsid w:val="00800D61"/>
    <w:pPr>
      <w:jc w:val="right"/>
    </w:pPr>
    <w:rPr>
      <w:sz w:val="20"/>
    </w:rPr>
  </w:style>
  <w:style w:type="paragraph" w:styleId="FootnoteText">
    <w:name w:val="footnote text"/>
    <w:basedOn w:val="Normal"/>
    <w:link w:val="FootnoteTextChar"/>
    <w:uiPriority w:val="99"/>
    <w:semiHidden/>
    <w:rsid w:val="00782D5F"/>
    <w:rPr>
      <w:sz w:val="20"/>
      <w:szCs w:val="20"/>
    </w:rPr>
  </w:style>
  <w:style w:type="character" w:customStyle="1" w:styleId="FootnoteTextChar">
    <w:name w:val="Footnote Text Char"/>
    <w:link w:val="FootnoteText"/>
    <w:uiPriority w:val="99"/>
    <w:semiHidden/>
    <w:locked/>
    <w:rsid w:val="00346F4A"/>
    <w:rPr>
      <w:rFonts w:ascii="News Gothic Cyr" w:hAnsi="News Gothic Cyr"/>
      <w:sz w:val="20"/>
    </w:rPr>
  </w:style>
  <w:style w:type="character" w:styleId="FootnoteReference">
    <w:name w:val="footnote reference"/>
    <w:uiPriority w:val="99"/>
    <w:semiHidden/>
    <w:rsid w:val="00782D5F"/>
    <w:rPr>
      <w:rFonts w:cs="Times New Roman"/>
      <w:vertAlign w:val="superscript"/>
    </w:rPr>
  </w:style>
  <w:style w:type="character" w:styleId="PageNumber">
    <w:name w:val="page number"/>
    <w:uiPriority w:val="99"/>
    <w:rsid w:val="00673556"/>
    <w:rPr>
      <w:rFonts w:cs="Times New Roman"/>
    </w:rPr>
  </w:style>
  <w:style w:type="paragraph" w:styleId="TOC1">
    <w:name w:val="toc 1"/>
    <w:basedOn w:val="Normal"/>
    <w:next w:val="Normal"/>
    <w:autoRedefine/>
    <w:uiPriority w:val="39"/>
    <w:rsid w:val="00724467"/>
    <w:pPr>
      <w:tabs>
        <w:tab w:val="left" w:pos="480"/>
        <w:tab w:val="right" w:leader="dot" w:pos="9346"/>
      </w:tabs>
      <w:jc w:val="left"/>
    </w:pPr>
  </w:style>
  <w:style w:type="paragraph" w:styleId="TOC2">
    <w:name w:val="toc 2"/>
    <w:basedOn w:val="Normal"/>
    <w:next w:val="Normal"/>
    <w:autoRedefine/>
    <w:uiPriority w:val="39"/>
    <w:rsid w:val="00CC4F32"/>
    <w:pPr>
      <w:ind w:left="240"/>
    </w:pPr>
  </w:style>
  <w:style w:type="paragraph" w:styleId="TOC3">
    <w:name w:val="toc 3"/>
    <w:basedOn w:val="Normal"/>
    <w:next w:val="Normal"/>
    <w:autoRedefine/>
    <w:uiPriority w:val="39"/>
    <w:rsid w:val="00CC4F32"/>
    <w:pPr>
      <w:ind w:left="480"/>
    </w:pPr>
  </w:style>
  <w:style w:type="character" w:styleId="Hyperlink">
    <w:name w:val="Hyperlink"/>
    <w:uiPriority w:val="99"/>
    <w:rsid w:val="00CC4F32"/>
    <w:rPr>
      <w:rFonts w:cs="Times New Roman"/>
      <w:color w:val="0000FF"/>
      <w:u w:val="single"/>
    </w:rPr>
  </w:style>
  <w:style w:type="paragraph" w:customStyle="1" w:styleId="Bullets">
    <w:name w:val="Bullets"/>
    <w:basedOn w:val="Normal"/>
    <w:uiPriority w:val="99"/>
    <w:rsid w:val="00403035"/>
    <w:pPr>
      <w:numPr>
        <w:numId w:val="1"/>
      </w:numPr>
      <w:tabs>
        <w:tab w:val="left" w:pos="360"/>
      </w:tabs>
      <w:ind w:left="0" w:firstLine="0"/>
    </w:pPr>
  </w:style>
  <w:style w:type="paragraph" w:styleId="NormalWeb">
    <w:name w:val="Normal (Web)"/>
    <w:basedOn w:val="Normal"/>
    <w:uiPriority w:val="99"/>
    <w:rsid w:val="002727BD"/>
    <w:pPr>
      <w:spacing w:before="100" w:beforeAutospacing="1" w:after="100" w:afterAutospacing="1"/>
    </w:pPr>
  </w:style>
  <w:style w:type="paragraph" w:customStyle="1" w:styleId="Number">
    <w:name w:val="Number"/>
    <w:basedOn w:val="Normal"/>
    <w:uiPriority w:val="99"/>
    <w:rsid w:val="00F40FA4"/>
    <w:pPr>
      <w:ind w:firstLine="720"/>
    </w:pPr>
    <w:rPr>
      <w:rFonts w:ascii="Verdana" w:hAnsi="Verdana"/>
      <w:b/>
      <w:bCs/>
      <w:sz w:val="20"/>
      <w:szCs w:val="20"/>
    </w:rPr>
  </w:style>
  <w:style w:type="paragraph" w:customStyle="1" w:styleId="a1">
    <w:name w:val="Заглавие на таблица"/>
    <w:basedOn w:val="Normal"/>
    <w:uiPriority w:val="99"/>
    <w:rsid w:val="00157448"/>
    <w:pPr>
      <w:jc w:val="center"/>
    </w:pPr>
    <w:rPr>
      <w:b/>
    </w:rPr>
  </w:style>
  <w:style w:type="paragraph" w:styleId="BodyTextIndent2">
    <w:name w:val="Body Text Indent 2"/>
    <w:basedOn w:val="Normal"/>
    <w:link w:val="BodyTextIndent2Char"/>
    <w:uiPriority w:val="99"/>
    <w:rsid w:val="003D6459"/>
    <w:pPr>
      <w:ind w:left="360"/>
    </w:pPr>
  </w:style>
  <w:style w:type="character" w:customStyle="1" w:styleId="BodyTextIndent2Char">
    <w:name w:val="Body Text Indent 2 Char"/>
    <w:link w:val="BodyTextIndent2"/>
    <w:uiPriority w:val="99"/>
    <w:semiHidden/>
    <w:locked/>
    <w:rsid w:val="00346F4A"/>
    <w:rPr>
      <w:rFonts w:ascii="News Gothic Cyr" w:hAnsi="News Gothic Cyr"/>
      <w:sz w:val="24"/>
    </w:rPr>
  </w:style>
  <w:style w:type="paragraph" w:styleId="BodyTextIndent">
    <w:name w:val="Body Text Indent"/>
    <w:basedOn w:val="Normal"/>
    <w:link w:val="BodyTextIndentChar"/>
    <w:uiPriority w:val="99"/>
    <w:rsid w:val="003D6459"/>
  </w:style>
  <w:style w:type="character" w:customStyle="1" w:styleId="BodyTextIndentChar">
    <w:name w:val="Body Text Indent Char"/>
    <w:link w:val="BodyTextIndent"/>
    <w:uiPriority w:val="99"/>
    <w:semiHidden/>
    <w:locked/>
    <w:rsid w:val="00346F4A"/>
    <w:rPr>
      <w:rFonts w:ascii="News Gothic Cyr" w:hAnsi="News Gothic Cyr"/>
      <w:sz w:val="24"/>
    </w:rPr>
  </w:style>
  <w:style w:type="paragraph" w:styleId="BodyText">
    <w:name w:val="Body Text"/>
    <w:basedOn w:val="Normal"/>
    <w:link w:val="BodyTextChar"/>
    <w:uiPriority w:val="99"/>
    <w:rsid w:val="003D6459"/>
  </w:style>
  <w:style w:type="character" w:customStyle="1" w:styleId="BodyTextChar">
    <w:name w:val="Body Text Char"/>
    <w:link w:val="BodyText"/>
    <w:uiPriority w:val="99"/>
    <w:semiHidden/>
    <w:locked/>
    <w:rsid w:val="00346F4A"/>
    <w:rPr>
      <w:rFonts w:ascii="News Gothic Cyr" w:hAnsi="News Gothic Cyr"/>
      <w:sz w:val="24"/>
    </w:rPr>
  </w:style>
  <w:style w:type="paragraph" w:customStyle="1" w:styleId="CharChar">
    <w:name w:val="Char Char"/>
    <w:basedOn w:val="Normal"/>
    <w:uiPriority w:val="99"/>
    <w:rsid w:val="00B05ECD"/>
    <w:pPr>
      <w:tabs>
        <w:tab w:val="num" w:pos="360"/>
      </w:tabs>
    </w:pPr>
    <w:rPr>
      <w:rFonts w:ascii="Arial" w:eastAsia="SimSun" w:hAnsi="Arial" w:cs="Arial"/>
      <w:kern w:val="2"/>
      <w:sz w:val="20"/>
      <w:lang w:val="en-US" w:eastAsia="zh-CN"/>
    </w:rPr>
  </w:style>
  <w:style w:type="paragraph" w:customStyle="1" w:styleId="a2">
    <w:name w:val="Етикет на таблица"/>
    <w:basedOn w:val="Normal"/>
    <w:uiPriority w:val="99"/>
    <w:rsid w:val="00AD7708"/>
    <w:pPr>
      <w:jc w:val="center"/>
    </w:pPr>
    <w:rPr>
      <w:i/>
      <w:sz w:val="20"/>
    </w:rPr>
  </w:style>
  <w:style w:type="paragraph" w:customStyle="1" w:styleId="StyleCentered">
    <w:name w:val="Style Текст в таблица + Centered"/>
    <w:basedOn w:val="a"/>
    <w:uiPriority w:val="99"/>
    <w:rsid w:val="00204996"/>
    <w:pPr>
      <w:jc w:val="center"/>
    </w:pPr>
    <w:rPr>
      <w:szCs w:val="20"/>
    </w:rPr>
  </w:style>
  <w:style w:type="paragraph" w:customStyle="1" w:styleId="CharCharCharCharCharCharCharCharChar">
    <w:name w:val="Char Char Char Char Char Char Char Char Char"/>
    <w:basedOn w:val="Normal"/>
    <w:uiPriority w:val="99"/>
    <w:rsid w:val="00541089"/>
    <w:pPr>
      <w:tabs>
        <w:tab w:val="num" w:pos="360"/>
      </w:tabs>
    </w:pPr>
    <w:rPr>
      <w:rFonts w:ascii="Arial" w:eastAsia="SimSun" w:hAnsi="Arial" w:cs="Arial"/>
      <w:kern w:val="2"/>
      <w:sz w:val="20"/>
      <w:lang w:val="en-US" w:eastAsia="zh-CN"/>
    </w:rPr>
  </w:style>
  <w:style w:type="table" w:styleId="TableGrid">
    <w:name w:val="Table Grid"/>
    <w:basedOn w:val="TableNormal"/>
    <w:uiPriority w:val="59"/>
    <w:rsid w:val="0054108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A579B"/>
    <w:pPr>
      <w:tabs>
        <w:tab w:val="center" w:pos="4536"/>
        <w:tab w:val="right" w:pos="9072"/>
      </w:tabs>
    </w:pPr>
  </w:style>
  <w:style w:type="character" w:customStyle="1" w:styleId="HeaderChar">
    <w:name w:val="Header Char"/>
    <w:link w:val="Header"/>
    <w:uiPriority w:val="99"/>
    <w:semiHidden/>
    <w:locked/>
    <w:rsid w:val="00346F4A"/>
    <w:rPr>
      <w:rFonts w:ascii="News Gothic Cyr" w:hAnsi="News Gothic Cyr"/>
      <w:sz w:val="24"/>
    </w:rPr>
  </w:style>
  <w:style w:type="paragraph" w:styleId="Footer">
    <w:name w:val="footer"/>
    <w:basedOn w:val="Normal"/>
    <w:link w:val="FooterChar"/>
    <w:uiPriority w:val="99"/>
    <w:rsid w:val="000A579B"/>
    <w:pPr>
      <w:tabs>
        <w:tab w:val="center" w:pos="4536"/>
        <w:tab w:val="right" w:pos="9072"/>
      </w:tabs>
    </w:pPr>
  </w:style>
  <w:style w:type="character" w:customStyle="1" w:styleId="FooterChar">
    <w:name w:val="Footer Char"/>
    <w:link w:val="Footer"/>
    <w:uiPriority w:val="99"/>
    <w:semiHidden/>
    <w:locked/>
    <w:rsid w:val="00346F4A"/>
    <w:rPr>
      <w:rFonts w:ascii="News Gothic Cyr" w:hAnsi="News Gothic Cyr"/>
      <w:sz w:val="24"/>
    </w:rPr>
  </w:style>
  <w:style w:type="paragraph" w:customStyle="1" w:styleId="CharChar1">
    <w:name w:val="Char Char1"/>
    <w:basedOn w:val="Normal"/>
    <w:uiPriority w:val="99"/>
    <w:rsid w:val="00B176ED"/>
    <w:pPr>
      <w:tabs>
        <w:tab w:val="num" w:pos="360"/>
      </w:tabs>
    </w:pPr>
    <w:rPr>
      <w:rFonts w:ascii="Arial" w:eastAsia="SimSun" w:hAnsi="Arial" w:cs="Arial"/>
      <w:kern w:val="2"/>
      <w:sz w:val="20"/>
      <w:lang w:val="en-US" w:eastAsia="zh-CN"/>
    </w:rPr>
  </w:style>
  <w:style w:type="paragraph" w:customStyle="1" w:styleId="ListParagraph1">
    <w:name w:val="List Paragraph1"/>
    <w:basedOn w:val="Normal"/>
    <w:uiPriority w:val="99"/>
    <w:rsid w:val="00067AF2"/>
    <w:pPr>
      <w:ind w:left="720" w:firstLine="360"/>
    </w:pPr>
  </w:style>
  <w:style w:type="paragraph" w:styleId="TOCHeading">
    <w:name w:val="TOC Heading"/>
    <w:basedOn w:val="Heading1"/>
    <w:next w:val="Normal"/>
    <w:uiPriority w:val="39"/>
    <w:rsid w:val="00C0372F"/>
    <w:pPr>
      <w:keepLines/>
      <w:numPr>
        <w:numId w:val="0"/>
      </w:numPr>
      <w:spacing w:before="480"/>
      <w:jc w:val="left"/>
      <w:outlineLvl w:val="9"/>
    </w:pPr>
    <w:rPr>
      <w:rFonts w:ascii="Cambria" w:hAnsi="Cambria"/>
      <w:color w:val="365F91"/>
      <w:kern w:val="0"/>
      <w:sz w:val="28"/>
      <w:szCs w:val="28"/>
      <w:lang w:val="en-US" w:eastAsia="en-US"/>
    </w:rPr>
  </w:style>
  <w:style w:type="character" w:customStyle="1" w:styleId="StyleNormal">
    <w:name w:val="Style Normal +"/>
    <w:uiPriority w:val="99"/>
    <w:rsid w:val="00843499"/>
    <w:rPr>
      <w:rFonts w:ascii="Times New Roman" w:hAnsi="Times New Roman"/>
      <w:sz w:val="22"/>
    </w:rPr>
  </w:style>
  <w:style w:type="paragraph" w:styleId="ListParagraph">
    <w:name w:val="List Paragraph"/>
    <w:basedOn w:val="Normal"/>
    <w:link w:val="ListParagraphChar"/>
    <w:uiPriority w:val="99"/>
    <w:qFormat/>
    <w:rsid w:val="003D7EEE"/>
    <w:pPr>
      <w:ind w:left="720" w:firstLine="360"/>
    </w:pPr>
    <w:rPr>
      <w:rFonts w:cs="News Gothic Cyr"/>
      <w:lang w:val="en-US" w:eastAsia="en-US"/>
    </w:rPr>
  </w:style>
  <w:style w:type="character" w:styleId="IntenseEmphasis">
    <w:name w:val="Intense Emphasis"/>
    <w:uiPriority w:val="99"/>
    <w:rsid w:val="006B1A1A"/>
    <w:rPr>
      <w:b/>
      <w:i/>
      <w:color w:val="4F81BD"/>
      <w:sz w:val="22"/>
    </w:rPr>
  </w:style>
  <w:style w:type="character" w:styleId="CommentReference">
    <w:name w:val="annotation reference"/>
    <w:uiPriority w:val="99"/>
    <w:semiHidden/>
    <w:rsid w:val="004F5560"/>
    <w:rPr>
      <w:rFonts w:cs="Times New Roman"/>
      <w:sz w:val="16"/>
    </w:rPr>
  </w:style>
  <w:style w:type="paragraph" w:styleId="CommentText">
    <w:name w:val="annotation text"/>
    <w:basedOn w:val="Normal"/>
    <w:link w:val="CommentTextChar"/>
    <w:uiPriority w:val="99"/>
    <w:semiHidden/>
    <w:rsid w:val="004F5560"/>
    <w:rPr>
      <w:sz w:val="20"/>
      <w:szCs w:val="20"/>
    </w:rPr>
  </w:style>
  <w:style w:type="character" w:customStyle="1" w:styleId="CommentTextChar">
    <w:name w:val="Comment Text Char"/>
    <w:link w:val="CommentText"/>
    <w:uiPriority w:val="99"/>
    <w:semiHidden/>
    <w:locked/>
    <w:rsid w:val="00346F4A"/>
    <w:rPr>
      <w:rFonts w:ascii="News Gothic Cyr" w:hAnsi="News Gothic Cyr"/>
      <w:sz w:val="20"/>
    </w:rPr>
  </w:style>
  <w:style w:type="paragraph" w:styleId="CommentSubject">
    <w:name w:val="annotation subject"/>
    <w:basedOn w:val="CommentText"/>
    <w:next w:val="CommentText"/>
    <w:link w:val="CommentSubjectChar"/>
    <w:uiPriority w:val="99"/>
    <w:semiHidden/>
    <w:rsid w:val="004F5560"/>
    <w:rPr>
      <w:b/>
      <w:bCs/>
    </w:rPr>
  </w:style>
  <w:style w:type="character" w:customStyle="1" w:styleId="CommentSubjectChar">
    <w:name w:val="Comment Subject Char"/>
    <w:link w:val="CommentSubject"/>
    <w:uiPriority w:val="99"/>
    <w:semiHidden/>
    <w:locked/>
    <w:rsid w:val="00346F4A"/>
    <w:rPr>
      <w:rFonts w:ascii="News Gothic Cyr" w:hAnsi="News Gothic Cyr"/>
      <w:b/>
      <w:sz w:val="20"/>
    </w:rPr>
  </w:style>
  <w:style w:type="character" w:customStyle="1" w:styleId="hps">
    <w:name w:val="hps"/>
    <w:uiPriority w:val="99"/>
    <w:rsid w:val="00121AA5"/>
  </w:style>
  <w:style w:type="paragraph" w:styleId="BodyText2">
    <w:name w:val="Body Text 2"/>
    <w:basedOn w:val="Normal"/>
    <w:link w:val="BodyText2Char"/>
    <w:uiPriority w:val="99"/>
    <w:semiHidden/>
    <w:rsid w:val="00A4161C"/>
    <w:pPr>
      <w:spacing w:after="120" w:line="480" w:lineRule="auto"/>
    </w:pPr>
  </w:style>
  <w:style w:type="character" w:customStyle="1" w:styleId="BodyText2Char">
    <w:name w:val="Body Text 2 Char"/>
    <w:link w:val="BodyText2"/>
    <w:uiPriority w:val="99"/>
    <w:semiHidden/>
    <w:locked/>
    <w:rsid w:val="00A4161C"/>
    <w:rPr>
      <w:rFonts w:ascii="News Gothic Cyr" w:hAnsi="News Gothic Cyr" w:cs="Times New Roman"/>
      <w:sz w:val="24"/>
      <w:szCs w:val="24"/>
    </w:rPr>
  </w:style>
  <w:style w:type="paragraph" w:customStyle="1" w:styleId="Default">
    <w:name w:val="Default"/>
    <w:rsid w:val="00B343F5"/>
    <w:pPr>
      <w:autoSpaceDE w:val="0"/>
      <w:autoSpaceDN w:val="0"/>
      <w:adjustRightInd w:val="0"/>
    </w:pPr>
    <w:rPr>
      <w:rFonts w:ascii="News Gothic Cyr" w:hAnsi="News Gothic Cyr" w:cs="News Gothic Cyr"/>
      <w:color w:val="000000"/>
      <w:sz w:val="24"/>
      <w:szCs w:val="24"/>
    </w:rPr>
  </w:style>
  <w:style w:type="paragraph" w:styleId="Revision">
    <w:name w:val="Revision"/>
    <w:hidden/>
    <w:uiPriority w:val="99"/>
    <w:semiHidden/>
    <w:rsid w:val="00DB01F2"/>
    <w:rPr>
      <w:rFonts w:ascii="News Gothic Cyr" w:hAnsi="News Gothic Cyr"/>
      <w:sz w:val="22"/>
      <w:szCs w:val="24"/>
    </w:rPr>
  </w:style>
  <w:style w:type="paragraph" w:customStyle="1" w:styleId="xl54">
    <w:name w:val="xl54"/>
    <w:basedOn w:val="Normal"/>
    <w:uiPriority w:val="99"/>
    <w:rsid w:val="00625DEE"/>
    <w:pPr>
      <w:spacing w:before="100" w:beforeAutospacing="1" w:after="100" w:afterAutospacing="1"/>
      <w:jc w:val="left"/>
      <w:textAlignment w:val="center"/>
    </w:pPr>
    <w:rPr>
      <w:rFonts w:ascii="Times New Roman" w:hAnsi="Times New Roman"/>
      <w:i/>
      <w:iCs/>
      <w:lang w:val="en-GB" w:eastAsia="en-US"/>
    </w:rPr>
  </w:style>
  <w:style w:type="paragraph" w:customStyle="1" w:styleId="a3">
    <w:name w:val="Антетка на таблица"/>
    <w:basedOn w:val="Normal"/>
    <w:rsid w:val="00C30661"/>
    <w:pPr>
      <w:jc w:val="center"/>
    </w:pPr>
    <w:rPr>
      <w:b/>
      <w:bCs/>
      <w:iCs/>
      <w:sz w:val="18"/>
      <w:szCs w:val="18"/>
    </w:rPr>
  </w:style>
  <w:style w:type="paragraph" w:styleId="TOC4">
    <w:name w:val="toc 4"/>
    <w:basedOn w:val="Normal"/>
    <w:next w:val="Normal"/>
    <w:autoRedefine/>
    <w:uiPriority w:val="39"/>
    <w:unhideWhenUsed/>
    <w:locked/>
    <w:rsid w:val="00ED06A4"/>
    <w:pPr>
      <w:spacing w:after="100"/>
      <w:ind w:left="660"/>
      <w:jc w:val="left"/>
    </w:pPr>
    <w:rPr>
      <w:rFonts w:asciiTheme="minorHAnsi" w:eastAsiaTheme="minorEastAsia" w:hAnsiTheme="minorHAnsi" w:cstheme="minorBidi"/>
    </w:rPr>
  </w:style>
  <w:style w:type="paragraph" w:styleId="TOC5">
    <w:name w:val="toc 5"/>
    <w:basedOn w:val="Normal"/>
    <w:next w:val="Normal"/>
    <w:autoRedefine/>
    <w:uiPriority w:val="39"/>
    <w:unhideWhenUsed/>
    <w:locked/>
    <w:rsid w:val="00ED06A4"/>
    <w:pPr>
      <w:spacing w:after="100"/>
      <w:ind w:left="880"/>
      <w:jc w:val="left"/>
    </w:pPr>
    <w:rPr>
      <w:rFonts w:asciiTheme="minorHAnsi" w:eastAsiaTheme="minorEastAsia" w:hAnsiTheme="minorHAnsi" w:cstheme="minorBidi"/>
    </w:rPr>
  </w:style>
  <w:style w:type="paragraph" w:styleId="TOC6">
    <w:name w:val="toc 6"/>
    <w:basedOn w:val="Normal"/>
    <w:next w:val="Normal"/>
    <w:autoRedefine/>
    <w:uiPriority w:val="39"/>
    <w:unhideWhenUsed/>
    <w:locked/>
    <w:rsid w:val="00ED06A4"/>
    <w:pPr>
      <w:spacing w:after="100"/>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locked/>
    <w:rsid w:val="00ED06A4"/>
    <w:pPr>
      <w:spacing w:after="100"/>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locked/>
    <w:rsid w:val="00ED06A4"/>
    <w:pPr>
      <w:spacing w:after="100"/>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locked/>
    <w:rsid w:val="00ED06A4"/>
    <w:pPr>
      <w:spacing w:after="100"/>
      <w:ind w:left="1760"/>
      <w:jc w:val="left"/>
    </w:pPr>
    <w:rPr>
      <w:rFonts w:asciiTheme="minorHAnsi" w:eastAsiaTheme="minorEastAsia" w:hAnsiTheme="minorHAnsi" w:cstheme="minorBidi"/>
    </w:rPr>
  </w:style>
  <w:style w:type="paragraph" w:styleId="IntenseQuote">
    <w:name w:val="Intense Quote"/>
    <w:basedOn w:val="Normal"/>
    <w:next w:val="Normal"/>
    <w:link w:val="IntenseQuoteChar"/>
    <w:uiPriority w:val="30"/>
    <w:rsid w:val="0000036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0036F"/>
    <w:rPr>
      <w:rFonts w:ascii="News Gothic Cyr" w:hAnsi="News Gothic Cyr"/>
      <w:b/>
      <w:bCs/>
      <w:i/>
      <w:iCs/>
      <w:color w:val="4F81BD" w:themeColor="accent1"/>
      <w:sz w:val="22"/>
      <w:szCs w:val="24"/>
    </w:rPr>
  </w:style>
  <w:style w:type="character" w:styleId="SubtleReference">
    <w:name w:val="Subtle Reference"/>
    <w:basedOn w:val="DefaultParagraphFont"/>
    <w:uiPriority w:val="31"/>
    <w:rsid w:val="0000036F"/>
    <w:rPr>
      <w:smallCaps/>
      <w:color w:val="C0504D" w:themeColor="accent2"/>
      <w:u w:val="single"/>
    </w:rPr>
  </w:style>
  <w:style w:type="character" w:styleId="IntenseReference">
    <w:name w:val="Intense Reference"/>
    <w:basedOn w:val="DefaultParagraphFont"/>
    <w:uiPriority w:val="32"/>
    <w:rsid w:val="0000036F"/>
    <w:rPr>
      <w:b/>
      <w:bCs/>
      <w:smallCaps/>
      <w:color w:val="C0504D" w:themeColor="accent2"/>
      <w:spacing w:val="5"/>
      <w:u w:val="single"/>
    </w:rPr>
  </w:style>
  <w:style w:type="character" w:styleId="BookTitle">
    <w:name w:val="Book Title"/>
    <w:basedOn w:val="DefaultParagraphFont"/>
    <w:uiPriority w:val="33"/>
    <w:rsid w:val="0000036F"/>
    <w:rPr>
      <w:b/>
      <w:bCs/>
      <w:smallCaps/>
      <w:spacing w:val="5"/>
    </w:rPr>
  </w:style>
  <w:style w:type="paragraph" w:customStyle="1" w:styleId="Mainnumbers">
    <w:name w:val="Main numbers"/>
    <w:basedOn w:val="ListParagraph"/>
    <w:link w:val="MainnumbersChar"/>
    <w:qFormat/>
    <w:rsid w:val="00C755D1"/>
    <w:pPr>
      <w:numPr>
        <w:numId w:val="7"/>
      </w:numPr>
      <w:tabs>
        <w:tab w:val="left" w:pos="851"/>
      </w:tabs>
      <w:spacing w:before="240" w:after="240"/>
      <w:ind w:left="851" w:hanging="851"/>
    </w:pPr>
    <w:rPr>
      <w:b/>
    </w:rPr>
  </w:style>
  <w:style w:type="paragraph" w:customStyle="1" w:styleId="SubNumbers">
    <w:name w:val="SubNumbers"/>
    <w:basedOn w:val="Mainnumbers"/>
    <w:link w:val="SubNumbersChar"/>
    <w:qFormat/>
    <w:rsid w:val="00F106D3"/>
    <w:pPr>
      <w:numPr>
        <w:ilvl w:val="1"/>
      </w:numPr>
      <w:tabs>
        <w:tab w:val="clear" w:pos="851"/>
        <w:tab w:val="left" w:pos="1276"/>
      </w:tabs>
      <w:spacing w:after="120"/>
      <w:ind w:left="1276" w:hanging="919"/>
      <w:outlineLvl w:val="1"/>
    </w:pPr>
    <w:rPr>
      <w:lang w:val="bg-BG"/>
    </w:rPr>
  </w:style>
  <w:style w:type="character" w:customStyle="1" w:styleId="ListParagraphChar">
    <w:name w:val="List Paragraph Char"/>
    <w:basedOn w:val="DefaultParagraphFont"/>
    <w:link w:val="ListParagraph"/>
    <w:uiPriority w:val="99"/>
    <w:rsid w:val="0000036F"/>
    <w:rPr>
      <w:rFonts w:ascii="News Gothic Cyr" w:hAnsi="News Gothic Cyr" w:cs="News Gothic Cyr"/>
      <w:sz w:val="22"/>
      <w:szCs w:val="22"/>
      <w:lang w:val="en-US" w:eastAsia="en-US"/>
    </w:rPr>
  </w:style>
  <w:style w:type="character" w:customStyle="1" w:styleId="MainnumbersChar">
    <w:name w:val="Main numbers Char"/>
    <w:basedOn w:val="ListParagraphChar"/>
    <w:link w:val="Mainnumbers"/>
    <w:rsid w:val="00C755D1"/>
    <w:rPr>
      <w:rFonts w:ascii="News Gothic Cyr" w:hAnsi="News Gothic Cyr" w:cs="News Gothic Cyr"/>
      <w:b/>
      <w:sz w:val="22"/>
      <w:szCs w:val="22"/>
      <w:lang w:val="en-US" w:eastAsia="en-US"/>
    </w:rPr>
  </w:style>
  <w:style w:type="paragraph" w:customStyle="1" w:styleId="SubSubNumber">
    <w:name w:val="SubSubNumber"/>
    <w:basedOn w:val="SubNumbers"/>
    <w:link w:val="SubSubNumberChar"/>
    <w:qFormat/>
    <w:rsid w:val="008A5369"/>
    <w:pPr>
      <w:numPr>
        <w:ilvl w:val="2"/>
      </w:numPr>
      <w:tabs>
        <w:tab w:val="left" w:pos="2127"/>
      </w:tabs>
      <w:ind w:left="2127" w:hanging="1407"/>
    </w:pPr>
  </w:style>
  <w:style w:type="character" w:customStyle="1" w:styleId="SubNumbersChar">
    <w:name w:val="SubNumbers Char"/>
    <w:basedOn w:val="MainnumbersChar"/>
    <w:link w:val="SubNumbers"/>
    <w:rsid w:val="00F106D3"/>
    <w:rPr>
      <w:rFonts w:ascii="Calibri" w:hAnsi="Calibri" w:cs="News Gothic Cyr"/>
      <w:b/>
      <w:sz w:val="24"/>
      <w:szCs w:val="22"/>
      <w:lang w:val="en-US" w:eastAsia="en-US"/>
    </w:rPr>
  </w:style>
  <w:style w:type="character" w:customStyle="1" w:styleId="SubSubNumberChar">
    <w:name w:val="SubSubNumber Char"/>
    <w:basedOn w:val="SubNumbersChar"/>
    <w:link w:val="SubSubNumber"/>
    <w:rsid w:val="008A5369"/>
    <w:rPr>
      <w:rFonts w:ascii="News Gothic Cyr" w:hAnsi="News Gothic Cyr" w:cs="News Gothic Cyr"/>
      <w:b/>
      <w:sz w:val="22"/>
      <w:szCs w:val="22"/>
      <w:lang w:val="en-US" w:eastAsia="en-US"/>
    </w:rPr>
  </w:style>
  <w:style w:type="paragraph" w:customStyle="1" w:styleId="FrontPage">
    <w:name w:val="FrontPage"/>
    <w:basedOn w:val="Normal"/>
    <w:link w:val="FrontPageChar"/>
    <w:rsid w:val="003A318C"/>
    <w:pPr>
      <w:jc w:val="left"/>
    </w:pPr>
    <w:rPr>
      <w:color w:val="FFFFFF"/>
      <w:sz w:val="44"/>
      <w:szCs w:val="44"/>
    </w:rPr>
  </w:style>
  <w:style w:type="character" w:customStyle="1" w:styleId="FrontPageChar">
    <w:name w:val="FrontPage Char"/>
    <w:basedOn w:val="DefaultParagraphFont"/>
    <w:link w:val="FrontPage"/>
    <w:rsid w:val="003A318C"/>
    <w:rPr>
      <w:rFonts w:ascii="News Gothic Cyr" w:hAnsi="News Gothic Cyr"/>
      <w:color w:val="FFFFFF"/>
      <w:sz w:val="44"/>
      <w:szCs w:val="44"/>
    </w:rPr>
  </w:style>
  <w:style w:type="character" w:customStyle="1" w:styleId="Heading7Char">
    <w:name w:val="Heading 7 Char"/>
    <w:basedOn w:val="DefaultParagraphFont"/>
    <w:link w:val="Heading7"/>
    <w:semiHidden/>
    <w:rsid w:val="008133AF"/>
    <w:rPr>
      <w:rFonts w:asciiTheme="majorHAnsi" w:eastAsiaTheme="majorEastAsia" w:hAnsiTheme="majorHAnsi" w:cstheme="majorBidi"/>
      <w:i/>
      <w:iCs/>
      <w:color w:val="404040" w:themeColor="text1" w:themeTint="BF"/>
      <w:sz w:val="22"/>
      <w:szCs w:val="22"/>
    </w:rPr>
  </w:style>
  <w:style w:type="paragraph" w:styleId="NoSpacing">
    <w:name w:val="No Spacing"/>
    <w:uiPriority w:val="1"/>
    <w:qFormat/>
    <w:rsid w:val="008C3F9B"/>
    <w:rPr>
      <w:color w:val="000000"/>
    </w:rPr>
  </w:style>
  <w:style w:type="character" w:styleId="Emphasis">
    <w:name w:val="Emphasis"/>
    <w:basedOn w:val="DefaultParagraphFont"/>
    <w:uiPriority w:val="20"/>
    <w:locked/>
    <w:rsid w:val="00F66A30"/>
    <w:rPr>
      <w:i/>
      <w:iCs/>
    </w:rPr>
  </w:style>
  <w:style w:type="paragraph" w:customStyle="1" w:styleId="a4">
    <w:name w:val="табл. антетка"/>
    <w:qFormat/>
    <w:rsid w:val="00006CD3"/>
    <w:pPr>
      <w:autoSpaceDE w:val="0"/>
      <w:autoSpaceDN w:val="0"/>
      <w:adjustRightInd w:val="0"/>
      <w:jc w:val="center"/>
    </w:pPr>
    <w:rPr>
      <w:rFonts w:ascii="News Gothic Cyr" w:hAnsi="News Gothic Cyr" w:cs="News Gothic Cyr"/>
      <w:b/>
      <w:bCs/>
      <w:iCs/>
      <w:color w:val="000000"/>
      <w:sz w:val="18"/>
      <w:szCs w:val="24"/>
    </w:rPr>
  </w:style>
  <w:style w:type="paragraph" w:customStyle="1" w:styleId="a5">
    <w:name w:val="табл. текст"/>
    <w:qFormat/>
    <w:rsid w:val="00006CD3"/>
    <w:pPr>
      <w:autoSpaceDE w:val="0"/>
      <w:autoSpaceDN w:val="0"/>
      <w:adjustRightInd w:val="0"/>
    </w:pPr>
    <w:rPr>
      <w:rFonts w:ascii="News Gothic Cyr" w:hAnsi="News Gothic Cyr" w:cs="News Gothic Cyr"/>
      <w:color w:val="000000"/>
      <w:sz w:val="18"/>
      <w:szCs w:val="24"/>
    </w:rPr>
  </w:style>
  <w:style w:type="paragraph" w:customStyle="1" w:styleId="a6">
    <w:name w:val="табл. числа"/>
    <w:qFormat/>
    <w:rsid w:val="00006CD3"/>
    <w:pPr>
      <w:autoSpaceDE w:val="0"/>
      <w:autoSpaceDN w:val="0"/>
      <w:adjustRightInd w:val="0"/>
      <w:jc w:val="right"/>
    </w:pPr>
    <w:rPr>
      <w:rFonts w:ascii="News Gothic Cyr" w:hAnsi="News Gothic Cyr" w:cs="News Gothic Cyr"/>
      <w:color w:val="000000"/>
      <w:sz w:val="18"/>
      <w:szCs w:val="24"/>
    </w:rPr>
  </w:style>
  <w:style w:type="paragraph" w:customStyle="1" w:styleId="a7">
    <w:name w:val="Удебелен"/>
    <w:autoRedefine/>
    <w:qFormat/>
    <w:rsid w:val="0028038B"/>
    <w:pPr>
      <w:autoSpaceDE w:val="0"/>
      <w:autoSpaceDN w:val="0"/>
      <w:adjustRightInd w:val="0"/>
      <w:spacing w:before="240" w:after="120" w:line="276" w:lineRule="auto"/>
    </w:pPr>
    <w:rPr>
      <w:rFonts w:ascii="Calibri" w:hAnsi="Calibri" w:cs="News Gothic Cyr"/>
      <w:b/>
      <w:color w:val="000000"/>
      <w:sz w:val="24"/>
      <w:szCs w:val="22"/>
      <w:lang w:eastAsia="en-US"/>
    </w:rPr>
  </w:style>
  <w:style w:type="paragraph" w:customStyle="1" w:styleId="a8">
    <w:name w:val="Стандарти"/>
    <w:autoRedefine/>
    <w:qFormat/>
    <w:rsid w:val="009D61D0"/>
    <w:pPr>
      <w:autoSpaceDE w:val="0"/>
      <w:autoSpaceDN w:val="0"/>
      <w:adjustRightInd w:val="0"/>
      <w:spacing w:line="276" w:lineRule="auto"/>
      <w:ind w:right="-176"/>
    </w:pPr>
    <w:rPr>
      <w:rFonts w:ascii="News Gothic Cyr" w:hAnsi="News Gothic Cyr" w:cs="News Gothic Cyr"/>
      <w:i/>
      <w:color w:val="000000"/>
      <w:sz w:val="18"/>
      <w:szCs w:val="24"/>
      <w:lang w:eastAsia="en-US"/>
    </w:rPr>
  </w:style>
  <w:style w:type="paragraph" w:customStyle="1" w:styleId="ChartHeader">
    <w:name w:val="ChartHeader"/>
    <w:basedOn w:val="a2"/>
    <w:link w:val="ChartHeaderChar"/>
    <w:qFormat/>
    <w:rsid w:val="00F106D3"/>
    <w:pPr>
      <w:jc w:val="left"/>
    </w:pPr>
    <w:rPr>
      <w:b/>
      <w:i w:val="0"/>
      <w:sz w:val="22"/>
    </w:rPr>
  </w:style>
  <w:style w:type="character" w:customStyle="1" w:styleId="ChartHeaderChar">
    <w:name w:val="ChartHeader Char"/>
    <w:basedOn w:val="DefaultParagraphFont"/>
    <w:link w:val="ChartHeader"/>
    <w:rsid w:val="00F106D3"/>
    <w:rPr>
      <w:rFonts w:ascii="Calibri" w:hAnsi="Calibri"/>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20320">
      <w:bodyDiv w:val="1"/>
      <w:marLeft w:val="0"/>
      <w:marRight w:val="0"/>
      <w:marTop w:val="0"/>
      <w:marBottom w:val="0"/>
      <w:divBdr>
        <w:top w:val="none" w:sz="0" w:space="0" w:color="auto"/>
        <w:left w:val="none" w:sz="0" w:space="0" w:color="auto"/>
        <w:bottom w:val="none" w:sz="0" w:space="0" w:color="auto"/>
        <w:right w:val="none" w:sz="0" w:space="0" w:color="auto"/>
      </w:divBdr>
    </w:div>
    <w:div w:id="153303483">
      <w:bodyDiv w:val="1"/>
      <w:marLeft w:val="0"/>
      <w:marRight w:val="0"/>
      <w:marTop w:val="0"/>
      <w:marBottom w:val="0"/>
      <w:divBdr>
        <w:top w:val="none" w:sz="0" w:space="0" w:color="auto"/>
        <w:left w:val="none" w:sz="0" w:space="0" w:color="auto"/>
        <w:bottom w:val="none" w:sz="0" w:space="0" w:color="auto"/>
        <w:right w:val="none" w:sz="0" w:space="0" w:color="auto"/>
      </w:divBdr>
    </w:div>
    <w:div w:id="182329204">
      <w:bodyDiv w:val="1"/>
      <w:marLeft w:val="0"/>
      <w:marRight w:val="0"/>
      <w:marTop w:val="0"/>
      <w:marBottom w:val="0"/>
      <w:divBdr>
        <w:top w:val="none" w:sz="0" w:space="0" w:color="auto"/>
        <w:left w:val="none" w:sz="0" w:space="0" w:color="auto"/>
        <w:bottom w:val="none" w:sz="0" w:space="0" w:color="auto"/>
        <w:right w:val="none" w:sz="0" w:space="0" w:color="auto"/>
      </w:divBdr>
    </w:div>
    <w:div w:id="206921130">
      <w:bodyDiv w:val="1"/>
      <w:marLeft w:val="0"/>
      <w:marRight w:val="0"/>
      <w:marTop w:val="0"/>
      <w:marBottom w:val="0"/>
      <w:divBdr>
        <w:top w:val="none" w:sz="0" w:space="0" w:color="auto"/>
        <w:left w:val="none" w:sz="0" w:space="0" w:color="auto"/>
        <w:bottom w:val="none" w:sz="0" w:space="0" w:color="auto"/>
        <w:right w:val="none" w:sz="0" w:space="0" w:color="auto"/>
      </w:divBdr>
    </w:div>
    <w:div w:id="210464054">
      <w:bodyDiv w:val="1"/>
      <w:marLeft w:val="0"/>
      <w:marRight w:val="0"/>
      <w:marTop w:val="0"/>
      <w:marBottom w:val="0"/>
      <w:divBdr>
        <w:top w:val="none" w:sz="0" w:space="0" w:color="auto"/>
        <w:left w:val="none" w:sz="0" w:space="0" w:color="auto"/>
        <w:bottom w:val="none" w:sz="0" w:space="0" w:color="auto"/>
        <w:right w:val="none" w:sz="0" w:space="0" w:color="auto"/>
      </w:divBdr>
    </w:div>
    <w:div w:id="240792827">
      <w:bodyDiv w:val="1"/>
      <w:marLeft w:val="0"/>
      <w:marRight w:val="0"/>
      <w:marTop w:val="0"/>
      <w:marBottom w:val="0"/>
      <w:divBdr>
        <w:top w:val="none" w:sz="0" w:space="0" w:color="auto"/>
        <w:left w:val="none" w:sz="0" w:space="0" w:color="auto"/>
        <w:bottom w:val="none" w:sz="0" w:space="0" w:color="auto"/>
        <w:right w:val="none" w:sz="0" w:space="0" w:color="auto"/>
      </w:divBdr>
    </w:div>
    <w:div w:id="257687909">
      <w:bodyDiv w:val="1"/>
      <w:marLeft w:val="0"/>
      <w:marRight w:val="0"/>
      <w:marTop w:val="0"/>
      <w:marBottom w:val="0"/>
      <w:divBdr>
        <w:top w:val="none" w:sz="0" w:space="0" w:color="auto"/>
        <w:left w:val="none" w:sz="0" w:space="0" w:color="auto"/>
        <w:bottom w:val="none" w:sz="0" w:space="0" w:color="auto"/>
        <w:right w:val="none" w:sz="0" w:space="0" w:color="auto"/>
      </w:divBdr>
    </w:div>
    <w:div w:id="270285529">
      <w:bodyDiv w:val="1"/>
      <w:marLeft w:val="0"/>
      <w:marRight w:val="0"/>
      <w:marTop w:val="0"/>
      <w:marBottom w:val="0"/>
      <w:divBdr>
        <w:top w:val="none" w:sz="0" w:space="0" w:color="auto"/>
        <w:left w:val="none" w:sz="0" w:space="0" w:color="auto"/>
        <w:bottom w:val="none" w:sz="0" w:space="0" w:color="auto"/>
        <w:right w:val="none" w:sz="0" w:space="0" w:color="auto"/>
      </w:divBdr>
    </w:div>
    <w:div w:id="276183039">
      <w:bodyDiv w:val="1"/>
      <w:marLeft w:val="0"/>
      <w:marRight w:val="0"/>
      <w:marTop w:val="0"/>
      <w:marBottom w:val="0"/>
      <w:divBdr>
        <w:top w:val="none" w:sz="0" w:space="0" w:color="auto"/>
        <w:left w:val="none" w:sz="0" w:space="0" w:color="auto"/>
        <w:bottom w:val="none" w:sz="0" w:space="0" w:color="auto"/>
        <w:right w:val="none" w:sz="0" w:space="0" w:color="auto"/>
      </w:divBdr>
    </w:div>
    <w:div w:id="296884310">
      <w:bodyDiv w:val="1"/>
      <w:marLeft w:val="0"/>
      <w:marRight w:val="0"/>
      <w:marTop w:val="0"/>
      <w:marBottom w:val="0"/>
      <w:divBdr>
        <w:top w:val="none" w:sz="0" w:space="0" w:color="auto"/>
        <w:left w:val="none" w:sz="0" w:space="0" w:color="auto"/>
        <w:bottom w:val="none" w:sz="0" w:space="0" w:color="auto"/>
        <w:right w:val="none" w:sz="0" w:space="0" w:color="auto"/>
      </w:divBdr>
    </w:div>
    <w:div w:id="312293188">
      <w:bodyDiv w:val="1"/>
      <w:marLeft w:val="0"/>
      <w:marRight w:val="0"/>
      <w:marTop w:val="0"/>
      <w:marBottom w:val="0"/>
      <w:divBdr>
        <w:top w:val="none" w:sz="0" w:space="0" w:color="auto"/>
        <w:left w:val="none" w:sz="0" w:space="0" w:color="auto"/>
        <w:bottom w:val="none" w:sz="0" w:space="0" w:color="auto"/>
        <w:right w:val="none" w:sz="0" w:space="0" w:color="auto"/>
      </w:divBdr>
    </w:div>
    <w:div w:id="325014321">
      <w:bodyDiv w:val="1"/>
      <w:marLeft w:val="0"/>
      <w:marRight w:val="0"/>
      <w:marTop w:val="0"/>
      <w:marBottom w:val="0"/>
      <w:divBdr>
        <w:top w:val="none" w:sz="0" w:space="0" w:color="auto"/>
        <w:left w:val="none" w:sz="0" w:space="0" w:color="auto"/>
        <w:bottom w:val="none" w:sz="0" w:space="0" w:color="auto"/>
        <w:right w:val="none" w:sz="0" w:space="0" w:color="auto"/>
      </w:divBdr>
    </w:div>
    <w:div w:id="357580885">
      <w:bodyDiv w:val="1"/>
      <w:marLeft w:val="0"/>
      <w:marRight w:val="0"/>
      <w:marTop w:val="0"/>
      <w:marBottom w:val="0"/>
      <w:divBdr>
        <w:top w:val="none" w:sz="0" w:space="0" w:color="auto"/>
        <w:left w:val="none" w:sz="0" w:space="0" w:color="auto"/>
        <w:bottom w:val="none" w:sz="0" w:space="0" w:color="auto"/>
        <w:right w:val="none" w:sz="0" w:space="0" w:color="auto"/>
      </w:divBdr>
    </w:div>
    <w:div w:id="364411368">
      <w:bodyDiv w:val="1"/>
      <w:marLeft w:val="0"/>
      <w:marRight w:val="0"/>
      <w:marTop w:val="0"/>
      <w:marBottom w:val="0"/>
      <w:divBdr>
        <w:top w:val="none" w:sz="0" w:space="0" w:color="auto"/>
        <w:left w:val="none" w:sz="0" w:space="0" w:color="auto"/>
        <w:bottom w:val="none" w:sz="0" w:space="0" w:color="auto"/>
        <w:right w:val="none" w:sz="0" w:space="0" w:color="auto"/>
      </w:divBdr>
    </w:div>
    <w:div w:id="369384605">
      <w:bodyDiv w:val="1"/>
      <w:marLeft w:val="0"/>
      <w:marRight w:val="0"/>
      <w:marTop w:val="0"/>
      <w:marBottom w:val="0"/>
      <w:divBdr>
        <w:top w:val="none" w:sz="0" w:space="0" w:color="auto"/>
        <w:left w:val="none" w:sz="0" w:space="0" w:color="auto"/>
        <w:bottom w:val="none" w:sz="0" w:space="0" w:color="auto"/>
        <w:right w:val="none" w:sz="0" w:space="0" w:color="auto"/>
      </w:divBdr>
    </w:div>
    <w:div w:id="380053524">
      <w:bodyDiv w:val="1"/>
      <w:marLeft w:val="0"/>
      <w:marRight w:val="0"/>
      <w:marTop w:val="0"/>
      <w:marBottom w:val="0"/>
      <w:divBdr>
        <w:top w:val="none" w:sz="0" w:space="0" w:color="auto"/>
        <w:left w:val="none" w:sz="0" w:space="0" w:color="auto"/>
        <w:bottom w:val="none" w:sz="0" w:space="0" w:color="auto"/>
        <w:right w:val="none" w:sz="0" w:space="0" w:color="auto"/>
      </w:divBdr>
    </w:div>
    <w:div w:id="423578803">
      <w:bodyDiv w:val="1"/>
      <w:marLeft w:val="0"/>
      <w:marRight w:val="0"/>
      <w:marTop w:val="0"/>
      <w:marBottom w:val="0"/>
      <w:divBdr>
        <w:top w:val="none" w:sz="0" w:space="0" w:color="auto"/>
        <w:left w:val="none" w:sz="0" w:space="0" w:color="auto"/>
        <w:bottom w:val="none" w:sz="0" w:space="0" w:color="auto"/>
        <w:right w:val="none" w:sz="0" w:space="0" w:color="auto"/>
      </w:divBdr>
    </w:div>
    <w:div w:id="438378907">
      <w:bodyDiv w:val="1"/>
      <w:marLeft w:val="0"/>
      <w:marRight w:val="0"/>
      <w:marTop w:val="0"/>
      <w:marBottom w:val="0"/>
      <w:divBdr>
        <w:top w:val="none" w:sz="0" w:space="0" w:color="auto"/>
        <w:left w:val="none" w:sz="0" w:space="0" w:color="auto"/>
        <w:bottom w:val="none" w:sz="0" w:space="0" w:color="auto"/>
        <w:right w:val="none" w:sz="0" w:space="0" w:color="auto"/>
      </w:divBdr>
    </w:div>
    <w:div w:id="439034708">
      <w:bodyDiv w:val="1"/>
      <w:marLeft w:val="0"/>
      <w:marRight w:val="0"/>
      <w:marTop w:val="0"/>
      <w:marBottom w:val="0"/>
      <w:divBdr>
        <w:top w:val="none" w:sz="0" w:space="0" w:color="auto"/>
        <w:left w:val="none" w:sz="0" w:space="0" w:color="auto"/>
        <w:bottom w:val="none" w:sz="0" w:space="0" w:color="auto"/>
        <w:right w:val="none" w:sz="0" w:space="0" w:color="auto"/>
      </w:divBdr>
    </w:div>
    <w:div w:id="493765104">
      <w:bodyDiv w:val="1"/>
      <w:marLeft w:val="0"/>
      <w:marRight w:val="0"/>
      <w:marTop w:val="0"/>
      <w:marBottom w:val="0"/>
      <w:divBdr>
        <w:top w:val="none" w:sz="0" w:space="0" w:color="auto"/>
        <w:left w:val="none" w:sz="0" w:space="0" w:color="auto"/>
        <w:bottom w:val="none" w:sz="0" w:space="0" w:color="auto"/>
        <w:right w:val="none" w:sz="0" w:space="0" w:color="auto"/>
      </w:divBdr>
    </w:div>
    <w:div w:id="518080022">
      <w:bodyDiv w:val="1"/>
      <w:marLeft w:val="0"/>
      <w:marRight w:val="0"/>
      <w:marTop w:val="0"/>
      <w:marBottom w:val="0"/>
      <w:divBdr>
        <w:top w:val="none" w:sz="0" w:space="0" w:color="auto"/>
        <w:left w:val="none" w:sz="0" w:space="0" w:color="auto"/>
        <w:bottom w:val="none" w:sz="0" w:space="0" w:color="auto"/>
        <w:right w:val="none" w:sz="0" w:space="0" w:color="auto"/>
      </w:divBdr>
    </w:div>
    <w:div w:id="535238845">
      <w:bodyDiv w:val="1"/>
      <w:marLeft w:val="0"/>
      <w:marRight w:val="0"/>
      <w:marTop w:val="0"/>
      <w:marBottom w:val="0"/>
      <w:divBdr>
        <w:top w:val="none" w:sz="0" w:space="0" w:color="auto"/>
        <w:left w:val="none" w:sz="0" w:space="0" w:color="auto"/>
        <w:bottom w:val="none" w:sz="0" w:space="0" w:color="auto"/>
        <w:right w:val="none" w:sz="0" w:space="0" w:color="auto"/>
      </w:divBdr>
    </w:div>
    <w:div w:id="535316337">
      <w:bodyDiv w:val="1"/>
      <w:marLeft w:val="0"/>
      <w:marRight w:val="0"/>
      <w:marTop w:val="0"/>
      <w:marBottom w:val="0"/>
      <w:divBdr>
        <w:top w:val="none" w:sz="0" w:space="0" w:color="auto"/>
        <w:left w:val="none" w:sz="0" w:space="0" w:color="auto"/>
        <w:bottom w:val="none" w:sz="0" w:space="0" w:color="auto"/>
        <w:right w:val="none" w:sz="0" w:space="0" w:color="auto"/>
      </w:divBdr>
    </w:div>
    <w:div w:id="564953072">
      <w:bodyDiv w:val="1"/>
      <w:marLeft w:val="0"/>
      <w:marRight w:val="0"/>
      <w:marTop w:val="0"/>
      <w:marBottom w:val="0"/>
      <w:divBdr>
        <w:top w:val="none" w:sz="0" w:space="0" w:color="auto"/>
        <w:left w:val="none" w:sz="0" w:space="0" w:color="auto"/>
        <w:bottom w:val="none" w:sz="0" w:space="0" w:color="auto"/>
        <w:right w:val="none" w:sz="0" w:space="0" w:color="auto"/>
      </w:divBdr>
    </w:div>
    <w:div w:id="568728020">
      <w:bodyDiv w:val="1"/>
      <w:marLeft w:val="0"/>
      <w:marRight w:val="0"/>
      <w:marTop w:val="0"/>
      <w:marBottom w:val="0"/>
      <w:divBdr>
        <w:top w:val="none" w:sz="0" w:space="0" w:color="auto"/>
        <w:left w:val="none" w:sz="0" w:space="0" w:color="auto"/>
        <w:bottom w:val="none" w:sz="0" w:space="0" w:color="auto"/>
        <w:right w:val="none" w:sz="0" w:space="0" w:color="auto"/>
      </w:divBdr>
    </w:div>
    <w:div w:id="622350104">
      <w:bodyDiv w:val="1"/>
      <w:marLeft w:val="0"/>
      <w:marRight w:val="0"/>
      <w:marTop w:val="0"/>
      <w:marBottom w:val="0"/>
      <w:divBdr>
        <w:top w:val="none" w:sz="0" w:space="0" w:color="auto"/>
        <w:left w:val="none" w:sz="0" w:space="0" w:color="auto"/>
        <w:bottom w:val="none" w:sz="0" w:space="0" w:color="auto"/>
        <w:right w:val="none" w:sz="0" w:space="0" w:color="auto"/>
      </w:divBdr>
    </w:div>
    <w:div w:id="623969468">
      <w:bodyDiv w:val="1"/>
      <w:marLeft w:val="0"/>
      <w:marRight w:val="0"/>
      <w:marTop w:val="0"/>
      <w:marBottom w:val="0"/>
      <w:divBdr>
        <w:top w:val="none" w:sz="0" w:space="0" w:color="auto"/>
        <w:left w:val="none" w:sz="0" w:space="0" w:color="auto"/>
        <w:bottom w:val="none" w:sz="0" w:space="0" w:color="auto"/>
        <w:right w:val="none" w:sz="0" w:space="0" w:color="auto"/>
      </w:divBdr>
    </w:div>
    <w:div w:id="627125900">
      <w:bodyDiv w:val="1"/>
      <w:marLeft w:val="0"/>
      <w:marRight w:val="0"/>
      <w:marTop w:val="0"/>
      <w:marBottom w:val="0"/>
      <w:divBdr>
        <w:top w:val="none" w:sz="0" w:space="0" w:color="auto"/>
        <w:left w:val="none" w:sz="0" w:space="0" w:color="auto"/>
        <w:bottom w:val="none" w:sz="0" w:space="0" w:color="auto"/>
        <w:right w:val="none" w:sz="0" w:space="0" w:color="auto"/>
      </w:divBdr>
    </w:div>
    <w:div w:id="641618891">
      <w:bodyDiv w:val="1"/>
      <w:marLeft w:val="0"/>
      <w:marRight w:val="0"/>
      <w:marTop w:val="0"/>
      <w:marBottom w:val="0"/>
      <w:divBdr>
        <w:top w:val="none" w:sz="0" w:space="0" w:color="auto"/>
        <w:left w:val="none" w:sz="0" w:space="0" w:color="auto"/>
        <w:bottom w:val="none" w:sz="0" w:space="0" w:color="auto"/>
        <w:right w:val="none" w:sz="0" w:space="0" w:color="auto"/>
      </w:divBdr>
    </w:div>
    <w:div w:id="653681951">
      <w:bodyDiv w:val="1"/>
      <w:marLeft w:val="0"/>
      <w:marRight w:val="0"/>
      <w:marTop w:val="0"/>
      <w:marBottom w:val="0"/>
      <w:divBdr>
        <w:top w:val="none" w:sz="0" w:space="0" w:color="auto"/>
        <w:left w:val="none" w:sz="0" w:space="0" w:color="auto"/>
        <w:bottom w:val="none" w:sz="0" w:space="0" w:color="auto"/>
        <w:right w:val="none" w:sz="0" w:space="0" w:color="auto"/>
      </w:divBdr>
    </w:div>
    <w:div w:id="674462031">
      <w:bodyDiv w:val="1"/>
      <w:marLeft w:val="0"/>
      <w:marRight w:val="0"/>
      <w:marTop w:val="0"/>
      <w:marBottom w:val="0"/>
      <w:divBdr>
        <w:top w:val="none" w:sz="0" w:space="0" w:color="auto"/>
        <w:left w:val="none" w:sz="0" w:space="0" w:color="auto"/>
        <w:bottom w:val="none" w:sz="0" w:space="0" w:color="auto"/>
        <w:right w:val="none" w:sz="0" w:space="0" w:color="auto"/>
      </w:divBdr>
    </w:div>
    <w:div w:id="694310281">
      <w:bodyDiv w:val="1"/>
      <w:marLeft w:val="0"/>
      <w:marRight w:val="0"/>
      <w:marTop w:val="0"/>
      <w:marBottom w:val="0"/>
      <w:divBdr>
        <w:top w:val="none" w:sz="0" w:space="0" w:color="auto"/>
        <w:left w:val="none" w:sz="0" w:space="0" w:color="auto"/>
        <w:bottom w:val="none" w:sz="0" w:space="0" w:color="auto"/>
        <w:right w:val="none" w:sz="0" w:space="0" w:color="auto"/>
      </w:divBdr>
    </w:div>
    <w:div w:id="699748680">
      <w:bodyDiv w:val="1"/>
      <w:marLeft w:val="0"/>
      <w:marRight w:val="0"/>
      <w:marTop w:val="0"/>
      <w:marBottom w:val="0"/>
      <w:divBdr>
        <w:top w:val="none" w:sz="0" w:space="0" w:color="auto"/>
        <w:left w:val="none" w:sz="0" w:space="0" w:color="auto"/>
        <w:bottom w:val="none" w:sz="0" w:space="0" w:color="auto"/>
        <w:right w:val="none" w:sz="0" w:space="0" w:color="auto"/>
      </w:divBdr>
    </w:div>
    <w:div w:id="779956233">
      <w:bodyDiv w:val="1"/>
      <w:marLeft w:val="0"/>
      <w:marRight w:val="0"/>
      <w:marTop w:val="0"/>
      <w:marBottom w:val="0"/>
      <w:divBdr>
        <w:top w:val="none" w:sz="0" w:space="0" w:color="auto"/>
        <w:left w:val="none" w:sz="0" w:space="0" w:color="auto"/>
        <w:bottom w:val="none" w:sz="0" w:space="0" w:color="auto"/>
        <w:right w:val="none" w:sz="0" w:space="0" w:color="auto"/>
      </w:divBdr>
    </w:div>
    <w:div w:id="807825044">
      <w:bodyDiv w:val="1"/>
      <w:marLeft w:val="0"/>
      <w:marRight w:val="0"/>
      <w:marTop w:val="0"/>
      <w:marBottom w:val="0"/>
      <w:divBdr>
        <w:top w:val="none" w:sz="0" w:space="0" w:color="auto"/>
        <w:left w:val="none" w:sz="0" w:space="0" w:color="auto"/>
        <w:bottom w:val="none" w:sz="0" w:space="0" w:color="auto"/>
        <w:right w:val="none" w:sz="0" w:space="0" w:color="auto"/>
      </w:divBdr>
    </w:div>
    <w:div w:id="837354081">
      <w:bodyDiv w:val="1"/>
      <w:marLeft w:val="0"/>
      <w:marRight w:val="0"/>
      <w:marTop w:val="0"/>
      <w:marBottom w:val="0"/>
      <w:divBdr>
        <w:top w:val="none" w:sz="0" w:space="0" w:color="auto"/>
        <w:left w:val="none" w:sz="0" w:space="0" w:color="auto"/>
        <w:bottom w:val="none" w:sz="0" w:space="0" w:color="auto"/>
        <w:right w:val="none" w:sz="0" w:space="0" w:color="auto"/>
      </w:divBdr>
    </w:div>
    <w:div w:id="850611010">
      <w:bodyDiv w:val="1"/>
      <w:marLeft w:val="0"/>
      <w:marRight w:val="0"/>
      <w:marTop w:val="0"/>
      <w:marBottom w:val="0"/>
      <w:divBdr>
        <w:top w:val="none" w:sz="0" w:space="0" w:color="auto"/>
        <w:left w:val="none" w:sz="0" w:space="0" w:color="auto"/>
        <w:bottom w:val="none" w:sz="0" w:space="0" w:color="auto"/>
        <w:right w:val="none" w:sz="0" w:space="0" w:color="auto"/>
      </w:divBdr>
    </w:div>
    <w:div w:id="855190434">
      <w:bodyDiv w:val="1"/>
      <w:marLeft w:val="0"/>
      <w:marRight w:val="0"/>
      <w:marTop w:val="0"/>
      <w:marBottom w:val="0"/>
      <w:divBdr>
        <w:top w:val="none" w:sz="0" w:space="0" w:color="auto"/>
        <w:left w:val="none" w:sz="0" w:space="0" w:color="auto"/>
        <w:bottom w:val="none" w:sz="0" w:space="0" w:color="auto"/>
        <w:right w:val="none" w:sz="0" w:space="0" w:color="auto"/>
      </w:divBdr>
    </w:div>
    <w:div w:id="856194254">
      <w:bodyDiv w:val="1"/>
      <w:marLeft w:val="0"/>
      <w:marRight w:val="0"/>
      <w:marTop w:val="0"/>
      <w:marBottom w:val="0"/>
      <w:divBdr>
        <w:top w:val="none" w:sz="0" w:space="0" w:color="auto"/>
        <w:left w:val="none" w:sz="0" w:space="0" w:color="auto"/>
        <w:bottom w:val="none" w:sz="0" w:space="0" w:color="auto"/>
        <w:right w:val="none" w:sz="0" w:space="0" w:color="auto"/>
      </w:divBdr>
    </w:div>
    <w:div w:id="922760894">
      <w:bodyDiv w:val="1"/>
      <w:marLeft w:val="0"/>
      <w:marRight w:val="0"/>
      <w:marTop w:val="0"/>
      <w:marBottom w:val="0"/>
      <w:divBdr>
        <w:top w:val="none" w:sz="0" w:space="0" w:color="auto"/>
        <w:left w:val="none" w:sz="0" w:space="0" w:color="auto"/>
        <w:bottom w:val="none" w:sz="0" w:space="0" w:color="auto"/>
        <w:right w:val="none" w:sz="0" w:space="0" w:color="auto"/>
      </w:divBdr>
    </w:div>
    <w:div w:id="925114348">
      <w:bodyDiv w:val="1"/>
      <w:marLeft w:val="0"/>
      <w:marRight w:val="0"/>
      <w:marTop w:val="0"/>
      <w:marBottom w:val="0"/>
      <w:divBdr>
        <w:top w:val="none" w:sz="0" w:space="0" w:color="auto"/>
        <w:left w:val="none" w:sz="0" w:space="0" w:color="auto"/>
        <w:bottom w:val="none" w:sz="0" w:space="0" w:color="auto"/>
        <w:right w:val="none" w:sz="0" w:space="0" w:color="auto"/>
      </w:divBdr>
    </w:div>
    <w:div w:id="928392510">
      <w:bodyDiv w:val="1"/>
      <w:marLeft w:val="0"/>
      <w:marRight w:val="0"/>
      <w:marTop w:val="0"/>
      <w:marBottom w:val="0"/>
      <w:divBdr>
        <w:top w:val="none" w:sz="0" w:space="0" w:color="auto"/>
        <w:left w:val="none" w:sz="0" w:space="0" w:color="auto"/>
        <w:bottom w:val="none" w:sz="0" w:space="0" w:color="auto"/>
        <w:right w:val="none" w:sz="0" w:space="0" w:color="auto"/>
      </w:divBdr>
    </w:div>
    <w:div w:id="1036852280">
      <w:bodyDiv w:val="1"/>
      <w:marLeft w:val="0"/>
      <w:marRight w:val="0"/>
      <w:marTop w:val="0"/>
      <w:marBottom w:val="0"/>
      <w:divBdr>
        <w:top w:val="none" w:sz="0" w:space="0" w:color="auto"/>
        <w:left w:val="none" w:sz="0" w:space="0" w:color="auto"/>
        <w:bottom w:val="none" w:sz="0" w:space="0" w:color="auto"/>
        <w:right w:val="none" w:sz="0" w:space="0" w:color="auto"/>
      </w:divBdr>
    </w:div>
    <w:div w:id="1048576763">
      <w:bodyDiv w:val="1"/>
      <w:marLeft w:val="0"/>
      <w:marRight w:val="0"/>
      <w:marTop w:val="0"/>
      <w:marBottom w:val="0"/>
      <w:divBdr>
        <w:top w:val="none" w:sz="0" w:space="0" w:color="auto"/>
        <w:left w:val="none" w:sz="0" w:space="0" w:color="auto"/>
        <w:bottom w:val="none" w:sz="0" w:space="0" w:color="auto"/>
        <w:right w:val="none" w:sz="0" w:space="0" w:color="auto"/>
      </w:divBdr>
    </w:div>
    <w:div w:id="1102457098">
      <w:bodyDiv w:val="1"/>
      <w:marLeft w:val="0"/>
      <w:marRight w:val="0"/>
      <w:marTop w:val="0"/>
      <w:marBottom w:val="0"/>
      <w:divBdr>
        <w:top w:val="none" w:sz="0" w:space="0" w:color="auto"/>
        <w:left w:val="none" w:sz="0" w:space="0" w:color="auto"/>
        <w:bottom w:val="none" w:sz="0" w:space="0" w:color="auto"/>
        <w:right w:val="none" w:sz="0" w:space="0" w:color="auto"/>
      </w:divBdr>
    </w:div>
    <w:div w:id="1108354549">
      <w:bodyDiv w:val="1"/>
      <w:marLeft w:val="0"/>
      <w:marRight w:val="0"/>
      <w:marTop w:val="0"/>
      <w:marBottom w:val="0"/>
      <w:divBdr>
        <w:top w:val="none" w:sz="0" w:space="0" w:color="auto"/>
        <w:left w:val="none" w:sz="0" w:space="0" w:color="auto"/>
        <w:bottom w:val="none" w:sz="0" w:space="0" w:color="auto"/>
        <w:right w:val="none" w:sz="0" w:space="0" w:color="auto"/>
      </w:divBdr>
    </w:div>
    <w:div w:id="1115754127">
      <w:bodyDiv w:val="1"/>
      <w:marLeft w:val="0"/>
      <w:marRight w:val="0"/>
      <w:marTop w:val="0"/>
      <w:marBottom w:val="0"/>
      <w:divBdr>
        <w:top w:val="none" w:sz="0" w:space="0" w:color="auto"/>
        <w:left w:val="none" w:sz="0" w:space="0" w:color="auto"/>
        <w:bottom w:val="none" w:sz="0" w:space="0" w:color="auto"/>
        <w:right w:val="none" w:sz="0" w:space="0" w:color="auto"/>
      </w:divBdr>
    </w:div>
    <w:div w:id="1133213527">
      <w:bodyDiv w:val="1"/>
      <w:marLeft w:val="0"/>
      <w:marRight w:val="0"/>
      <w:marTop w:val="0"/>
      <w:marBottom w:val="0"/>
      <w:divBdr>
        <w:top w:val="none" w:sz="0" w:space="0" w:color="auto"/>
        <w:left w:val="none" w:sz="0" w:space="0" w:color="auto"/>
        <w:bottom w:val="none" w:sz="0" w:space="0" w:color="auto"/>
        <w:right w:val="none" w:sz="0" w:space="0" w:color="auto"/>
      </w:divBdr>
    </w:div>
    <w:div w:id="1149979035">
      <w:bodyDiv w:val="1"/>
      <w:marLeft w:val="0"/>
      <w:marRight w:val="0"/>
      <w:marTop w:val="0"/>
      <w:marBottom w:val="0"/>
      <w:divBdr>
        <w:top w:val="none" w:sz="0" w:space="0" w:color="auto"/>
        <w:left w:val="none" w:sz="0" w:space="0" w:color="auto"/>
        <w:bottom w:val="none" w:sz="0" w:space="0" w:color="auto"/>
        <w:right w:val="none" w:sz="0" w:space="0" w:color="auto"/>
      </w:divBdr>
    </w:div>
    <w:div w:id="1170219173">
      <w:bodyDiv w:val="1"/>
      <w:marLeft w:val="0"/>
      <w:marRight w:val="0"/>
      <w:marTop w:val="0"/>
      <w:marBottom w:val="0"/>
      <w:divBdr>
        <w:top w:val="none" w:sz="0" w:space="0" w:color="auto"/>
        <w:left w:val="none" w:sz="0" w:space="0" w:color="auto"/>
        <w:bottom w:val="none" w:sz="0" w:space="0" w:color="auto"/>
        <w:right w:val="none" w:sz="0" w:space="0" w:color="auto"/>
      </w:divBdr>
    </w:div>
    <w:div w:id="1181116760">
      <w:bodyDiv w:val="1"/>
      <w:marLeft w:val="0"/>
      <w:marRight w:val="0"/>
      <w:marTop w:val="0"/>
      <w:marBottom w:val="0"/>
      <w:divBdr>
        <w:top w:val="none" w:sz="0" w:space="0" w:color="auto"/>
        <w:left w:val="none" w:sz="0" w:space="0" w:color="auto"/>
        <w:bottom w:val="none" w:sz="0" w:space="0" w:color="auto"/>
        <w:right w:val="none" w:sz="0" w:space="0" w:color="auto"/>
      </w:divBdr>
    </w:div>
    <w:div w:id="1211573464">
      <w:bodyDiv w:val="1"/>
      <w:marLeft w:val="0"/>
      <w:marRight w:val="0"/>
      <w:marTop w:val="0"/>
      <w:marBottom w:val="0"/>
      <w:divBdr>
        <w:top w:val="none" w:sz="0" w:space="0" w:color="auto"/>
        <w:left w:val="none" w:sz="0" w:space="0" w:color="auto"/>
        <w:bottom w:val="none" w:sz="0" w:space="0" w:color="auto"/>
        <w:right w:val="none" w:sz="0" w:space="0" w:color="auto"/>
      </w:divBdr>
    </w:div>
    <w:div w:id="1221866651">
      <w:bodyDiv w:val="1"/>
      <w:marLeft w:val="0"/>
      <w:marRight w:val="0"/>
      <w:marTop w:val="0"/>
      <w:marBottom w:val="0"/>
      <w:divBdr>
        <w:top w:val="none" w:sz="0" w:space="0" w:color="auto"/>
        <w:left w:val="none" w:sz="0" w:space="0" w:color="auto"/>
        <w:bottom w:val="none" w:sz="0" w:space="0" w:color="auto"/>
        <w:right w:val="none" w:sz="0" w:space="0" w:color="auto"/>
      </w:divBdr>
    </w:div>
    <w:div w:id="1223057912">
      <w:marLeft w:val="0"/>
      <w:marRight w:val="0"/>
      <w:marTop w:val="0"/>
      <w:marBottom w:val="0"/>
      <w:divBdr>
        <w:top w:val="none" w:sz="0" w:space="0" w:color="auto"/>
        <w:left w:val="none" w:sz="0" w:space="0" w:color="auto"/>
        <w:bottom w:val="none" w:sz="0" w:space="0" w:color="auto"/>
        <w:right w:val="none" w:sz="0" w:space="0" w:color="auto"/>
      </w:divBdr>
    </w:div>
    <w:div w:id="1223057913">
      <w:marLeft w:val="0"/>
      <w:marRight w:val="0"/>
      <w:marTop w:val="0"/>
      <w:marBottom w:val="0"/>
      <w:divBdr>
        <w:top w:val="none" w:sz="0" w:space="0" w:color="auto"/>
        <w:left w:val="none" w:sz="0" w:space="0" w:color="auto"/>
        <w:bottom w:val="none" w:sz="0" w:space="0" w:color="auto"/>
        <w:right w:val="none" w:sz="0" w:space="0" w:color="auto"/>
      </w:divBdr>
    </w:div>
    <w:div w:id="1223057914">
      <w:marLeft w:val="0"/>
      <w:marRight w:val="0"/>
      <w:marTop w:val="0"/>
      <w:marBottom w:val="0"/>
      <w:divBdr>
        <w:top w:val="none" w:sz="0" w:space="0" w:color="auto"/>
        <w:left w:val="none" w:sz="0" w:space="0" w:color="auto"/>
        <w:bottom w:val="none" w:sz="0" w:space="0" w:color="auto"/>
        <w:right w:val="none" w:sz="0" w:space="0" w:color="auto"/>
      </w:divBdr>
    </w:div>
    <w:div w:id="1223057915">
      <w:marLeft w:val="0"/>
      <w:marRight w:val="0"/>
      <w:marTop w:val="0"/>
      <w:marBottom w:val="0"/>
      <w:divBdr>
        <w:top w:val="none" w:sz="0" w:space="0" w:color="auto"/>
        <w:left w:val="none" w:sz="0" w:space="0" w:color="auto"/>
        <w:bottom w:val="none" w:sz="0" w:space="0" w:color="auto"/>
        <w:right w:val="none" w:sz="0" w:space="0" w:color="auto"/>
      </w:divBdr>
    </w:div>
    <w:div w:id="1223057916">
      <w:marLeft w:val="0"/>
      <w:marRight w:val="0"/>
      <w:marTop w:val="0"/>
      <w:marBottom w:val="0"/>
      <w:divBdr>
        <w:top w:val="none" w:sz="0" w:space="0" w:color="auto"/>
        <w:left w:val="none" w:sz="0" w:space="0" w:color="auto"/>
        <w:bottom w:val="none" w:sz="0" w:space="0" w:color="auto"/>
        <w:right w:val="none" w:sz="0" w:space="0" w:color="auto"/>
      </w:divBdr>
    </w:div>
    <w:div w:id="1223057917">
      <w:marLeft w:val="0"/>
      <w:marRight w:val="0"/>
      <w:marTop w:val="0"/>
      <w:marBottom w:val="0"/>
      <w:divBdr>
        <w:top w:val="none" w:sz="0" w:space="0" w:color="auto"/>
        <w:left w:val="none" w:sz="0" w:space="0" w:color="auto"/>
        <w:bottom w:val="none" w:sz="0" w:space="0" w:color="auto"/>
        <w:right w:val="none" w:sz="0" w:space="0" w:color="auto"/>
      </w:divBdr>
    </w:div>
    <w:div w:id="1223057918">
      <w:marLeft w:val="0"/>
      <w:marRight w:val="0"/>
      <w:marTop w:val="0"/>
      <w:marBottom w:val="0"/>
      <w:divBdr>
        <w:top w:val="none" w:sz="0" w:space="0" w:color="auto"/>
        <w:left w:val="none" w:sz="0" w:space="0" w:color="auto"/>
        <w:bottom w:val="none" w:sz="0" w:space="0" w:color="auto"/>
        <w:right w:val="none" w:sz="0" w:space="0" w:color="auto"/>
      </w:divBdr>
    </w:div>
    <w:div w:id="1223057919">
      <w:marLeft w:val="0"/>
      <w:marRight w:val="0"/>
      <w:marTop w:val="0"/>
      <w:marBottom w:val="0"/>
      <w:divBdr>
        <w:top w:val="none" w:sz="0" w:space="0" w:color="auto"/>
        <w:left w:val="none" w:sz="0" w:space="0" w:color="auto"/>
        <w:bottom w:val="none" w:sz="0" w:space="0" w:color="auto"/>
        <w:right w:val="none" w:sz="0" w:space="0" w:color="auto"/>
      </w:divBdr>
    </w:div>
    <w:div w:id="1223057920">
      <w:marLeft w:val="0"/>
      <w:marRight w:val="0"/>
      <w:marTop w:val="0"/>
      <w:marBottom w:val="0"/>
      <w:divBdr>
        <w:top w:val="none" w:sz="0" w:space="0" w:color="auto"/>
        <w:left w:val="none" w:sz="0" w:space="0" w:color="auto"/>
        <w:bottom w:val="none" w:sz="0" w:space="0" w:color="auto"/>
        <w:right w:val="none" w:sz="0" w:space="0" w:color="auto"/>
      </w:divBdr>
    </w:div>
    <w:div w:id="1223057921">
      <w:marLeft w:val="0"/>
      <w:marRight w:val="0"/>
      <w:marTop w:val="0"/>
      <w:marBottom w:val="0"/>
      <w:divBdr>
        <w:top w:val="none" w:sz="0" w:space="0" w:color="auto"/>
        <w:left w:val="none" w:sz="0" w:space="0" w:color="auto"/>
        <w:bottom w:val="none" w:sz="0" w:space="0" w:color="auto"/>
        <w:right w:val="none" w:sz="0" w:space="0" w:color="auto"/>
      </w:divBdr>
    </w:div>
    <w:div w:id="1223057922">
      <w:marLeft w:val="0"/>
      <w:marRight w:val="0"/>
      <w:marTop w:val="0"/>
      <w:marBottom w:val="0"/>
      <w:divBdr>
        <w:top w:val="none" w:sz="0" w:space="0" w:color="auto"/>
        <w:left w:val="none" w:sz="0" w:space="0" w:color="auto"/>
        <w:bottom w:val="none" w:sz="0" w:space="0" w:color="auto"/>
        <w:right w:val="none" w:sz="0" w:space="0" w:color="auto"/>
      </w:divBdr>
    </w:div>
    <w:div w:id="1223057923">
      <w:marLeft w:val="0"/>
      <w:marRight w:val="0"/>
      <w:marTop w:val="0"/>
      <w:marBottom w:val="0"/>
      <w:divBdr>
        <w:top w:val="none" w:sz="0" w:space="0" w:color="auto"/>
        <w:left w:val="none" w:sz="0" w:space="0" w:color="auto"/>
        <w:bottom w:val="none" w:sz="0" w:space="0" w:color="auto"/>
        <w:right w:val="none" w:sz="0" w:space="0" w:color="auto"/>
      </w:divBdr>
    </w:div>
    <w:div w:id="1223057924">
      <w:marLeft w:val="0"/>
      <w:marRight w:val="0"/>
      <w:marTop w:val="0"/>
      <w:marBottom w:val="0"/>
      <w:divBdr>
        <w:top w:val="none" w:sz="0" w:space="0" w:color="auto"/>
        <w:left w:val="none" w:sz="0" w:space="0" w:color="auto"/>
        <w:bottom w:val="none" w:sz="0" w:space="0" w:color="auto"/>
        <w:right w:val="none" w:sz="0" w:space="0" w:color="auto"/>
      </w:divBdr>
    </w:div>
    <w:div w:id="1223057925">
      <w:marLeft w:val="0"/>
      <w:marRight w:val="0"/>
      <w:marTop w:val="0"/>
      <w:marBottom w:val="0"/>
      <w:divBdr>
        <w:top w:val="none" w:sz="0" w:space="0" w:color="auto"/>
        <w:left w:val="none" w:sz="0" w:space="0" w:color="auto"/>
        <w:bottom w:val="none" w:sz="0" w:space="0" w:color="auto"/>
        <w:right w:val="none" w:sz="0" w:space="0" w:color="auto"/>
      </w:divBdr>
    </w:div>
    <w:div w:id="1223057926">
      <w:marLeft w:val="0"/>
      <w:marRight w:val="0"/>
      <w:marTop w:val="0"/>
      <w:marBottom w:val="0"/>
      <w:divBdr>
        <w:top w:val="none" w:sz="0" w:space="0" w:color="auto"/>
        <w:left w:val="none" w:sz="0" w:space="0" w:color="auto"/>
        <w:bottom w:val="none" w:sz="0" w:space="0" w:color="auto"/>
        <w:right w:val="none" w:sz="0" w:space="0" w:color="auto"/>
      </w:divBdr>
    </w:div>
    <w:div w:id="1223057927">
      <w:marLeft w:val="0"/>
      <w:marRight w:val="0"/>
      <w:marTop w:val="0"/>
      <w:marBottom w:val="0"/>
      <w:divBdr>
        <w:top w:val="none" w:sz="0" w:space="0" w:color="auto"/>
        <w:left w:val="none" w:sz="0" w:space="0" w:color="auto"/>
        <w:bottom w:val="none" w:sz="0" w:space="0" w:color="auto"/>
        <w:right w:val="none" w:sz="0" w:space="0" w:color="auto"/>
      </w:divBdr>
    </w:div>
    <w:div w:id="1223057928">
      <w:marLeft w:val="0"/>
      <w:marRight w:val="0"/>
      <w:marTop w:val="0"/>
      <w:marBottom w:val="0"/>
      <w:divBdr>
        <w:top w:val="none" w:sz="0" w:space="0" w:color="auto"/>
        <w:left w:val="none" w:sz="0" w:space="0" w:color="auto"/>
        <w:bottom w:val="none" w:sz="0" w:space="0" w:color="auto"/>
        <w:right w:val="none" w:sz="0" w:space="0" w:color="auto"/>
      </w:divBdr>
    </w:div>
    <w:div w:id="1223057929">
      <w:marLeft w:val="0"/>
      <w:marRight w:val="0"/>
      <w:marTop w:val="0"/>
      <w:marBottom w:val="0"/>
      <w:divBdr>
        <w:top w:val="none" w:sz="0" w:space="0" w:color="auto"/>
        <w:left w:val="none" w:sz="0" w:space="0" w:color="auto"/>
        <w:bottom w:val="none" w:sz="0" w:space="0" w:color="auto"/>
        <w:right w:val="none" w:sz="0" w:space="0" w:color="auto"/>
      </w:divBdr>
    </w:div>
    <w:div w:id="1223057930">
      <w:marLeft w:val="0"/>
      <w:marRight w:val="0"/>
      <w:marTop w:val="0"/>
      <w:marBottom w:val="0"/>
      <w:divBdr>
        <w:top w:val="none" w:sz="0" w:space="0" w:color="auto"/>
        <w:left w:val="none" w:sz="0" w:space="0" w:color="auto"/>
        <w:bottom w:val="none" w:sz="0" w:space="0" w:color="auto"/>
        <w:right w:val="none" w:sz="0" w:space="0" w:color="auto"/>
      </w:divBdr>
    </w:div>
    <w:div w:id="1223057931">
      <w:marLeft w:val="0"/>
      <w:marRight w:val="0"/>
      <w:marTop w:val="0"/>
      <w:marBottom w:val="0"/>
      <w:divBdr>
        <w:top w:val="none" w:sz="0" w:space="0" w:color="auto"/>
        <w:left w:val="none" w:sz="0" w:space="0" w:color="auto"/>
        <w:bottom w:val="none" w:sz="0" w:space="0" w:color="auto"/>
        <w:right w:val="none" w:sz="0" w:space="0" w:color="auto"/>
      </w:divBdr>
    </w:div>
    <w:div w:id="1223057932">
      <w:marLeft w:val="0"/>
      <w:marRight w:val="0"/>
      <w:marTop w:val="0"/>
      <w:marBottom w:val="0"/>
      <w:divBdr>
        <w:top w:val="none" w:sz="0" w:space="0" w:color="auto"/>
        <w:left w:val="none" w:sz="0" w:space="0" w:color="auto"/>
        <w:bottom w:val="none" w:sz="0" w:space="0" w:color="auto"/>
        <w:right w:val="none" w:sz="0" w:space="0" w:color="auto"/>
      </w:divBdr>
    </w:div>
    <w:div w:id="1223057933">
      <w:marLeft w:val="0"/>
      <w:marRight w:val="0"/>
      <w:marTop w:val="0"/>
      <w:marBottom w:val="0"/>
      <w:divBdr>
        <w:top w:val="none" w:sz="0" w:space="0" w:color="auto"/>
        <w:left w:val="none" w:sz="0" w:space="0" w:color="auto"/>
        <w:bottom w:val="none" w:sz="0" w:space="0" w:color="auto"/>
        <w:right w:val="none" w:sz="0" w:space="0" w:color="auto"/>
      </w:divBdr>
    </w:div>
    <w:div w:id="1223057934">
      <w:marLeft w:val="0"/>
      <w:marRight w:val="0"/>
      <w:marTop w:val="0"/>
      <w:marBottom w:val="0"/>
      <w:divBdr>
        <w:top w:val="none" w:sz="0" w:space="0" w:color="auto"/>
        <w:left w:val="none" w:sz="0" w:space="0" w:color="auto"/>
        <w:bottom w:val="none" w:sz="0" w:space="0" w:color="auto"/>
        <w:right w:val="none" w:sz="0" w:space="0" w:color="auto"/>
      </w:divBdr>
    </w:div>
    <w:div w:id="1223057935">
      <w:marLeft w:val="0"/>
      <w:marRight w:val="0"/>
      <w:marTop w:val="0"/>
      <w:marBottom w:val="0"/>
      <w:divBdr>
        <w:top w:val="none" w:sz="0" w:space="0" w:color="auto"/>
        <w:left w:val="none" w:sz="0" w:space="0" w:color="auto"/>
        <w:bottom w:val="none" w:sz="0" w:space="0" w:color="auto"/>
        <w:right w:val="none" w:sz="0" w:space="0" w:color="auto"/>
      </w:divBdr>
    </w:div>
    <w:div w:id="1223057936">
      <w:marLeft w:val="0"/>
      <w:marRight w:val="0"/>
      <w:marTop w:val="0"/>
      <w:marBottom w:val="0"/>
      <w:divBdr>
        <w:top w:val="none" w:sz="0" w:space="0" w:color="auto"/>
        <w:left w:val="none" w:sz="0" w:space="0" w:color="auto"/>
        <w:bottom w:val="none" w:sz="0" w:space="0" w:color="auto"/>
        <w:right w:val="none" w:sz="0" w:space="0" w:color="auto"/>
      </w:divBdr>
    </w:div>
    <w:div w:id="1223057937">
      <w:marLeft w:val="0"/>
      <w:marRight w:val="0"/>
      <w:marTop w:val="0"/>
      <w:marBottom w:val="0"/>
      <w:divBdr>
        <w:top w:val="none" w:sz="0" w:space="0" w:color="auto"/>
        <w:left w:val="none" w:sz="0" w:space="0" w:color="auto"/>
        <w:bottom w:val="none" w:sz="0" w:space="0" w:color="auto"/>
        <w:right w:val="none" w:sz="0" w:space="0" w:color="auto"/>
      </w:divBdr>
    </w:div>
    <w:div w:id="1223057938">
      <w:marLeft w:val="0"/>
      <w:marRight w:val="0"/>
      <w:marTop w:val="0"/>
      <w:marBottom w:val="0"/>
      <w:divBdr>
        <w:top w:val="none" w:sz="0" w:space="0" w:color="auto"/>
        <w:left w:val="none" w:sz="0" w:space="0" w:color="auto"/>
        <w:bottom w:val="none" w:sz="0" w:space="0" w:color="auto"/>
        <w:right w:val="none" w:sz="0" w:space="0" w:color="auto"/>
      </w:divBdr>
    </w:div>
    <w:div w:id="1223057939">
      <w:marLeft w:val="0"/>
      <w:marRight w:val="0"/>
      <w:marTop w:val="0"/>
      <w:marBottom w:val="0"/>
      <w:divBdr>
        <w:top w:val="none" w:sz="0" w:space="0" w:color="auto"/>
        <w:left w:val="none" w:sz="0" w:space="0" w:color="auto"/>
        <w:bottom w:val="none" w:sz="0" w:space="0" w:color="auto"/>
        <w:right w:val="none" w:sz="0" w:space="0" w:color="auto"/>
      </w:divBdr>
    </w:div>
    <w:div w:id="1223057940">
      <w:marLeft w:val="0"/>
      <w:marRight w:val="0"/>
      <w:marTop w:val="0"/>
      <w:marBottom w:val="0"/>
      <w:divBdr>
        <w:top w:val="none" w:sz="0" w:space="0" w:color="auto"/>
        <w:left w:val="none" w:sz="0" w:space="0" w:color="auto"/>
        <w:bottom w:val="none" w:sz="0" w:space="0" w:color="auto"/>
        <w:right w:val="none" w:sz="0" w:space="0" w:color="auto"/>
      </w:divBdr>
    </w:div>
    <w:div w:id="1223057941">
      <w:marLeft w:val="0"/>
      <w:marRight w:val="0"/>
      <w:marTop w:val="0"/>
      <w:marBottom w:val="0"/>
      <w:divBdr>
        <w:top w:val="none" w:sz="0" w:space="0" w:color="auto"/>
        <w:left w:val="none" w:sz="0" w:space="0" w:color="auto"/>
        <w:bottom w:val="none" w:sz="0" w:space="0" w:color="auto"/>
        <w:right w:val="none" w:sz="0" w:space="0" w:color="auto"/>
      </w:divBdr>
    </w:div>
    <w:div w:id="1223057942">
      <w:marLeft w:val="0"/>
      <w:marRight w:val="0"/>
      <w:marTop w:val="0"/>
      <w:marBottom w:val="0"/>
      <w:divBdr>
        <w:top w:val="none" w:sz="0" w:space="0" w:color="auto"/>
        <w:left w:val="none" w:sz="0" w:space="0" w:color="auto"/>
        <w:bottom w:val="none" w:sz="0" w:space="0" w:color="auto"/>
        <w:right w:val="none" w:sz="0" w:space="0" w:color="auto"/>
      </w:divBdr>
    </w:div>
    <w:div w:id="1223057943">
      <w:marLeft w:val="0"/>
      <w:marRight w:val="0"/>
      <w:marTop w:val="0"/>
      <w:marBottom w:val="0"/>
      <w:divBdr>
        <w:top w:val="none" w:sz="0" w:space="0" w:color="auto"/>
        <w:left w:val="none" w:sz="0" w:space="0" w:color="auto"/>
        <w:bottom w:val="none" w:sz="0" w:space="0" w:color="auto"/>
        <w:right w:val="none" w:sz="0" w:space="0" w:color="auto"/>
      </w:divBdr>
    </w:div>
    <w:div w:id="1223057944">
      <w:marLeft w:val="0"/>
      <w:marRight w:val="0"/>
      <w:marTop w:val="0"/>
      <w:marBottom w:val="0"/>
      <w:divBdr>
        <w:top w:val="none" w:sz="0" w:space="0" w:color="auto"/>
        <w:left w:val="none" w:sz="0" w:space="0" w:color="auto"/>
        <w:bottom w:val="none" w:sz="0" w:space="0" w:color="auto"/>
        <w:right w:val="none" w:sz="0" w:space="0" w:color="auto"/>
      </w:divBdr>
    </w:div>
    <w:div w:id="1223057945">
      <w:marLeft w:val="0"/>
      <w:marRight w:val="0"/>
      <w:marTop w:val="0"/>
      <w:marBottom w:val="0"/>
      <w:divBdr>
        <w:top w:val="none" w:sz="0" w:space="0" w:color="auto"/>
        <w:left w:val="none" w:sz="0" w:space="0" w:color="auto"/>
        <w:bottom w:val="none" w:sz="0" w:space="0" w:color="auto"/>
        <w:right w:val="none" w:sz="0" w:space="0" w:color="auto"/>
      </w:divBdr>
    </w:div>
    <w:div w:id="1223057946">
      <w:marLeft w:val="0"/>
      <w:marRight w:val="0"/>
      <w:marTop w:val="0"/>
      <w:marBottom w:val="0"/>
      <w:divBdr>
        <w:top w:val="none" w:sz="0" w:space="0" w:color="auto"/>
        <w:left w:val="none" w:sz="0" w:space="0" w:color="auto"/>
        <w:bottom w:val="none" w:sz="0" w:space="0" w:color="auto"/>
        <w:right w:val="none" w:sz="0" w:space="0" w:color="auto"/>
      </w:divBdr>
    </w:div>
    <w:div w:id="1223057947">
      <w:marLeft w:val="0"/>
      <w:marRight w:val="0"/>
      <w:marTop w:val="0"/>
      <w:marBottom w:val="0"/>
      <w:divBdr>
        <w:top w:val="none" w:sz="0" w:space="0" w:color="auto"/>
        <w:left w:val="none" w:sz="0" w:space="0" w:color="auto"/>
        <w:bottom w:val="none" w:sz="0" w:space="0" w:color="auto"/>
        <w:right w:val="none" w:sz="0" w:space="0" w:color="auto"/>
      </w:divBdr>
    </w:div>
    <w:div w:id="1223057948">
      <w:marLeft w:val="0"/>
      <w:marRight w:val="0"/>
      <w:marTop w:val="0"/>
      <w:marBottom w:val="0"/>
      <w:divBdr>
        <w:top w:val="none" w:sz="0" w:space="0" w:color="auto"/>
        <w:left w:val="none" w:sz="0" w:space="0" w:color="auto"/>
        <w:bottom w:val="none" w:sz="0" w:space="0" w:color="auto"/>
        <w:right w:val="none" w:sz="0" w:space="0" w:color="auto"/>
      </w:divBdr>
    </w:div>
    <w:div w:id="1223057949">
      <w:marLeft w:val="0"/>
      <w:marRight w:val="0"/>
      <w:marTop w:val="0"/>
      <w:marBottom w:val="0"/>
      <w:divBdr>
        <w:top w:val="none" w:sz="0" w:space="0" w:color="auto"/>
        <w:left w:val="none" w:sz="0" w:space="0" w:color="auto"/>
        <w:bottom w:val="none" w:sz="0" w:space="0" w:color="auto"/>
        <w:right w:val="none" w:sz="0" w:space="0" w:color="auto"/>
      </w:divBdr>
    </w:div>
    <w:div w:id="1223057950">
      <w:marLeft w:val="0"/>
      <w:marRight w:val="0"/>
      <w:marTop w:val="0"/>
      <w:marBottom w:val="0"/>
      <w:divBdr>
        <w:top w:val="none" w:sz="0" w:space="0" w:color="auto"/>
        <w:left w:val="none" w:sz="0" w:space="0" w:color="auto"/>
        <w:bottom w:val="none" w:sz="0" w:space="0" w:color="auto"/>
        <w:right w:val="none" w:sz="0" w:space="0" w:color="auto"/>
      </w:divBdr>
    </w:div>
    <w:div w:id="1223057951">
      <w:marLeft w:val="0"/>
      <w:marRight w:val="0"/>
      <w:marTop w:val="0"/>
      <w:marBottom w:val="0"/>
      <w:divBdr>
        <w:top w:val="none" w:sz="0" w:space="0" w:color="auto"/>
        <w:left w:val="none" w:sz="0" w:space="0" w:color="auto"/>
        <w:bottom w:val="none" w:sz="0" w:space="0" w:color="auto"/>
        <w:right w:val="none" w:sz="0" w:space="0" w:color="auto"/>
      </w:divBdr>
    </w:div>
    <w:div w:id="1223057952">
      <w:marLeft w:val="0"/>
      <w:marRight w:val="0"/>
      <w:marTop w:val="0"/>
      <w:marBottom w:val="0"/>
      <w:divBdr>
        <w:top w:val="none" w:sz="0" w:space="0" w:color="auto"/>
        <w:left w:val="none" w:sz="0" w:space="0" w:color="auto"/>
        <w:bottom w:val="none" w:sz="0" w:space="0" w:color="auto"/>
        <w:right w:val="none" w:sz="0" w:space="0" w:color="auto"/>
      </w:divBdr>
    </w:div>
    <w:div w:id="1223057953">
      <w:marLeft w:val="0"/>
      <w:marRight w:val="0"/>
      <w:marTop w:val="0"/>
      <w:marBottom w:val="0"/>
      <w:divBdr>
        <w:top w:val="none" w:sz="0" w:space="0" w:color="auto"/>
        <w:left w:val="none" w:sz="0" w:space="0" w:color="auto"/>
        <w:bottom w:val="none" w:sz="0" w:space="0" w:color="auto"/>
        <w:right w:val="none" w:sz="0" w:space="0" w:color="auto"/>
      </w:divBdr>
    </w:div>
    <w:div w:id="1223057954">
      <w:marLeft w:val="0"/>
      <w:marRight w:val="0"/>
      <w:marTop w:val="0"/>
      <w:marBottom w:val="0"/>
      <w:divBdr>
        <w:top w:val="none" w:sz="0" w:space="0" w:color="auto"/>
        <w:left w:val="none" w:sz="0" w:space="0" w:color="auto"/>
        <w:bottom w:val="none" w:sz="0" w:space="0" w:color="auto"/>
        <w:right w:val="none" w:sz="0" w:space="0" w:color="auto"/>
      </w:divBdr>
    </w:div>
    <w:div w:id="1223057955">
      <w:marLeft w:val="0"/>
      <w:marRight w:val="0"/>
      <w:marTop w:val="0"/>
      <w:marBottom w:val="0"/>
      <w:divBdr>
        <w:top w:val="none" w:sz="0" w:space="0" w:color="auto"/>
        <w:left w:val="none" w:sz="0" w:space="0" w:color="auto"/>
        <w:bottom w:val="none" w:sz="0" w:space="0" w:color="auto"/>
        <w:right w:val="none" w:sz="0" w:space="0" w:color="auto"/>
      </w:divBdr>
    </w:div>
    <w:div w:id="1223057956">
      <w:marLeft w:val="0"/>
      <w:marRight w:val="0"/>
      <w:marTop w:val="0"/>
      <w:marBottom w:val="0"/>
      <w:divBdr>
        <w:top w:val="none" w:sz="0" w:space="0" w:color="auto"/>
        <w:left w:val="none" w:sz="0" w:space="0" w:color="auto"/>
        <w:bottom w:val="none" w:sz="0" w:space="0" w:color="auto"/>
        <w:right w:val="none" w:sz="0" w:space="0" w:color="auto"/>
      </w:divBdr>
    </w:div>
    <w:div w:id="1223057957">
      <w:marLeft w:val="0"/>
      <w:marRight w:val="0"/>
      <w:marTop w:val="0"/>
      <w:marBottom w:val="0"/>
      <w:divBdr>
        <w:top w:val="none" w:sz="0" w:space="0" w:color="auto"/>
        <w:left w:val="none" w:sz="0" w:space="0" w:color="auto"/>
        <w:bottom w:val="none" w:sz="0" w:space="0" w:color="auto"/>
        <w:right w:val="none" w:sz="0" w:space="0" w:color="auto"/>
      </w:divBdr>
    </w:div>
    <w:div w:id="1223057958">
      <w:marLeft w:val="0"/>
      <w:marRight w:val="0"/>
      <w:marTop w:val="0"/>
      <w:marBottom w:val="0"/>
      <w:divBdr>
        <w:top w:val="none" w:sz="0" w:space="0" w:color="auto"/>
        <w:left w:val="none" w:sz="0" w:space="0" w:color="auto"/>
        <w:bottom w:val="none" w:sz="0" w:space="0" w:color="auto"/>
        <w:right w:val="none" w:sz="0" w:space="0" w:color="auto"/>
      </w:divBdr>
    </w:div>
    <w:div w:id="1223057959">
      <w:marLeft w:val="0"/>
      <w:marRight w:val="0"/>
      <w:marTop w:val="0"/>
      <w:marBottom w:val="0"/>
      <w:divBdr>
        <w:top w:val="none" w:sz="0" w:space="0" w:color="auto"/>
        <w:left w:val="none" w:sz="0" w:space="0" w:color="auto"/>
        <w:bottom w:val="none" w:sz="0" w:space="0" w:color="auto"/>
        <w:right w:val="none" w:sz="0" w:space="0" w:color="auto"/>
      </w:divBdr>
    </w:div>
    <w:div w:id="1223057960">
      <w:marLeft w:val="0"/>
      <w:marRight w:val="0"/>
      <w:marTop w:val="0"/>
      <w:marBottom w:val="0"/>
      <w:divBdr>
        <w:top w:val="none" w:sz="0" w:space="0" w:color="auto"/>
        <w:left w:val="none" w:sz="0" w:space="0" w:color="auto"/>
        <w:bottom w:val="none" w:sz="0" w:space="0" w:color="auto"/>
        <w:right w:val="none" w:sz="0" w:space="0" w:color="auto"/>
      </w:divBdr>
    </w:div>
    <w:div w:id="1223057961">
      <w:marLeft w:val="0"/>
      <w:marRight w:val="0"/>
      <w:marTop w:val="0"/>
      <w:marBottom w:val="0"/>
      <w:divBdr>
        <w:top w:val="none" w:sz="0" w:space="0" w:color="auto"/>
        <w:left w:val="none" w:sz="0" w:space="0" w:color="auto"/>
        <w:bottom w:val="none" w:sz="0" w:space="0" w:color="auto"/>
        <w:right w:val="none" w:sz="0" w:space="0" w:color="auto"/>
      </w:divBdr>
    </w:div>
    <w:div w:id="1223057962">
      <w:marLeft w:val="0"/>
      <w:marRight w:val="0"/>
      <w:marTop w:val="0"/>
      <w:marBottom w:val="0"/>
      <w:divBdr>
        <w:top w:val="none" w:sz="0" w:space="0" w:color="auto"/>
        <w:left w:val="none" w:sz="0" w:space="0" w:color="auto"/>
        <w:bottom w:val="none" w:sz="0" w:space="0" w:color="auto"/>
        <w:right w:val="none" w:sz="0" w:space="0" w:color="auto"/>
      </w:divBdr>
    </w:div>
    <w:div w:id="1223057963">
      <w:marLeft w:val="0"/>
      <w:marRight w:val="0"/>
      <w:marTop w:val="0"/>
      <w:marBottom w:val="0"/>
      <w:divBdr>
        <w:top w:val="none" w:sz="0" w:space="0" w:color="auto"/>
        <w:left w:val="none" w:sz="0" w:space="0" w:color="auto"/>
        <w:bottom w:val="none" w:sz="0" w:space="0" w:color="auto"/>
        <w:right w:val="none" w:sz="0" w:space="0" w:color="auto"/>
      </w:divBdr>
    </w:div>
    <w:div w:id="1223057964">
      <w:marLeft w:val="0"/>
      <w:marRight w:val="0"/>
      <w:marTop w:val="0"/>
      <w:marBottom w:val="0"/>
      <w:divBdr>
        <w:top w:val="none" w:sz="0" w:space="0" w:color="auto"/>
        <w:left w:val="none" w:sz="0" w:space="0" w:color="auto"/>
        <w:bottom w:val="none" w:sz="0" w:space="0" w:color="auto"/>
        <w:right w:val="none" w:sz="0" w:space="0" w:color="auto"/>
      </w:divBdr>
    </w:div>
    <w:div w:id="1223057965">
      <w:marLeft w:val="0"/>
      <w:marRight w:val="0"/>
      <w:marTop w:val="0"/>
      <w:marBottom w:val="0"/>
      <w:divBdr>
        <w:top w:val="none" w:sz="0" w:space="0" w:color="auto"/>
        <w:left w:val="none" w:sz="0" w:space="0" w:color="auto"/>
        <w:bottom w:val="none" w:sz="0" w:space="0" w:color="auto"/>
        <w:right w:val="none" w:sz="0" w:space="0" w:color="auto"/>
      </w:divBdr>
    </w:div>
    <w:div w:id="1223057966">
      <w:marLeft w:val="0"/>
      <w:marRight w:val="0"/>
      <w:marTop w:val="0"/>
      <w:marBottom w:val="0"/>
      <w:divBdr>
        <w:top w:val="none" w:sz="0" w:space="0" w:color="auto"/>
        <w:left w:val="none" w:sz="0" w:space="0" w:color="auto"/>
        <w:bottom w:val="none" w:sz="0" w:space="0" w:color="auto"/>
        <w:right w:val="none" w:sz="0" w:space="0" w:color="auto"/>
      </w:divBdr>
    </w:div>
    <w:div w:id="1223057967">
      <w:marLeft w:val="0"/>
      <w:marRight w:val="0"/>
      <w:marTop w:val="0"/>
      <w:marBottom w:val="0"/>
      <w:divBdr>
        <w:top w:val="none" w:sz="0" w:space="0" w:color="auto"/>
        <w:left w:val="none" w:sz="0" w:space="0" w:color="auto"/>
        <w:bottom w:val="none" w:sz="0" w:space="0" w:color="auto"/>
        <w:right w:val="none" w:sz="0" w:space="0" w:color="auto"/>
      </w:divBdr>
    </w:div>
    <w:div w:id="1223057968">
      <w:marLeft w:val="0"/>
      <w:marRight w:val="0"/>
      <w:marTop w:val="0"/>
      <w:marBottom w:val="0"/>
      <w:divBdr>
        <w:top w:val="none" w:sz="0" w:space="0" w:color="auto"/>
        <w:left w:val="none" w:sz="0" w:space="0" w:color="auto"/>
        <w:bottom w:val="none" w:sz="0" w:space="0" w:color="auto"/>
        <w:right w:val="none" w:sz="0" w:space="0" w:color="auto"/>
      </w:divBdr>
    </w:div>
    <w:div w:id="1223057969">
      <w:marLeft w:val="0"/>
      <w:marRight w:val="0"/>
      <w:marTop w:val="0"/>
      <w:marBottom w:val="0"/>
      <w:divBdr>
        <w:top w:val="none" w:sz="0" w:space="0" w:color="auto"/>
        <w:left w:val="none" w:sz="0" w:space="0" w:color="auto"/>
        <w:bottom w:val="none" w:sz="0" w:space="0" w:color="auto"/>
        <w:right w:val="none" w:sz="0" w:space="0" w:color="auto"/>
      </w:divBdr>
    </w:div>
    <w:div w:id="1223057970">
      <w:marLeft w:val="0"/>
      <w:marRight w:val="0"/>
      <w:marTop w:val="0"/>
      <w:marBottom w:val="0"/>
      <w:divBdr>
        <w:top w:val="none" w:sz="0" w:space="0" w:color="auto"/>
        <w:left w:val="none" w:sz="0" w:space="0" w:color="auto"/>
        <w:bottom w:val="none" w:sz="0" w:space="0" w:color="auto"/>
        <w:right w:val="none" w:sz="0" w:space="0" w:color="auto"/>
      </w:divBdr>
    </w:div>
    <w:div w:id="1223057971">
      <w:marLeft w:val="0"/>
      <w:marRight w:val="0"/>
      <w:marTop w:val="0"/>
      <w:marBottom w:val="0"/>
      <w:divBdr>
        <w:top w:val="none" w:sz="0" w:space="0" w:color="auto"/>
        <w:left w:val="none" w:sz="0" w:space="0" w:color="auto"/>
        <w:bottom w:val="none" w:sz="0" w:space="0" w:color="auto"/>
        <w:right w:val="none" w:sz="0" w:space="0" w:color="auto"/>
      </w:divBdr>
    </w:div>
    <w:div w:id="1223057972">
      <w:marLeft w:val="0"/>
      <w:marRight w:val="0"/>
      <w:marTop w:val="0"/>
      <w:marBottom w:val="0"/>
      <w:divBdr>
        <w:top w:val="none" w:sz="0" w:space="0" w:color="auto"/>
        <w:left w:val="none" w:sz="0" w:space="0" w:color="auto"/>
        <w:bottom w:val="none" w:sz="0" w:space="0" w:color="auto"/>
        <w:right w:val="none" w:sz="0" w:space="0" w:color="auto"/>
      </w:divBdr>
    </w:div>
    <w:div w:id="1223057973">
      <w:marLeft w:val="0"/>
      <w:marRight w:val="0"/>
      <w:marTop w:val="0"/>
      <w:marBottom w:val="0"/>
      <w:divBdr>
        <w:top w:val="none" w:sz="0" w:space="0" w:color="auto"/>
        <w:left w:val="none" w:sz="0" w:space="0" w:color="auto"/>
        <w:bottom w:val="none" w:sz="0" w:space="0" w:color="auto"/>
        <w:right w:val="none" w:sz="0" w:space="0" w:color="auto"/>
      </w:divBdr>
    </w:div>
    <w:div w:id="1223057974">
      <w:marLeft w:val="0"/>
      <w:marRight w:val="0"/>
      <w:marTop w:val="0"/>
      <w:marBottom w:val="0"/>
      <w:divBdr>
        <w:top w:val="none" w:sz="0" w:space="0" w:color="auto"/>
        <w:left w:val="none" w:sz="0" w:space="0" w:color="auto"/>
        <w:bottom w:val="none" w:sz="0" w:space="0" w:color="auto"/>
        <w:right w:val="none" w:sz="0" w:space="0" w:color="auto"/>
      </w:divBdr>
    </w:div>
    <w:div w:id="1223057975">
      <w:marLeft w:val="0"/>
      <w:marRight w:val="0"/>
      <w:marTop w:val="0"/>
      <w:marBottom w:val="0"/>
      <w:divBdr>
        <w:top w:val="none" w:sz="0" w:space="0" w:color="auto"/>
        <w:left w:val="none" w:sz="0" w:space="0" w:color="auto"/>
        <w:bottom w:val="none" w:sz="0" w:space="0" w:color="auto"/>
        <w:right w:val="none" w:sz="0" w:space="0" w:color="auto"/>
      </w:divBdr>
    </w:div>
    <w:div w:id="1223057976">
      <w:marLeft w:val="0"/>
      <w:marRight w:val="0"/>
      <w:marTop w:val="0"/>
      <w:marBottom w:val="0"/>
      <w:divBdr>
        <w:top w:val="none" w:sz="0" w:space="0" w:color="auto"/>
        <w:left w:val="none" w:sz="0" w:space="0" w:color="auto"/>
        <w:bottom w:val="none" w:sz="0" w:space="0" w:color="auto"/>
        <w:right w:val="none" w:sz="0" w:space="0" w:color="auto"/>
      </w:divBdr>
    </w:div>
    <w:div w:id="1223057977">
      <w:marLeft w:val="0"/>
      <w:marRight w:val="0"/>
      <w:marTop w:val="0"/>
      <w:marBottom w:val="0"/>
      <w:divBdr>
        <w:top w:val="none" w:sz="0" w:space="0" w:color="auto"/>
        <w:left w:val="none" w:sz="0" w:space="0" w:color="auto"/>
        <w:bottom w:val="none" w:sz="0" w:space="0" w:color="auto"/>
        <w:right w:val="none" w:sz="0" w:space="0" w:color="auto"/>
      </w:divBdr>
    </w:div>
    <w:div w:id="1223057978">
      <w:marLeft w:val="0"/>
      <w:marRight w:val="0"/>
      <w:marTop w:val="0"/>
      <w:marBottom w:val="0"/>
      <w:divBdr>
        <w:top w:val="none" w:sz="0" w:space="0" w:color="auto"/>
        <w:left w:val="none" w:sz="0" w:space="0" w:color="auto"/>
        <w:bottom w:val="none" w:sz="0" w:space="0" w:color="auto"/>
        <w:right w:val="none" w:sz="0" w:space="0" w:color="auto"/>
      </w:divBdr>
    </w:div>
    <w:div w:id="1223057979">
      <w:marLeft w:val="0"/>
      <w:marRight w:val="0"/>
      <w:marTop w:val="0"/>
      <w:marBottom w:val="0"/>
      <w:divBdr>
        <w:top w:val="none" w:sz="0" w:space="0" w:color="auto"/>
        <w:left w:val="none" w:sz="0" w:space="0" w:color="auto"/>
        <w:bottom w:val="none" w:sz="0" w:space="0" w:color="auto"/>
        <w:right w:val="none" w:sz="0" w:space="0" w:color="auto"/>
      </w:divBdr>
    </w:div>
    <w:div w:id="1223057980">
      <w:marLeft w:val="0"/>
      <w:marRight w:val="0"/>
      <w:marTop w:val="0"/>
      <w:marBottom w:val="0"/>
      <w:divBdr>
        <w:top w:val="none" w:sz="0" w:space="0" w:color="auto"/>
        <w:left w:val="none" w:sz="0" w:space="0" w:color="auto"/>
        <w:bottom w:val="none" w:sz="0" w:space="0" w:color="auto"/>
        <w:right w:val="none" w:sz="0" w:space="0" w:color="auto"/>
      </w:divBdr>
    </w:div>
    <w:div w:id="1223057981">
      <w:marLeft w:val="0"/>
      <w:marRight w:val="0"/>
      <w:marTop w:val="0"/>
      <w:marBottom w:val="0"/>
      <w:divBdr>
        <w:top w:val="none" w:sz="0" w:space="0" w:color="auto"/>
        <w:left w:val="none" w:sz="0" w:space="0" w:color="auto"/>
        <w:bottom w:val="none" w:sz="0" w:space="0" w:color="auto"/>
        <w:right w:val="none" w:sz="0" w:space="0" w:color="auto"/>
      </w:divBdr>
    </w:div>
    <w:div w:id="1223057982">
      <w:marLeft w:val="0"/>
      <w:marRight w:val="0"/>
      <w:marTop w:val="0"/>
      <w:marBottom w:val="0"/>
      <w:divBdr>
        <w:top w:val="none" w:sz="0" w:space="0" w:color="auto"/>
        <w:left w:val="none" w:sz="0" w:space="0" w:color="auto"/>
        <w:bottom w:val="none" w:sz="0" w:space="0" w:color="auto"/>
        <w:right w:val="none" w:sz="0" w:space="0" w:color="auto"/>
      </w:divBdr>
    </w:div>
    <w:div w:id="1223057983">
      <w:marLeft w:val="0"/>
      <w:marRight w:val="0"/>
      <w:marTop w:val="0"/>
      <w:marBottom w:val="0"/>
      <w:divBdr>
        <w:top w:val="none" w:sz="0" w:space="0" w:color="auto"/>
        <w:left w:val="none" w:sz="0" w:space="0" w:color="auto"/>
        <w:bottom w:val="none" w:sz="0" w:space="0" w:color="auto"/>
        <w:right w:val="none" w:sz="0" w:space="0" w:color="auto"/>
      </w:divBdr>
    </w:div>
    <w:div w:id="1223057984">
      <w:marLeft w:val="0"/>
      <w:marRight w:val="0"/>
      <w:marTop w:val="0"/>
      <w:marBottom w:val="0"/>
      <w:divBdr>
        <w:top w:val="none" w:sz="0" w:space="0" w:color="auto"/>
        <w:left w:val="none" w:sz="0" w:space="0" w:color="auto"/>
        <w:bottom w:val="none" w:sz="0" w:space="0" w:color="auto"/>
        <w:right w:val="none" w:sz="0" w:space="0" w:color="auto"/>
      </w:divBdr>
    </w:div>
    <w:div w:id="1223057985">
      <w:marLeft w:val="0"/>
      <w:marRight w:val="0"/>
      <w:marTop w:val="0"/>
      <w:marBottom w:val="0"/>
      <w:divBdr>
        <w:top w:val="none" w:sz="0" w:space="0" w:color="auto"/>
        <w:left w:val="none" w:sz="0" w:space="0" w:color="auto"/>
        <w:bottom w:val="none" w:sz="0" w:space="0" w:color="auto"/>
        <w:right w:val="none" w:sz="0" w:space="0" w:color="auto"/>
      </w:divBdr>
    </w:div>
    <w:div w:id="1223057986">
      <w:marLeft w:val="0"/>
      <w:marRight w:val="0"/>
      <w:marTop w:val="0"/>
      <w:marBottom w:val="0"/>
      <w:divBdr>
        <w:top w:val="none" w:sz="0" w:space="0" w:color="auto"/>
        <w:left w:val="none" w:sz="0" w:space="0" w:color="auto"/>
        <w:bottom w:val="none" w:sz="0" w:space="0" w:color="auto"/>
        <w:right w:val="none" w:sz="0" w:space="0" w:color="auto"/>
      </w:divBdr>
    </w:div>
    <w:div w:id="1223057987">
      <w:marLeft w:val="0"/>
      <w:marRight w:val="0"/>
      <w:marTop w:val="0"/>
      <w:marBottom w:val="0"/>
      <w:divBdr>
        <w:top w:val="none" w:sz="0" w:space="0" w:color="auto"/>
        <w:left w:val="none" w:sz="0" w:space="0" w:color="auto"/>
        <w:bottom w:val="none" w:sz="0" w:space="0" w:color="auto"/>
        <w:right w:val="none" w:sz="0" w:space="0" w:color="auto"/>
      </w:divBdr>
    </w:div>
    <w:div w:id="1223057988">
      <w:marLeft w:val="0"/>
      <w:marRight w:val="0"/>
      <w:marTop w:val="0"/>
      <w:marBottom w:val="0"/>
      <w:divBdr>
        <w:top w:val="none" w:sz="0" w:space="0" w:color="auto"/>
        <w:left w:val="none" w:sz="0" w:space="0" w:color="auto"/>
        <w:bottom w:val="none" w:sz="0" w:space="0" w:color="auto"/>
        <w:right w:val="none" w:sz="0" w:space="0" w:color="auto"/>
      </w:divBdr>
    </w:div>
    <w:div w:id="1223057989">
      <w:marLeft w:val="0"/>
      <w:marRight w:val="0"/>
      <w:marTop w:val="0"/>
      <w:marBottom w:val="0"/>
      <w:divBdr>
        <w:top w:val="none" w:sz="0" w:space="0" w:color="auto"/>
        <w:left w:val="none" w:sz="0" w:space="0" w:color="auto"/>
        <w:bottom w:val="none" w:sz="0" w:space="0" w:color="auto"/>
        <w:right w:val="none" w:sz="0" w:space="0" w:color="auto"/>
      </w:divBdr>
    </w:div>
    <w:div w:id="1223057990">
      <w:marLeft w:val="0"/>
      <w:marRight w:val="0"/>
      <w:marTop w:val="0"/>
      <w:marBottom w:val="0"/>
      <w:divBdr>
        <w:top w:val="none" w:sz="0" w:space="0" w:color="auto"/>
        <w:left w:val="none" w:sz="0" w:space="0" w:color="auto"/>
        <w:bottom w:val="none" w:sz="0" w:space="0" w:color="auto"/>
        <w:right w:val="none" w:sz="0" w:space="0" w:color="auto"/>
      </w:divBdr>
    </w:div>
    <w:div w:id="1223057991">
      <w:marLeft w:val="0"/>
      <w:marRight w:val="0"/>
      <w:marTop w:val="0"/>
      <w:marBottom w:val="0"/>
      <w:divBdr>
        <w:top w:val="none" w:sz="0" w:space="0" w:color="auto"/>
        <w:left w:val="none" w:sz="0" w:space="0" w:color="auto"/>
        <w:bottom w:val="none" w:sz="0" w:space="0" w:color="auto"/>
        <w:right w:val="none" w:sz="0" w:space="0" w:color="auto"/>
      </w:divBdr>
    </w:div>
    <w:div w:id="1223057992">
      <w:marLeft w:val="0"/>
      <w:marRight w:val="0"/>
      <w:marTop w:val="0"/>
      <w:marBottom w:val="0"/>
      <w:divBdr>
        <w:top w:val="none" w:sz="0" w:space="0" w:color="auto"/>
        <w:left w:val="none" w:sz="0" w:space="0" w:color="auto"/>
        <w:bottom w:val="none" w:sz="0" w:space="0" w:color="auto"/>
        <w:right w:val="none" w:sz="0" w:space="0" w:color="auto"/>
      </w:divBdr>
    </w:div>
    <w:div w:id="1223057993">
      <w:marLeft w:val="0"/>
      <w:marRight w:val="0"/>
      <w:marTop w:val="0"/>
      <w:marBottom w:val="0"/>
      <w:divBdr>
        <w:top w:val="none" w:sz="0" w:space="0" w:color="auto"/>
        <w:left w:val="none" w:sz="0" w:space="0" w:color="auto"/>
        <w:bottom w:val="none" w:sz="0" w:space="0" w:color="auto"/>
        <w:right w:val="none" w:sz="0" w:space="0" w:color="auto"/>
      </w:divBdr>
    </w:div>
    <w:div w:id="1223057994">
      <w:marLeft w:val="0"/>
      <w:marRight w:val="0"/>
      <w:marTop w:val="0"/>
      <w:marBottom w:val="0"/>
      <w:divBdr>
        <w:top w:val="none" w:sz="0" w:space="0" w:color="auto"/>
        <w:left w:val="none" w:sz="0" w:space="0" w:color="auto"/>
        <w:bottom w:val="none" w:sz="0" w:space="0" w:color="auto"/>
        <w:right w:val="none" w:sz="0" w:space="0" w:color="auto"/>
      </w:divBdr>
    </w:div>
    <w:div w:id="1223057995">
      <w:marLeft w:val="0"/>
      <w:marRight w:val="0"/>
      <w:marTop w:val="0"/>
      <w:marBottom w:val="0"/>
      <w:divBdr>
        <w:top w:val="none" w:sz="0" w:space="0" w:color="auto"/>
        <w:left w:val="none" w:sz="0" w:space="0" w:color="auto"/>
        <w:bottom w:val="none" w:sz="0" w:space="0" w:color="auto"/>
        <w:right w:val="none" w:sz="0" w:space="0" w:color="auto"/>
      </w:divBdr>
    </w:div>
    <w:div w:id="1223057996">
      <w:marLeft w:val="0"/>
      <w:marRight w:val="0"/>
      <w:marTop w:val="0"/>
      <w:marBottom w:val="0"/>
      <w:divBdr>
        <w:top w:val="none" w:sz="0" w:space="0" w:color="auto"/>
        <w:left w:val="none" w:sz="0" w:space="0" w:color="auto"/>
        <w:bottom w:val="none" w:sz="0" w:space="0" w:color="auto"/>
        <w:right w:val="none" w:sz="0" w:space="0" w:color="auto"/>
      </w:divBdr>
    </w:div>
    <w:div w:id="1223057997">
      <w:marLeft w:val="0"/>
      <w:marRight w:val="0"/>
      <w:marTop w:val="0"/>
      <w:marBottom w:val="0"/>
      <w:divBdr>
        <w:top w:val="none" w:sz="0" w:space="0" w:color="auto"/>
        <w:left w:val="none" w:sz="0" w:space="0" w:color="auto"/>
        <w:bottom w:val="none" w:sz="0" w:space="0" w:color="auto"/>
        <w:right w:val="none" w:sz="0" w:space="0" w:color="auto"/>
      </w:divBdr>
    </w:div>
    <w:div w:id="1223057998">
      <w:marLeft w:val="0"/>
      <w:marRight w:val="0"/>
      <w:marTop w:val="0"/>
      <w:marBottom w:val="0"/>
      <w:divBdr>
        <w:top w:val="none" w:sz="0" w:space="0" w:color="auto"/>
        <w:left w:val="none" w:sz="0" w:space="0" w:color="auto"/>
        <w:bottom w:val="none" w:sz="0" w:space="0" w:color="auto"/>
        <w:right w:val="none" w:sz="0" w:space="0" w:color="auto"/>
      </w:divBdr>
    </w:div>
    <w:div w:id="1223057999">
      <w:marLeft w:val="0"/>
      <w:marRight w:val="0"/>
      <w:marTop w:val="0"/>
      <w:marBottom w:val="0"/>
      <w:divBdr>
        <w:top w:val="none" w:sz="0" w:space="0" w:color="auto"/>
        <w:left w:val="none" w:sz="0" w:space="0" w:color="auto"/>
        <w:bottom w:val="none" w:sz="0" w:space="0" w:color="auto"/>
        <w:right w:val="none" w:sz="0" w:space="0" w:color="auto"/>
      </w:divBdr>
    </w:div>
    <w:div w:id="1223058000">
      <w:marLeft w:val="0"/>
      <w:marRight w:val="0"/>
      <w:marTop w:val="0"/>
      <w:marBottom w:val="0"/>
      <w:divBdr>
        <w:top w:val="none" w:sz="0" w:space="0" w:color="auto"/>
        <w:left w:val="none" w:sz="0" w:space="0" w:color="auto"/>
        <w:bottom w:val="none" w:sz="0" w:space="0" w:color="auto"/>
        <w:right w:val="none" w:sz="0" w:space="0" w:color="auto"/>
      </w:divBdr>
    </w:div>
    <w:div w:id="1223058001">
      <w:marLeft w:val="0"/>
      <w:marRight w:val="0"/>
      <w:marTop w:val="0"/>
      <w:marBottom w:val="0"/>
      <w:divBdr>
        <w:top w:val="none" w:sz="0" w:space="0" w:color="auto"/>
        <w:left w:val="none" w:sz="0" w:space="0" w:color="auto"/>
        <w:bottom w:val="none" w:sz="0" w:space="0" w:color="auto"/>
        <w:right w:val="none" w:sz="0" w:space="0" w:color="auto"/>
      </w:divBdr>
    </w:div>
    <w:div w:id="1223058002">
      <w:marLeft w:val="0"/>
      <w:marRight w:val="0"/>
      <w:marTop w:val="0"/>
      <w:marBottom w:val="0"/>
      <w:divBdr>
        <w:top w:val="none" w:sz="0" w:space="0" w:color="auto"/>
        <w:left w:val="none" w:sz="0" w:space="0" w:color="auto"/>
        <w:bottom w:val="none" w:sz="0" w:space="0" w:color="auto"/>
        <w:right w:val="none" w:sz="0" w:space="0" w:color="auto"/>
      </w:divBdr>
    </w:div>
    <w:div w:id="1223058003">
      <w:marLeft w:val="0"/>
      <w:marRight w:val="0"/>
      <w:marTop w:val="0"/>
      <w:marBottom w:val="0"/>
      <w:divBdr>
        <w:top w:val="none" w:sz="0" w:space="0" w:color="auto"/>
        <w:left w:val="none" w:sz="0" w:space="0" w:color="auto"/>
        <w:bottom w:val="none" w:sz="0" w:space="0" w:color="auto"/>
        <w:right w:val="none" w:sz="0" w:space="0" w:color="auto"/>
      </w:divBdr>
    </w:div>
    <w:div w:id="1223058004">
      <w:marLeft w:val="0"/>
      <w:marRight w:val="0"/>
      <w:marTop w:val="0"/>
      <w:marBottom w:val="0"/>
      <w:divBdr>
        <w:top w:val="none" w:sz="0" w:space="0" w:color="auto"/>
        <w:left w:val="none" w:sz="0" w:space="0" w:color="auto"/>
        <w:bottom w:val="none" w:sz="0" w:space="0" w:color="auto"/>
        <w:right w:val="none" w:sz="0" w:space="0" w:color="auto"/>
      </w:divBdr>
    </w:div>
    <w:div w:id="1223058005">
      <w:marLeft w:val="0"/>
      <w:marRight w:val="0"/>
      <w:marTop w:val="0"/>
      <w:marBottom w:val="0"/>
      <w:divBdr>
        <w:top w:val="none" w:sz="0" w:space="0" w:color="auto"/>
        <w:left w:val="none" w:sz="0" w:space="0" w:color="auto"/>
        <w:bottom w:val="none" w:sz="0" w:space="0" w:color="auto"/>
        <w:right w:val="none" w:sz="0" w:space="0" w:color="auto"/>
      </w:divBdr>
    </w:div>
    <w:div w:id="1223058006">
      <w:marLeft w:val="0"/>
      <w:marRight w:val="0"/>
      <w:marTop w:val="0"/>
      <w:marBottom w:val="0"/>
      <w:divBdr>
        <w:top w:val="none" w:sz="0" w:space="0" w:color="auto"/>
        <w:left w:val="none" w:sz="0" w:space="0" w:color="auto"/>
        <w:bottom w:val="none" w:sz="0" w:space="0" w:color="auto"/>
        <w:right w:val="none" w:sz="0" w:space="0" w:color="auto"/>
      </w:divBdr>
    </w:div>
    <w:div w:id="1223058007">
      <w:marLeft w:val="0"/>
      <w:marRight w:val="0"/>
      <w:marTop w:val="0"/>
      <w:marBottom w:val="0"/>
      <w:divBdr>
        <w:top w:val="none" w:sz="0" w:space="0" w:color="auto"/>
        <w:left w:val="none" w:sz="0" w:space="0" w:color="auto"/>
        <w:bottom w:val="none" w:sz="0" w:space="0" w:color="auto"/>
        <w:right w:val="none" w:sz="0" w:space="0" w:color="auto"/>
      </w:divBdr>
    </w:div>
    <w:div w:id="1223058008">
      <w:marLeft w:val="0"/>
      <w:marRight w:val="0"/>
      <w:marTop w:val="0"/>
      <w:marBottom w:val="0"/>
      <w:divBdr>
        <w:top w:val="none" w:sz="0" w:space="0" w:color="auto"/>
        <w:left w:val="none" w:sz="0" w:space="0" w:color="auto"/>
        <w:bottom w:val="none" w:sz="0" w:space="0" w:color="auto"/>
        <w:right w:val="none" w:sz="0" w:space="0" w:color="auto"/>
      </w:divBdr>
    </w:div>
    <w:div w:id="1223058009">
      <w:marLeft w:val="0"/>
      <w:marRight w:val="0"/>
      <w:marTop w:val="0"/>
      <w:marBottom w:val="0"/>
      <w:divBdr>
        <w:top w:val="none" w:sz="0" w:space="0" w:color="auto"/>
        <w:left w:val="none" w:sz="0" w:space="0" w:color="auto"/>
        <w:bottom w:val="none" w:sz="0" w:space="0" w:color="auto"/>
        <w:right w:val="none" w:sz="0" w:space="0" w:color="auto"/>
      </w:divBdr>
    </w:div>
    <w:div w:id="1223058010">
      <w:marLeft w:val="0"/>
      <w:marRight w:val="0"/>
      <w:marTop w:val="0"/>
      <w:marBottom w:val="0"/>
      <w:divBdr>
        <w:top w:val="none" w:sz="0" w:space="0" w:color="auto"/>
        <w:left w:val="none" w:sz="0" w:space="0" w:color="auto"/>
        <w:bottom w:val="none" w:sz="0" w:space="0" w:color="auto"/>
        <w:right w:val="none" w:sz="0" w:space="0" w:color="auto"/>
      </w:divBdr>
    </w:div>
    <w:div w:id="1223058011">
      <w:marLeft w:val="0"/>
      <w:marRight w:val="0"/>
      <w:marTop w:val="0"/>
      <w:marBottom w:val="0"/>
      <w:divBdr>
        <w:top w:val="none" w:sz="0" w:space="0" w:color="auto"/>
        <w:left w:val="none" w:sz="0" w:space="0" w:color="auto"/>
        <w:bottom w:val="none" w:sz="0" w:space="0" w:color="auto"/>
        <w:right w:val="none" w:sz="0" w:space="0" w:color="auto"/>
      </w:divBdr>
    </w:div>
    <w:div w:id="1223058012">
      <w:marLeft w:val="0"/>
      <w:marRight w:val="0"/>
      <w:marTop w:val="0"/>
      <w:marBottom w:val="0"/>
      <w:divBdr>
        <w:top w:val="none" w:sz="0" w:space="0" w:color="auto"/>
        <w:left w:val="none" w:sz="0" w:space="0" w:color="auto"/>
        <w:bottom w:val="none" w:sz="0" w:space="0" w:color="auto"/>
        <w:right w:val="none" w:sz="0" w:space="0" w:color="auto"/>
      </w:divBdr>
    </w:div>
    <w:div w:id="1223058013">
      <w:marLeft w:val="0"/>
      <w:marRight w:val="0"/>
      <w:marTop w:val="0"/>
      <w:marBottom w:val="0"/>
      <w:divBdr>
        <w:top w:val="none" w:sz="0" w:space="0" w:color="auto"/>
        <w:left w:val="none" w:sz="0" w:space="0" w:color="auto"/>
        <w:bottom w:val="none" w:sz="0" w:space="0" w:color="auto"/>
        <w:right w:val="none" w:sz="0" w:space="0" w:color="auto"/>
      </w:divBdr>
    </w:div>
    <w:div w:id="1223058014">
      <w:marLeft w:val="0"/>
      <w:marRight w:val="0"/>
      <w:marTop w:val="0"/>
      <w:marBottom w:val="0"/>
      <w:divBdr>
        <w:top w:val="none" w:sz="0" w:space="0" w:color="auto"/>
        <w:left w:val="none" w:sz="0" w:space="0" w:color="auto"/>
        <w:bottom w:val="none" w:sz="0" w:space="0" w:color="auto"/>
        <w:right w:val="none" w:sz="0" w:space="0" w:color="auto"/>
      </w:divBdr>
    </w:div>
    <w:div w:id="1223058015">
      <w:marLeft w:val="0"/>
      <w:marRight w:val="0"/>
      <w:marTop w:val="0"/>
      <w:marBottom w:val="0"/>
      <w:divBdr>
        <w:top w:val="none" w:sz="0" w:space="0" w:color="auto"/>
        <w:left w:val="none" w:sz="0" w:space="0" w:color="auto"/>
        <w:bottom w:val="none" w:sz="0" w:space="0" w:color="auto"/>
        <w:right w:val="none" w:sz="0" w:space="0" w:color="auto"/>
      </w:divBdr>
    </w:div>
    <w:div w:id="1223058016">
      <w:marLeft w:val="0"/>
      <w:marRight w:val="0"/>
      <w:marTop w:val="0"/>
      <w:marBottom w:val="0"/>
      <w:divBdr>
        <w:top w:val="none" w:sz="0" w:space="0" w:color="auto"/>
        <w:left w:val="none" w:sz="0" w:space="0" w:color="auto"/>
        <w:bottom w:val="none" w:sz="0" w:space="0" w:color="auto"/>
        <w:right w:val="none" w:sz="0" w:space="0" w:color="auto"/>
      </w:divBdr>
    </w:div>
    <w:div w:id="1223058017">
      <w:marLeft w:val="0"/>
      <w:marRight w:val="0"/>
      <w:marTop w:val="0"/>
      <w:marBottom w:val="0"/>
      <w:divBdr>
        <w:top w:val="none" w:sz="0" w:space="0" w:color="auto"/>
        <w:left w:val="none" w:sz="0" w:space="0" w:color="auto"/>
        <w:bottom w:val="none" w:sz="0" w:space="0" w:color="auto"/>
        <w:right w:val="none" w:sz="0" w:space="0" w:color="auto"/>
      </w:divBdr>
    </w:div>
    <w:div w:id="1223058018">
      <w:marLeft w:val="0"/>
      <w:marRight w:val="0"/>
      <w:marTop w:val="0"/>
      <w:marBottom w:val="0"/>
      <w:divBdr>
        <w:top w:val="none" w:sz="0" w:space="0" w:color="auto"/>
        <w:left w:val="none" w:sz="0" w:space="0" w:color="auto"/>
        <w:bottom w:val="none" w:sz="0" w:space="0" w:color="auto"/>
        <w:right w:val="none" w:sz="0" w:space="0" w:color="auto"/>
      </w:divBdr>
    </w:div>
    <w:div w:id="1223058019">
      <w:marLeft w:val="0"/>
      <w:marRight w:val="0"/>
      <w:marTop w:val="0"/>
      <w:marBottom w:val="0"/>
      <w:divBdr>
        <w:top w:val="none" w:sz="0" w:space="0" w:color="auto"/>
        <w:left w:val="none" w:sz="0" w:space="0" w:color="auto"/>
        <w:bottom w:val="none" w:sz="0" w:space="0" w:color="auto"/>
        <w:right w:val="none" w:sz="0" w:space="0" w:color="auto"/>
      </w:divBdr>
    </w:div>
    <w:div w:id="1223058020">
      <w:marLeft w:val="0"/>
      <w:marRight w:val="0"/>
      <w:marTop w:val="0"/>
      <w:marBottom w:val="0"/>
      <w:divBdr>
        <w:top w:val="none" w:sz="0" w:space="0" w:color="auto"/>
        <w:left w:val="none" w:sz="0" w:space="0" w:color="auto"/>
        <w:bottom w:val="none" w:sz="0" w:space="0" w:color="auto"/>
        <w:right w:val="none" w:sz="0" w:space="0" w:color="auto"/>
      </w:divBdr>
    </w:div>
    <w:div w:id="1223058021">
      <w:marLeft w:val="0"/>
      <w:marRight w:val="0"/>
      <w:marTop w:val="0"/>
      <w:marBottom w:val="0"/>
      <w:divBdr>
        <w:top w:val="none" w:sz="0" w:space="0" w:color="auto"/>
        <w:left w:val="none" w:sz="0" w:space="0" w:color="auto"/>
        <w:bottom w:val="none" w:sz="0" w:space="0" w:color="auto"/>
        <w:right w:val="none" w:sz="0" w:space="0" w:color="auto"/>
      </w:divBdr>
    </w:div>
    <w:div w:id="1223058022">
      <w:marLeft w:val="0"/>
      <w:marRight w:val="0"/>
      <w:marTop w:val="0"/>
      <w:marBottom w:val="0"/>
      <w:divBdr>
        <w:top w:val="none" w:sz="0" w:space="0" w:color="auto"/>
        <w:left w:val="none" w:sz="0" w:space="0" w:color="auto"/>
        <w:bottom w:val="none" w:sz="0" w:space="0" w:color="auto"/>
        <w:right w:val="none" w:sz="0" w:space="0" w:color="auto"/>
      </w:divBdr>
    </w:div>
    <w:div w:id="1223058023">
      <w:marLeft w:val="0"/>
      <w:marRight w:val="0"/>
      <w:marTop w:val="0"/>
      <w:marBottom w:val="0"/>
      <w:divBdr>
        <w:top w:val="none" w:sz="0" w:space="0" w:color="auto"/>
        <w:left w:val="none" w:sz="0" w:space="0" w:color="auto"/>
        <w:bottom w:val="none" w:sz="0" w:space="0" w:color="auto"/>
        <w:right w:val="none" w:sz="0" w:space="0" w:color="auto"/>
      </w:divBdr>
    </w:div>
    <w:div w:id="1223058024">
      <w:marLeft w:val="0"/>
      <w:marRight w:val="0"/>
      <w:marTop w:val="0"/>
      <w:marBottom w:val="0"/>
      <w:divBdr>
        <w:top w:val="none" w:sz="0" w:space="0" w:color="auto"/>
        <w:left w:val="none" w:sz="0" w:space="0" w:color="auto"/>
        <w:bottom w:val="none" w:sz="0" w:space="0" w:color="auto"/>
        <w:right w:val="none" w:sz="0" w:space="0" w:color="auto"/>
      </w:divBdr>
    </w:div>
    <w:div w:id="1223058025">
      <w:marLeft w:val="0"/>
      <w:marRight w:val="0"/>
      <w:marTop w:val="0"/>
      <w:marBottom w:val="0"/>
      <w:divBdr>
        <w:top w:val="none" w:sz="0" w:space="0" w:color="auto"/>
        <w:left w:val="none" w:sz="0" w:space="0" w:color="auto"/>
        <w:bottom w:val="none" w:sz="0" w:space="0" w:color="auto"/>
        <w:right w:val="none" w:sz="0" w:space="0" w:color="auto"/>
      </w:divBdr>
    </w:div>
    <w:div w:id="1223058026">
      <w:marLeft w:val="0"/>
      <w:marRight w:val="0"/>
      <w:marTop w:val="0"/>
      <w:marBottom w:val="0"/>
      <w:divBdr>
        <w:top w:val="none" w:sz="0" w:space="0" w:color="auto"/>
        <w:left w:val="none" w:sz="0" w:space="0" w:color="auto"/>
        <w:bottom w:val="none" w:sz="0" w:space="0" w:color="auto"/>
        <w:right w:val="none" w:sz="0" w:space="0" w:color="auto"/>
      </w:divBdr>
    </w:div>
    <w:div w:id="1223058027">
      <w:marLeft w:val="0"/>
      <w:marRight w:val="0"/>
      <w:marTop w:val="0"/>
      <w:marBottom w:val="0"/>
      <w:divBdr>
        <w:top w:val="none" w:sz="0" w:space="0" w:color="auto"/>
        <w:left w:val="none" w:sz="0" w:space="0" w:color="auto"/>
        <w:bottom w:val="none" w:sz="0" w:space="0" w:color="auto"/>
        <w:right w:val="none" w:sz="0" w:space="0" w:color="auto"/>
      </w:divBdr>
    </w:div>
    <w:div w:id="1223058028">
      <w:marLeft w:val="0"/>
      <w:marRight w:val="0"/>
      <w:marTop w:val="0"/>
      <w:marBottom w:val="0"/>
      <w:divBdr>
        <w:top w:val="none" w:sz="0" w:space="0" w:color="auto"/>
        <w:left w:val="none" w:sz="0" w:space="0" w:color="auto"/>
        <w:bottom w:val="none" w:sz="0" w:space="0" w:color="auto"/>
        <w:right w:val="none" w:sz="0" w:space="0" w:color="auto"/>
      </w:divBdr>
    </w:div>
    <w:div w:id="1223058029">
      <w:marLeft w:val="0"/>
      <w:marRight w:val="0"/>
      <w:marTop w:val="0"/>
      <w:marBottom w:val="0"/>
      <w:divBdr>
        <w:top w:val="none" w:sz="0" w:space="0" w:color="auto"/>
        <w:left w:val="none" w:sz="0" w:space="0" w:color="auto"/>
        <w:bottom w:val="none" w:sz="0" w:space="0" w:color="auto"/>
        <w:right w:val="none" w:sz="0" w:space="0" w:color="auto"/>
      </w:divBdr>
    </w:div>
    <w:div w:id="1223058030">
      <w:marLeft w:val="0"/>
      <w:marRight w:val="0"/>
      <w:marTop w:val="0"/>
      <w:marBottom w:val="0"/>
      <w:divBdr>
        <w:top w:val="none" w:sz="0" w:space="0" w:color="auto"/>
        <w:left w:val="none" w:sz="0" w:space="0" w:color="auto"/>
        <w:bottom w:val="none" w:sz="0" w:space="0" w:color="auto"/>
        <w:right w:val="none" w:sz="0" w:space="0" w:color="auto"/>
      </w:divBdr>
    </w:div>
    <w:div w:id="1223058031">
      <w:marLeft w:val="0"/>
      <w:marRight w:val="0"/>
      <w:marTop w:val="0"/>
      <w:marBottom w:val="0"/>
      <w:divBdr>
        <w:top w:val="none" w:sz="0" w:space="0" w:color="auto"/>
        <w:left w:val="none" w:sz="0" w:space="0" w:color="auto"/>
        <w:bottom w:val="none" w:sz="0" w:space="0" w:color="auto"/>
        <w:right w:val="none" w:sz="0" w:space="0" w:color="auto"/>
      </w:divBdr>
    </w:div>
    <w:div w:id="1223058032">
      <w:marLeft w:val="0"/>
      <w:marRight w:val="0"/>
      <w:marTop w:val="0"/>
      <w:marBottom w:val="0"/>
      <w:divBdr>
        <w:top w:val="none" w:sz="0" w:space="0" w:color="auto"/>
        <w:left w:val="none" w:sz="0" w:space="0" w:color="auto"/>
        <w:bottom w:val="none" w:sz="0" w:space="0" w:color="auto"/>
        <w:right w:val="none" w:sz="0" w:space="0" w:color="auto"/>
      </w:divBdr>
    </w:div>
    <w:div w:id="1223058033">
      <w:marLeft w:val="0"/>
      <w:marRight w:val="0"/>
      <w:marTop w:val="0"/>
      <w:marBottom w:val="0"/>
      <w:divBdr>
        <w:top w:val="none" w:sz="0" w:space="0" w:color="auto"/>
        <w:left w:val="none" w:sz="0" w:space="0" w:color="auto"/>
        <w:bottom w:val="none" w:sz="0" w:space="0" w:color="auto"/>
        <w:right w:val="none" w:sz="0" w:space="0" w:color="auto"/>
      </w:divBdr>
    </w:div>
    <w:div w:id="1223058034">
      <w:marLeft w:val="0"/>
      <w:marRight w:val="0"/>
      <w:marTop w:val="0"/>
      <w:marBottom w:val="0"/>
      <w:divBdr>
        <w:top w:val="none" w:sz="0" w:space="0" w:color="auto"/>
        <w:left w:val="none" w:sz="0" w:space="0" w:color="auto"/>
        <w:bottom w:val="none" w:sz="0" w:space="0" w:color="auto"/>
        <w:right w:val="none" w:sz="0" w:space="0" w:color="auto"/>
      </w:divBdr>
    </w:div>
    <w:div w:id="1223058035">
      <w:marLeft w:val="0"/>
      <w:marRight w:val="0"/>
      <w:marTop w:val="0"/>
      <w:marBottom w:val="0"/>
      <w:divBdr>
        <w:top w:val="none" w:sz="0" w:space="0" w:color="auto"/>
        <w:left w:val="none" w:sz="0" w:space="0" w:color="auto"/>
        <w:bottom w:val="none" w:sz="0" w:space="0" w:color="auto"/>
        <w:right w:val="none" w:sz="0" w:space="0" w:color="auto"/>
      </w:divBdr>
    </w:div>
    <w:div w:id="1223058036">
      <w:marLeft w:val="0"/>
      <w:marRight w:val="0"/>
      <w:marTop w:val="0"/>
      <w:marBottom w:val="0"/>
      <w:divBdr>
        <w:top w:val="none" w:sz="0" w:space="0" w:color="auto"/>
        <w:left w:val="none" w:sz="0" w:space="0" w:color="auto"/>
        <w:bottom w:val="none" w:sz="0" w:space="0" w:color="auto"/>
        <w:right w:val="none" w:sz="0" w:space="0" w:color="auto"/>
      </w:divBdr>
    </w:div>
    <w:div w:id="1223058037">
      <w:marLeft w:val="0"/>
      <w:marRight w:val="0"/>
      <w:marTop w:val="0"/>
      <w:marBottom w:val="0"/>
      <w:divBdr>
        <w:top w:val="none" w:sz="0" w:space="0" w:color="auto"/>
        <w:left w:val="none" w:sz="0" w:space="0" w:color="auto"/>
        <w:bottom w:val="none" w:sz="0" w:space="0" w:color="auto"/>
        <w:right w:val="none" w:sz="0" w:space="0" w:color="auto"/>
      </w:divBdr>
    </w:div>
    <w:div w:id="1223058038">
      <w:marLeft w:val="0"/>
      <w:marRight w:val="0"/>
      <w:marTop w:val="0"/>
      <w:marBottom w:val="0"/>
      <w:divBdr>
        <w:top w:val="none" w:sz="0" w:space="0" w:color="auto"/>
        <w:left w:val="none" w:sz="0" w:space="0" w:color="auto"/>
        <w:bottom w:val="none" w:sz="0" w:space="0" w:color="auto"/>
        <w:right w:val="none" w:sz="0" w:space="0" w:color="auto"/>
      </w:divBdr>
    </w:div>
    <w:div w:id="1223058039">
      <w:marLeft w:val="0"/>
      <w:marRight w:val="0"/>
      <w:marTop w:val="0"/>
      <w:marBottom w:val="0"/>
      <w:divBdr>
        <w:top w:val="none" w:sz="0" w:space="0" w:color="auto"/>
        <w:left w:val="none" w:sz="0" w:space="0" w:color="auto"/>
        <w:bottom w:val="none" w:sz="0" w:space="0" w:color="auto"/>
        <w:right w:val="none" w:sz="0" w:space="0" w:color="auto"/>
      </w:divBdr>
    </w:div>
    <w:div w:id="1223058040">
      <w:marLeft w:val="0"/>
      <w:marRight w:val="0"/>
      <w:marTop w:val="0"/>
      <w:marBottom w:val="0"/>
      <w:divBdr>
        <w:top w:val="none" w:sz="0" w:space="0" w:color="auto"/>
        <w:left w:val="none" w:sz="0" w:space="0" w:color="auto"/>
        <w:bottom w:val="none" w:sz="0" w:space="0" w:color="auto"/>
        <w:right w:val="none" w:sz="0" w:space="0" w:color="auto"/>
      </w:divBdr>
    </w:div>
    <w:div w:id="1223058041">
      <w:marLeft w:val="0"/>
      <w:marRight w:val="0"/>
      <w:marTop w:val="0"/>
      <w:marBottom w:val="0"/>
      <w:divBdr>
        <w:top w:val="none" w:sz="0" w:space="0" w:color="auto"/>
        <w:left w:val="none" w:sz="0" w:space="0" w:color="auto"/>
        <w:bottom w:val="none" w:sz="0" w:space="0" w:color="auto"/>
        <w:right w:val="none" w:sz="0" w:space="0" w:color="auto"/>
      </w:divBdr>
    </w:div>
    <w:div w:id="1223058042">
      <w:marLeft w:val="0"/>
      <w:marRight w:val="0"/>
      <w:marTop w:val="0"/>
      <w:marBottom w:val="0"/>
      <w:divBdr>
        <w:top w:val="none" w:sz="0" w:space="0" w:color="auto"/>
        <w:left w:val="none" w:sz="0" w:space="0" w:color="auto"/>
        <w:bottom w:val="none" w:sz="0" w:space="0" w:color="auto"/>
        <w:right w:val="none" w:sz="0" w:space="0" w:color="auto"/>
      </w:divBdr>
    </w:div>
    <w:div w:id="1223058043">
      <w:marLeft w:val="0"/>
      <w:marRight w:val="0"/>
      <w:marTop w:val="0"/>
      <w:marBottom w:val="0"/>
      <w:divBdr>
        <w:top w:val="none" w:sz="0" w:space="0" w:color="auto"/>
        <w:left w:val="none" w:sz="0" w:space="0" w:color="auto"/>
        <w:bottom w:val="none" w:sz="0" w:space="0" w:color="auto"/>
        <w:right w:val="none" w:sz="0" w:space="0" w:color="auto"/>
      </w:divBdr>
    </w:div>
    <w:div w:id="1223058044">
      <w:marLeft w:val="0"/>
      <w:marRight w:val="0"/>
      <w:marTop w:val="0"/>
      <w:marBottom w:val="0"/>
      <w:divBdr>
        <w:top w:val="none" w:sz="0" w:space="0" w:color="auto"/>
        <w:left w:val="none" w:sz="0" w:space="0" w:color="auto"/>
        <w:bottom w:val="none" w:sz="0" w:space="0" w:color="auto"/>
        <w:right w:val="none" w:sz="0" w:space="0" w:color="auto"/>
      </w:divBdr>
    </w:div>
    <w:div w:id="1223058045">
      <w:marLeft w:val="0"/>
      <w:marRight w:val="0"/>
      <w:marTop w:val="0"/>
      <w:marBottom w:val="0"/>
      <w:divBdr>
        <w:top w:val="none" w:sz="0" w:space="0" w:color="auto"/>
        <w:left w:val="none" w:sz="0" w:space="0" w:color="auto"/>
        <w:bottom w:val="none" w:sz="0" w:space="0" w:color="auto"/>
        <w:right w:val="none" w:sz="0" w:space="0" w:color="auto"/>
      </w:divBdr>
    </w:div>
    <w:div w:id="1223058046">
      <w:marLeft w:val="0"/>
      <w:marRight w:val="0"/>
      <w:marTop w:val="0"/>
      <w:marBottom w:val="0"/>
      <w:divBdr>
        <w:top w:val="none" w:sz="0" w:space="0" w:color="auto"/>
        <w:left w:val="none" w:sz="0" w:space="0" w:color="auto"/>
        <w:bottom w:val="none" w:sz="0" w:space="0" w:color="auto"/>
        <w:right w:val="none" w:sz="0" w:space="0" w:color="auto"/>
      </w:divBdr>
    </w:div>
    <w:div w:id="1223058047">
      <w:marLeft w:val="0"/>
      <w:marRight w:val="0"/>
      <w:marTop w:val="0"/>
      <w:marBottom w:val="0"/>
      <w:divBdr>
        <w:top w:val="none" w:sz="0" w:space="0" w:color="auto"/>
        <w:left w:val="none" w:sz="0" w:space="0" w:color="auto"/>
        <w:bottom w:val="none" w:sz="0" w:space="0" w:color="auto"/>
        <w:right w:val="none" w:sz="0" w:space="0" w:color="auto"/>
      </w:divBdr>
    </w:div>
    <w:div w:id="1223058048">
      <w:marLeft w:val="0"/>
      <w:marRight w:val="0"/>
      <w:marTop w:val="0"/>
      <w:marBottom w:val="0"/>
      <w:divBdr>
        <w:top w:val="none" w:sz="0" w:space="0" w:color="auto"/>
        <w:left w:val="none" w:sz="0" w:space="0" w:color="auto"/>
        <w:bottom w:val="none" w:sz="0" w:space="0" w:color="auto"/>
        <w:right w:val="none" w:sz="0" w:space="0" w:color="auto"/>
      </w:divBdr>
    </w:div>
    <w:div w:id="1223058049">
      <w:marLeft w:val="0"/>
      <w:marRight w:val="0"/>
      <w:marTop w:val="0"/>
      <w:marBottom w:val="0"/>
      <w:divBdr>
        <w:top w:val="none" w:sz="0" w:space="0" w:color="auto"/>
        <w:left w:val="none" w:sz="0" w:space="0" w:color="auto"/>
        <w:bottom w:val="none" w:sz="0" w:space="0" w:color="auto"/>
        <w:right w:val="none" w:sz="0" w:space="0" w:color="auto"/>
      </w:divBdr>
    </w:div>
    <w:div w:id="1223058050">
      <w:marLeft w:val="0"/>
      <w:marRight w:val="0"/>
      <w:marTop w:val="0"/>
      <w:marBottom w:val="0"/>
      <w:divBdr>
        <w:top w:val="none" w:sz="0" w:space="0" w:color="auto"/>
        <w:left w:val="none" w:sz="0" w:space="0" w:color="auto"/>
        <w:bottom w:val="none" w:sz="0" w:space="0" w:color="auto"/>
        <w:right w:val="none" w:sz="0" w:space="0" w:color="auto"/>
      </w:divBdr>
    </w:div>
    <w:div w:id="1223058051">
      <w:marLeft w:val="0"/>
      <w:marRight w:val="0"/>
      <w:marTop w:val="0"/>
      <w:marBottom w:val="0"/>
      <w:divBdr>
        <w:top w:val="none" w:sz="0" w:space="0" w:color="auto"/>
        <w:left w:val="none" w:sz="0" w:space="0" w:color="auto"/>
        <w:bottom w:val="none" w:sz="0" w:space="0" w:color="auto"/>
        <w:right w:val="none" w:sz="0" w:space="0" w:color="auto"/>
      </w:divBdr>
    </w:div>
    <w:div w:id="1223058052">
      <w:marLeft w:val="0"/>
      <w:marRight w:val="0"/>
      <w:marTop w:val="0"/>
      <w:marBottom w:val="0"/>
      <w:divBdr>
        <w:top w:val="none" w:sz="0" w:space="0" w:color="auto"/>
        <w:left w:val="none" w:sz="0" w:space="0" w:color="auto"/>
        <w:bottom w:val="none" w:sz="0" w:space="0" w:color="auto"/>
        <w:right w:val="none" w:sz="0" w:space="0" w:color="auto"/>
      </w:divBdr>
    </w:div>
    <w:div w:id="1223058053">
      <w:marLeft w:val="0"/>
      <w:marRight w:val="0"/>
      <w:marTop w:val="0"/>
      <w:marBottom w:val="0"/>
      <w:divBdr>
        <w:top w:val="none" w:sz="0" w:space="0" w:color="auto"/>
        <w:left w:val="none" w:sz="0" w:space="0" w:color="auto"/>
        <w:bottom w:val="none" w:sz="0" w:space="0" w:color="auto"/>
        <w:right w:val="none" w:sz="0" w:space="0" w:color="auto"/>
      </w:divBdr>
    </w:div>
    <w:div w:id="1223058054">
      <w:marLeft w:val="0"/>
      <w:marRight w:val="0"/>
      <w:marTop w:val="0"/>
      <w:marBottom w:val="0"/>
      <w:divBdr>
        <w:top w:val="none" w:sz="0" w:space="0" w:color="auto"/>
        <w:left w:val="none" w:sz="0" w:space="0" w:color="auto"/>
        <w:bottom w:val="none" w:sz="0" w:space="0" w:color="auto"/>
        <w:right w:val="none" w:sz="0" w:space="0" w:color="auto"/>
      </w:divBdr>
    </w:div>
    <w:div w:id="1223058055">
      <w:marLeft w:val="0"/>
      <w:marRight w:val="0"/>
      <w:marTop w:val="0"/>
      <w:marBottom w:val="0"/>
      <w:divBdr>
        <w:top w:val="none" w:sz="0" w:space="0" w:color="auto"/>
        <w:left w:val="none" w:sz="0" w:space="0" w:color="auto"/>
        <w:bottom w:val="none" w:sz="0" w:space="0" w:color="auto"/>
        <w:right w:val="none" w:sz="0" w:space="0" w:color="auto"/>
      </w:divBdr>
    </w:div>
    <w:div w:id="1223058056">
      <w:marLeft w:val="0"/>
      <w:marRight w:val="0"/>
      <w:marTop w:val="0"/>
      <w:marBottom w:val="0"/>
      <w:divBdr>
        <w:top w:val="none" w:sz="0" w:space="0" w:color="auto"/>
        <w:left w:val="none" w:sz="0" w:space="0" w:color="auto"/>
        <w:bottom w:val="none" w:sz="0" w:space="0" w:color="auto"/>
        <w:right w:val="none" w:sz="0" w:space="0" w:color="auto"/>
      </w:divBdr>
    </w:div>
    <w:div w:id="1223058057">
      <w:marLeft w:val="0"/>
      <w:marRight w:val="0"/>
      <w:marTop w:val="0"/>
      <w:marBottom w:val="0"/>
      <w:divBdr>
        <w:top w:val="none" w:sz="0" w:space="0" w:color="auto"/>
        <w:left w:val="none" w:sz="0" w:space="0" w:color="auto"/>
        <w:bottom w:val="none" w:sz="0" w:space="0" w:color="auto"/>
        <w:right w:val="none" w:sz="0" w:space="0" w:color="auto"/>
      </w:divBdr>
    </w:div>
    <w:div w:id="1223058058">
      <w:marLeft w:val="0"/>
      <w:marRight w:val="0"/>
      <w:marTop w:val="0"/>
      <w:marBottom w:val="0"/>
      <w:divBdr>
        <w:top w:val="none" w:sz="0" w:space="0" w:color="auto"/>
        <w:left w:val="none" w:sz="0" w:space="0" w:color="auto"/>
        <w:bottom w:val="none" w:sz="0" w:space="0" w:color="auto"/>
        <w:right w:val="none" w:sz="0" w:space="0" w:color="auto"/>
      </w:divBdr>
    </w:div>
    <w:div w:id="1223058059">
      <w:marLeft w:val="0"/>
      <w:marRight w:val="0"/>
      <w:marTop w:val="0"/>
      <w:marBottom w:val="0"/>
      <w:divBdr>
        <w:top w:val="none" w:sz="0" w:space="0" w:color="auto"/>
        <w:left w:val="none" w:sz="0" w:space="0" w:color="auto"/>
        <w:bottom w:val="none" w:sz="0" w:space="0" w:color="auto"/>
        <w:right w:val="none" w:sz="0" w:space="0" w:color="auto"/>
      </w:divBdr>
    </w:div>
    <w:div w:id="1223058060">
      <w:marLeft w:val="0"/>
      <w:marRight w:val="0"/>
      <w:marTop w:val="0"/>
      <w:marBottom w:val="0"/>
      <w:divBdr>
        <w:top w:val="none" w:sz="0" w:space="0" w:color="auto"/>
        <w:left w:val="none" w:sz="0" w:space="0" w:color="auto"/>
        <w:bottom w:val="none" w:sz="0" w:space="0" w:color="auto"/>
        <w:right w:val="none" w:sz="0" w:space="0" w:color="auto"/>
      </w:divBdr>
    </w:div>
    <w:div w:id="1223058061">
      <w:marLeft w:val="0"/>
      <w:marRight w:val="0"/>
      <w:marTop w:val="0"/>
      <w:marBottom w:val="0"/>
      <w:divBdr>
        <w:top w:val="none" w:sz="0" w:space="0" w:color="auto"/>
        <w:left w:val="none" w:sz="0" w:space="0" w:color="auto"/>
        <w:bottom w:val="none" w:sz="0" w:space="0" w:color="auto"/>
        <w:right w:val="none" w:sz="0" w:space="0" w:color="auto"/>
      </w:divBdr>
    </w:div>
    <w:div w:id="1223058062">
      <w:marLeft w:val="0"/>
      <w:marRight w:val="0"/>
      <w:marTop w:val="0"/>
      <w:marBottom w:val="0"/>
      <w:divBdr>
        <w:top w:val="none" w:sz="0" w:space="0" w:color="auto"/>
        <w:left w:val="none" w:sz="0" w:space="0" w:color="auto"/>
        <w:bottom w:val="none" w:sz="0" w:space="0" w:color="auto"/>
        <w:right w:val="none" w:sz="0" w:space="0" w:color="auto"/>
      </w:divBdr>
    </w:div>
    <w:div w:id="1223058063">
      <w:marLeft w:val="0"/>
      <w:marRight w:val="0"/>
      <w:marTop w:val="0"/>
      <w:marBottom w:val="0"/>
      <w:divBdr>
        <w:top w:val="none" w:sz="0" w:space="0" w:color="auto"/>
        <w:left w:val="none" w:sz="0" w:space="0" w:color="auto"/>
        <w:bottom w:val="none" w:sz="0" w:space="0" w:color="auto"/>
        <w:right w:val="none" w:sz="0" w:space="0" w:color="auto"/>
      </w:divBdr>
    </w:div>
    <w:div w:id="1223058064">
      <w:marLeft w:val="0"/>
      <w:marRight w:val="0"/>
      <w:marTop w:val="0"/>
      <w:marBottom w:val="0"/>
      <w:divBdr>
        <w:top w:val="none" w:sz="0" w:space="0" w:color="auto"/>
        <w:left w:val="none" w:sz="0" w:space="0" w:color="auto"/>
        <w:bottom w:val="none" w:sz="0" w:space="0" w:color="auto"/>
        <w:right w:val="none" w:sz="0" w:space="0" w:color="auto"/>
      </w:divBdr>
    </w:div>
    <w:div w:id="1223058065">
      <w:marLeft w:val="0"/>
      <w:marRight w:val="0"/>
      <w:marTop w:val="0"/>
      <w:marBottom w:val="0"/>
      <w:divBdr>
        <w:top w:val="none" w:sz="0" w:space="0" w:color="auto"/>
        <w:left w:val="none" w:sz="0" w:space="0" w:color="auto"/>
        <w:bottom w:val="none" w:sz="0" w:space="0" w:color="auto"/>
        <w:right w:val="none" w:sz="0" w:space="0" w:color="auto"/>
      </w:divBdr>
    </w:div>
    <w:div w:id="1223058066">
      <w:marLeft w:val="0"/>
      <w:marRight w:val="0"/>
      <w:marTop w:val="0"/>
      <w:marBottom w:val="0"/>
      <w:divBdr>
        <w:top w:val="none" w:sz="0" w:space="0" w:color="auto"/>
        <w:left w:val="none" w:sz="0" w:space="0" w:color="auto"/>
        <w:bottom w:val="none" w:sz="0" w:space="0" w:color="auto"/>
        <w:right w:val="none" w:sz="0" w:space="0" w:color="auto"/>
      </w:divBdr>
    </w:div>
    <w:div w:id="1223058067">
      <w:marLeft w:val="0"/>
      <w:marRight w:val="0"/>
      <w:marTop w:val="0"/>
      <w:marBottom w:val="0"/>
      <w:divBdr>
        <w:top w:val="none" w:sz="0" w:space="0" w:color="auto"/>
        <w:left w:val="none" w:sz="0" w:space="0" w:color="auto"/>
        <w:bottom w:val="none" w:sz="0" w:space="0" w:color="auto"/>
        <w:right w:val="none" w:sz="0" w:space="0" w:color="auto"/>
      </w:divBdr>
    </w:div>
    <w:div w:id="1223058068">
      <w:marLeft w:val="0"/>
      <w:marRight w:val="0"/>
      <w:marTop w:val="0"/>
      <w:marBottom w:val="0"/>
      <w:divBdr>
        <w:top w:val="none" w:sz="0" w:space="0" w:color="auto"/>
        <w:left w:val="none" w:sz="0" w:space="0" w:color="auto"/>
        <w:bottom w:val="none" w:sz="0" w:space="0" w:color="auto"/>
        <w:right w:val="none" w:sz="0" w:space="0" w:color="auto"/>
      </w:divBdr>
    </w:div>
    <w:div w:id="1223058069">
      <w:marLeft w:val="0"/>
      <w:marRight w:val="0"/>
      <w:marTop w:val="0"/>
      <w:marBottom w:val="0"/>
      <w:divBdr>
        <w:top w:val="none" w:sz="0" w:space="0" w:color="auto"/>
        <w:left w:val="none" w:sz="0" w:space="0" w:color="auto"/>
        <w:bottom w:val="none" w:sz="0" w:space="0" w:color="auto"/>
        <w:right w:val="none" w:sz="0" w:space="0" w:color="auto"/>
      </w:divBdr>
    </w:div>
    <w:div w:id="1223058070">
      <w:marLeft w:val="0"/>
      <w:marRight w:val="0"/>
      <w:marTop w:val="0"/>
      <w:marBottom w:val="0"/>
      <w:divBdr>
        <w:top w:val="none" w:sz="0" w:space="0" w:color="auto"/>
        <w:left w:val="none" w:sz="0" w:space="0" w:color="auto"/>
        <w:bottom w:val="none" w:sz="0" w:space="0" w:color="auto"/>
        <w:right w:val="none" w:sz="0" w:space="0" w:color="auto"/>
      </w:divBdr>
    </w:div>
    <w:div w:id="1223058071">
      <w:marLeft w:val="0"/>
      <w:marRight w:val="0"/>
      <w:marTop w:val="0"/>
      <w:marBottom w:val="0"/>
      <w:divBdr>
        <w:top w:val="none" w:sz="0" w:space="0" w:color="auto"/>
        <w:left w:val="none" w:sz="0" w:space="0" w:color="auto"/>
        <w:bottom w:val="none" w:sz="0" w:space="0" w:color="auto"/>
        <w:right w:val="none" w:sz="0" w:space="0" w:color="auto"/>
      </w:divBdr>
    </w:div>
    <w:div w:id="1223058072">
      <w:marLeft w:val="0"/>
      <w:marRight w:val="0"/>
      <w:marTop w:val="0"/>
      <w:marBottom w:val="0"/>
      <w:divBdr>
        <w:top w:val="none" w:sz="0" w:space="0" w:color="auto"/>
        <w:left w:val="none" w:sz="0" w:space="0" w:color="auto"/>
        <w:bottom w:val="none" w:sz="0" w:space="0" w:color="auto"/>
        <w:right w:val="none" w:sz="0" w:space="0" w:color="auto"/>
      </w:divBdr>
    </w:div>
    <w:div w:id="1223058073">
      <w:marLeft w:val="0"/>
      <w:marRight w:val="0"/>
      <w:marTop w:val="0"/>
      <w:marBottom w:val="0"/>
      <w:divBdr>
        <w:top w:val="none" w:sz="0" w:space="0" w:color="auto"/>
        <w:left w:val="none" w:sz="0" w:space="0" w:color="auto"/>
        <w:bottom w:val="none" w:sz="0" w:space="0" w:color="auto"/>
        <w:right w:val="none" w:sz="0" w:space="0" w:color="auto"/>
      </w:divBdr>
    </w:div>
    <w:div w:id="1223058074">
      <w:marLeft w:val="0"/>
      <w:marRight w:val="0"/>
      <w:marTop w:val="0"/>
      <w:marBottom w:val="0"/>
      <w:divBdr>
        <w:top w:val="none" w:sz="0" w:space="0" w:color="auto"/>
        <w:left w:val="none" w:sz="0" w:space="0" w:color="auto"/>
        <w:bottom w:val="none" w:sz="0" w:space="0" w:color="auto"/>
        <w:right w:val="none" w:sz="0" w:space="0" w:color="auto"/>
      </w:divBdr>
    </w:div>
    <w:div w:id="1223058075">
      <w:marLeft w:val="0"/>
      <w:marRight w:val="0"/>
      <w:marTop w:val="0"/>
      <w:marBottom w:val="0"/>
      <w:divBdr>
        <w:top w:val="none" w:sz="0" w:space="0" w:color="auto"/>
        <w:left w:val="none" w:sz="0" w:space="0" w:color="auto"/>
        <w:bottom w:val="none" w:sz="0" w:space="0" w:color="auto"/>
        <w:right w:val="none" w:sz="0" w:space="0" w:color="auto"/>
      </w:divBdr>
    </w:div>
    <w:div w:id="1223058076">
      <w:marLeft w:val="0"/>
      <w:marRight w:val="0"/>
      <w:marTop w:val="0"/>
      <w:marBottom w:val="0"/>
      <w:divBdr>
        <w:top w:val="none" w:sz="0" w:space="0" w:color="auto"/>
        <w:left w:val="none" w:sz="0" w:space="0" w:color="auto"/>
        <w:bottom w:val="none" w:sz="0" w:space="0" w:color="auto"/>
        <w:right w:val="none" w:sz="0" w:space="0" w:color="auto"/>
      </w:divBdr>
    </w:div>
    <w:div w:id="1223058077">
      <w:marLeft w:val="0"/>
      <w:marRight w:val="0"/>
      <w:marTop w:val="0"/>
      <w:marBottom w:val="0"/>
      <w:divBdr>
        <w:top w:val="none" w:sz="0" w:space="0" w:color="auto"/>
        <w:left w:val="none" w:sz="0" w:space="0" w:color="auto"/>
        <w:bottom w:val="none" w:sz="0" w:space="0" w:color="auto"/>
        <w:right w:val="none" w:sz="0" w:space="0" w:color="auto"/>
      </w:divBdr>
    </w:div>
    <w:div w:id="1223058078">
      <w:marLeft w:val="0"/>
      <w:marRight w:val="0"/>
      <w:marTop w:val="0"/>
      <w:marBottom w:val="0"/>
      <w:divBdr>
        <w:top w:val="none" w:sz="0" w:space="0" w:color="auto"/>
        <w:left w:val="none" w:sz="0" w:space="0" w:color="auto"/>
        <w:bottom w:val="none" w:sz="0" w:space="0" w:color="auto"/>
        <w:right w:val="none" w:sz="0" w:space="0" w:color="auto"/>
      </w:divBdr>
    </w:div>
    <w:div w:id="1223058079">
      <w:marLeft w:val="0"/>
      <w:marRight w:val="0"/>
      <w:marTop w:val="0"/>
      <w:marBottom w:val="0"/>
      <w:divBdr>
        <w:top w:val="none" w:sz="0" w:space="0" w:color="auto"/>
        <w:left w:val="none" w:sz="0" w:space="0" w:color="auto"/>
        <w:bottom w:val="none" w:sz="0" w:space="0" w:color="auto"/>
        <w:right w:val="none" w:sz="0" w:space="0" w:color="auto"/>
      </w:divBdr>
    </w:div>
    <w:div w:id="1223058080">
      <w:marLeft w:val="0"/>
      <w:marRight w:val="0"/>
      <w:marTop w:val="0"/>
      <w:marBottom w:val="0"/>
      <w:divBdr>
        <w:top w:val="none" w:sz="0" w:space="0" w:color="auto"/>
        <w:left w:val="none" w:sz="0" w:space="0" w:color="auto"/>
        <w:bottom w:val="none" w:sz="0" w:space="0" w:color="auto"/>
        <w:right w:val="none" w:sz="0" w:space="0" w:color="auto"/>
      </w:divBdr>
    </w:div>
    <w:div w:id="1223058081">
      <w:marLeft w:val="0"/>
      <w:marRight w:val="0"/>
      <w:marTop w:val="0"/>
      <w:marBottom w:val="0"/>
      <w:divBdr>
        <w:top w:val="none" w:sz="0" w:space="0" w:color="auto"/>
        <w:left w:val="none" w:sz="0" w:space="0" w:color="auto"/>
        <w:bottom w:val="none" w:sz="0" w:space="0" w:color="auto"/>
        <w:right w:val="none" w:sz="0" w:space="0" w:color="auto"/>
      </w:divBdr>
    </w:div>
    <w:div w:id="1223058082">
      <w:marLeft w:val="0"/>
      <w:marRight w:val="0"/>
      <w:marTop w:val="0"/>
      <w:marBottom w:val="0"/>
      <w:divBdr>
        <w:top w:val="none" w:sz="0" w:space="0" w:color="auto"/>
        <w:left w:val="none" w:sz="0" w:space="0" w:color="auto"/>
        <w:bottom w:val="none" w:sz="0" w:space="0" w:color="auto"/>
        <w:right w:val="none" w:sz="0" w:space="0" w:color="auto"/>
      </w:divBdr>
      <w:divsChild>
        <w:div w:id="1223058100">
          <w:marLeft w:val="0"/>
          <w:marRight w:val="0"/>
          <w:marTop w:val="0"/>
          <w:marBottom w:val="0"/>
          <w:divBdr>
            <w:top w:val="none" w:sz="0" w:space="0" w:color="auto"/>
            <w:left w:val="none" w:sz="0" w:space="0" w:color="auto"/>
            <w:bottom w:val="none" w:sz="0" w:space="0" w:color="auto"/>
            <w:right w:val="none" w:sz="0" w:space="0" w:color="auto"/>
          </w:divBdr>
        </w:div>
      </w:divsChild>
    </w:div>
    <w:div w:id="1223058083">
      <w:marLeft w:val="0"/>
      <w:marRight w:val="0"/>
      <w:marTop w:val="0"/>
      <w:marBottom w:val="0"/>
      <w:divBdr>
        <w:top w:val="none" w:sz="0" w:space="0" w:color="auto"/>
        <w:left w:val="none" w:sz="0" w:space="0" w:color="auto"/>
        <w:bottom w:val="none" w:sz="0" w:space="0" w:color="auto"/>
        <w:right w:val="none" w:sz="0" w:space="0" w:color="auto"/>
      </w:divBdr>
    </w:div>
    <w:div w:id="1223058084">
      <w:marLeft w:val="0"/>
      <w:marRight w:val="0"/>
      <w:marTop w:val="0"/>
      <w:marBottom w:val="0"/>
      <w:divBdr>
        <w:top w:val="none" w:sz="0" w:space="0" w:color="auto"/>
        <w:left w:val="none" w:sz="0" w:space="0" w:color="auto"/>
        <w:bottom w:val="none" w:sz="0" w:space="0" w:color="auto"/>
        <w:right w:val="none" w:sz="0" w:space="0" w:color="auto"/>
      </w:divBdr>
    </w:div>
    <w:div w:id="1223058085">
      <w:marLeft w:val="0"/>
      <w:marRight w:val="0"/>
      <w:marTop w:val="0"/>
      <w:marBottom w:val="0"/>
      <w:divBdr>
        <w:top w:val="none" w:sz="0" w:space="0" w:color="auto"/>
        <w:left w:val="none" w:sz="0" w:space="0" w:color="auto"/>
        <w:bottom w:val="none" w:sz="0" w:space="0" w:color="auto"/>
        <w:right w:val="none" w:sz="0" w:space="0" w:color="auto"/>
      </w:divBdr>
    </w:div>
    <w:div w:id="1223058086">
      <w:marLeft w:val="0"/>
      <w:marRight w:val="0"/>
      <w:marTop w:val="0"/>
      <w:marBottom w:val="0"/>
      <w:divBdr>
        <w:top w:val="none" w:sz="0" w:space="0" w:color="auto"/>
        <w:left w:val="none" w:sz="0" w:space="0" w:color="auto"/>
        <w:bottom w:val="none" w:sz="0" w:space="0" w:color="auto"/>
        <w:right w:val="none" w:sz="0" w:space="0" w:color="auto"/>
      </w:divBdr>
    </w:div>
    <w:div w:id="1223058087">
      <w:marLeft w:val="0"/>
      <w:marRight w:val="0"/>
      <w:marTop w:val="0"/>
      <w:marBottom w:val="0"/>
      <w:divBdr>
        <w:top w:val="none" w:sz="0" w:space="0" w:color="auto"/>
        <w:left w:val="none" w:sz="0" w:space="0" w:color="auto"/>
        <w:bottom w:val="none" w:sz="0" w:space="0" w:color="auto"/>
        <w:right w:val="none" w:sz="0" w:space="0" w:color="auto"/>
      </w:divBdr>
    </w:div>
    <w:div w:id="1223058088">
      <w:marLeft w:val="0"/>
      <w:marRight w:val="0"/>
      <w:marTop w:val="0"/>
      <w:marBottom w:val="0"/>
      <w:divBdr>
        <w:top w:val="none" w:sz="0" w:space="0" w:color="auto"/>
        <w:left w:val="none" w:sz="0" w:space="0" w:color="auto"/>
        <w:bottom w:val="none" w:sz="0" w:space="0" w:color="auto"/>
        <w:right w:val="none" w:sz="0" w:space="0" w:color="auto"/>
      </w:divBdr>
    </w:div>
    <w:div w:id="1223058089">
      <w:marLeft w:val="0"/>
      <w:marRight w:val="0"/>
      <w:marTop w:val="0"/>
      <w:marBottom w:val="0"/>
      <w:divBdr>
        <w:top w:val="none" w:sz="0" w:space="0" w:color="auto"/>
        <w:left w:val="none" w:sz="0" w:space="0" w:color="auto"/>
        <w:bottom w:val="none" w:sz="0" w:space="0" w:color="auto"/>
        <w:right w:val="none" w:sz="0" w:space="0" w:color="auto"/>
      </w:divBdr>
    </w:div>
    <w:div w:id="1223058090">
      <w:marLeft w:val="0"/>
      <w:marRight w:val="0"/>
      <w:marTop w:val="0"/>
      <w:marBottom w:val="0"/>
      <w:divBdr>
        <w:top w:val="none" w:sz="0" w:space="0" w:color="auto"/>
        <w:left w:val="none" w:sz="0" w:space="0" w:color="auto"/>
        <w:bottom w:val="none" w:sz="0" w:space="0" w:color="auto"/>
        <w:right w:val="none" w:sz="0" w:space="0" w:color="auto"/>
      </w:divBdr>
    </w:div>
    <w:div w:id="1223058091">
      <w:marLeft w:val="0"/>
      <w:marRight w:val="0"/>
      <w:marTop w:val="0"/>
      <w:marBottom w:val="0"/>
      <w:divBdr>
        <w:top w:val="none" w:sz="0" w:space="0" w:color="auto"/>
        <w:left w:val="none" w:sz="0" w:space="0" w:color="auto"/>
        <w:bottom w:val="none" w:sz="0" w:space="0" w:color="auto"/>
        <w:right w:val="none" w:sz="0" w:space="0" w:color="auto"/>
      </w:divBdr>
    </w:div>
    <w:div w:id="1223058092">
      <w:marLeft w:val="0"/>
      <w:marRight w:val="0"/>
      <w:marTop w:val="0"/>
      <w:marBottom w:val="0"/>
      <w:divBdr>
        <w:top w:val="none" w:sz="0" w:space="0" w:color="auto"/>
        <w:left w:val="none" w:sz="0" w:space="0" w:color="auto"/>
        <w:bottom w:val="none" w:sz="0" w:space="0" w:color="auto"/>
        <w:right w:val="none" w:sz="0" w:space="0" w:color="auto"/>
      </w:divBdr>
    </w:div>
    <w:div w:id="1223058093">
      <w:marLeft w:val="0"/>
      <w:marRight w:val="0"/>
      <w:marTop w:val="0"/>
      <w:marBottom w:val="0"/>
      <w:divBdr>
        <w:top w:val="none" w:sz="0" w:space="0" w:color="auto"/>
        <w:left w:val="none" w:sz="0" w:space="0" w:color="auto"/>
        <w:bottom w:val="none" w:sz="0" w:space="0" w:color="auto"/>
        <w:right w:val="none" w:sz="0" w:space="0" w:color="auto"/>
      </w:divBdr>
    </w:div>
    <w:div w:id="1223058094">
      <w:marLeft w:val="0"/>
      <w:marRight w:val="0"/>
      <w:marTop w:val="0"/>
      <w:marBottom w:val="0"/>
      <w:divBdr>
        <w:top w:val="none" w:sz="0" w:space="0" w:color="auto"/>
        <w:left w:val="none" w:sz="0" w:space="0" w:color="auto"/>
        <w:bottom w:val="none" w:sz="0" w:space="0" w:color="auto"/>
        <w:right w:val="none" w:sz="0" w:space="0" w:color="auto"/>
      </w:divBdr>
    </w:div>
    <w:div w:id="1223058095">
      <w:marLeft w:val="0"/>
      <w:marRight w:val="0"/>
      <w:marTop w:val="0"/>
      <w:marBottom w:val="0"/>
      <w:divBdr>
        <w:top w:val="none" w:sz="0" w:space="0" w:color="auto"/>
        <w:left w:val="none" w:sz="0" w:space="0" w:color="auto"/>
        <w:bottom w:val="none" w:sz="0" w:space="0" w:color="auto"/>
        <w:right w:val="none" w:sz="0" w:space="0" w:color="auto"/>
      </w:divBdr>
    </w:div>
    <w:div w:id="1223058096">
      <w:marLeft w:val="0"/>
      <w:marRight w:val="0"/>
      <w:marTop w:val="0"/>
      <w:marBottom w:val="0"/>
      <w:divBdr>
        <w:top w:val="none" w:sz="0" w:space="0" w:color="auto"/>
        <w:left w:val="none" w:sz="0" w:space="0" w:color="auto"/>
        <w:bottom w:val="none" w:sz="0" w:space="0" w:color="auto"/>
        <w:right w:val="none" w:sz="0" w:space="0" w:color="auto"/>
      </w:divBdr>
    </w:div>
    <w:div w:id="1223058097">
      <w:marLeft w:val="0"/>
      <w:marRight w:val="0"/>
      <w:marTop w:val="0"/>
      <w:marBottom w:val="0"/>
      <w:divBdr>
        <w:top w:val="none" w:sz="0" w:space="0" w:color="auto"/>
        <w:left w:val="none" w:sz="0" w:space="0" w:color="auto"/>
        <w:bottom w:val="none" w:sz="0" w:space="0" w:color="auto"/>
        <w:right w:val="none" w:sz="0" w:space="0" w:color="auto"/>
      </w:divBdr>
    </w:div>
    <w:div w:id="1223058098">
      <w:marLeft w:val="0"/>
      <w:marRight w:val="0"/>
      <w:marTop w:val="0"/>
      <w:marBottom w:val="0"/>
      <w:divBdr>
        <w:top w:val="none" w:sz="0" w:space="0" w:color="auto"/>
        <w:left w:val="none" w:sz="0" w:space="0" w:color="auto"/>
        <w:bottom w:val="none" w:sz="0" w:space="0" w:color="auto"/>
        <w:right w:val="none" w:sz="0" w:space="0" w:color="auto"/>
      </w:divBdr>
    </w:div>
    <w:div w:id="1223058099">
      <w:marLeft w:val="0"/>
      <w:marRight w:val="0"/>
      <w:marTop w:val="0"/>
      <w:marBottom w:val="0"/>
      <w:divBdr>
        <w:top w:val="none" w:sz="0" w:space="0" w:color="auto"/>
        <w:left w:val="none" w:sz="0" w:space="0" w:color="auto"/>
        <w:bottom w:val="none" w:sz="0" w:space="0" w:color="auto"/>
        <w:right w:val="none" w:sz="0" w:space="0" w:color="auto"/>
      </w:divBdr>
    </w:div>
    <w:div w:id="1223058101">
      <w:marLeft w:val="0"/>
      <w:marRight w:val="0"/>
      <w:marTop w:val="0"/>
      <w:marBottom w:val="0"/>
      <w:divBdr>
        <w:top w:val="none" w:sz="0" w:space="0" w:color="auto"/>
        <w:left w:val="none" w:sz="0" w:space="0" w:color="auto"/>
        <w:bottom w:val="none" w:sz="0" w:space="0" w:color="auto"/>
        <w:right w:val="none" w:sz="0" w:space="0" w:color="auto"/>
      </w:divBdr>
    </w:div>
    <w:div w:id="1223058102">
      <w:marLeft w:val="0"/>
      <w:marRight w:val="0"/>
      <w:marTop w:val="0"/>
      <w:marBottom w:val="0"/>
      <w:divBdr>
        <w:top w:val="none" w:sz="0" w:space="0" w:color="auto"/>
        <w:left w:val="none" w:sz="0" w:space="0" w:color="auto"/>
        <w:bottom w:val="none" w:sz="0" w:space="0" w:color="auto"/>
        <w:right w:val="none" w:sz="0" w:space="0" w:color="auto"/>
      </w:divBdr>
    </w:div>
    <w:div w:id="1223058103">
      <w:marLeft w:val="0"/>
      <w:marRight w:val="0"/>
      <w:marTop w:val="0"/>
      <w:marBottom w:val="0"/>
      <w:divBdr>
        <w:top w:val="none" w:sz="0" w:space="0" w:color="auto"/>
        <w:left w:val="none" w:sz="0" w:space="0" w:color="auto"/>
        <w:bottom w:val="none" w:sz="0" w:space="0" w:color="auto"/>
        <w:right w:val="none" w:sz="0" w:space="0" w:color="auto"/>
      </w:divBdr>
    </w:div>
    <w:div w:id="1223058104">
      <w:marLeft w:val="0"/>
      <w:marRight w:val="0"/>
      <w:marTop w:val="0"/>
      <w:marBottom w:val="0"/>
      <w:divBdr>
        <w:top w:val="none" w:sz="0" w:space="0" w:color="auto"/>
        <w:left w:val="none" w:sz="0" w:space="0" w:color="auto"/>
        <w:bottom w:val="none" w:sz="0" w:space="0" w:color="auto"/>
        <w:right w:val="none" w:sz="0" w:space="0" w:color="auto"/>
      </w:divBdr>
    </w:div>
    <w:div w:id="1223058105">
      <w:marLeft w:val="0"/>
      <w:marRight w:val="0"/>
      <w:marTop w:val="0"/>
      <w:marBottom w:val="0"/>
      <w:divBdr>
        <w:top w:val="none" w:sz="0" w:space="0" w:color="auto"/>
        <w:left w:val="none" w:sz="0" w:space="0" w:color="auto"/>
        <w:bottom w:val="none" w:sz="0" w:space="0" w:color="auto"/>
        <w:right w:val="none" w:sz="0" w:space="0" w:color="auto"/>
      </w:divBdr>
    </w:div>
    <w:div w:id="1223058106">
      <w:marLeft w:val="0"/>
      <w:marRight w:val="0"/>
      <w:marTop w:val="0"/>
      <w:marBottom w:val="0"/>
      <w:divBdr>
        <w:top w:val="none" w:sz="0" w:space="0" w:color="auto"/>
        <w:left w:val="none" w:sz="0" w:space="0" w:color="auto"/>
        <w:bottom w:val="none" w:sz="0" w:space="0" w:color="auto"/>
        <w:right w:val="none" w:sz="0" w:space="0" w:color="auto"/>
      </w:divBdr>
    </w:div>
    <w:div w:id="1223058107">
      <w:marLeft w:val="0"/>
      <w:marRight w:val="0"/>
      <w:marTop w:val="0"/>
      <w:marBottom w:val="0"/>
      <w:divBdr>
        <w:top w:val="none" w:sz="0" w:space="0" w:color="auto"/>
        <w:left w:val="none" w:sz="0" w:space="0" w:color="auto"/>
        <w:bottom w:val="none" w:sz="0" w:space="0" w:color="auto"/>
        <w:right w:val="none" w:sz="0" w:space="0" w:color="auto"/>
      </w:divBdr>
    </w:div>
    <w:div w:id="1223058108">
      <w:marLeft w:val="0"/>
      <w:marRight w:val="0"/>
      <w:marTop w:val="0"/>
      <w:marBottom w:val="0"/>
      <w:divBdr>
        <w:top w:val="none" w:sz="0" w:space="0" w:color="auto"/>
        <w:left w:val="none" w:sz="0" w:space="0" w:color="auto"/>
        <w:bottom w:val="none" w:sz="0" w:space="0" w:color="auto"/>
        <w:right w:val="none" w:sz="0" w:space="0" w:color="auto"/>
      </w:divBdr>
    </w:div>
    <w:div w:id="1223058109">
      <w:marLeft w:val="0"/>
      <w:marRight w:val="0"/>
      <w:marTop w:val="0"/>
      <w:marBottom w:val="0"/>
      <w:divBdr>
        <w:top w:val="none" w:sz="0" w:space="0" w:color="auto"/>
        <w:left w:val="none" w:sz="0" w:space="0" w:color="auto"/>
        <w:bottom w:val="none" w:sz="0" w:space="0" w:color="auto"/>
        <w:right w:val="none" w:sz="0" w:space="0" w:color="auto"/>
      </w:divBdr>
    </w:div>
    <w:div w:id="1223058110">
      <w:marLeft w:val="0"/>
      <w:marRight w:val="0"/>
      <w:marTop w:val="0"/>
      <w:marBottom w:val="0"/>
      <w:divBdr>
        <w:top w:val="none" w:sz="0" w:space="0" w:color="auto"/>
        <w:left w:val="none" w:sz="0" w:space="0" w:color="auto"/>
        <w:bottom w:val="none" w:sz="0" w:space="0" w:color="auto"/>
        <w:right w:val="none" w:sz="0" w:space="0" w:color="auto"/>
      </w:divBdr>
    </w:div>
    <w:div w:id="1223058111">
      <w:marLeft w:val="0"/>
      <w:marRight w:val="0"/>
      <w:marTop w:val="0"/>
      <w:marBottom w:val="0"/>
      <w:divBdr>
        <w:top w:val="none" w:sz="0" w:space="0" w:color="auto"/>
        <w:left w:val="none" w:sz="0" w:space="0" w:color="auto"/>
        <w:bottom w:val="none" w:sz="0" w:space="0" w:color="auto"/>
        <w:right w:val="none" w:sz="0" w:space="0" w:color="auto"/>
      </w:divBdr>
    </w:div>
    <w:div w:id="1223058112">
      <w:marLeft w:val="0"/>
      <w:marRight w:val="0"/>
      <w:marTop w:val="0"/>
      <w:marBottom w:val="0"/>
      <w:divBdr>
        <w:top w:val="none" w:sz="0" w:space="0" w:color="auto"/>
        <w:left w:val="none" w:sz="0" w:space="0" w:color="auto"/>
        <w:bottom w:val="none" w:sz="0" w:space="0" w:color="auto"/>
        <w:right w:val="none" w:sz="0" w:space="0" w:color="auto"/>
      </w:divBdr>
    </w:div>
    <w:div w:id="1223058113">
      <w:marLeft w:val="0"/>
      <w:marRight w:val="0"/>
      <w:marTop w:val="0"/>
      <w:marBottom w:val="0"/>
      <w:divBdr>
        <w:top w:val="none" w:sz="0" w:space="0" w:color="auto"/>
        <w:left w:val="none" w:sz="0" w:space="0" w:color="auto"/>
        <w:bottom w:val="none" w:sz="0" w:space="0" w:color="auto"/>
        <w:right w:val="none" w:sz="0" w:space="0" w:color="auto"/>
      </w:divBdr>
    </w:div>
    <w:div w:id="1223058114">
      <w:marLeft w:val="0"/>
      <w:marRight w:val="0"/>
      <w:marTop w:val="0"/>
      <w:marBottom w:val="0"/>
      <w:divBdr>
        <w:top w:val="none" w:sz="0" w:space="0" w:color="auto"/>
        <w:left w:val="none" w:sz="0" w:space="0" w:color="auto"/>
        <w:bottom w:val="none" w:sz="0" w:space="0" w:color="auto"/>
        <w:right w:val="none" w:sz="0" w:space="0" w:color="auto"/>
      </w:divBdr>
    </w:div>
    <w:div w:id="1223058115">
      <w:marLeft w:val="0"/>
      <w:marRight w:val="0"/>
      <w:marTop w:val="0"/>
      <w:marBottom w:val="0"/>
      <w:divBdr>
        <w:top w:val="none" w:sz="0" w:space="0" w:color="auto"/>
        <w:left w:val="none" w:sz="0" w:space="0" w:color="auto"/>
        <w:bottom w:val="none" w:sz="0" w:space="0" w:color="auto"/>
        <w:right w:val="none" w:sz="0" w:space="0" w:color="auto"/>
      </w:divBdr>
    </w:div>
    <w:div w:id="1223058116">
      <w:marLeft w:val="0"/>
      <w:marRight w:val="0"/>
      <w:marTop w:val="0"/>
      <w:marBottom w:val="0"/>
      <w:divBdr>
        <w:top w:val="none" w:sz="0" w:space="0" w:color="auto"/>
        <w:left w:val="none" w:sz="0" w:space="0" w:color="auto"/>
        <w:bottom w:val="none" w:sz="0" w:space="0" w:color="auto"/>
        <w:right w:val="none" w:sz="0" w:space="0" w:color="auto"/>
      </w:divBdr>
    </w:div>
    <w:div w:id="1223058117">
      <w:marLeft w:val="0"/>
      <w:marRight w:val="0"/>
      <w:marTop w:val="0"/>
      <w:marBottom w:val="0"/>
      <w:divBdr>
        <w:top w:val="none" w:sz="0" w:space="0" w:color="auto"/>
        <w:left w:val="none" w:sz="0" w:space="0" w:color="auto"/>
        <w:bottom w:val="none" w:sz="0" w:space="0" w:color="auto"/>
        <w:right w:val="none" w:sz="0" w:space="0" w:color="auto"/>
      </w:divBdr>
    </w:div>
    <w:div w:id="1223058118">
      <w:marLeft w:val="0"/>
      <w:marRight w:val="0"/>
      <w:marTop w:val="0"/>
      <w:marBottom w:val="0"/>
      <w:divBdr>
        <w:top w:val="none" w:sz="0" w:space="0" w:color="auto"/>
        <w:left w:val="none" w:sz="0" w:space="0" w:color="auto"/>
        <w:bottom w:val="none" w:sz="0" w:space="0" w:color="auto"/>
        <w:right w:val="none" w:sz="0" w:space="0" w:color="auto"/>
      </w:divBdr>
    </w:div>
    <w:div w:id="1223058119">
      <w:marLeft w:val="0"/>
      <w:marRight w:val="0"/>
      <w:marTop w:val="0"/>
      <w:marBottom w:val="0"/>
      <w:divBdr>
        <w:top w:val="none" w:sz="0" w:space="0" w:color="auto"/>
        <w:left w:val="none" w:sz="0" w:space="0" w:color="auto"/>
        <w:bottom w:val="none" w:sz="0" w:space="0" w:color="auto"/>
        <w:right w:val="none" w:sz="0" w:space="0" w:color="auto"/>
      </w:divBdr>
    </w:div>
    <w:div w:id="1223058120">
      <w:marLeft w:val="0"/>
      <w:marRight w:val="0"/>
      <w:marTop w:val="0"/>
      <w:marBottom w:val="0"/>
      <w:divBdr>
        <w:top w:val="none" w:sz="0" w:space="0" w:color="auto"/>
        <w:left w:val="none" w:sz="0" w:space="0" w:color="auto"/>
        <w:bottom w:val="none" w:sz="0" w:space="0" w:color="auto"/>
        <w:right w:val="none" w:sz="0" w:space="0" w:color="auto"/>
      </w:divBdr>
    </w:div>
    <w:div w:id="1223058121">
      <w:marLeft w:val="0"/>
      <w:marRight w:val="0"/>
      <w:marTop w:val="0"/>
      <w:marBottom w:val="0"/>
      <w:divBdr>
        <w:top w:val="none" w:sz="0" w:space="0" w:color="auto"/>
        <w:left w:val="none" w:sz="0" w:space="0" w:color="auto"/>
        <w:bottom w:val="none" w:sz="0" w:space="0" w:color="auto"/>
        <w:right w:val="none" w:sz="0" w:space="0" w:color="auto"/>
      </w:divBdr>
    </w:div>
    <w:div w:id="1223058122">
      <w:marLeft w:val="0"/>
      <w:marRight w:val="0"/>
      <w:marTop w:val="0"/>
      <w:marBottom w:val="0"/>
      <w:divBdr>
        <w:top w:val="none" w:sz="0" w:space="0" w:color="auto"/>
        <w:left w:val="none" w:sz="0" w:space="0" w:color="auto"/>
        <w:bottom w:val="none" w:sz="0" w:space="0" w:color="auto"/>
        <w:right w:val="none" w:sz="0" w:space="0" w:color="auto"/>
      </w:divBdr>
    </w:div>
    <w:div w:id="1223058123">
      <w:marLeft w:val="0"/>
      <w:marRight w:val="0"/>
      <w:marTop w:val="0"/>
      <w:marBottom w:val="0"/>
      <w:divBdr>
        <w:top w:val="none" w:sz="0" w:space="0" w:color="auto"/>
        <w:left w:val="none" w:sz="0" w:space="0" w:color="auto"/>
        <w:bottom w:val="none" w:sz="0" w:space="0" w:color="auto"/>
        <w:right w:val="none" w:sz="0" w:space="0" w:color="auto"/>
      </w:divBdr>
    </w:div>
    <w:div w:id="1223058124">
      <w:marLeft w:val="0"/>
      <w:marRight w:val="0"/>
      <w:marTop w:val="0"/>
      <w:marBottom w:val="0"/>
      <w:divBdr>
        <w:top w:val="none" w:sz="0" w:space="0" w:color="auto"/>
        <w:left w:val="none" w:sz="0" w:space="0" w:color="auto"/>
        <w:bottom w:val="none" w:sz="0" w:space="0" w:color="auto"/>
        <w:right w:val="none" w:sz="0" w:space="0" w:color="auto"/>
      </w:divBdr>
    </w:div>
    <w:div w:id="1223058125">
      <w:marLeft w:val="0"/>
      <w:marRight w:val="0"/>
      <w:marTop w:val="0"/>
      <w:marBottom w:val="0"/>
      <w:divBdr>
        <w:top w:val="none" w:sz="0" w:space="0" w:color="auto"/>
        <w:left w:val="none" w:sz="0" w:space="0" w:color="auto"/>
        <w:bottom w:val="none" w:sz="0" w:space="0" w:color="auto"/>
        <w:right w:val="none" w:sz="0" w:space="0" w:color="auto"/>
      </w:divBdr>
    </w:div>
    <w:div w:id="1223058126">
      <w:marLeft w:val="0"/>
      <w:marRight w:val="0"/>
      <w:marTop w:val="0"/>
      <w:marBottom w:val="0"/>
      <w:divBdr>
        <w:top w:val="none" w:sz="0" w:space="0" w:color="auto"/>
        <w:left w:val="none" w:sz="0" w:space="0" w:color="auto"/>
        <w:bottom w:val="none" w:sz="0" w:space="0" w:color="auto"/>
        <w:right w:val="none" w:sz="0" w:space="0" w:color="auto"/>
      </w:divBdr>
    </w:div>
    <w:div w:id="1223058127">
      <w:marLeft w:val="0"/>
      <w:marRight w:val="0"/>
      <w:marTop w:val="0"/>
      <w:marBottom w:val="0"/>
      <w:divBdr>
        <w:top w:val="none" w:sz="0" w:space="0" w:color="auto"/>
        <w:left w:val="none" w:sz="0" w:space="0" w:color="auto"/>
        <w:bottom w:val="none" w:sz="0" w:space="0" w:color="auto"/>
        <w:right w:val="none" w:sz="0" w:space="0" w:color="auto"/>
      </w:divBdr>
    </w:div>
    <w:div w:id="1223058128">
      <w:marLeft w:val="0"/>
      <w:marRight w:val="0"/>
      <w:marTop w:val="0"/>
      <w:marBottom w:val="0"/>
      <w:divBdr>
        <w:top w:val="none" w:sz="0" w:space="0" w:color="auto"/>
        <w:left w:val="none" w:sz="0" w:space="0" w:color="auto"/>
        <w:bottom w:val="none" w:sz="0" w:space="0" w:color="auto"/>
        <w:right w:val="none" w:sz="0" w:space="0" w:color="auto"/>
      </w:divBdr>
    </w:div>
    <w:div w:id="1223058129">
      <w:marLeft w:val="0"/>
      <w:marRight w:val="0"/>
      <w:marTop w:val="0"/>
      <w:marBottom w:val="0"/>
      <w:divBdr>
        <w:top w:val="none" w:sz="0" w:space="0" w:color="auto"/>
        <w:left w:val="none" w:sz="0" w:space="0" w:color="auto"/>
        <w:bottom w:val="none" w:sz="0" w:space="0" w:color="auto"/>
        <w:right w:val="none" w:sz="0" w:space="0" w:color="auto"/>
      </w:divBdr>
    </w:div>
    <w:div w:id="1223058130">
      <w:marLeft w:val="0"/>
      <w:marRight w:val="0"/>
      <w:marTop w:val="0"/>
      <w:marBottom w:val="0"/>
      <w:divBdr>
        <w:top w:val="none" w:sz="0" w:space="0" w:color="auto"/>
        <w:left w:val="none" w:sz="0" w:space="0" w:color="auto"/>
        <w:bottom w:val="none" w:sz="0" w:space="0" w:color="auto"/>
        <w:right w:val="none" w:sz="0" w:space="0" w:color="auto"/>
      </w:divBdr>
    </w:div>
    <w:div w:id="1223058131">
      <w:marLeft w:val="0"/>
      <w:marRight w:val="0"/>
      <w:marTop w:val="0"/>
      <w:marBottom w:val="0"/>
      <w:divBdr>
        <w:top w:val="none" w:sz="0" w:space="0" w:color="auto"/>
        <w:left w:val="none" w:sz="0" w:space="0" w:color="auto"/>
        <w:bottom w:val="none" w:sz="0" w:space="0" w:color="auto"/>
        <w:right w:val="none" w:sz="0" w:space="0" w:color="auto"/>
      </w:divBdr>
    </w:div>
    <w:div w:id="1223058132">
      <w:marLeft w:val="0"/>
      <w:marRight w:val="0"/>
      <w:marTop w:val="0"/>
      <w:marBottom w:val="0"/>
      <w:divBdr>
        <w:top w:val="none" w:sz="0" w:space="0" w:color="auto"/>
        <w:left w:val="none" w:sz="0" w:space="0" w:color="auto"/>
        <w:bottom w:val="none" w:sz="0" w:space="0" w:color="auto"/>
        <w:right w:val="none" w:sz="0" w:space="0" w:color="auto"/>
      </w:divBdr>
    </w:div>
    <w:div w:id="1223058133">
      <w:marLeft w:val="0"/>
      <w:marRight w:val="0"/>
      <w:marTop w:val="0"/>
      <w:marBottom w:val="0"/>
      <w:divBdr>
        <w:top w:val="none" w:sz="0" w:space="0" w:color="auto"/>
        <w:left w:val="none" w:sz="0" w:space="0" w:color="auto"/>
        <w:bottom w:val="none" w:sz="0" w:space="0" w:color="auto"/>
        <w:right w:val="none" w:sz="0" w:space="0" w:color="auto"/>
      </w:divBdr>
    </w:div>
    <w:div w:id="1223058134">
      <w:marLeft w:val="0"/>
      <w:marRight w:val="0"/>
      <w:marTop w:val="0"/>
      <w:marBottom w:val="0"/>
      <w:divBdr>
        <w:top w:val="none" w:sz="0" w:space="0" w:color="auto"/>
        <w:left w:val="none" w:sz="0" w:space="0" w:color="auto"/>
        <w:bottom w:val="none" w:sz="0" w:space="0" w:color="auto"/>
        <w:right w:val="none" w:sz="0" w:space="0" w:color="auto"/>
      </w:divBdr>
    </w:div>
    <w:div w:id="1223058135">
      <w:marLeft w:val="0"/>
      <w:marRight w:val="0"/>
      <w:marTop w:val="0"/>
      <w:marBottom w:val="0"/>
      <w:divBdr>
        <w:top w:val="none" w:sz="0" w:space="0" w:color="auto"/>
        <w:left w:val="none" w:sz="0" w:space="0" w:color="auto"/>
        <w:bottom w:val="none" w:sz="0" w:space="0" w:color="auto"/>
        <w:right w:val="none" w:sz="0" w:space="0" w:color="auto"/>
      </w:divBdr>
    </w:div>
    <w:div w:id="1223058136">
      <w:marLeft w:val="0"/>
      <w:marRight w:val="0"/>
      <w:marTop w:val="0"/>
      <w:marBottom w:val="0"/>
      <w:divBdr>
        <w:top w:val="none" w:sz="0" w:space="0" w:color="auto"/>
        <w:left w:val="none" w:sz="0" w:space="0" w:color="auto"/>
        <w:bottom w:val="none" w:sz="0" w:space="0" w:color="auto"/>
        <w:right w:val="none" w:sz="0" w:space="0" w:color="auto"/>
      </w:divBdr>
    </w:div>
    <w:div w:id="1223058137">
      <w:marLeft w:val="0"/>
      <w:marRight w:val="0"/>
      <w:marTop w:val="0"/>
      <w:marBottom w:val="0"/>
      <w:divBdr>
        <w:top w:val="none" w:sz="0" w:space="0" w:color="auto"/>
        <w:left w:val="none" w:sz="0" w:space="0" w:color="auto"/>
        <w:bottom w:val="none" w:sz="0" w:space="0" w:color="auto"/>
        <w:right w:val="none" w:sz="0" w:space="0" w:color="auto"/>
      </w:divBdr>
    </w:div>
    <w:div w:id="1223058138">
      <w:marLeft w:val="0"/>
      <w:marRight w:val="0"/>
      <w:marTop w:val="0"/>
      <w:marBottom w:val="0"/>
      <w:divBdr>
        <w:top w:val="none" w:sz="0" w:space="0" w:color="auto"/>
        <w:left w:val="none" w:sz="0" w:space="0" w:color="auto"/>
        <w:bottom w:val="none" w:sz="0" w:space="0" w:color="auto"/>
        <w:right w:val="none" w:sz="0" w:space="0" w:color="auto"/>
      </w:divBdr>
    </w:div>
    <w:div w:id="1223058139">
      <w:marLeft w:val="0"/>
      <w:marRight w:val="0"/>
      <w:marTop w:val="0"/>
      <w:marBottom w:val="0"/>
      <w:divBdr>
        <w:top w:val="none" w:sz="0" w:space="0" w:color="auto"/>
        <w:left w:val="none" w:sz="0" w:space="0" w:color="auto"/>
        <w:bottom w:val="none" w:sz="0" w:space="0" w:color="auto"/>
        <w:right w:val="none" w:sz="0" w:space="0" w:color="auto"/>
      </w:divBdr>
    </w:div>
    <w:div w:id="1223058140">
      <w:marLeft w:val="0"/>
      <w:marRight w:val="0"/>
      <w:marTop w:val="0"/>
      <w:marBottom w:val="0"/>
      <w:divBdr>
        <w:top w:val="none" w:sz="0" w:space="0" w:color="auto"/>
        <w:left w:val="none" w:sz="0" w:space="0" w:color="auto"/>
        <w:bottom w:val="none" w:sz="0" w:space="0" w:color="auto"/>
        <w:right w:val="none" w:sz="0" w:space="0" w:color="auto"/>
      </w:divBdr>
    </w:div>
    <w:div w:id="1223058141">
      <w:marLeft w:val="0"/>
      <w:marRight w:val="0"/>
      <w:marTop w:val="0"/>
      <w:marBottom w:val="0"/>
      <w:divBdr>
        <w:top w:val="none" w:sz="0" w:space="0" w:color="auto"/>
        <w:left w:val="none" w:sz="0" w:space="0" w:color="auto"/>
        <w:bottom w:val="none" w:sz="0" w:space="0" w:color="auto"/>
        <w:right w:val="none" w:sz="0" w:space="0" w:color="auto"/>
      </w:divBdr>
    </w:div>
    <w:div w:id="1223058142">
      <w:marLeft w:val="0"/>
      <w:marRight w:val="0"/>
      <w:marTop w:val="0"/>
      <w:marBottom w:val="0"/>
      <w:divBdr>
        <w:top w:val="none" w:sz="0" w:space="0" w:color="auto"/>
        <w:left w:val="none" w:sz="0" w:space="0" w:color="auto"/>
        <w:bottom w:val="none" w:sz="0" w:space="0" w:color="auto"/>
        <w:right w:val="none" w:sz="0" w:space="0" w:color="auto"/>
      </w:divBdr>
    </w:div>
    <w:div w:id="1223058143">
      <w:marLeft w:val="0"/>
      <w:marRight w:val="0"/>
      <w:marTop w:val="0"/>
      <w:marBottom w:val="0"/>
      <w:divBdr>
        <w:top w:val="none" w:sz="0" w:space="0" w:color="auto"/>
        <w:left w:val="none" w:sz="0" w:space="0" w:color="auto"/>
        <w:bottom w:val="none" w:sz="0" w:space="0" w:color="auto"/>
        <w:right w:val="none" w:sz="0" w:space="0" w:color="auto"/>
      </w:divBdr>
    </w:div>
    <w:div w:id="1223058144">
      <w:marLeft w:val="0"/>
      <w:marRight w:val="0"/>
      <w:marTop w:val="0"/>
      <w:marBottom w:val="0"/>
      <w:divBdr>
        <w:top w:val="none" w:sz="0" w:space="0" w:color="auto"/>
        <w:left w:val="none" w:sz="0" w:space="0" w:color="auto"/>
        <w:bottom w:val="none" w:sz="0" w:space="0" w:color="auto"/>
        <w:right w:val="none" w:sz="0" w:space="0" w:color="auto"/>
      </w:divBdr>
    </w:div>
    <w:div w:id="1223058145">
      <w:marLeft w:val="0"/>
      <w:marRight w:val="0"/>
      <w:marTop w:val="0"/>
      <w:marBottom w:val="0"/>
      <w:divBdr>
        <w:top w:val="none" w:sz="0" w:space="0" w:color="auto"/>
        <w:left w:val="none" w:sz="0" w:space="0" w:color="auto"/>
        <w:bottom w:val="none" w:sz="0" w:space="0" w:color="auto"/>
        <w:right w:val="none" w:sz="0" w:space="0" w:color="auto"/>
      </w:divBdr>
    </w:div>
    <w:div w:id="1243681570">
      <w:bodyDiv w:val="1"/>
      <w:marLeft w:val="0"/>
      <w:marRight w:val="0"/>
      <w:marTop w:val="0"/>
      <w:marBottom w:val="0"/>
      <w:divBdr>
        <w:top w:val="none" w:sz="0" w:space="0" w:color="auto"/>
        <w:left w:val="none" w:sz="0" w:space="0" w:color="auto"/>
        <w:bottom w:val="none" w:sz="0" w:space="0" w:color="auto"/>
        <w:right w:val="none" w:sz="0" w:space="0" w:color="auto"/>
      </w:divBdr>
    </w:div>
    <w:div w:id="1299070621">
      <w:bodyDiv w:val="1"/>
      <w:marLeft w:val="0"/>
      <w:marRight w:val="0"/>
      <w:marTop w:val="0"/>
      <w:marBottom w:val="0"/>
      <w:divBdr>
        <w:top w:val="none" w:sz="0" w:space="0" w:color="auto"/>
        <w:left w:val="none" w:sz="0" w:space="0" w:color="auto"/>
        <w:bottom w:val="none" w:sz="0" w:space="0" w:color="auto"/>
        <w:right w:val="none" w:sz="0" w:space="0" w:color="auto"/>
      </w:divBdr>
    </w:div>
    <w:div w:id="1307857173">
      <w:bodyDiv w:val="1"/>
      <w:marLeft w:val="0"/>
      <w:marRight w:val="0"/>
      <w:marTop w:val="0"/>
      <w:marBottom w:val="0"/>
      <w:divBdr>
        <w:top w:val="none" w:sz="0" w:space="0" w:color="auto"/>
        <w:left w:val="none" w:sz="0" w:space="0" w:color="auto"/>
        <w:bottom w:val="none" w:sz="0" w:space="0" w:color="auto"/>
        <w:right w:val="none" w:sz="0" w:space="0" w:color="auto"/>
      </w:divBdr>
    </w:div>
    <w:div w:id="1309285462">
      <w:bodyDiv w:val="1"/>
      <w:marLeft w:val="0"/>
      <w:marRight w:val="0"/>
      <w:marTop w:val="0"/>
      <w:marBottom w:val="0"/>
      <w:divBdr>
        <w:top w:val="none" w:sz="0" w:space="0" w:color="auto"/>
        <w:left w:val="none" w:sz="0" w:space="0" w:color="auto"/>
        <w:bottom w:val="none" w:sz="0" w:space="0" w:color="auto"/>
        <w:right w:val="none" w:sz="0" w:space="0" w:color="auto"/>
      </w:divBdr>
    </w:div>
    <w:div w:id="1309743060">
      <w:bodyDiv w:val="1"/>
      <w:marLeft w:val="0"/>
      <w:marRight w:val="0"/>
      <w:marTop w:val="0"/>
      <w:marBottom w:val="0"/>
      <w:divBdr>
        <w:top w:val="none" w:sz="0" w:space="0" w:color="auto"/>
        <w:left w:val="none" w:sz="0" w:space="0" w:color="auto"/>
        <w:bottom w:val="none" w:sz="0" w:space="0" w:color="auto"/>
        <w:right w:val="none" w:sz="0" w:space="0" w:color="auto"/>
      </w:divBdr>
    </w:div>
    <w:div w:id="1334062780">
      <w:bodyDiv w:val="1"/>
      <w:marLeft w:val="0"/>
      <w:marRight w:val="0"/>
      <w:marTop w:val="0"/>
      <w:marBottom w:val="0"/>
      <w:divBdr>
        <w:top w:val="none" w:sz="0" w:space="0" w:color="auto"/>
        <w:left w:val="none" w:sz="0" w:space="0" w:color="auto"/>
        <w:bottom w:val="none" w:sz="0" w:space="0" w:color="auto"/>
        <w:right w:val="none" w:sz="0" w:space="0" w:color="auto"/>
      </w:divBdr>
    </w:div>
    <w:div w:id="1425492080">
      <w:bodyDiv w:val="1"/>
      <w:marLeft w:val="0"/>
      <w:marRight w:val="0"/>
      <w:marTop w:val="0"/>
      <w:marBottom w:val="0"/>
      <w:divBdr>
        <w:top w:val="none" w:sz="0" w:space="0" w:color="auto"/>
        <w:left w:val="none" w:sz="0" w:space="0" w:color="auto"/>
        <w:bottom w:val="none" w:sz="0" w:space="0" w:color="auto"/>
        <w:right w:val="none" w:sz="0" w:space="0" w:color="auto"/>
      </w:divBdr>
    </w:div>
    <w:div w:id="1447851716">
      <w:bodyDiv w:val="1"/>
      <w:marLeft w:val="0"/>
      <w:marRight w:val="0"/>
      <w:marTop w:val="0"/>
      <w:marBottom w:val="0"/>
      <w:divBdr>
        <w:top w:val="none" w:sz="0" w:space="0" w:color="auto"/>
        <w:left w:val="none" w:sz="0" w:space="0" w:color="auto"/>
        <w:bottom w:val="none" w:sz="0" w:space="0" w:color="auto"/>
        <w:right w:val="none" w:sz="0" w:space="0" w:color="auto"/>
      </w:divBdr>
    </w:div>
    <w:div w:id="1483959299">
      <w:bodyDiv w:val="1"/>
      <w:marLeft w:val="0"/>
      <w:marRight w:val="0"/>
      <w:marTop w:val="0"/>
      <w:marBottom w:val="0"/>
      <w:divBdr>
        <w:top w:val="none" w:sz="0" w:space="0" w:color="auto"/>
        <w:left w:val="none" w:sz="0" w:space="0" w:color="auto"/>
        <w:bottom w:val="none" w:sz="0" w:space="0" w:color="auto"/>
        <w:right w:val="none" w:sz="0" w:space="0" w:color="auto"/>
      </w:divBdr>
    </w:div>
    <w:div w:id="1486699530">
      <w:bodyDiv w:val="1"/>
      <w:marLeft w:val="0"/>
      <w:marRight w:val="0"/>
      <w:marTop w:val="0"/>
      <w:marBottom w:val="0"/>
      <w:divBdr>
        <w:top w:val="none" w:sz="0" w:space="0" w:color="auto"/>
        <w:left w:val="none" w:sz="0" w:space="0" w:color="auto"/>
        <w:bottom w:val="none" w:sz="0" w:space="0" w:color="auto"/>
        <w:right w:val="none" w:sz="0" w:space="0" w:color="auto"/>
      </w:divBdr>
    </w:div>
    <w:div w:id="1489322108">
      <w:bodyDiv w:val="1"/>
      <w:marLeft w:val="0"/>
      <w:marRight w:val="0"/>
      <w:marTop w:val="0"/>
      <w:marBottom w:val="0"/>
      <w:divBdr>
        <w:top w:val="none" w:sz="0" w:space="0" w:color="auto"/>
        <w:left w:val="none" w:sz="0" w:space="0" w:color="auto"/>
        <w:bottom w:val="none" w:sz="0" w:space="0" w:color="auto"/>
        <w:right w:val="none" w:sz="0" w:space="0" w:color="auto"/>
      </w:divBdr>
    </w:div>
    <w:div w:id="1523737809">
      <w:bodyDiv w:val="1"/>
      <w:marLeft w:val="0"/>
      <w:marRight w:val="0"/>
      <w:marTop w:val="0"/>
      <w:marBottom w:val="0"/>
      <w:divBdr>
        <w:top w:val="none" w:sz="0" w:space="0" w:color="auto"/>
        <w:left w:val="none" w:sz="0" w:space="0" w:color="auto"/>
        <w:bottom w:val="none" w:sz="0" w:space="0" w:color="auto"/>
        <w:right w:val="none" w:sz="0" w:space="0" w:color="auto"/>
      </w:divBdr>
    </w:div>
    <w:div w:id="1535852283">
      <w:bodyDiv w:val="1"/>
      <w:marLeft w:val="0"/>
      <w:marRight w:val="0"/>
      <w:marTop w:val="0"/>
      <w:marBottom w:val="0"/>
      <w:divBdr>
        <w:top w:val="none" w:sz="0" w:space="0" w:color="auto"/>
        <w:left w:val="none" w:sz="0" w:space="0" w:color="auto"/>
        <w:bottom w:val="none" w:sz="0" w:space="0" w:color="auto"/>
        <w:right w:val="none" w:sz="0" w:space="0" w:color="auto"/>
      </w:divBdr>
    </w:div>
    <w:div w:id="1537307563">
      <w:bodyDiv w:val="1"/>
      <w:marLeft w:val="0"/>
      <w:marRight w:val="0"/>
      <w:marTop w:val="0"/>
      <w:marBottom w:val="0"/>
      <w:divBdr>
        <w:top w:val="none" w:sz="0" w:space="0" w:color="auto"/>
        <w:left w:val="none" w:sz="0" w:space="0" w:color="auto"/>
        <w:bottom w:val="none" w:sz="0" w:space="0" w:color="auto"/>
        <w:right w:val="none" w:sz="0" w:space="0" w:color="auto"/>
      </w:divBdr>
    </w:div>
    <w:div w:id="1542471924">
      <w:bodyDiv w:val="1"/>
      <w:marLeft w:val="0"/>
      <w:marRight w:val="0"/>
      <w:marTop w:val="0"/>
      <w:marBottom w:val="0"/>
      <w:divBdr>
        <w:top w:val="none" w:sz="0" w:space="0" w:color="auto"/>
        <w:left w:val="none" w:sz="0" w:space="0" w:color="auto"/>
        <w:bottom w:val="none" w:sz="0" w:space="0" w:color="auto"/>
        <w:right w:val="none" w:sz="0" w:space="0" w:color="auto"/>
      </w:divBdr>
    </w:div>
    <w:div w:id="1551116872">
      <w:bodyDiv w:val="1"/>
      <w:marLeft w:val="0"/>
      <w:marRight w:val="0"/>
      <w:marTop w:val="0"/>
      <w:marBottom w:val="0"/>
      <w:divBdr>
        <w:top w:val="none" w:sz="0" w:space="0" w:color="auto"/>
        <w:left w:val="none" w:sz="0" w:space="0" w:color="auto"/>
        <w:bottom w:val="none" w:sz="0" w:space="0" w:color="auto"/>
        <w:right w:val="none" w:sz="0" w:space="0" w:color="auto"/>
      </w:divBdr>
    </w:div>
    <w:div w:id="1572040649">
      <w:bodyDiv w:val="1"/>
      <w:marLeft w:val="0"/>
      <w:marRight w:val="0"/>
      <w:marTop w:val="0"/>
      <w:marBottom w:val="0"/>
      <w:divBdr>
        <w:top w:val="none" w:sz="0" w:space="0" w:color="auto"/>
        <w:left w:val="none" w:sz="0" w:space="0" w:color="auto"/>
        <w:bottom w:val="none" w:sz="0" w:space="0" w:color="auto"/>
        <w:right w:val="none" w:sz="0" w:space="0" w:color="auto"/>
      </w:divBdr>
    </w:div>
    <w:div w:id="1597907559">
      <w:bodyDiv w:val="1"/>
      <w:marLeft w:val="0"/>
      <w:marRight w:val="0"/>
      <w:marTop w:val="0"/>
      <w:marBottom w:val="0"/>
      <w:divBdr>
        <w:top w:val="none" w:sz="0" w:space="0" w:color="auto"/>
        <w:left w:val="none" w:sz="0" w:space="0" w:color="auto"/>
        <w:bottom w:val="none" w:sz="0" w:space="0" w:color="auto"/>
        <w:right w:val="none" w:sz="0" w:space="0" w:color="auto"/>
      </w:divBdr>
    </w:div>
    <w:div w:id="1615015552">
      <w:bodyDiv w:val="1"/>
      <w:marLeft w:val="0"/>
      <w:marRight w:val="0"/>
      <w:marTop w:val="0"/>
      <w:marBottom w:val="0"/>
      <w:divBdr>
        <w:top w:val="none" w:sz="0" w:space="0" w:color="auto"/>
        <w:left w:val="none" w:sz="0" w:space="0" w:color="auto"/>
        <w:bottom w:val="none" w:sz="0" w:space="0" w:color="auto"/>
        <w:right w:val="none" w:sz="0" w:space="0" w:color="auto"/>
      </w:divBdr>
    </w:div>
    <w:div w:id="1654945805">
      <w:bodyDiv w:val="1"/>
      <w:marLeft w:val="0"/>
      <w:marRight w:val="0"/>
      <w:marTop w:val="0"/>
      <w:marBottom w:val="0"/>
      <w:divBdr>
        <w:top w:val="none" w:sz="0" w:space="0" w:color="auto"/>
        <w:left w:val="none" w:sz="0" w:space="0" w:color="auto"/>
        <w:bottom w:val="none" w:sz="0" w:space="0" w:color="auto"/>
        <w:right w:val="none" w:sz="0" w:space="0" w:color="auto"/>
      </w:divBdr>
    </w:div>
    <w:div w:id="1668630132">
      <w:bodyDiv w:val="1"/>
      <w:marLeft w:val="0"/>
      <w:marRight w:val="0"/>
      <w:marTop w:val="0"/>
      <w:marBottom w:val="0"/>
      <w:divBdr>
        <w:top w:val="none" w:sz="0" w:space="0" w:color="auto"/>
        <w:left w:val="none" w:sz="0" w:space="0" w:color="auto"/>
        <w:bottom w:val="none" w:sz="0" w:space="0" w:color="auto"/>
        <w:right w:val="none" w:sz="0" w:space="0" w:color="auto"/>
      </w:divBdr>
    </w:div>
    <w:div w:id="1671561488">
      <w:bodyDiv w:val="1"/>
      <w:marLeft w:val="0"/>
      <w:marRight w:val="0"/>
      <w:marTop w:val="0"/>
      <w:marBottom w:val="0"/>
      <w:divBdr>
        <w:top w:val="none" w:sz="0" w:space="0" w:color="auto"/>
        <w:left w:val="none" w:sz="0" w:space="0" w:color="auto"/>
        <w:bottom w:val="none" w:sz="0" w:space="0" w:color="auto"/>
        <w:right w:val="none" w:sz="0" w:space="0" w:color="auto"/>
      </w:divBdr>
    </w:div>
    <w:div w:id="1675038044">
      <w:bodyDiv w:val="1"/>
      <w:marLeft w:val="0"/>
      <w:marRight w:val="0"/>
      <w:marTop w:val="0"/>
      <w:marBottom w:val="0"/>
      <w:divBdr>
        <w:top w:val="none" w:sz="0" w:space="0" w:color="auto"/>
        <w:left w:val="none" w:sz="0" w:space="0" w:color="auto"/>
        <w:bottom w:val="none" w:sz="0" w:space="0" w:color="auto"/>
        <w:right w:val="none" w:sz="0" w:space="0" w:color="auto"/>
      </w:divBdr>
    </w:div>
    <w:div w:id="1678999338">
      <w:bodyDiv w:val="1"/>
      <w:marLeft w:val="0"/>
      <w:marRight w:val="0"/>
      <w:marTop w:val="0"/>
      <w:marBottom w:val="0"/>
      <w:divBdr>
        <w:top w:val="none" w:sz="0" w:space="0" w:color="auto"/>
        <w:left w:val="none" w:sz="0" w:space="0" w:color="auto"/>
        <w:bottom w:val="none" w:sz="0" w:space="0" w:color="auto"/>
        <w:right w:val="none" w:sz="0" w:space="0" w:color="auto"/>
      </w:divBdr>
    </w:div>
    <w:div w:id="1716389238">
      <w:bodyDiv w:val="1"/>
      <w:marLeft w:val="0"/>
      <w:marRight w:val="0"/>
      <w:marTop w:val="0"/>
      <w:marBottom w:val="0"/>
      <w:divBdr>
        <w:top w:val="none" w:sz="0" w:space="0" w:color="auto"/>
        <w:left w:val="none" w:sz="0" w:space="0" w:color="auto"/>
        <w:bottom w:val="none" w:sz="0" w:space="0" w:color="auto"/>
        <w:right w:val="none" w:sz="0" w:space="0" w:color="auto"/>
      </w:divBdr>
    </w:div>
    <w:div w:id="1742556052">
      <w:bodyDiv w:val="1"/>
      <w:marLeft w:val="0"/>
      <w:marRight w:val="0"/>
      <w:marTop w:val="0"/>
      <w:marBottom w:val="0"/>
      <w:divBdr>
        <w:top w:val="none" w:sz="0" w:space="0" w:color="auto"/>
        <w:left w:val="none" w:sz="0" w:space="0" w:color="auto"/>
        <w:bottom w:val="none" w:sz="0" w:space="0" w:color="auto"/>
        <w:right w:val="none" w:sz="0" w:space="0" w:color="auto"/>
      </w:divBdr>
    </w:div>
    <w:div w:id="1756903926">
      <w:bodyDiv w:val="1"/>
      <w:marLeft w:val="0"/>
      <w:marRight w:val="0"/>
      <w:marTop w:val="0"/>
      <w:marBottom w:val="0"/>
      <w:divBdr>
        <w:top w:val="none" w:sz="0" w:space="0" w:color="auto"/>
        <w:left w:val="none" w:sz="0" w:space="0" w:color="auto"/>
        <w:bottom w:val="none" w:sz="0" w:space="0" w:color="auto"/>
        <w:right w:val="none" w:sz="0" w:space="0" w:color="auto"/>
      </w:divBdr>
    </w:div>
    <w:div w:id="1774129663">
      <w:bodyDiv w:val="1"/>
      <w:marLeft w:val="0"/>
      <w:marRight w:val="0"/>
      <w:marTop w:val="0"/>
      <w:marBottom w:val="0"/>
      <w:divBdr>
        <w:top w:val="none" w:sz="0" w:space="0" w:color="auto"/>
        <w:left w:val="none" w:sz="0" w:space="0" w:color="auto"/>
        <w:bottom w:val="none" w:sz="0" w:space="0" w:color="auto"/>
        <w:right w:val="none" w:sz="0" w:space="0" w:color="auto"/>
      </w:divBdr>
    </w:div>
    <w:div w:id="1778255724">
      <w:bodyDiv w:val="1"/>
      <w:marLeft w:val="0"/>
      <w:marRight w:val="0"/>
      <w:marTop w:val="0"/>
      <w:marBottom w:val="0"/>
      <w:divBdr>
        <w:top w:val="none" w:sz="0" w:space="0" w:color="auto"/>
        <w:left w:val="none" w:sz="0" w:space="0" w:color="auto"/>
        <w:bottom w:val="none" w:sz="0" w:space="0" w:color="auto"/>
        <w:right w:val="none" w:sz="0" w:space="0" w:color="auto"/>
      </w:divBdr>
    </w:div>
    <w:div w:id="1780834644">
      <w:bodyDiv w:val="1"/>
      <w:marLeft w:val="0"/>
      <w:marRight w:val="0"/>
      <w:marTop w:val="0"/>
      <w:marBottom w:val="0"/>
      <w:divBdr>
        <w:top w:val="none" w:sz="0" w:space="0" w:color="auto"/>
        <w:left w:val="none" w:sz="0" w:space="0" w:color="auto"/>
        <w:bottom w:val="none" w:sz="0" w:space="0" w:color="auto"/>
        <w:right w:val="none" w:sz="0" w:space="0" w:color="auto"/>
      </w:divBdr>
    </w:div>
    <w:div w:id="1787038973">
      <w:bodyDiv w:val="1"/>
      <w:marLeft w:val="0"/>
      <w:marRight w:val="0"/>
      <w:marTop w:val="0"/>
      <w:marBottom w:val="0"/>
      <w:divBdr>
        <w:top w:val="none" w:sz="0" w:space="0" w:color="auto"/>
        <w:left w:val="none" w:sz="0" w:space="0" w:color="auto"/>
        <w:bottom w:val="none" w:sz="0" w:space="0" w:color="auto"/>
        <w:right w:val="none" w:sz="0" w:space="0" w:color="auto"/>
      </w:divBdr>
    </w:div>
    <w:div w:id="1804811336">
      <w:bodyDiv w:val="1"/>
      <w:marLeft w:val="0"/>
      <w:marRight w:val="0"/>
      <w:marTop w:val="0"/>
      <w:marBottom w:val="0"/>
      <w:divBdr>
        <w:top w:val="none" w:sz="0" w:space="0" w:color="auto"/>
        <w:left w:val="none" w:sz="0" w:space="0" w:color="auto"/>
        <w:bottom w:val="none" w:sz="0" w:space="0" w:color="auto"/>
        <w:right w:val="none" w:sz="0" w:space="0" w:color="auto"/>
      </w:divBdr>
    </w:div>
    <w:div w:id="1807434773">
      <w:bodyDiv w:val="1"/>
      <w:marLeft w:val="0"/>
      <w:marRight w:val="0"/>
      <w:marTop w:val="0"/>
      <w:marBottom w:val="0"/>
      <w:divBdr>
        <w:top w:val="none" w:sz="0" w:space="0" w:color="auto"/>
        <w:left w:val="none" w:sz="0" w:space="0" w:color="auto"/>
        <w:bottom w:val="none" w:sz="0" w:space="0" w:color="auto"/>
        <w:right w:val="none" w:sz="0" w:space="0" w:color="auto"/>
      </w:divBdr>
    </w:div>
    <w:div w:id="1814373955">
      <w:bodyDiv w:val="1"/>
      <w:marLeft w:val="0"/>
      <w:marRight w:val="0"/>
      <w:marTop w:val="0"/>
      <w:marBottom w:val="0"/>
      <w:divBdr>
        <w:top w:val="none" w:sz="0" w:space="0" w:color="auto"/>
        <w:left w:val="none" w:sz="0" w:space="0" w:color="auto"/>
        <w:bottom w:val="none" w:sz="0" w:space="0" w:color="auto"/>
        <w:right w:val="none" w:sz="0" w:space="0" w:color="auto"/>
      </w:divBdr>
    </w:div>
    <w:div w:id="1851678445">
      <w:bodyDiv w:val="1"/>
      <w:marLeft w:val="0"/>
      <w:marRight w:val="0"/>
      <w:marTop w:val="0"/>
      <w:marBottom w:val="0"/>
      <w:divBdr>
        <w:top w:val="none" w:sz="0" w:space="0" w:color="auto"/>
        <w:left w:val="none" w:sz="0" w:space="0" w:color="auto"/>
        <w:bottom w:val="none" w:sz="0" w:space="0" w:color="auto"/>
        <w:right w:val="none" w:sz="0" w:space="0" w:color="auto"/>
      </w:divBdr>
    </w:div>
    <w:div w:id="1939408219">
      <w:bodyDiv w:val="1"/>
      <w:marLeft w:val="0"/>
      <w:marRight w:val="0"/>
      <w:marTop w:val="0"/>
      <w:marBottom w:val="0"/>
      <w:divBdr>
        <w:top w:val="none" w:sz="0" w:space="0" w:color="auto"/>
        <w:left w:val="none" w:sz="0" w:space="0" w:color="auto"/>
        <w:bottom w:val="none" w:sz="0" w:space="0" w:color="auto"/>
        <w:right w:val="none" w:sz="0" w:space="0" w:color="auto"/>
      </w:divBdr>
    </w:div>
    <w:div w:id="1971351962">
      <w:bodyDiv w:val="1"/>
      <w:marLeft w:val="0"/>
      <w:marRight w:val="0"/>
      <w:marTop w:val="0"/>
      <w:marBottom w:val="0"/>
      <w:divBdr>
        <w:top w:val="none" w:sz="0" w:space="0" w:color="auto"/>
        <w:left w:val="none" w:sz="0" w:space="0" w:color="auto"/>
        <w:bottom w:val="none" w:sz="0" w:space="0" w:color="auto"/>
        <w:right w:val="none" w:sz="0" w:space="0" w:color="auto"/>
      </w:divBdr>
    </w:div>
    <w:div w:id="1993674671">
      <w:bodyDiv w:val="1"/>
      <w:marLeft w:val="0"/>
      <w:marRight w:val="0"/>
      <w:marTop w:val="0"/>
      <w:marBottom w:val="0"/>
      <w:divBdr>
        <w:top w:val="none" w:sz="0" w:space="0" w:color="auto"/>
        <w:left w:val="none" w:sz="0" w:space="0" w:color="auto"/>
        <w:bottom w:val="none" w:sz="0" w:space="0" w:color="auto"/>
        <w:right w:val="none" w:sz="0" w:space="0" w:color="auto"/>
      </w:divBdr>
    </w:div>
    <w:div w:id="2002345815">
      <w:bodyDiv w:val="1"/>
      <w:marLeft w:val="0"/>
      <w:marRight w:val="0"/>
      <w:marTop w:val="0"/>
      <w:marBottom w:val="0"/>
      <w:divBdr>
        <w:top w:val="none" w:sz="0" w:space="0" w:color="auto"/>
        <w:left w:val="none" w:sz="0" w:space="0" w:color="auto"/>
        <w:bottom w:val="none" w:sz="0" w:space="0" w:color="auto"/>
        <w:right w:val="none" w:sz="0" w:space="0" w:color="auto"/>
      </w:divBdr>
    </w:div>
    <w:div w:id="2053069007">
      <w:bodyDiv w:val="1"/>
      <w:marLeft w:val="0"/>
      <w:marRight w:val="0"/>
      <w:marTop w:val="0"/>
      <w:marBottom w:val="0"/>
      <w:divBdr>
        <w:top w:val="none" w:sz="0" w:space="0" w:color="auto"/>
        <w:left w:val="none" w:sz="0" w:space="0" w:color="auto"/>
        <w:bottom w:val="none" w:sz="0" w:space="0" w:color="auto"/>
        <w:right w:val="none" w:sz="0" w:space="0" w:color="auto"/>
      </w:divBdr>
    </w:div>
    <w:div w:id="2078741051">
      <w:bodyDiv w:val="1"/>
      <w:marLeft w:val="0"/>
      <w:marRight w:val="0"/>
      <w:marTop w:val="0"/>
      <w:marBottom w:val="0"/>
      <w:divBdr>
        <w:top w:val="none" w:sz="0" w:space="0" w:color="auto"/>
        <w:left w:val="none" w:sz="0" w:space="0" w:color="auto"/>
        <w:bottom w:val="none" w:sz="0" w:space="0" w:color="auto"/>
        <w:right w:val="none" w:sz="0" w:space="0" w:color="auto"/>
      </w:divBdr>
    </w:div>
    <w:div w:id="2096049501">
      <w:bodyDiv w:val="1"/>
      <w:marLeft w:val="0"/>
      <w:marRight w:val="0"/>
      <w:marTop w:val="0"/>
      <w:marBottom w:val="0"/>
      <w:divBdr>
        <w:top w:val="none" w:sz="0" w:space="0" w:color="auto"/>
        <w:left w:val="none" w:sz="0" w:space="0" w:color="auto"/>
        <w:bottom w:val="none" w:sz="0" w:space="0" w:color="auto"/>
        <w:right w:val="none" w:sz="0" w:space="0" w:color="auto"/>
      </w:divBdr>
    </w:div>
    <w:div w:id="210240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R:\work\reports\2018\Q4\2018Q4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39c8b5fc9082f2eb/report/2018/annual/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20and%20Settings\OneDrive\report\2018\annual\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7\annual\2017%20data_an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39c8b5fc9082f2eb/report/2018/annual/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s%20and%20Settings\OneDrive\report\2018\annual\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39c8b5fc9082f2eb/report/2018/annual/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39c8b5fc9082f2eb/report/2018/annual/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39c8b5fc9082f2eb/report/2018/annual/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39c8b5fc9082f2eb/report/2018/annual/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
          <c:y val="2.083333333333336E-2"/>
          <c:w val="1"/>
          <c:h val="0.95809574598454861"/>
        </c:manualLayout>
      </c:layout>
      <c:pie3DChart>
        <c:varyColors val="1"/>
        <c:ser>
          <c:idx val="0"/>
          <c:order val="0"/>
          <c:explosion val="22"/>
          <c:dLbls>
            <c:dLbl>
              <c:idx val="0"/>
              <c:layout>
                <c:manualLayout>
                  <c:x val="-6.0763888888888923E-2"/>
                  <c:y val="-0.10804760231035768"/>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240017361111111"/>
                      <c:h val="0.1590559261159569"/>
                    </c:manualLayout>
                  </c15:layout>
                </c:ext>
                <c:ext xmlns:c16="http://schemas.microsoft.com/office/drawing/2014/chart" uri="{C3380CC4-5D6E-409C-BE32-E72D297353CC}">
                  <c16:uniqueId val="{00000000-43C9-4A3E-882F-15A684582D7E}"/>
                </c:ext>
              </c:extLst>
            </c:dLbl>
            <c:dLbl>
              <c:idx val="1"/>
              <c:layout>
                <c:manualLayout>
                  <c:x val="0.15949401588473339"/>
                  <c:y val="-0.24602346717948101"/>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9522569444444441"/>
                      <c:h val="0.19813593080239009"/>
                    </c:manualLayout>
                  </c15:layout>
                </c:ext>
                <c:ext xmlns:c16="http://schemas.microsoft.com/office/drawing/2014/chart" uri="{C3380CC4-5D6E-409C-BE32-E72D297353CC}">
                  <c16:uniqueId val="{00000001-43C9-4A3E-882F-15A684582D7E}"/>
                </c:ext>
              </c:extLst>
            </c:dLbl>
            <c:dLbl>
              <c:idx val="2"/>
              <c:layout>
                <c:manualLayout>
                  <c:x val="5.4253472222222265E-2"/>
                  <c:y val="2.2719235518854217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5770399305555558"/>
                      <c:h val="0.16162134427911751"/>
                    </c:manualLayout>
                  </c15:layout>
                </c:ext>
                <c:ext xmlns:c16="http://schemas.microsoft.com/office/drawing/2014/chart" uri="{C3380CC4-5D6E-409C-BE32-E72D297353CC}">
                  <c16:uniqueId val="{00000002-43C9-4A3E-882F-15A684582D7E}"/>
                </c:ext>
              </c:extLst>
            </c:dLbl>
            <c:dLbl>
              <c:idx val="3"/>
              <c:layout>
                <c:manualLayout>
                  <c:x val="0.16249008912948401"/>
                  <c:y val="8.1238241833418809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1384548611111112"/>
                      <c:h val="0.15269368907131861"/>
                    </c:manualLayout>
                  </c15:layout>
                </c:ext>
                <c:ext xmlns:c16="http://schemas.microsoft.com/office/drawing/2014/chart" uri="{C3380CC4-5D6E-409C-BE32-E72D297353CC}">
                  <c16:uniqueId val="{00000003-43C9-4A3E-882F-15A684582D7E}"/>
                </c:ext>
              </c:extLst>
            </c:dLbl>
            <c:numFmt formatCode="0.00%" sourceLinked="0"/>
            <c:spPr>
              <a:noFill/>
              <a:ln>
                <a:noFill/>
              </a:ln>
              <a:effectLst/>
            </c:spPr>
            <c:txPr>
              <a:bodyPr/>
              <a:lstStyle/>
              <a:p>
                <a:pPr>
                  <a:defRPr sz="900">
                    <a:solidFill>
                      <a:schemeClr val="bg1"/>
                    </a:solidFill>
                    <a:latin typeface="Calibri" panose="020F0502020204030204" pitchFamily="34" charset="0"/>
                  </a:defRPr>
                </a:pPr>
                <a:endParaRPr lang="bg-BG"/>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Shareholders!$B$3:$B$6</c:f>
              <c:strCache>
                <c:ptCount val="4"/>
                <c:pt idx="0">
                  <c:v>Министерство на финансите</c:v>
                </c:pt>
                <c:pt idx="1">
                  <c:v>Инвестиционни посредници и търговски банки</c:v>
                </c:pt>
                <c:pt idx="2">
                  <c:v>Други юридически лица</c:v>
                </c:pt>
                <c:pt idx="3">
                  <c:v>Физически лица</c:v>
                </c:pt>
              </c:strCache>
            </c:strRef>
          </c:cat>
          <c:val>
            <c:numRef>
              <c:f>Shareholders!$C$3:$C$6</c:f>
              <c:numCache>
                <c:formatCode>#,##0</c:formatCode>
                <c:ptCount val="4"/>
                <c:pt idx="0">
                  <c:v>3295000</c:v>
                </c:pt>
                <c:pt idx="1">
                  <c:v>1045793</c:v>
                </c:pt>
                <c:pt idx="2">
                  <c:v>1353445</c:v>
                </c:pt>
                <c:pt idx="3">
                  <c:v>888622</c:v>
                </c:pt>
              </c:numCache>
            </c:numRef>
          </c:val>
          <c:extLst>
            <c:ext xmlns:c16="http://schemas.microsoft.com/office/drawing/2014/chart" uri="{C3380CC4-5D6E-409C-BE32-E72D297353CC}">
              <c16:uniqueId val="{00000004-43C9-4A3E-882F-15A684582D7E}"/>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sz="600">
          <a:latin typeface="News Gothic Cyr" panose="020B0503020103020203" pitchFamily="34" charset="-52"/>
        </a:defRPr>
      </a:pPr>
      <a:endParaRPr lang="bg-BG"/>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876726965882698E-2"/>
          <c:y val="3.0310684516291993E-2"/>
          <c:w val="0.85318630510437954"/>
          <c:h val="0.80469815610002593"/>
        </c:manualLayout>
      </c:layout>
      <c:barChart>
        <c:barDir val="col"/>
        <c:grouping val="clustered"/>
        <c:varyColors val="0"/>
        <c:ser>
          <c:idx val="0"/>
          <c:order val="0"/>
          <c:tx>
            <c:strRef>
              <c:f>BSO!$E$3</c:f>
              <c:strCache>
                <c:ptCount val="1"/>
                <c:pt idx="0">
                  <c:v>Обем (лотове)</c:v>
                </c:pt>
              </c:strCache>
            </c:strRef>
          </c:tx>
          <c:spPr>
            <a:solidFill>
              <a:schemeClr val="accent1"/>
            </a:solidFill>
            <a:ln>
              <a:noFill/>
            </a:ln>
            <a:effectLst/>
          </c:spPr>
          <c:invertIfNegative val="0"/>
          <c:cat>
            <c:numRef>
              <c:f>BSO!$D$5:$D$369</c:f>
              <c:numCache>
                <c:formatCode>m/d/yyyy</c:formatCode>
                <c:ptCount val="365"/>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59">
                  <c:v>43160</c:v>
                </c:pt>
                <c:pt idx="60">
                  <c:v>43161</c:v>
                </c:pt>
                <c:pt idx="61">
                  <c:v>43162</c:v>
                </c:pt>
                <c:pt idx="62">
                  <c:v>43163</c:v>
                </c:pt>
                <c:pt idx="63">
                  <c:v>43164</c:v>
                </c:pt>
                <c:pt idx="64">
                  <c:v>43165</c:v>
                </c:pt>
                <c:pt idx="65">
                  <c:v>43166</c:v>
                </c:pt>
                <c:pt idx="66">
                  <c:v>43167</c:v>
                </c:pt>
                <c:pt idx="67">
                  <c:v>43168</c:v>
                </c:pt>
                <c:pt idx="68">
                  <c:v>43169</c:v>
                </c:pt>
                <c:pt idx="69">
                  <c:v>43170</c:v>
                </c:pt>
                <c:pt idx="70">
                  <c:v>43171</c:v>
                </c:pt>
                <c:pt idx="71">
                  <c:v>43172</c:v>
                </c:pt>
                <c:pt idx="72">
                  <c:v>43173</c:v>
                </c:pt>
                <c:pt idx="73">
                  <c:v>43174</c:v>
                </c:pt>
                <c:pt idx="74">
                  <c:v>43175</c:v>
                </c:pt>
                <c:pt idx="75">
                  <c:v>43176</c:v>
                </c:pt>
                <c:pt idx="76">
                  <c:v>43177</c:v>
                </c:pt>
                <c:pt idx="77">
                  <c:v>43178</c:v>
                </c:pt>
                <c:pt idx="78">
                  <c:v>43179</c:v>
                </c:pt>
                <c:pt idx="79">
                  <c:v>43180</c:v>
                </c:pt>
                <c:pt idx="80">
                  <c:v>43181</c:v>
                </c:pt>
                <c:pt idx="81">
                  <c:v>43182</c:v>
                </c:pt>
                <c:pt idx="82">
                  <c:v>43183</c:v>
                </c:pt>
                <c:pt idx="83">
                  <c:v>43184</c:v>
                </c:pt>
                <c:pt idx="84">
                  <c:v>43185</c:v>
                </c:pt>
                <c:pt idx="85">
                  <c:v>43186</c:v>
                </c:pt>
                <c:pt idx="86">
                  <c:v>43187</c:v>
                </c:pt>
                <c:pt idx="87">
                  <c:v>43188</c:v>
                </c:pt>
                <c:pt idx="88">
                  <c:v>43189</c:v>
                </c:pt>
                <c:pt idx="89">
                  <c:v>43190</c:v>
                </c:pt>
                <c:pt idx="90">
                  <c:v>43191</c:v>
                </c:pt>
                <c:pt idx="91">
                  <c:v>43192</c:v>
                </c:pt>
                <c:pt idx="92">
                  <c:v>43193</c:v>
                </c:pt>
                <c:pt idx="93">
                  <c:v>43194</c:v>
                </c:pt>
                <c:pt idx="94">
                  <c:v>43195</c:v>
                </c:pt>
                <c:pt idx="95">
                  <c:v>43196</c:v>
                </c:pt>
                <c:pt idx="96">
                  <c:v>43197</c:v>
                </c:pt>
                <c:pt idx="97">
                  <c:v>43198</c:v>
                </c:pt>
                <c:pt idx="98">
                  <c:v>43199</c:v>
                </c:pt>
                <c:pt idx="99">
                  <c:v>43200</c:v>
                </c:pt>
                <c:pt idx="100">
                  <c:v>43201</c:v>
                </c:pt>
                <c:pt idx="101">
                  <c:v>43202</c:v>
                </c:pt>
                <c:pt idx="102">
                  <c:v>43203</c:v>
                </c:pt>
                <c:pt idx="103">
                  <c:v>43204</c:v>
                </c:pt>
                <c:pt idx="104">
                  <c:v>43205</c:v>
                </c:pt>
                <c:pt idx="105">
                  <c:v>43206</c:v>
                </c:pt>
                <c:pt idx="106">
                  <c:v>43207</c:v>
                </c:pt>
                <c:pt idx="107">
                  <c:v>43208</c:v>
                </c:pt>
                <c:pt idx="108">
                  <c:v>43209</c:v>
                </c:pt>
                <c:pt idx="109">
                  <c:v>43210</c:v>
                </c:pt>
                <c:pt idx="110">
                  <c:v>43211</c:v>
                </c:pt>
                <c:pt idx="111">
                  <c:v>43212</c:v>
                </c:pt>
                <c:pt idx="112">
                  <c:v>43213</c:v>
                </c:pt>
                <c:pt idx="113">
                  <c:v>43214</c:v>
                </c:pt>
                <c:pt idx="114">
                  <c:v>43215</c:v>
                </c:pt>
                <c:pt idx="115">
                  <c:v>43216</c:v>
                </c:pt>
                <c:pt idx="116">
                  <c:v>43217</c:v>
                </c:pt>
                <c:pt idx="117">
                  <c:v>43218</c:v>
                </c:pt>
                <c:pt idx="118">
                  <c:v>43219</c:v>
                </c:pt>
                <c:pt idx="119">
                  <c:v>43220</c:v>
                </c:pt>
                <c:pt idx="120">
                  <c:v>43221</c:v>
                </c:pt>
                <c:pt idx="121">
                  <c:v>43222</c:v>
                </c:pt>
                <c:pt idx="122">
                  <c:v>43223</c:v>
                </c:pt>
                <c:pt idx="123">
                  <c:v>43224</c:v>
                </c:pt>
                <c:pt idx="124">
                  <c:v>43225</c:v>
                </c:pt>
                <c:pt idx="125">
                  <c:v>43226</c:v>
                </c:pt>
                <c:pt idx="126">
                  <c:v>43227</c:v>
                </c:pt>
                <c:pt idx="127">
                  <c:v>43228</c:v>
                </c:pt>
                <c:pt idx="128">
                  <c:v>43229</c:v>
                </c:pt>
                <c:pt idx="129">
                  <c:v>43230</c:v>
                </c:pt>
                <c:pt idx="130">
                  <c:v>43231</c:v>
                </c:pt>
                <c:pt idx="131">
                  <c:v>43232</c:v>
                </c:pt>
                <c:pt idx="132">
                  <c:v>43233</c:v>
                </c:pt>
                <c:pt idx="133">
                  <c:v>43234</c:v>
                </c:pt>
                <c:pt idx="134">
                  <c:v>43235</c:v>
                </c:pt>
                <c:pt idx="135">
                  <c:v>43236</c:v>
                </c:pt>
                <c:pt idx="136">
                  <c:v>43237</c:v>
                </c:pt>
                <c:pt idx="137">
                  <c:v>43238</c:v>
                </c:pt>
                <c:pt idx="138">
                  <c:v>43239</c:v>
                </c:pt>
                <c:pt idx="139">
                  <c:v>43240</c:v>
                </c:pt>
                <c:pt idx="140">
                  <c:v>43241</c:v>
                </c:pt>
                <c:pt idx="141">
                  <c:v>43242</c:v>
                </c:pt>
                <c:pt idx="142">
                  <c:v>43243</c:v>
                </c:pt>
                <c:pt idx="143">
                  <c:v>43244</c:v>
                </c:pt>
                <c:pt idx="144">
                  <c:v>43245</c:v>
                </c:pt>
                <c:pt idx="145">
                  <c:v>43246</c:v>
                </c:pt>
                <c:pt idx="146">
                  <c:v>43247</c:v>
                </c:pt>
                <c:pt idx="147">
                  <c:v>43248</c:v>
                </c:pt>
                <c:pt idx="148">
                  <c:v>43249</c:v>
                </c:pt>
                <c:pt idx="149">
                  <c:v>43250</c:v>
                </c:pt>
                <c:pt idx="150">
                  <c:v>43251</c:v>
                </c:pt>
                <c:pt idx="151">
                  <c:v>43252</c:v>
                </c:pt>
                <c:pt idx="152">
                  <c:v>43253</c:v>
                </c:pt>
                <c:pt idx="153">
                  <c:v>43254</c:v>
                </c:pt>
                <c:pt idx="154">
                  <c:v>43255</c:v>
                </c:pt>
                <c:pt idx="155">
                  <c:v>43256</c:v>
                </c:pt>
                <c:pt idx="156">
                  <c:v>43257</c:v>
                </c:pt>
                <c:pt idx="157">
                  <c:v>43258</c:v>
                </c:pt>
                <c:pt idx="158">
                  <c:v>43259</c:v>
                </c:pt>
                <c:pt idx="159">
                  <c:v>43260</c:v>
                </c:pt>
                <c:pt idx="160">
                  <c:v>43261</c:v>
                </c:pt>
                <c:pt idx="161">
                  <c:v>43262</c:v>
                </c:pt>
                <c:pt idx="162">
                  <c:v>43263</c:v>
                </c:pt>
                <c:pt idx="163">
                  <c:v>43264</c:v>
                </c:pt>
                <c:pt idx="164">
                  <c:v>43265</c:v>
                </c:pt>
                <c:pt idx="165">
                  <c:v>43266</c:v>
                </c:pt>
                <c:pt idx="166">
                  <c:v>43267</c:v>
                </c:pt>
                <c:pt idx="167">
                  <c:v>43268</c:v>
                </c:pt>
                <c:pt idx="168">
                  <c:v>43269</c:v>
                </c:pt>
                <c:pt idx="169">
                  <c:v>43270</c:v>
                </c:pt>
                <c:pt idx="170">
                  <c:v>43271</c:v>
                </c:pt>
                <c:pt idx="171">
                  <c:v>43272</c:v>
                </c:pt>
                <c:pt idx="172">
                  <c:v>43273</c:v>
                </c:pt>
                <c:pt idx="173">
                  <c:v>43274</c:v>
                </c:pt>
                <c:pt idx="174">
                  <c:v>43275</c:v>
                </c:pt>
                <c:pt idx="175">
                  <c:v>43276</c:v>
                </c:pt>
                <c:pt idx="176">
                  <c:v>43277</c:v>
                </c:pt>
                <c:pt idx="177">
                  <c:v>43278</c:v>
                </c:pt>
                <c:pt idx="178">
                  <c:v>43279</c:v>
                </c:pt>
                <c:pt idx="179">
                  <c:v>43280</c:v>
                </c:pt>
                <c:pt idx="180">
                  <c:v>43281</c:v>
                </c:pt>
                <c:pt idx="181">
                  <c:v>43282</c:v>
                </c:pt>
                <c:pt idx="182">
                  <c:v>43283</c:v>
                </c:pt>
                <c:pt idx="183">
                  <c:v>43284</c:v>
                </c:pt>
                <c:pt idx="184">
                  <c:v>43285</c:v>
                </c:pt>
                <c:pt idx="185">
                  <c:v>43286</c:v>
                </c:pt>
                <c:pt idx="186">
                  <c:v>43287</c:v>
                </c:pt>
                <c:pt idx="187">
                  <c:v>43288</c:v>
                </c:pt>
                <c:pt idx="188">
                  <c:v>43289</c:v>
                </c:pt>
                <c:pt idx="189">
                  <c:v>43290</c:v>
                </c:pt>
                <c:pt idx="190">
                  <c:v>43291</c:v>
                </c:pt>
                <c:pt idx="191">
                  <c:v>43292</c:v>
                </c:pt>
                <c:pt idx="192">
                  <c:v>43293</c:v>
                </c:pt>
                <c:pt idx="193">
                  <c:v>43294</c:v>
                </c:pt>
                <c:pt idx="194">
                  <c:v>43295</c:v>
                </c:pt>
                <c:pt idx="195">
                  <c:v>43296</c:v>
                </c:pt>
                <c:pt idx="196">
                  <c:v>43297</c:v>
                </c:pt>
                <c:pt idx="197">
                  <c:v>43298</c:v>
                </c:pt>
                <c:pt idx="198">
                  <c:v>43299</c:v>
                </c:pt>
                <c:pt idx="199">
                  <c:v>43300</c:v>
                </c:pt>
                <c:pt idx="200">
                  <c:v>43301</c:v>
                </c:pt>
                <c:pt idx="201">
                  <c:v>43302</c:v>
                </c:pt>
                <c:pt idx="202">
                  <c:v>43303</c:v>
                </c:pt>
                <c:pt idx="203">
                  <c:v>43304</c:v>
                </c:pt>
                <c:pt idx="204">
                  <c:v>43305</c:v>
                </c:pt>
                <c:pt idx="205">
                  <c:v>43306</c:v>
                </c:pt>
                <c:pt idx="206">
                  <c:v>43307</c:v>
                </c:pt>
                <c:pt idx="207">
                  <c:v>43308</c:v>
                </c:pt>
                <c:pt idx="208">
                  <c:v>43309</c:v>
                </c:pt>
                <c:pt idx="209">
                  <c:v>43310</c:v>
                </c:pt>
                <c:pt idx="210">
                  <c:v>43311</c:v>
                </c:pt>
                <c:pt idx="211">
                  <c:v>43312</c:v>
                </c:pt>
                <c:pt idx="212">
                  <c:v>43313</c:v>
                </c:pt>
                <c:pt idx="213">
                  <c:v>43314</c:v>
                </c:pt>
                <c:pt idx="214">
                  <c:v>43315</c:v>
                </c:pt>
                <c:pt idx="215">
                  <c:v>43316</c:v>
                </c:pt>
                <c:pt idx="216">
                  <c:v>43317</c:v>
                </c:pt>
                <c:pt idx="217">
                  <c:v>43318</c:v>
                </c:pt>
                <c:pt idx="218">
                  <c:v>43319</c:v>
                </c:pt>
                <c:pt idx="219">
                  <c:v>43320</c:v>
                </c:pt>
                <c:pt idx="220">
                  <c:v>43321</c:v>
                </c:pt>
                <c:pt idx="221">
                  <c:v>43322</c:v>
                </c:pt>
                <c:pt idx="222">
                  <c:v>43323</c:v>
                </c:pt>
                <c:pt idx="223">
                  <c:v>43324</c:v>
                </c:pt>
                <c:pt idx="224">
                  <c:v>43325</c:v>
                </c:pt>
                <c:pt idx="225">
                  <c:v>43326</c:v>
                </c:pt>
                <c:pt idx="226">
                  <c:v>43327</c:v>
                </c:pt>
                <c:pt idx="227">
                  <c:v>43328</c:v>
                </c:pt>
                <c:pt idx="228">
                  <c:v>43329</c:v>
                </c:pt>
                <c:pt idx="229">
                  <c:v>43330</c:v>
                </c:pt>
                <c:pt idx="230">
                  <c:v>43331</c:v>
                </c:pt>
                <c:pt idx="231">
                  <c:v>43332</c:v>
                </c:pt>
                <c:pt idx="232">
                  <c:v>43333</c:v>
                </c:pt>
                <c:pt idx="233">
                  <c:v>43334</c:v>
                </c:pt>
                <c:pt idx="234">
                  <c:v>43335</c:v>
                </c:pt>
                <c:pt idx="235">
                  <c:v>43336</c:v>
                </c:pt>
                <c:pt idx="236">
                  <c:v>43337</c:v>
                </c:pt>
                <c:pt idx="237">
                  <c:v>43338</c:v>
                </c:pt>
                <c:pt idx="238">
                  <c:v>43339</c:v>
                </c:pt>
                <c:pt idx="239">
                  <c:v>43340</c:v>
                </c:pt>
                <c:pt idx="240">
                  <c:v>43341</c:v>
                </c:pt>
                <c:pt idx="241">
                  <c:v>43342</c:v>
                </c:pt>
                <c:pt idx="242">
                  <c:v>43343</c:v>
                </c:pt>
                <c:pt idx="243">
                  <c:v>43344</c:v>
                </c:pt>
                <c:pt idx="244">
                  <c:v>43345</c:v>
                </c:pt>
                <c:pt idx="245">
                  <c:v>43346</c:v>
                </c:pt>
                <c:pt idx="246">
                  <c:v>43347</c:v>
                </c:pt>
                <c:pt idx="247">
                  <c:v>43348</c:v>
                </c:pt>
                <c:pt idx="248">
                  <c:v>43349</c:v>
                </c:pt>
                <c:pt idx="249">
                  <c:v>43350</c:v>
                </c:pt>
                <c:pt idx="250">
                  <c:v>43351</c:v>
                </c:pt>
                <c:pt idx="251">
                  <c:v>43352</c:v>
                </c:pt>
                <c:pt idx="252">
                  <c:v>43353</c:v>
                </c:pt>
                <c:pt idx="253">
                  <c:v>43354</c:v>
                </c:pt>
                <c:pt idx="254">
                  <c:v>43355</c:v>
                </c:pt>
                <c:pt idx="255">
                  <c:v>43356</c:v>
                </c:pt>
                <c:pt idx="256">
                  <c:v>43357</c:v>
                </c:pt>
                <c:pt idx="257">
                  <c:v>43358</c:v>
                </c:pt>
                <c:pt idx="258">
                  <c:v>43359</c:v>
                </c:pt>
                <c:pt idx="259">
                  <c:v>43360</c:v>
                </c:pt>
                <c:pt idx="260">
                  <c:v>43361</c:v>
                </c:pt>
                <c:pt idx="261">
                  <c:v>43362</c:v>
                </c:pt>
                <c:pt idx="262">
                  <c:v>43363</c:v>
                </c:pt>
                <c:pt idx="263">
                  <c:v>43364</c:v>
                </c:pt>
                <c:pt idx="264">
                  <c:v>43365</c:v>
                </c:pt>
                <c:pt idx="265">
                  <c:v>43366</c:v>
                </c:pt>
                <c:pt idx="266">
                  <c:v>43367</c:v>
                </c:pt>
                <c:pt idx="267">
                  <c:v>43368</c:v>
                </c:pt>
                <c:pt idx="268">
                  <c:v>43369</c:v>
                </c:pt>
                <c:pt idx="269">
                  <c:v>43370</c:v>
                </c:pt>
                <c:pt idx="270">
                  <c:v>43371</c:v>
                </c:pt>
                <c:pt idx="271">
                  <c:v>43372</c:v>
                </c:pt>
                <c:pt idx="272">
                  <c:v>43373</c:v>
                </c:pt>
                <c:pt idx="273">
                  <c:v>43374</c:v>
                </c:pt>
                <c:pt idx="274">
                  <c:v>43375</c:v>
                </c:pt>
                <c:pt idx="275">
                  <c:v>43376</c:v>
                </c:pt>
                <c:pt idx="276">
                  <c:v>43377</c:v>
                </c:pt>
                <c:pt idx="277">
                  <c:v>43378</c:v>
                </c:pt>
                <c:pt idx="278">
                  <c:v>43379</c:v>
                </c:pt>
                <c:pt idx="279">
                  <c:v>43380</c:v>
                </c:pt>
                <c:pt idx="280">
                  <c:v>43381</c:v>
                </c:pt>
                <c:pt idx="281">
                  <c:v>43382</c:v>
                </c:pt>
                <c:pt idx="282">
                  <c:v>43383</c:v>
                </c:pt>
                <c:pt idx="283">
                  <c:v>43384</c:v>
                </c:pt>
                <c:pt idx="284">
                  <c:v>43385</c:v>
                </c:pt>
                <c:pt idx="285">
                  <c:v>43386</c:v>
                </c:pt>
                <c:pt idx="286">
                  <c:v>43387</c:v>
                </c:pt>
                <c:pt idx="287">
                  <c:v>43388</c:v>
                </c:pt>
                <c:pt idx="288">
                  <c:v>43389</c:v>
                </c:pt>
                <c:pt idx="289">
                  <c:v>43390</c:v>
                </c:pt>
                <c:pt idx="290">
                  <c:v>43391</c:v>
                </c:pt>
                <c:pt idx="291">
                  <c:v>43392</c:v>
                </c:pt>
                <c:pt idx="292">
                  <c:v>43393</c:v>
                </c:pt>
                <c:pt idx="293">
                  <c:v>43394</c:v>
                </c:pt>
                <c:pt idx="294">
                  <c:v>43395</c:v>
                </c:pt>
                <c:pt idx="295">
                  <c:v>43396</c:v>
                </c:pt>
                <c:pt idx="296">
                  <c:v>43397</c:v>
                </c:pt>
                <c:pt idx="297">
                  <c:v>43398</c:v>
                </c:pt>
                <c:pt idx="298">
                  <c:v>43399</c:v>
                </c:pt>
                <c:pt idx="299">
                  <c:v>43400</c:v>
                </c:pt>
                <c:pt idx="300">
                  <c:v>43401</c:v>
                </c:pt>
                <c:pt idx="301">
                  <c:v>43402</c:v>
                </c:pt>
                <c:pt idx="302">
                  <c:v>43403</c:v>
                </c:pt>
                <c:pt idx="303">
                  <c:v>43404</c:v>
                </c:pt>
                <c:pt idx="304">
                  <c:v>43405</c:v>
                </c:pt>
                <c:pt idx="305">
                  <c:v>43406</c:v>
                </c:pt>
                <c:pt idx="306">
                  <c:v>43407</c:v>
                </c:pt>
                <c:pt idx="307">
                  <c:v>43408</c:v>
                </c:pt>
                <c:pt idx="308">
                  <c:v>43409</c:v>
                </c:pt>
                <c:pt idx="309">
                  <c:v>43410</c:v>
                </c:pt>
                <c:pt idx="310">
                  <c:v>43411</c:v>
                </c:pt>
                <c:pt idx="311">
                  <c:v>43412</c:v>
                </c:pt>
                <c:pt idx="312">
                  <c:v>43413</c:v>
                </c:pt>
                <c:pt idx="313">
                  <c:v>43414</c:v>
                </c:pt>
                <c:pt idx="314">
                  <c:v>43415</c:v>
                </c:pt>
                <c:pt idx="315">
                  <c:v>43416</c:v>
                </c:pt>
                <c:pt idx="316">
                  <c:v>43417</c:v>
                </c:pt>
                <c:pt idx="317">
                  <c:v>43418</c:v>
                </c:pt>
                <c:pt idx="318">
                  <c:v>43419</c:v>
                </c:pt>
                <c:pt idx="319">
                  <c:v>43420</c:v>
                </c:pt>
                <c:pt idx="320">
                  <c:v>43421</c:v>
                </c:pt>
                <c:pt idx="321">
                  <c:v>43422</c:v>
                </c:pt>
                <c:pt idx="322">
                  <c:v>43423</c:v>
                </c:pt>
                <c:pt idx="323">
                  <c:v>43424</c:v>
                </c:pt>
                <c:pt idx="324">
                  <c:v>43425</c:v>
                </c:pt>
                <c:pt idx="325">
                  <c:v>43426</c:v>
                </c:pt>
                <c:pt idx="326">
                  <c:v>43427</c:v>
                </c:pt>
                <c:pt idx="327">
                  <c:v>43428</c:v>
                </c:pt>
                <c:pt idx="328">
                  <c:v>43429</c:v>
                </c:pt>
                <c:pt idx="329">
                  <c:v>43430</c:v>
                </c:pt>
                <c:pt idx="330">
                  <c:v>43431</c:v>
                </c:pt>
                <c:pt idx="331">
                  <c:v>43432</c:v>
                </c:pt>
                <c:pt idx="332">
                  <c:v>43433</c:v>
                </c:pt>
                <c:pt idx="333">
                  <c:v>43434</c:v>
                </c:pt>
                <c:pt idx="334">
                  <c:v>43435</c:v>
                </c:pt>
                <c:pt idx="335">
                  <c:v>43436</c:v>
                </c:pt>
                <c:pt idx="336">
                  <c:v>43437</c:v>
                </c:pt>
                <c:pt idx="337">
                  <c:v>43438</c:v>
                </c:pt>
                <c:pt idx="338">
                  <c:v>43439</c:v>
                </c:pt>
                <c:pt idx="339">
                  <c:v>43440</c:v>
                </c:pt>
                <c:pt idx="340">
                  <c:v>43441</c:v>
                </c:pt>
                <c:pt idx="341">
                  <c:v>43442</c:v>
                </c:pt>
                <c:pt idx="342">
                  <c:v>43443</c:v>
                </c:pt>
                <c:pt idx="343">
                  <c:v>43444</c:v>
                </c:pt>
                <c:pt idx="344">
                  <c:v>43445</c:v>
                </c:pt>
                <c:pt idx="345">
                  <c:v>43446</c:v>
                </c:pt>
                <c:pt idx="346">
                  <c:v>43447</c:v>
                </c:pt>
                <c:pt idx="347">
                  <c:v>43448</c:v>
                </c:pt>
                <c:pt idx="348">
                  <c:v>43449</c:v>
                </c:pt>
                <c:pt idx="349">
                  <c:v>43450</c:v>
                </c:pt>
                <c:pt idx="350">
                  <c:v>43451</c:v>
                </c:pt>
                <c:pt idx="351">
                  <c:v>43452</c:v>
                </c:pt>
                <c:pt idx="352">
                  <c:v>43453</c:v>
                </c:pt>
                <c:pt idx="353">
                  <c:v>43454</c:v>
                </c:pt>
                <c:pt idx="354">
                  <c:v>43455</c:v>
                </c:pt>
                <c:pt idx="355">
                  <c:v>43456</c:v>
                </c:pt>
                <c:pt idx="356">
                  <c:v>43457</c:v>
                </c:pt>
                <c:pt idx="357">
                  <c:v>43458</c:v>
                </c:pt>
                <c:pt idx="358">
                  <c:v>43459</c:v>
                </c:pt>
                <c:pt idx="359">
                  <c:v>43460</c:v>
                </c:pt>
                <c:pt idx="360">
                  <c:v>43461</c:v>
                </c:pt>
                <c:pt idx="361">
                  <c:v>43462</c:v>
                </c:pt>
                <c:pt idx="362">
                  <c:v>43463</c:v>
                </c:pt>
                <c:pt idx="363">
                  <c:v>43464</c:v>
                </c:pt>
                <c:pt idx="364">
                  <c:v>43465</c:v>
                </c:pt>
              </c:numCache>
            </c:numRef>
          </c:cat>
          <c:val>
            <c:numRef>
              <c:f>BSO!$E$5:$E$369</c:f>
              <c:numCache>
                <c:formatCode>#,##0</c:formatCode>
                <c:ptCount val="365"/>
                <c:pt idx="0">
                  <c:v>0</c:v>
                </c:pt>
                <c:pt idx="1">
                  <c:v>5</c:v>
                </c:pt>
                <c:pt idx="2">
                  <c:v>470</c:v>
                </c:pt>
                <c:pt idx="3">
                  <c:v>3503</c:v>
                </c:pt>
                <c:pt idx="4">
                  <c:v>800</c:v>
                </c:pt>
                <c:pt idx="5">
                  <c:v>0</c:v>
                </c:pt>
                <c:pt idx="6">
                  <c:v>0</c:v>
                </c:pt>
                <c:pt idx="7">
                  <c:v>2200</c:v>
                </c:pt>
                <c:pt idx="8">
                  <c:v>7606</c:v>
                </c:pt>
                <c:pt idx="9">
                  <c:v>900</c:v>
                </c:pt>
                <c:pt idx="10">
                  <c:v>5955</c:v>
                </c:pt>
                <c:pt idx="11">
                  <c:v>2770</c:v>
                </c:pt>
                <c:pt idx="12">
                  <c:v>0</c:v>
                </c:pt>
                <c:pt idx="13">
                  <c:v>0</c:v>
                </c:pt>
                <c:pt idx="14">
                  <c:v>1175</c:v>
                </c:pt>
                <c:pt idx="15">
                  <c:v>2085</c:v>
                </c:pt>
                <c:pt idx="16">
                  <c:v>0</c:v>
                </c:pt>
                <c:pt idx="17">
                  <c:v>15</c:v>
                </c:pt>
                <c:pt idx="18">
                  <c:v>0</c:v>
                </c:pt>
                <c:pt idx="19">
                  <c:v>0</c:v>
                </c:pt>
                <c:pt idx="20">
                  <c:v>0</c:v>
                </c:pt>
                <c:pt idx="21">
                  <c:v>0</c:v>
                </c:pt>
                <c:pt idx="22">
                  <c:v>0</c:v>
                </c:pt>
                <c:pt idx="23">
                  <c:v>0</c:v>
                </c:pt>
                <c:pt idx="24">
                  <c:v>5</c:v>
                </c:pt>
                <c:pt idx="25">
                  <c:v>300</c:v>
                </c:pt>
                <c:pt idx="26">
                  <c:v>0</c:v>
                </c:pt>
                <c:pt idx="27">
                  <c:v>0</c:v>
                </c:pt>
                <c:pt idx="28">
                  <c:v>1100</c:v>
                </c:pt>
                <c:pt idx="29">
                  <c:v>100</c:v>
                </c:pt>
                <c:pt idx="30">
                  <c:v>3162</c:v>
                </c:pt>
                <c:pt idx="31">
                  <c:v>1765</c:v>
                </c:pt>
                <c:pt idx="32">
                  <c:v>350</c:v>
                </c:pt>
                <c:pt idx="33">
                  <c:v>0</c:v>
                </c:pt>
                <c:pt idx="34">
                  <c:v>0</c:v>
                </c:pt>
                <c:pt idx="35">
                  <c:v>1482</c:v>
                </c:pt>
                <c:pt idx="36">
                  <c:v>5100</c:v>
                </c:pt>
                <c:pt idx="37">
                  <c:v>4000</c:v>
                </c:pt>
                <c:pt idx="38">
                  <c:v>600</c:v>
                </c:pt>
                <c:pt idx="39">
                  <c:v>28897</c:v>
                </c:pt>
                <c:pt idx="40">
                  <c:v>0</c:v>
                </c:pt>
                <c:pt idx="41">
                  <c:v>0</c:v>
                </c:pt>
                <c:pt idx="42">
                  <c:v>2500</c:v>
                </c:pt>
                <c:pt idx="43">
                  <c:v>3536</c:v>
                </c:pt>
                <c:pt idx="44">
                  <c:v>0</c:v>
                </c:pt>
                <c:pt idx="45">
                  <c:v>1343</c:v>
                </c:pt>
                <c:pt idx="46">
                  <c:v>0</c:v>
                </c:pt>
                <c:pt idx="47">
                  <c:v>0</c:v>
                </c:pt>
                <c:pt idx="48">
                  <c:v>0</c:v>
                </c:pt>
                <c:pt idx="49">
                  <c:v>3210</c:v>
                </c:pt>
                <c:pt idx="50">
                  <c:v>5000</c:v>
                </c:pt>
                <c:pt idx="51">
                  <c:v>0</c:v>
                </c:pt>
                <c:pt idx="52">
                  <c:v>0</c:v>
                </c:pt>
                <c:pt idx="53">
                  <c:v>200</c:v>
                </c:pt>
                <c:pt idx="54">
                  <c:v>0</c:v>
                </c:pt>
                <c:pt idx="55">
                  <c:v>0</c:v>
                </c:pt>
                <c:pt idx="56">
                  <c:v>4400</c:v>
                </c:pt>
                <c:pt idx="57">
                  <c:v>757</c:v>
                </c:pt>
                <c:pt idx="58">
                  <c:v>0</c:v>
                </c:pt>
                <c:pt idx="59">
                  <c:v>0</c:v>
                </c:pt>
                <c:pt idx="60">
                  <c:v>0</c:v>
                </c:pt>
                <c:pt idx="61">
                  <c:v>0</c:v>
                </c:pt>
                <c:pt idx="62">
                  <c:v>0</c:v>
                </c:pt>
                <c:pt idx="63">
                  <c:v>0</c:v>
                </c:pt>
                <c:pt idx="64">
                  <c:v>200</c:v>
                </c:pt>
                <c:pt idx="65">
                  <c:v>250</c:v>
                </c:pt>
                <c:pt idx="66">
                  <c:v>0</c:v>
                </c:pt>
                <c:pt idx="67">
                  <c:v>4295</c:v>
                </c:pt>
                <c:pt idx="68">
                  <c:v>0</c:v>
                </c:pt>
                <c:pt idx="69">
                  <c:v>0</c:v>
                </c:pt>
                <c:pt idx="70">
                  <c:v>0</c:v>
                </c:pt>
                <c:pt idx="71">
                  <c:v>169</c:v>
                </c:pt>
                <c:pt idx="72">
                  <c:v>40</c:v>
                </c:pt>
                <c:pt idx="73">
                  <c:v>0</c:v>
                </c:pt>
                <c:pt idx="74">
                  <c:v>0</c:v>
                </c:pt>
                <c:pt idx="75">
                  <c:v>0</c:v>
                </c:pt>
                <c:pt idx="76">
                  <c:v>0</c:v>
                </c:pt>
                <c:pt idx="77">
                  <c:v>165</c:v>
                </c:pt>
                <c:pt idx="78">
                  <c:v>285</c:v>
                </c:pt>
                <c:pt idx="79">
                  <c:v>0</c:v>
                </c:pt>
                <c:pt idx="80">
                  <c:v>799</c:v>
                </c:pt>
                <c:pt idx="81">
                  <c:v>350</c:v>
                </c:pt>
                <c:pt idx="82">
                  <c:v>0</c:v>
                </c:pt>
                <c:pt idx="83">
                  <c:v>0</c:v>
                </c:pt>
                <c:pt idx="84">
                  <c:v>460</c:v>
                </c:pt>
                <c:pt idx="85">
                  <c:v>250</c:v>
                </c:pt>
                <c:pt idx="86">
                  <c:v>200</c:v>
                </c:pt>
                <c:pt idx="87">
                  <c:v>200</c:v>
                </c:pt>
                <c:pt idx="88">
                  <c:v>0</c:v>
                </c:pt>
                <c:pt idx="89">
                  <c:v>0</c:v>
                </c:pt>
                <c:pt idx="90">
                  <c:v>0</c:v>
                </c:pt>
                <c:pt idx="91">
                  <c:v>0</c:v>
                </c:pt>
                <c:pt idx="92">
                  <c:v>492</c:v>
                </c:pt>
                <c:pt idx="93">
                  <c:v>26150</c:v>
                </c:pt>
                <c:pt idx="94">
                  <c:v>0</c:v>
                </c:pt>
                <c:pt idx="95">
                  <c:v>0</c:v>
                </c:pt>
                <c:pt idx="96">
                  <c:v>0</c:v>
                </c:pt>
                <c:pt idx="97">
                  <c:v>0</c:v>
                </c:pt>
                <c:pt idx="98">
                  <c:v>0</c:v>
                </c:pt>
                <c:pt idx="99">
                  <c:v>0</c:v>
                </c:pt>
                <c:pt idx="100">
                  <c:v>200</c:v>
                </c:pt>
                <c:pt idx="101">
                  <c:v>0</c:v>
                </c:pt>
                <c:pt idx="102">
                  <c:v>150</c:v>
                </c:pt>
                <c:pt idx="103">
                  <c:v>0</c:v>
                </c:pt>
                <c:pt idx="104">
                  <c:v>0</c:v>
                </c:pt>
                <c:pt idx="105">
                  <c:v>8500</c:v>
                </c:pt>
                <c:pt idx="106">
                  <c:v>352</c:v>
                </c:pt>
                <c:pt idx="107">
                  <c:v>2100</c:v>
                </c:pt>
                <c:pt idx="108">
                  <c:v>150</c:v>
                </c:pt>
                <c:pt idx="109">
                  <c:v>0</c:v>
                </c:pt>
                <c:pt idx="110">
                  <c:v>0</c:v>
                </c:pt>
                <c:pt idx="111">
                  <c:v>0</c:v>
                </c:pt>
                <c:pt idx="112">
                  <c:v>0</c:v>
                </c:pt>
                <c:pt idx="113">
                  <c:v>0</c:v>
                </c:pt>
                <c:pt idx="114">
                  <c:v>0</c:v>
                </c:pt>
                <c:pt idx="115">
                  <c:v>0</c:v>
                </c:pt>
                <c:pt idx="116">
                  <c:v>9040</c:v>
                </c:pt>
                <c:pt idx="117">
                  <c:v>0</c:v>
                </c:pt>
                <c:pt idx="118">
                  <c:v>0</c:v>
                </c:pt>
                <c:pt idx="119">
                  <c:v>0</c:v>
                </c:pt>
                <c:pt idx="120">
                  <c:v>0</c:v>
                </c:pt>
                <c:pt idx="121">
                  <c:v>0</c:v>
                </c:pt>
                <c:pt idx="122">
                  <c:v>400</c:v>
                </c:pt>
                <c:pt idx="123">
                  <c:v>56</c:v>
                </c:pt>
                <c:pt idx="124">
                  <c:v>0</c:v>
                </c:pt>
                <c:pt idx="125">
                  <c:v>0</c:v>
                </c:pt>
                <c:pt idx="126">
                  <c:v>0</c:v>
                </c:pt>
                <c:pt idx="127">
                  <c:v>352</c:v>
                </c:pt>
                <c:pt idx="128">
                  <c:v>200</c:v>
                </c:pt>
                <c:pt idx="129">
                  <c:v>0</c:v>
                </c:pt>
                <c:pt idx="130">
                  <c:v>150</c:v>
                </c:pt>
                <c:pt idx="131">
                  <c:v>0</c:v>
                </c:pt>
                <c:pt idx="132">
                  <c:v>0</c:v>
                </c:pt>
                <c:pt idx="133">
                  <c:v>0</c:v>
                </c:pt>
                <c:pt idx="134">
                  <c:v>0</c:v>
                </c:pt>
                <c:pt idx="135">
                  <c:v>0</c:v>
                </c:pt>
                <c:pt idx="136">
                  <c:v>1207</c:v>
                </c:pt>
                <c:pt idx="137">
                  <c:v>0</c:v>
                </c:pt>
                <c:pt idx="138">
                  <c:v>0</c:v>
                </c:pt>
                <c:pt idx="139">
                  <c:v>0</c:v>
                </c:pt>
                <c:pt idx="140">
                  <c:v>5000</c:v>
                </c:pt>
                <c:pt idx="141">
                  <c:v>2000</c:v>
                </c:pt>
                <c:pt idx="142">
                  <c:v>2000</c:v>
                </c:pt>
                <c:pt idx="143">
                  <c:v>0</c:v>
                </c:pt>
                <c:pt idx="144">
                  <c:v>336</c:v>
                </c:pt>
                <c:pt idx="145">
                  <c:v>0</c:v>
                </c:pt>
                <c:pt idx="146">
                  <c:v>0</c:v>
                </c:pt>
                <c:pt idx="147">
                  <c:v>0</c:v>
                </c:pt>
                <c:pt idx="148">
                  <c:v>4110</c:v>
                </c:pt>
                <c:pt idx="149">
                  <c:v>60</c:v>
                </c:pt>
                <c:pt idx="150">
                  <c:v>0</c:v>
                </c:pt>
                <c:pt idx="151">
                  <c:v>2100</c:v>
                </c:pt>
                <c:pt idx="152">
                  <c:v>0</c:v>
                </c:pt>
                <c:pt idx="153">
                  <c:v>0</c:v>
                </c:pt>
                <c:pt idx="154">
                  <c:v>295</c:v>
                </c:pt>
                <c:pt idx="155">
                  <c:v>0</c:v>
                </c:pt>
                <c:pt idx="156">
                  <c:v>0</c:v>
                </c:pt>
                <c:pt idx="157">
                  <c:v>500</c:v>
                </c:pt>
                <c:pt idx="158">
                  <c:v>0</c:v>
                </c:pt>
                <c:pt idx="159">
                  <c:v>0</c:v>
                </c:pt>
                <c:pt idx="160">
                  <c:v>0</c:v>
                </c:pt>
                <c:pt idx="161">
                  <c:v>700</c:v>
                </c:pt>
                <c:pt idx="162">
                  <c:v>695</c:v>
                </c:pt>
                <c:pt idx="163">
                  <c:v>5073</c:v>
                </c:pt>
                <c:pt idx="164">
                  <c:v>0</c:v>
                </c:pt>
                <c:pt idx="165">
                  <c:v>1405</c:v>
                </c:pt>
                <c:pt idx="166">
                  <c:v>0</c:v>
                </c:pt>
                <c:pt idx="167">
                  <c:v>0</c:v>
                </c:pt>
                <c:pt idx="168">
                  <c:v>100</c:v>
                </c:pt>
                <c:pt idx="169">
                  <c:v>0</c:v>
                </c:pt>
                <c:pt idx="170">
                  <c:v>0</c:v>
                </c:pt>
                <c:pt idx="171">
                  <c:v>0</c:v>
                </c:pt>
                <c:pt idx="172">
                  <c:v>1200</c:v>
                </c:pt>
                <c:pt idx="173">
                  <c:v>0</c:v>
                </c:pt>
                <c:pt idx="174">
                  <c:v>0</c:v>
                </c:pt>
                <c:pt idx="175">
                  <c:v>348</c:v>
                </c:pt>
                <c:pt idx="176">
                  <c:v>752</c:v>
                </c:pt>
                <c:pt idx="177">
                  <c:v>150</c:v>
                </c:pt>
                <c:pt idx="178">
                  <c:v>2700</c:v>
                </c:pt>
                <c:pt idx="179">
                  <c:v>1453</c:v>
                </c:pt>
                <c:pt idx="180">
                  <c:v>0</c:v>
                </c:pt>
                <c:pt idx="181">
                  <c:v>0</c:v>
                </c:pt>
                <c:pt idx="182">
                  <c:v>75</c:v>
                </c:pt>
                <c:pt idx="183">
                  <c:v>200</c:v>
                </c:pt>
                <c:pt idx="184">
                  <c:v>220</c:v>
                </c:pt>
                <c:pt idx="185">
                  <c:v>0</c:v>
                </c:pt>
                <c:pt idx="186">
                  <c:v>765</c:v>
                </c:pt>
                <c:pt idx="187">
                  <c:v>0</c:v>
                </c:pt>
                <c:pt idx="188">
                  <c:v>0</c:v>
                </c:pt>
                <c:pt idx="189">
                  <c:v>0</c:v>
                </c:pt>
                <c:pt idx="190">
                  <c:v>90</c:v>
                </c:pt>
                <c:pt idx="191">
                  <c:v>45</c:v>
                </c:pt>
                <c:pt idx="192">
                  <c:v>0</c:v>
                </c:pt>
                <c:pt idx="193">
                  <c:v>875</c:v>
                </c:pt>
                <c:pt idx="194">
                  <c:v>0</c:v>
                </c:pt>
                <c:pt idx="195">
                  <c:v>0</c:v>
                </c:pt>
                <c:pt idx="196">
                  <c:v>2113</c:v>
                </c:pt>
                <c:pt idx="197">
                  <c:v>0</c:v>
                </c:pt>
                <c:pt idx="198">
                  <c:v>5</c:v>
                </c:pt>
                <c:pt idx="199">
                  <c:v>0</c:v>
                </c:pt>
                <c:pt idx="200">
                  <c:v>0</c:v>
                </c:pt>
                <c:pt idx="201">
                  <c:v>0</c:v>
                </c:pt>
                <c:pt idx="202">
                  <c:v>0</c:v>
                </c:pt>
                <c:pt idx="203">
                  <c:v>0</c:v>
                </c:pt>
                <c:pt idx="204">
                  <c:v>0</c:v>
                </c:pt>
                <c:pt idx="205">
                  <c:v>0</c:v>
                </c:pt>
                <c:pt idx="206">
                  <c:v>300</c:v>
                </c:pt>
                <c:pt idx="207">
                  <c:v>1564</c:v>
                </c:pt>
                <c:pt idx="208">
                  <c:v>0</c:v>
                </c:pt>
                <c:pt idx="209">
                  <c:v>0</c:v>
                </c:pt>
                <c:pt idx="210">
                  <c:v>100</c:v>
                </c:pt>
                <c:pt idx="211">
                  <c:v>200</c:v>
                </c:pt>
                <c:pt idx="212">
                  <c:v>500</c:v>
                </c:pt>
                <c:pt idx="213">
                  <c:v>0</c:v>
                </c:pt>
                <c:pt idx="214">
                  <c:v>1383</c:v>
                </c:pt>
                <c:pt idx="215">
                  <c:v>0</c:v>
                </c:pt>
                <c:pt idx="216">
                  <c:v>0</c:v>
                </c:pt>
                <c:pt idx="217">
                  <c:v>0</c:v>
                </c:pt>
                <c:pt idx="218">
                  <c:v>1027</c:v>
                </c:pt>
                <c:pt idx="219">
                  <c:v>420</c:v>
                </c:pt>
                <c:pt idx="220">
                  <c:v>600</c:v>
                </c:pt>
                <c:pt idx="221">
                  <c:v>13025</c:v>
                </c:pt>
                <c:pt idx="222">
                  <c:v>0</c:v>
                </c:pt>
                <c:pt idx="223">
                  <c:v>0</c:v>
                </c:pt>
                <c:pt idx="224">
                  <c:v>0</c:v>
                </c:pt>
                <c:pt idx="225">
                  <c:v>0</c:v>
                </c:pt>
                <c:pt idx="226">
                  <c:v>0</c:v>
                </c:pt>
                <c:pt idx="227">
                  <c:v>16000</c:v>
                </c:pt>
                <c:pt idx="228">
                  <c:v>100299</c:v>
                </c:pt>
                <c:pt idx="229">
                  <c:v>0</c:v>
                </c:pt>
                <c:pt idx="230">
                  <c:v>0</c:v>
                </c:pt>
                <c:pt idx="231">
                  <c:v>0</c:v>
                </c:pt>
                <c:pt idx="232">
                  <c:v>7680</c:v>
                </c:pt>
                <c:pt idx="233">
                  <c:v>235</c:v>
                </c:pt>
                <c:pt idx="234">
                  <c:v>0</c:v>
                </c:pt>
                <c:pt idx="235">
                  <c:v>0</c:v>
                </c:pt>
                <c:pt idx="236">
                  <c:v>0</c:v>
                </c:pt>
                <c:pt idx="237">
                  <c:v>0</c:v>
                </c:pt>
                <c:pt idx="238">
                  <c:v>0</c:v>
                </c:pt>
                <c:pt idx="239">
                  <c:v>61500</c:v>
                </c:pt>
                <c:pt idx="240">
                  <c:v>208</c:v>
                </c:pt>
                <c:pt idx="241">
                  <c:v>50</c:v>
                </c:pt>
                <c:pt idx="242">
                  <c:v>356</c:v>
                </c:pt>
                <c:pt idx="243">
                  <c:v>0</c:v>
                </c:pt>
                <c:pt idx="244">
                  <c:v>0</c:v>
                </c:pt>
                <c:pt idx="245">
                  <c:v>0</c:v>
                </c:pt>
                <c:pt idx="246">
                  <c:v>0</c:v>
                </c:pt>
                <c:pt idx="247">
                  <c:v>1552</c:v>
                </c:pt>
                <c:pt idx="248">
                  <c:v>0</c:v>
                </c:pt>
                <c:pt idx="249">
                  <c:v>0</c:v>
                </c:pt>
                <c:pt idx="250">
                  <c:v>0</c:v>
                </c:pt>
                <c:pt idx="251">
                  <c:v>0</c:v>
                </c:pt>
                <c:pt idx="252">
                  <c:v>192</c:v>
                </c:pt>
                <c:pt idx="253">
                  <c:v>525</c:v>
                </c:pt>
                <c:pt idx="254">
                  <c:v>1</c:v>
                </c:pt>
                <c:pt idx="255">
                  <c:v>0</c:v>
                </c:pt>
                <c:pt idx="256">
                  <c:v>0</c:v>
                </c:pt>
                <c:pt idx="257">
                  <c:v>0</c:v>
                </c:pt>
                <c:pt idx="258">
                  <c:v>0</c:v>
                </c:pt>
                <c:pt idx="259">
                  <c:v>0</c:v>
                </c:pt>
                <c:pt idx="260">
                  <c:v>0</c:v>
                </c:pt>
                <c:pt idx="261">
                  <c:v>100</c:v>
                </c:pt>
                <c:pt idx="262">
                  <c:v>0</c:v>
                </c:pt>
                <c:pt idx="263">
                  <c:v>204</c:v>
                </c:pt>
                <c:pt idx="264">
                  <c:v>0</c:v>
                </c:pt>
                <c:pt idx="265">
                  <c:v>0</c:v>
                </c:pt>
                <c:pt idx="266">
                  <c:v>0</c:v>
                </c:pt>
                <c:pt idx="267">
                  <c:v>0</c:v>
                </c:pt>
                <c:pt idx="268">
                  <c:v>730</c:v>
                </c:pt>
                <c:pt idx="269">
                  <c:v>374</c:v>
                </c:pt>
                <c:pt idx="270">
                  <c:v>5</c:v>
                </c:pt>
                <c:pt idx="271">
                  <c:v>0</c:v>
                </c:pt>
                <c:pt idx="272">
                  <c:v>0</c:v>
                </c:pt>
                <c:pt idx="273">
                  <c:v>100</c:v>
                </c:pt>
                <c:pt idx="274">
                  <c:v>1405</c:v>
                </c:pt>
                <c:pt idx="275">
                  <c:v>727</c:v>
                </c:pt>
                <c:pt idx="276">
                  <c:v>10182</c:v>
                </c:pt>
                <c:pt idx="277">
                  <c:v>5</c:v>
                </c:pt>
                <c:pt idx="278">
                  <c:v>0</c:v>
                </c:pt>
                <c:pt idx="279">
                  <c:v>0</c:v>
                </c:pt>
                <c:pt idx="280">
                  <c:v>195</c:v>
                </c:pt>
                <c:pt idx="281">
                  <c:v>0</c:v>
                </c:pt>
                <c:pt idx="282">
                  <c:v>0</c:v>
                </c:pt>
                <c:pt idx="283">
                  <c:v>2853</c:v>
                </c:pt>
                <c:pt idx="284">
                  <c:v>0</c:v>
                </c:pt>
                <c:pt idx="285">
                  <c:v>0</c:v>
                </c:pt>
                <c:pt idx="286">
                  <c:v>0</c:v>
                </c:pt>
                <c:pt idx="287">
                  <c:v>400</c:v>
                </c:pt>
                <c:pt idx="288">
                  <c:v>3126</c:v>
                </c:pt>
                <c:pt idx="289">
                  <c:v>0</c:v>
                </c:pt>
                <c:pt idx="290">
                  <c:v>285</c:v>
                </c:pt>
                <c:pt idx="291">
                  <c:v>60</c:v>
                </c:pt>
                <c:pt idx="292">
                  <c:v>0</c:v>
                </c:pt>
                <c:pt idx="293">
                  <c:v>0</c:v>
                </c:pt>
                <c:pt idx="294">
                  <c:v>0</c:v>
                </c:pt>
                <c:pt idx="295">
                  <c:v>205</c:v>
                </c:pt>
                <c:pt idx="296">
                  <c:v>60</c:v>
                </c:pt>
                <c:pt idx="297">
                  <c:v>2870</c:v>
                </c:pt>
                <c:pt idx="298">
                  <c:v>1775</c:v>
                </c:pt>
                <c:pt idx="299">
                  <c:v>0</c:v>
                </c:pt>
                <c:pt idx="300">
                  <c:v>0</c:v>
                </c:pt>
                <c:pt idx="301">
                  <c:v>3053</c:v>
                </c:pt>
                <c:pt idx="302">
                  <c:v>1967</c:v>
                </c:pt>
                <c:pt idx="303">
                  <c:v>296</c:v>
                </c:pt>
                <c:pt idx="304">
                  <c:v>200</c:v>
                </c:pt>
                <c:pt idx="305">
                  <c:v>15</c:v>
                </c:pt>
                <c:pt idx="306">
                  <c:v>0</c:v>
                </c:pt>
                <c:pt idx="307">
                  <c:v>0</c:v>
                </c:pt>
                <c:pt idx="308">
                  <c:v>0</c:v>
                </c:pt>
                <c:pt idx="309">
                  <c:v>0</c:v>
                </c:pt>
                <c:pt idx="310">
                  <c:v>2</c:v>
                </c:pt>
                <c:pt idx="311">
                  <c:v>2</c:v>
                </c:pt>
                <c:pt idx="312">
                  <c:v>1098</c:v>
                </c:pt>
                <c:pt idx="313">
                  <c:v>0</c:v>
                </c:pt>
                <c:pt idx="314">
                  <c:v>0</c:v>
                </c:pt>
                <c:pt idx="315">
                  <c:v>1755</c:v>
                </c:pt>
                <c:pt idx="316">
                  <c:v>235</c:v>
                </c:pt>
                <c:pt idx="317">
                  <c:v>50</c:v>
                </c:pt>
                <c:pt idx="318">
                  <c:v>450</c:v>
                </c:pt>
                <c:pt idx="319">
                  <c:v>1250</c:v>
                </c:pt>
                <c:pt idx="320">
                  <c:v>0</c:v>
                </c:pt>
                <c:pt idx="321">
                  <c:v>0</c:v>
                </c:pt>
                <c:pt idx="322">
                  <c:v>356</c:v>
                </c:pt>
                <c:pt idx="323">
                  <c:v>976</c:v>
                </c:pt>
                <c:pt idx="324">
                  <c:v>17050</c:v>
                </c:pt>
                <c:pt idx="325">
                  <c:v>12459</c:v>
                </c:pt>
                <c:pt idx="326">
                  <c:v>0</c:v>
                </c:pt>
                <c:pt idx="327">
                  <c:v>0</c:v>
                </c:pt>
                <c:pt idx="328">
                  <c:v>0</c:v>
                </c:pt>
                <c:pt idx="329">
                  <c:v>3613</c:v>
                </c:pt>
                <c:pt idx="330">
                  <c:v>15449</c:v>
                </c:pt>
                <c:pt idx="331">
                  <c:v>7857</c:v>
                </c:pt>
                <c:pt idx="332">
                  <c:v>1249</c:v>
                </c:pt>
                <c:pt idx="333">
                  <c:v>2975</c:v>
                </c:pt>
                <c:pt idx="334">
                  <c:v>0</c:v>
                </c:pt>
                <c:pt idx="335">
                  <c:v>0</c:v>
                </c:pt>
                <c:pt idx="336">
                  <c:v>541</c:v>
                </c:pt>
                <c:pt idx="337">
                  <c:v>11840</c:v>
                </c:pt>
                <c:pt idx="338">
                  <c:v>52239</c:v>
                </c:pt>
                <c:pt idx="339">
                  <c:v>100</c:v>
                </c:pt>
                <c:pt idx="340">
                  <c:v>17</c:v>
                </c:pt>
                <c:pt idx="341">
                  <c:v>0</c:v>
                </c:pt>
                <c:pt idx="342">
                  <c:v>0</c:v>
                </c:pt>
                <c:pt idx="343">
                  <c:v>5100</c:v>
                </c:pt>
                <c:pt idx="344">
                  <c:v>7900</c:v>
                </c:pt>
                <c:pt idx="345">
                  <c:v>0</c:v>
                </c:pt>
                <c:pt idx="346">
                  <c:v>0</c:v>
                </c:pt>
                <c:pt idx="347">
                  <c:v>45</c:v>
                </c:pt>
                <c:pt idx="348">
                  <c:v>0</c:v>
                </c:pt>
                <c:pt idx="349">
                  <c:v>0</c:v>
                </c:pt>
                <c:pt idx="350">
                  <c:v>0</c:v>
                </c:pt>
                <c:pt idx="351">
                  <c:v>86</c:v>
                </c:pt>
                <c:pt idx="352">
                  <c:v>0</c:v>
                </c:pt>
                <c:pt idx="353">
                  <c:v>0</c:v>
                </c:pt>
                <c:pt idx="354">
                  <c:v>100</c:v>
                </c:pt>
                <c:pt idx="355">
                  <c:v>0</c:v>
                </c:pt>
                <c:pt idx="356">
                  <c:v>0</c:v>
                </c:pt>
                <c:pt idx="357">
                  <c:v>0</c:v>
                </c:pt>
                <c:pt idx="358">
                  <c:v>0</c:v>
                </c:pt>
                <c:pt idx="359">
                  <c:v>0</c:v>
                </c:pt>
                <c:pt idx="360">
                  <c:v>0</c:v>
                </c:pt>
                <c:pt idx="361">
                  <c:v>200</c:v>
                </c:pt>
                <c:pt idx="362">
                  <c:v>0</c:v>
                </c:pt>
                <c:pt idx="363">
                  <c:v>0</c:v>
                </c:pt>
                <c:pt idx="364">
                  <c:v>0</c:v>
                </c:pt>
              </c:numCache>
            </c:numRef>
          </c:val>
          <c:extLst>
            <c:ext xmlns:c16="http://schemas.microsoft.com/office/drawing/2014/chart" uri="{C3380CC4-5D6E-409C-BE32-E72D297353CC}">
              <c16:uniqueId val="{00000000-25F5-4991-A84F-1594AA57E1F3}"/>
            </c:ext>
          </c:extLst>
        </c:ser>
        <c:dLbls>
          <c:showLegendKey val="0"/>
          <c:showVal val="0"/>
          <c:showCatName val="0"/>
          <c:showSerName val="0"/>
          <c:showPercent val="0"/>
          <c:showBubbleSize val="0"/>
        </c:dLbls>
        <c:gapWidth val="150"/>
        <c:axId val="411810512"/>
        <c:axId val="411815408"/>
      </c:barChart>
      <c:lineChart>
        <c:grouping val="standard"/>
        <c:varyColors val="0"/>
        <c:ser>
          <c:idx val="1"/>
          <c:order val="1"/>
          <c:tx>
            <c:strRef>
              <c:f>BSO!$F$3</c:f>
              <c:strCache>
                <c:ptCount val="1"/>
                <c:pt idx="0">
                  <c:v>Цена</c:v>
                </c:pt>
              </c:strCache>
            </c:strRef>
          </c:tx>
          <c:spPr>
            <a:ln w="28575" cap="rnd">
              <a:solidFill>
                <a:srgbClr val="C00000"/>
              </a:solidFill>
              <a:round/>
            </a:ln>
            <a:effectLst/>
          </c:spPr>
          <c:marker>
            <c:symbol val="none"/>
          </c:marker>
          <c:cat>
            <c:numRef>
              <c:f>BSO!$D$5:$D$369</c:f>
              <c:numCache>
                <c:formatCode>m/d/yyyy</c:formatCode>
                <c:ptCount val="365"/>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59">
                  <c:v>43160</c:v>
                </c:pt>
                <c:pt idx="60">
                  <c:v>43161</c:v>
                </c:pt>
                <c:pt idx="61">
                  <c:v>43162</c:v>
                </c:pt>
                <c:pt idx="62">
                  <c:v>43163</c:v>
                </c:pt>
                <c:pt idx="63">
                  <c:v>43164</c:v>
                </c:pt>
                <c:pt idx="64">
                  <c:v>43165</c:v>
                </c:pt>
                <c:pt idx="65">
                  <c:v>43166</c:v>
                </c:pt>
                <c:pt idx="66">
                  <c:v>43167</c:v>
                </c:pt>
                <c:pt idx="67">
                  <c:v>43168</c:v>
                </c:pt>
                <c:pt idx="68">
                  <c:v>43169</c:v>
                </c:pt>
                <c:pt idx="69">
                  <c:v>43170</c:v>
                </c:pt>
                <c:pt idx="70">
                  <c:v>43171</c:v>
                </c:pt>
                <c:pt idx="71">
                  <c:v>43172</c:v>
                </c:pt>
                <c:pt idx="72">
                  <c:v>43173</c:v>
                </c:pt>
                <c:pt idx="73">
                  <c:v>43174</c:v>
                </c:pt>
                <c:pt idx="74">
                  <c:v>43175</c:v>
                </c:pt>
                <c:pt idx="75">
                  <c:v>43176</c:v>
                </c:pt>
                <c:pt idx="76">
                  <c:v>43177</c:v>
                </c:pt>
                <c:pt idx="77">
                  <c:v>43178</c:v>
                </c:pt>
                <c:pt idx="78">
                  <c:v>43179</c:v>
                </c:pt>
                <c:pt idx="79">
                  <c:v>43180</c:v>
                </c:pt>
                <c:pt idx="80">
                  <c:v>43181</c:v>
                </c:pt>
                <c:pt idx="81">
                  <c:v>43182</c:v>
                </c:pt>
                <c:pt idx="82">
                  <c:v>43183</c:v>
                </c:pt>
                <c:pt idx="83">
                  <c:v>43184</c:v>
                </c:pt>
                <c:pt idx="84">
                  <c:v>43185</c:v>
                </c:pt>
                <c:pt idx="85">
                  <c:v>43186</c:v>
                </c:pt>
                <c:pt idx="86">
                  <c:v>43187</c:v>
                </c:pt>
                <c:pt idx="87">
                  <c:v>43188</c:v>
                </c:pt>
                <c:pt idx="88">
                  <c:v>43189</c:v>
                </c:pt>
                <c:pt idx="89">
                  <c:v>43190</c:v>
                </c:pt>
                <c:pt idx="90">
                  <c:v>43191</c:v>
                </c:pt>
                <c:pt idx="91">
                  <c:v>43192</c:v>
                </c:pt>
                <c:pt idx="92">
                  <c:v>43193</c:v>
                </c:pt>
                <c:pt idx="93">
                  <c:v>43194</c:v>
                </c:pt>
                <c:pt idx="94">
                  <c:v>43195</c:v>
                </c:pt>
                <c:pt idx="95">
                  <c:v>43196</c:v>
                </c:pt>
                <c:pt idx="96">
                  <c:v>43197</c:v>
                </c:pt>
                <c:pt idx="97">
                  <c:v>43198</c:v>
                </c:pt>
                <c:pt idx="98">
                  <c:v>43199</c:v>
                </c:pt>
                <c:pt idx="99">
                  <c:v>43200</c:v>
                </c:pt>
                <c:pt idx="100">
                  <c:v>43201</c:v>
                </c:pt>
                <c:pt idx="101">
                  <c:v>43202</c:v>
                </c:pt>
                <c:pt idx="102">
                  <c:v>43203</c:v>
                </c:pt>
                <c:pt idx="103">
                  <c:v>43204</c:v>
                </c:pt>
                <c:pt idx="104">
                  <c:v>43205</c:v>
                </c:pt>
                <c:pt idx="105">
                  <c:v>43206</c:v>
                </c:pt>
                <c:pt idx="106">
                  <c:v>43207</c:v>
                </c:pt>
                <c:pt idx="107">
                  <c:v>43208</c:v>
                </c:pt>
                <c:pt idx="108">
                  <c:v>43209</c:v>
                </c:pt>
                <c:pt idx="109">
                  <c:v>43210</c:v>
                </c:pt>
                <c:pt idx="110">
                  <c:v>43211</c:v>
                </c:pt>
                <c:pt idx="111">
                  <c:v>43212</c:v>
                </c:pt>
                <c:pt idx="112">
                  <c:v>43213</c:v>
                </c:pt>
                <c:pt idx="113">
                  <c:v>43214</c:v>
                </c:pt>
                <c:pt idx="114">
                  <c:v>43215</c:v>
                </c:pt>
                <c:pt idx="115">
                  <c:v>43216</c:v>
                </c:pt>
                <c:pt idx="116">
                  <c:v>43217</c:v>
                </c:pt>
                <c:pt idx="117">
                  <c:v>43218</c:v>
                </c:pt>
                <c:pt idx="118">
                  <c:v>43219</c:v>
                </c:pt>
                <c:pt idx="119">
                  <c:v>43220</c:v>
                </c:pt>
                <c:pt idx="120">
                  <c:v>43221</c:v>
                </c:pt>
                <c:pt idx="121">
                  <c:v>43222</c:v>
                </c:pt>
                <c:pt idx="122">
                  <c:v>43223</c:v>
                </c:pt>
                <c:pt idx="123">
                  <c:v>43224</c:v>
                </c:pt>
                <c:pt idx="124">
                  <c:v>43225</c:v>
                </c:pt>
                <c:pt idx="125">
                  <c:v>43226</c:v>
                </c:pt>
                <c:pt idx="126">
                  <c:v>43227</c:v>
                </c:pt>
                <c:pt idx="127">
                  <c:v>43228</c:v>
                </c:pt>
                <c:pt idx="128">
                  <c:v>43229</c:v>
                </c:pt>
                <c:pt idx="129">
                  <c:v>43230</c:v>
                </c:pt>
                <c:pt idx="130">
                  <c:v>43231</c:v>
                </c:pt>
                <c:pt idx="131">
                  <c:v>43232</c:v>
                </c:pt>
                <c:pt idx="132">
                  <c:v>43233</c:v>
                </c:pt>
                <c:pt idx="133">
                  <c:v>43234</c:v>
                </c:pt>
                <c:pt idx="134">
                  <c:v>43235</c:v>
                </c:pt>
                <c:pt idx="135">
                  <c:v>43236</c:v>
                </c:pt>
                <c:pt idx="136">
                  <c:v>43237</c:v>
                </c:pt>
                <c:pt idx="137">
                  <c:v>43238</c:v>
                </c:pt>
                <c:pt idx="138">
                  <c:v>43239</c:v>
                </c:pt>
                <c:pt idx="139">
                  <c:v>43240</c:v>
                </c:pt>
                <c:pt idx="140">
                  <c:v>43241</c:v>
                </c:pt>
                <c:pt idx="141">
                  <c:v>43242</c:v>
                </c:pt>
                <c:pt idx="142">
                  <c:v>43243</c:v>
                </c:pt>
                <c:pt idx="143">
                  <c:v>43244</c:v>
                </c:pt>
                <c:pt idx="144">
                  <c:v>43245</c:v>
                </c:pt>
                <c:pt idx="145">
                  <c:v>43246</c:v>
                </c:pt>
                <c:pt idx="146">
                  <c:v>43247</c:v>
                </c:pt>
                <c:pt idx="147">
                  <c:v>43248</c:v>
                </c:pt>
                <c:pt idx="148">
                  <c:v>43249</c:v>
                </c:pt>
                <c:pt idx="149">
                  <c:v>43250</c:v>
                </c:pt>
                <c:pt idx="150">
                  <c:v>43251</c:v>
                </c:pt>
                <c:pt idx="151">
                  <c:v>43252</c:v>
                </c:pt>
                <c:pt idx="152">
                  <c:v>43253</c:v>
                </c:pt>
                <c:pt idx="153">
                  <c:v>43254</c:v>
                </c:pt>
                <c:pt idx="154">
                  <c:v>43255</c:v>
                </c:pt>
                <c:pt idx="155">
                  <c:v>43256</c:v>
                </c:pt>
                <c:pt idx="156">
                  <c:v>43257</c:v>
                </c:pt>
                <c:pt idx="157">
                  <c:v>43258</c:v>
                </c:pt>
                <c:pt idx="158">
                  <c:v>43259</c:v>
                </c:pt>
                <c:pt idx="159">
                  <c:v>43260</c:v>
                </c:pt>
                <c:pt idx="160">
                  <c:v>43261</c:v>
                </c:pt>
                <c:pt idx="161">
                  <c:v>43262</c:v>
                </c:pt>
                <c:pt idx="162">
                  <c:v>43263</c:v>
                </c:pt>
                <c:pt idx="163">
                  <c:v>43264</c:v>
                </c:pt>
                <c:pt idx="164">
                  <c:v>43265</c:v>
                </c:pt>
                <c:pt idx="165">
                  <c:v>43266</c:v>
                </c:pt>
                <c:pt idx="166">
                  <c:v>43267</c:v>
                </c:pt>
                <c:pt idx="167">
                  <c:v>43268</c:v>
                </c:pt>
                <c:pt idx="168">
                  <c:v>43269</c:v>
                </c:pt>
                <c:pt idx="169">
                  <c:v>43270</c:v>
                </c:pt>
                <c:pt idx="170">
                  <c:v>43271</c:v>
                </c:pt>
                <c:pt idx="171">
                  <c:v>43272</c:v>
                </c:pt>
                <c:pt idx="172">
                  <c:v>43273</c:v>
                </c:pt>
                <c:pt idx="173">
                  <c:v>43274</c:v>
                </c:pt>
                <c:pt idx="174">
                  <c:v>43275</c:v>
                </c:pt>
                <c:pt idx="175">
                  <c:v>43276</c:v>
                </c:pt>
                <c:pt idx="176">
                  <c:v>43277</c:v>
                </c:pt>
                <c:pt idx="177">
                  <c:v>43278</c:v>
                </c:pt>
                <c:pt idx="178">
                  <c:v>43279</c:v>
                </c:pt>
                <c:pt idx="179">
                  <c:v>43280</c:v>
                </c:pt>
                <c:pt idx="180">
                  <c:v>43281</c:v>
                </c:pt>
                <c:pt idx="181">
                  <c:v>43282</c:v>
                </c:pt>
                <c:pt idx="182">
                  <c:v>43283</c:v>
                </c:pt>
                <c:pt idx="183">
                  <c:v>43284</c:v>
                </c:pt>
                <c:pt idx="184">
                  <c:v>43285</c:v>
                </c:pt>
                <c:pt idx="185">
                  <c:v>43286</c:v>
                </c:pt>
                <c:pt idx="186">
                  <c:v>43287</c:v>
                </c:pt>
                <c:pt idx="187">
                  <c:v>43288</c:v>
                </c:pt>
                <c:pt idx="188">
                  <c:v>43289</c:v>
                </c:pt>
                <c:pt idx="189">
                  <c:v>43290</c:v>
                </c:pt>
                <c:pt idx="190">
                  <c:v>43291</c:v>
                </c:pt>
                <c:pt idx="191">
                  <c:v>43292</c:v>
                </c:pt>
                <c:pt idx="192">
                  <c:v>43293</c:v>
                </c:pt>
                <c:pt idx="193">
                  <c:v>43294</c:v>
                </c:pt>
                <c:pt idx="194">
                  <c:v>43295</c:v>
                </c:pt>
                <c:pt idx="195">
                  <c:v>43296</c:v>
                </c:pt>
                <c:pt idx="196">
                  <c:v>43297</c:v>
                </c:pt>
                <c:pt idx="197">
                  <c:v>43298</c:v>
                </c:pt>
                <c:pt idx="198">
                  <c:v>43299</c:v>
                </c:pt>
                <c:pt idx="199">
                  <c:v>43300</c:v>
                </c:pt>
                <c:pt idx="200">
                  <c:v>43301</c:v>
                </c:pt>
                <c:pt idx="201">
                  <c:v>43302</c:v>
                </c:pt>
                <c:pt idx="202">
                  <c:v>43303</c:v>
                </c:pt>
                <c:pt idx="203">
                  <c:v>43304</c:v>
                </c:pt>
                <c:pt idx="204">
                  <c:v>43305</c:v>
                </c:pt>
                <c:pt idx="205">
                  <c:v>43306</c:v>
                </c:pt>
                <c:pt idx="206">
                  <c:v>43307</c:v>
                </c:pt>
                <c:pt idx="207">
                  <c:v>43308</c:v>
                </c:pt>
                <c:pt idx="208">
                  <c:v>43309</c:v>
                </c:pt>
                <c:pt idx="209">
                  <c:v>43310</c:v>
                </c:pt>
                <c:pt idx="210">
                  <c:v>43311</c:v>
                </c:pt>
                <c:pt idx="211">
                  <c:v>43312</c:v>
                </c:pt>
                <c:pt idx="212">
                  <c:v>43313</c:v>
                </c:pt>
                <c:pt idx="213">
                  <c:v>43314</c:v>
                </c:pt>
                <c:pt idx="214">
                  <c:v>43315</c:v>
                </c:pt>
                <c:pt idx="215">
                  <c:v>43316</c:v>
                </c:pt>
                <c:pt idx="216">
                  <c:v>43317</c:v>
                </c:pt>
                <c:pt idx="217">
                  <c:v>43318</c:v>
                </c:pt>
                <c:pt idx="218">
                  <c:v>43319</c:v>
                </c:pt>
                <c:pt idx="219">
                  <c:v>43320</c:v>
                </c:pt>
                <c:pt idx="220">
                  <c:v>43321</c:v>
                </c:pt>
                <c:pt idx="221">
                  <c:v>43322</c:v>
                </c:pt>
                <c:pt idx="222">
                  <c:v>43323</c:v>
                </c:pt>
                <c:pt idx="223">
                  <c:v>43324</c:v>
                </c:pt>
                <c:pt idx="224">
                  <c:v>43325</c:v>
                </c:pt>
                <c:pt idx="225">
                  <c:v>43326</c:v>
                </c:pt>
                <c:pt idx="226">
                  <c:v>43327</c:v>
                </c:pt>
                <c:pt idx="227">
                  <c:v>43328</c:v>
                </c:pt>
                <c:pt idx="228">
                  <c:v>43329</c:v>
                </c:pt>
                <c:pt idx="229">
                  <c:v>43330</c:v>
                </c:pt>
                <c:pt idx="230">
                  <c:v>43331</c:v>
                </c:pt>
                <c:pt idx="231">
                  <c:v>43332</c:v>
                </c:pt>
                <c:pt idx="232">
                  <c:v>43333</c:v>
                </c:pt>
                <c:pt idx="233">
                  <c:v>43334</c:v>
                </c:pt>
                <c:pt idx="234">
                  <c:v>43335</c:v>
                </c:pt>
                <c:pt idx="235">
                  <c:v>43336</c:v>
                </c:pt>
                <c:pt idx="236">
                  <c:v>43337</c:v>
                </c:pt>
                <c:pt idx="237">
                  <c:v>43338</c:v>
                </c:pt>
                <c:pt idx="238">
                  <c:v>43339</c:v>
                </c:pt>
                <c:pt idx="239">
                  <c:v>43340</c:v>
                </c:pt>
                <c:pt idx="240">
                  <c:v>43341</c:v>
                </c:pt>
                <c:pt idx="241">
                  <c:v>43342</c:v>
                </c:pt>
                <c:pt idx="242">
                  <c:v>43343</c:v>
                </c:pt>
                <c:pt idx="243">
                  <c:v>43344</c:v>
                </c:pt>
                <c:pt idx="244">
                  <c:v>43345</c:v>
                </c:pt>
                <c:pt idx="245">
                  <c:v>43346</c:v>
                </c:pt>
                <c:pt idx="246">
                  <c:v>43347</c:v>
                </c:pt>
                <c:pt idx="247">
                  <c:v>43348</c:v>
                </c:pt>
                <c:pt idx="248">
                  <c:v>43349</c:v>
                </c:pt>
                <c:pt idx="249">
                  <c:v>43350</c:v>
                </c:pt>
                <c:pt idx="250">
                  <c:v>43351</c:v>
                </c:pt>
                <c:pt idx="251">
                  <c:v>43352</c:v>
                </c:pt>
                <c:pt idx="252">
                  <c:v>43353</c:v>
                </c:pt>
                <c:pt idx="253">
                  <c:v>43354</c:v>
                </c:pt>
                <c:pt idx="254">
                  <c:v>43355</c:v>
                </c:pt>
                <c:pt idx="255">
                  <c:v>43356</c:v>
                </c:pt>
                <c:pt idx="256">
                  <c:v>43357</c:v>
                </c:pt>
                <c:pt idx="257">
                  <c:v>43358</c:v>
                </c:pt>
                <c:pt idx="258">
                  <c:v>43359</c:v>
                </c:pt>
                <c:pt idx="259">
                  <c:v>43360</c:v>
                </c:pt>
                <c:pt idx="260">
                  <c:v>43361</c:v>
                </c:pt>
                <c:pt idx="261">
                  <c:v>43362</c:v>
                </c:pt>
                <c:pt idx="262">
                  <c:v>43363</c:v>
                </c:pt>
                <c:pt idx="263">
                  <c:v>43364</c:v>
                </c:pt>
                <c:pt idx="264">
                  <c:v>43365</c:v>
                </c:pt>
                <c:pt idx="265">
                  <c:v>43366</c:v>
                </c:pt>
                <c:pt idx="266">
                  <c:v>43367</c:v>
                </c:pt>
                <c:pt idx="267">
                  <c:v>43368</c:v>
                </c:pt>
                <c:pt idx="268">
                  <c:v>43369</c:v>
                </c:pt>
                <c:pt idx="269">
                  <c:v>43370</c:v>
                </c:pt>
                <c:pt idx="270">
                  <c:v>43371</c:v>
                </c:pt>
                <c:pt idx="271">
                  <c:v>43372</c:v>
                </c:pt>
                <c:pt idx="272">
                  <c:v>43373</c:v>
                </c:pt>
                <c:pt idx="273">
                  <c:v>43374</c:v>
                </c:pt>
                <c:pt idx="274">
                  <c:v>43375</c:v>
                </c:pt>
                <c:pt idx="275">
                  <c:v>43376</c:v>
                </c:pt>
                <c:pt idx="276">
                  <c:v>43377</c:v>
                </c:pt>
                <c:pt idx="277">
                  <c:v>43378</c:v>
                </c:pt>
                <c:pt idx="278">
                  <c:v>43379</c:v>
                </c:pt>
                <c:pt idx="279">
                  <c:v>43380</c:v>
                </c:pt>
                <c:pt idx="280">
                  <c:v>43381</c:v>
                </c:pt>
                <c:pt idx="281">
                  <c:v>43382</c:v>
                </c:pt>
                <c:pt idx="282">
                  <c:v>43383</c:v>
                </c:pt>
                <c:pt idx="283">
                  <c:v>43384</c:v>
                </c:pt>
                <c:pt idx="284">
                  <c:v>43385</c:v>
                </c:pt>
                <c:pt idx="285">
                  <c:v>43386</c:v>
                </c:pt>
                <c:pt idx="286">
                  <c:v>43387</c:v>
                </c:pt>
                <c:pt idx="287">
                  <c:v>43388</c:v>
                </c:pt>
                <c:pt idx="288">
                  <c:v>43389</c:v>
                </c:pt>
                <c:pt idx="289">
                  <c:v>43390</c:v>
                </c:pt>
                <c:pt idx="290">
                  <c:v>43391</c:v>
                </c:pt>
                <c:pt idx="291">
                  <c:v>43392</c:v>
                </c:pt>
                <c:pt idx="292">
                  <c:v>43393</c:v>
                </c:pt>
                <c:pt idx="293">
                  <c:v>43394</c:v>
                </c:pt>
                <c:pt idx="294">
                  <c:v>43395</c:v>
                </c:pt>
                <c:pt idx="295">
                  <c:v>43396</c:v>
                </c:pt>
                <c:pt idx="296">
                  <c:v>43397</c:v>
                </c:pt>
                <c:pt idx="297">
                  <c:v>43398</c:v>
                </c:pt>
                <c:pt idx="298">
                  <c:v>43399</c:v>
                </c:pt>
                <c:pt idx="299">
                  <c:v>43400</c:v>
                </c:pt>
                <c:pt idx="300">
                  <c:v>43401</c:v>
                </c:pt>
                <c:pt idx="301">
                  <c:v>43402</c:v>
                </c:pt>
                <c:pt idx="302">
                  <c:v>43403</c:v>
                </c:pt>
                <c:pt idx="303">
                  <c:v>43404</c:v>
                </c:pt>
                <c:pt idx="304">
                  <c:v>43405</c:v>
                </c:pt>
                <c:pt idx="305">
                  <c:v>43406</c:v>
                </c:pt>
                <c:pt idx="306">
                  <c:v>43407</c:v>
                </c:pt>
                <c:pt idx="307">
                  <c:v>43408</c:v>
                </c:pt>
                <c:pt idx="308">
                  <c:v>43409</c:v>
                </c:pt>
                <c:pt idx="309">
                  <c:v>43410</c:v>
                </c:pt>
                <c:pt idx="310">
                  <c:v>43411</c:v>
                </c:pt>
                <c:pt idx="311">
                  <c:v>43412</c:v>
                </c:pt>
                <c:pt idx="312">
                  <c:v>43413</c:v>
                </c:pt>
                <c:pt idx="313">
                  <c:v>43414</c:v>
                </c:pt>
                <c:pt idx="314">
                  <c:v>43415</c:v>
                </c:pt>
                <c:pt idx="315">
                  <c:v>43416</c:v>
                </c:pt>
                <c:pt idx="316">
                  <c:v>43417</c:v>
                </c:pt>
                <c:pt idx="317">
                  <c:v>43418</c:v>
                </c:pt>
                <c:pt idx="318">
                  <c:v>43419</c:v>
                </c:pt>
                <c:pt idx="319">
                  <c:v>43420</c:v>
                </c:pt>
                <c:pt idx="320">
                  <c:v>43421</c:v>
                </c:pt>
                <c:pt idx="321">
                  <c:v>43422</c:v>
                </c:pt>
                <c:pt idx="322">
                  <c:v>43423</c:v>
                </c:pt>
                <c:pt idx="323">
                  <c:v>43424</c:v>
                </c:pt>
                <c:pt idx="324">
                  <c:v>43425</c:v>
                </c:pt>
                <c:pt idx="325">
                  <c:v>43426</c:v>
                </c:pt>
                <c:pt idx="326">
                  <c:v>43427</c:v>
                </c:pt>
                <c:pt idx="327">
                  <c:v>43428</c:v>
                </c:pt>
                <c:pt idx="328">
                  <c:v>43429</c:v>
                </c:pt>
                <c:pt idx="329">
                  <c:v>43430</c:v>
                </c:pt>
                <c:pt idx="330">
                  <c:v>43431</c:v>
                </c:pt>
                <c:pt idx="331">
                  <c:v>43432</c:v>
                </c:pt>
                <c:pt idx="332">
                  <c:v>43433</c:v>
                </c:pt>
                <c:pt idx="333">
                  <c:v>43434</c:v>
                </c:pt>
                <c:pt idx="334">
                  <c:v>43435</c:v>
                </c:pt>
                <c:pt idx="335">
                  <c:v>43436</c:v>
                </c:pt>
                <c:pt idx="336">
                  <c:v>43437</c:v>
                </c:pt>
                <c:pt idx="337">
                  <c:v>43438</c:v>
                </c:pt>
                <c:pt idx="338">
                  <c:v>43439</c:v>
                </c:pt>
                <c:pt idx="339">
                  <c:v>43440</c:v>
                </c:pt>
                <c:pt idx="340">
                  <c:v>43441</c:v>
                </c:pt>
                <c:pt idx="341">
                  <c:v>43442</c:v>
                </c:pt>
                <c:pt idx="342">
                  <c:v>43443</c:v>
                </c:pt>
                <c:pt idx="343">
                  <c:v>43444</c:v>
                </c:pt>
                <c:pt idx="344">
                  <c:v>43445</c:v>
                </c:pt>
                <c:pt idx="345">
                  <c:v>43446</c:v>
                </c:pt>
                <c:pt idx="346">
                  <c:v>43447</c:v>
                </c:pt>
                <c:pt idx="347">
                  <c:v>43448</c:v>
                </c:pt>
                <c:pt idx="348">
                  <c:v>43449</c:v>
                </c:pt>
                <c:pt idx="349">
                  <c:v>43450</c:v>
                </c:pt>
                <c:pt idx="350">
                  <c:v>43451</c:v>
                </c:pt>
                <c:pt idx="351">
                  <c:v>43452</c:v>
                </c:pt>
                <c:pt idx="352">
                  <c:v>43453</c:v>
                </c:pt>
                <c:pt idx="353">
                  <c:v>43454</c:v>
                </c:pt>
                <c:pt idx="354">
                  <c:v>43455</c:v>
                </c:pt>
                <c:pt idx="355">
                  <c:v>43456</c:v>
                </c:pt>
                <c:pt idx="356">
                  <c:v>43457</c:v>
                </c:pt>
                <c:pt idx="357">
                  <c:v>43458</c:v>
                </c:pt>
                <c:pt idx="358">
                  <c:v>43459</c:v>
                </c:pt>
                <c:pt idx="359">
                  <c:v>43460</c:v>
                </c:pt>
                <c:pt idx="360">
                  <c:v>43461</c:v>
                </c:pt>
                <c:pt idx="361">
                  <c:v>43462</c:v>
                </c:pt>
                <c:pt idx="362">
                  <c:v>43463</c:v>
                </c:pt>
                <c:pt idx="363">
                  <c:v>43464</c:v>
                </c:pt>
                <c:pt idx="364">
                  <c:v>43465</c:v>
                </c:pt>
              </c:numCache>
            </c:numRef>
          </c:cat>
          <c:val>
            <c:numRef>
              <c:f>BSO!$F$5:$F$369</c:f>
              <c:numCache>
                <c:formatCode>General</c:formatCode>
                <c:ptCount val="365"/>
                <c:pt idx="0">
                  <c:v>5.0609999999999964</c:v>
                </c:pt>
                <c:pt idx="1">
                  <c:v>6</c:v>
                </c:pt>
                <c:pt idx="2">
                  <c:v>5.45</c:v>
                </c:pt>
                <c:pt idx="3">
                  <c:v>5.8</c:v>
                </c:pt>
                <c:pt idx="4">
                  <c:v>5.85</c:v>
                </c:pt>
                <c:pt idx="5">
                  <c:v>5.85</c:v>
                </c:pt>
                <c:pt idx="6">
                  <c:v>5.85</c:v>
                </c:pt>
                <c:pt idx="7">
                  <c:v>5.6499999999999995</c:v>
                </c:pt>
                <c:pt idx="8">
                  <c:v>5.85</c:v>
                </c:pt>
                <c:pt idx="9">
                  <c:v>5.95</c:v>
                </c:pt>
                <c:pt idx="10">
                  <c:v>5.85</c:v>
                </c:pt>
                <c:pt idx="11">
                  <c:v>5.75</c:v>
                </c:pt>
                <c:pt idx="12">
                  <c:v>5.75</c:v>
                </c:pt>
                <c:pt idx="13">
                  <c:v>5.75</c:v>
                </c:pt>
                <c:pt idx="14">
                  <c:v>5.9</c:v>
                </c:pt>
                <c:pt idx="15">
                  <c:v>5.75</c:v>
                </c:pt>
                <c:pt idx="16">
                  <c:v>5.75</c:v>
                </c:pt>
                <c:pt idx="17">
                  <c:v>5.85</c:v>
                </c:pt>
                <c:pt idx="18">
                  <c:v>5.85</c:v>
                </c:pt>
                <c:pt idx="19">
                  <c:v>5.85</c:v>
                </c:pt>
                <c:pt idx="20">
                  <c:v>5.85</c:v>
                </c:pt>
                <c:pt idx="21">
                  <c:v>5.85</c:v>
                </c:pt>
                <c:pt idx="22">
                  <c:v>5.85</c:v>
                </c:pt>
                <c:pt idx="23">
                  <c:v>5.85</c:v>
                </c:pt>
                <c:pt idx="24">
                  <c:v>5.6</c:v>
                </c:pt>
                <c:pt idx="25">
                  <c:v>5.8</c:v>
                </c:pt>
                <c:pt idx="26">
                  <c:v>5.8</c:v>
                </c:pt>
                <c:pt idx="27">
                  <c:v>5.8</c:v>
                </c:pt>
                <c:pt idx="28">
                  <c:v>5.75</c:v>
                </c:pt>
                <c:pt idx="29">
                  <c:v>5.7</c:v>
                </c:pt>
                <c:pt idx="30">
                  <c:v>6</c:v>
                </c:pt>
                <c:pt idx="31">
                  <c:v>6</c:v>
                </c:pt>
                <c:pt idx="32">
                  <c:v>5.9</c:v>
                </c:pt>
                <c:pt idx="33">
                  <c:v>5.9</c:v>
                </c:pt>
                <c:pt idx="34">
                  <c:v>5.9</c:v>
                </c:pt>
                <c:pt idx="35">
                  <c:v>6</c:v>
                </c:pt>
                <c:pt idx="36">
                  <c:v>5.8</c:v>
                </c:pt>
                <c:pt idx="37">
                  <c:v>5.8</c:v>
                </c:pt>
                <c:pt idx="38">
                  <c:v>5.75</c:v>
                </c:pt>
                <c:pt idx="39">
                  <c:v>5.5</c:v>
                </c:pt>
                <c:pt idx="40">
                  <c:v>5.5</c:v>
                </c:pt>
                <c:pt idx="41">
                  <c:v>5.5</c:v>
                </c:pt>
                <c:pt idx="42">
                  <c:v>5.55</c:v>
                </c:pt>
                <c:pt idx="43">
                  <c:v>5.8</c:v>
                </c:pt>
                <c:pt idx="44">
                  <c:v>5.8</c:v>
                </c:pt>
                <c:pt idx="45">
                  <c:v>5.75</c:v>
                </c:pt>
                <c:pt idx="46">
                  <c:v>5.75</c:v>
                </c:pt>
                <c:pt idx="47">
                  <c:v>5.75</c:v>
                </c:pt>
                <c:pt idx="48">
                  <c:v>5.75</c:v>
                </c:pt>
                <c:pt idx="49">
                  <c:v>5.75</c:v>
                </c:pt>
                <c:pt idx="50">
                  <c:v>5.75</c:v>
                </c:pt>
                <c:pt idx="51">
                  <c:v>5.75</c:v>
                </c:pt>
                <c:pt idx="52">
                  <c:v>5.75</c:v>
                </c:pt>
                <c:pt idx="53">
                  <c:v>5.75</c:v>
                </c:pt>
                <c:pt idx="54">
                  <c:v>5.75</c:v>
                </c:pt>
                <c:pt idx="55">
                  <c:v>5.75</c:v>
                </c:pt>
                <c:pt idx="56">
                  <c:v>5.75</c:v>
                </c:pt>
                <c:pt idx="57">
                  <c:v>5.85</c:v>
                </c:pt>
                <c:pt idx="58">
                  <c:v>5.85</c:v>
                </c:pt>
                <c:pt idx="59">
                  <c:v>5.85</c:v>
                </c:pt>
                <c:pt idx="60">
                  <c:v>5.85</c:v>
                </c:pt>
                <c:pt idx="61">
                  <c:v>5.85</c:v>
                </c:pt>
                <c:pt idx="62">
                  <c:v>5.85</c:v>
                </c:pt>
                <c:pt idx="63">
                  <c:v>5.85</c:v>
                </c:pt>
                <c:pt idx="64">
                  <c:v>5.75</c:v>
                </c:pt>
                <c:pt idx="65">
                  <c:v>5.85</c:v>
                </c:pt>
                <c:pt idx="66">
                  <c:v>5.85</c:v>
                </c:pt>
                <c:pt idx="67">
                  <c:v>5.7</c:v>
                </c:pt>
                <c:pt idx="68">
                  <c:v>5.7</c:v>
                </c:pt>
                <c:pt idx="69">
                  <c:v>5.7</c:v>
                </c:pt>
                <c:pt idx="70">
                  <c:v>5.7</c:v>
                </c:pt>
                <c:pt idx="71">
                  <c:v>5.8</c:v>
                </c:pt>
                <c:pt idx="72">
                  <c:v>5.7</c:v>
                </c:pt>
                <c:pt idx="73">
                  <c:v>5.7</c:v>
                </c:pt>
                <c:pt idx="74">
                  <c:v>5.7</c:v>
                </c:pt>
                <c:pt idx="75">
                  <c:v>5.7</c:v>
                </c:pt>
                <c:pt idx="76">
                  <c:v>5.7</c:v>
                </c:pt>
                <c:pt idx="77">
                  <c:v>5.6</c:v>
                </c:pt>
                <c:pt idx="78">
                  <c:v>5.6499999999999995</c:v>
                </c:pt>
                <c:pt idx="79">
                  <c:v>5.6499999999999995</c:v>
                </c:pt>
                <c:pt idx="80">
                  <c:v>5.7</c:v>
                </c:pt>
                <c:pt idx="81">
                  <c:v>5.85</c:v>
                </c:pt>
                <c:pt idx="82">
                  <c:v>5.85</c:v>
                </c:pt>
                <c:pt idx="83">
                  <c:v>5.85</c:v>
                </c:pt>
                <c:pt idx="84">
                  <c:v>5.85</c:v>
                </c:pt>
                <c:pt idx="85">
                  <c:v>5.8</c:v>
                </c:pt>
                <c:pt idx="86">
                  <c:v>5.8</c:v>
                </c:pt>
                <c:pt idx="87">
                  <c:v>5.8</c:v>
                </c:pt>
                <c:pt idx="88">
                  <c:v>5.8</c:v>
                </c:pt>
                <c:pt idx="89">
                  <c:v>5.8</c:v>
                </c:pt>
                <c:pt idx="90">
                  <c:v>5.8</c:v>
                </c:pt>
                <c:pt idx="91">
                  <c:v>5.8</c:v>
                </c:pt>
                <c:pt idx="92">
                  <c:v>5.8</c:v>
                </c:pt>
                <c:pt idx="93">
                  <c:v>5.8</c:v>
                </c:pt>
                <c:pt idx="94">
                  <c:v>5.8</c:v>
                </c:pt>
                <c:pt idx="95">
                  <c:v>5.8</c:v>
                </c:pt>
                <c:pt idx="96">
                  <c:v>5.8</c:v>
                </c:pt>
                <c:pt idx="97">
                  <c:v>5.8</c:v>
                </c:pt>
                <c:pt idx="98">
                  <c:v>5.8</c:v>
                </c:pt>
                <c:pt idx="99">
                  <c:v>5.8</c:v>
                </c:pt>
                <c:pt idx="100">
                  <c:v>5.8</c:v>
                </c:pt>
                <c:pt idx="101">
                  <c:v>5.8</c:v>
                </c:pt>
                <c:pt idx="102">
                  <c:v>5.8</c:v>
                </c:pt>
                <c:pt idx="103">
                  <c:v>5.8</c:v>
                </c:pt>
                <c:pt idx="104">
                  <c:v>5.8</c:v>
                </c:pt>
                <c:pt idx="105">
                  <c:v>5.8</c:v>
                </c:pt>
                <c:pt idx="106">
                  <c:v>5.8</c:v>
                </c:pt>
                <c:pt idx="107">
                  <c:v>5.7</c:v>
                </c:pt>
                <c:pt idx="108">
                  <c:v>5.7</c:v>
                </c:pt>
                <c:pt idx="109">
                  <c:v>5.7</c:v>
                </c:pt>
                <c:pt idx="110">
                  <c:v>5.7</c:v>
                </c:pt>
                <c:pt idx="111">
                  <c:v>5.7</c:v>
                </c:pt>
                <c:pt idx="112">
                  <c:v>5.7</c:v>
                </c:pt>
                <c:pt idx="113">
                  <c:v>5.7</c:v>
                </c:pt>
                <c:pt idx="114">
                  <c:v>5.7</c:v>
                </c:pt>
                <c:pt idx="115">
                  <c:v>5.7</c:v>
                </c:pt>
                <c:pt idx="116">
                  <c:v>5.7</c:v>
                </c:pt>
                <c:pt idx="117">
                  <c:v>5.7</c:v>
                </c:pt>
                <c:pt idx="118">
                  <c:v>5.7</c:v>
                </c:pt>
                <c:pt idx="119">
                  <c:v>5.7</c:v>
                </c:pt>
                <c:pt idx="120">
                  <c:v>5.7</c:v>
                </c:pt>
                <c:pt idx="121">
                  <c:v>5.7</c:v>
                </c:pt>
                <c:pt idx="122">
                  <c:v>5.6</c:v>
                </c:pt>
                <c:pt idx="123">
                  <c:v>5.6</c:v>
                </c:pt>
                <c:pt idx="124">
                  <c:v>5.6</c:v>
                </c:pt>
                <c:pt idx="125">
                  <c:v>5.6</c:v>
                </c:pt>
                <c:pt idx="126">
                  <c:v>5.6</c:v>
                </c:pt>
                <c:pt idx="127">
                  <c:v>5.75</c:v>
                </c:pt>
                <c:pt idx="128">
                  <c:v>5.75</c:v>
                </c:pt>
                <c:pt idx="129">
                  <c:v>5.75</c:v>
                </c:pt>
                <c:pt idx="130">
                  <c:v>5.6</c:v>
                </c:pt>
                <c:pt idx="131">
                  <c:v>5.6</c:v>
                </c:pt>
                <c:pt idx="132">
                  <c:v>5.6</c:v>
                </c:pt>
                <c:pt idx="133">
                  <c:v>5.6</c:v>
                </c:pt>
                <c:pt idx="134">
                  <c:v>5.6</c:v>
                </c:pt>
                <c:pt idx="135">
                  <c:v>5.6</c:v>
                </c:pt>
                <c:pt idx="136">
                  <c:v>5.7</c:v>
                </c:pt>
                <c:pt idx="137">
                  <c:v>5.7</c:v>
                </c:pt>
                <c:pt idx="138">
                  <c:v>5.7</c:v>
                </c:pt>
                <c:pt idx="139">
                  <c:v>5.7</c:v>
                </c:pt>
                <c:pt idx="140">
                  <c:v>5.75</c:v>
                </c:pt>
                <c:pt idx="141">
                  <c:v>5.75</c:v>
                </c:pt>
                <c:pt idx="142">
                  <c:v>5.75</c:v>
                </c:pt>
                <c:pt idx="143">
                  <c:v>5.75</c:v>
                </c:pt>
                <c:pt idx="144">
                  <c:v>5.75</c:v>
                </c:pt>
                <c:pt idx="145">
                  <c:v>5.75</c:v>
                </c:pt>
                <c:pt idx="146">
                  <c:v>5.75</c:v>
                </c:pt>
                <c:pt idx="147">
                  <c:v>5.75</c:v>
                </c:pt>
                <c:pt idx="148">
                  <c:v>5.9</c:v>
                </c:pt>
                <c:pt idx="149">
                  <c:v>5.9</c:v>
                </c:pt>
                <c:pt idx="150">
                  <c:v>5.9</c:v>
                </c:pt>
                <c:pt idx="151">
                  <c:v>5.8</c:v>
                </c:pt>
                <c:pt idx="152">
                  <c:v>5.8</c:v>
                </c:pt>
                <c:pt idx="153">
                  <c:v>5.8</c:v>
                </c:pt>
                <c:pt idx="154">
                  <c:v>5.75</c:v>
                </c:pt>
                <c:pt idx="155">
                  <c:v>5.75</c:v>
                </c:pt>
                <c:pt idx="156">
                  <c:v>5.75</c:v>
                </c:pt>
                <c:pt idx="157">
                  <c:v>5.8</c:v>
                </c:pt>
                <c:pt idx="158">
                  <c:v>5.8</c:v>
                </c:pt>
                <c:pt idx="159">
                  <c:v>5.8</c:v>
                </c:pt>
                <c:pt idx="160">
                  <c:v>5.8</c:v>
                </c:pt>
                <c:pt idx="161">
                  <c:v>5.85</c:v>
                </c:pt>
                <c:pt idx="162">
                  <c:v>5.8</c:v>
                </c:pt>
                <c:pt idx="163">
                  <c:v>5.85</c:v>
                </c:pt>
                <c:pt idx="164">
                  <c:v>5.85</c:v>
                </c:pt>
                <c:pt idx="165">
                  <c:v>5.7</c:v>
                </c:pt>
                <c:pt idx="166">
                  <c:v>5.7</c:v>
                </c:pt>
                <c:pt idx="167">
                  <c:v>5.7</c:v>
                </c:pt>
                <c:pt idx="168">
                  <c:v>5.8</c:v>
                </c:pt>
                <c:pt idx="169">
                  <c:v>5.8</c:v>
                </c:pt>
                <c:pt idx="170">
                  <c:v>5.8</c:v>
                </c:pt>
                <c:pt idx="171">
                  <c:v>5.8</c:v>
                </c:pt>
                <c:pt idx="172">
                  <c:v>5.75</c:v>
                </c:pt>
                <c:pt idx="173">
                  <c:v>5.75</c:v>
                </c:pt>
                <c:pt idx="174">
                  <c:v>5.75</c:v>
                </c:pt>
                <c:pt idx="175">
                  <c:v>5.8</c:v>
                </c:pt>
                <c:pt idx="176">
                  <c:v>5.8</c:v>
                </c:pt>
                <c:pt idx="177">
                  <c:v>5.8</c:v>
                </c:pt>
                <c:pt idx="178">
                  <c:v>5.9</c:v>
                </c:pt>
                <c:pt idx="179">
                  <c:v>5.9</c:v>
                </c:pt>
                <c:pt idx="180">
                  <c:v>5.9</c:v>
                </c:pt>
                <c:pt idx="181">
                  <c:v>5.9</c:v>
                </c:pt>
                <c:pt idx="182">
                  <c:v>5.8</c:v>
                </c:pt>
                <c:pt idx="183">
                  <c:v>5.8</c:v>
                </c:pt>
                <c:pt idx="184">
                  <c:v>5.8</c:v>
                </c:pt>
                <c:pt idx="185">
                  <c:v>5.8</c:v>
                </c:pt>
                <c:pt idx="186">
                  <c:v>6</c:v>
                </c:pt>
                <c:pt idx="187">
                  <c:v>6</c:v>
                </c:pt>
                <c:pt idx="188">
                  <c:v>6</c:v>
                </c:pt>
                <c:pt idx="189">
                  <c:v>6</c:v>
                </c:pt>
                <c:pt idx="190">
                  <c:v>5.75</c:v>
                </c:pt>
                <c:pt idx="191">
                  <c:v>5.95</c:v>
                </c:pt>
                <c:pt idx="192">
                  <c:v>5.95</c:v>
                </c:pt>
                <c:pt idx="193">
                  <c:v>6</c:v>
                </c:pt>
                <c:pt idx="194">
                  <c:v>6</c:v>
                </c:pt>
                <c:pt idx="195">
                  <c:v>6</c:v>
                </c:pt>
                <c:pt idx="196">
                  <c:v>6.4</c:v>
                </c:pt>
                <c:pt idx="197">
                  <c:v>6.4</c:v>
                </c:pt>
                <c:pt idx="198">
                  <c:v>6.35</c:v>
                </c:pt>
                <c:pt idx="199">
                  <c:v>6.35</c:v>
                </c:pt>
                <c:pt idx="200">
                  <c:v>6.35</c:v>
                </c:pt>
                <c:pt idx="201">
                  <c:v>6.35</c:v>
                </c:pt>
                <c:pt idx="202">
                  <c:v>6.35</c:v>
                </c:pt>
                <c:pt idx="203">
                  <c:v>6.35</c:v>
                </c:pt>
                <c:pt idx="204">
                  <c:v>6.35</c:v>
                </c:pt>
                <c:pt idx="205">
                  <c:v>6.35</c:v>
                </c:pt>
                <c:pt idx="206">
                  <c:v>6.2</c:v>
                </c:pt>
                <c:pt idx="207">
                  <c:v>6.2</c:v>
                </c:pt>
                <c:pt idx="208">
                  <c:v>6.2</c:v>
                </c:pt>
                <c:pt idx="209">
                  <c:v>6.2</c:v>
                </c:pt>
                <c:pt idx="210">
                  <c:v>6.25</c:v>
                </c:pt>
                <c:pt idx="211">
                  <c:v>6.1499999999999995</c:v>
                </c:pt>
                <c:pt idx="212">
                  <c:v>6.05</c:v>
                </c:pt>
                <c:pt idx="213">
                  <c:v>6.05</c:v>
                </c:pt>
                <c:pt idx="214">
                  <c:v>6.2</c:v>
                </c:pt>
                <c:pt idx="215">
                  <c:v>6.2</c:v>
                </c:pt>
                <c:pt idx="216">
                  <c:v>6.2</c:v>
                </c:pt>
                <c:pt idx="217">
                  <c:v>6.2</c:v>
                </c:pt>
                <c:pt idx="218">
                  <c:v>6.2</c:v>
                </c:pt>
                <c:pt idx="219">
                  <c:v>6.2</c:v>
                </c:pt>
                <c:pt idx="220">
                  <c:v>6.2</c:v>
                </c:pt>
                <c:pt idx="221">
                  <c:v>5.95</c:v>
                </c:pt>
                <c:pt idx="222">
                  <c:v>5.95</c:v>
                </c:pt>
                <c:pt idx="223">
                  <c:v>5.95</c:v>
                </c:pt>
                <c:pt idx="224">
                  <c:v>5.95</c:v>
                </c:pt>
                <c:pt idx="225">
                  <c:v>5.95</c:v>
                </c:pt>
                <c:pt idx="226">
                  <c:v>5.95</c:v>
                </c:pt>
                <c:pt idx="227">
                  <c:v>6.1</c:v>
                </c:pt>
                <c:pt idx="228">
                  <c:v>6</c:v>
                </c:pt>
                <c:pt idx="229">
                  <c:v>6</c:v>
                </c:pt>
                <c:pt idx="230">
                  <c:v>6</c:v>
                </c:pt>
                <c:pt idx="231">
                  <c:v>6</c:v>
                </c:pt>
                <c:pt idx="232">
                  <c:v>6</c:v>
                </c:pt>
                <c:pt idx="233">
                  <c:v>6.1499999999999995</c:v>
                </c:pt>
                <c:pt idx="234">
                  <c:v>6.1499999999999995</c:v>
                </c:pt>
                <c:pt idx="235">
                  <c:v>6.1499999999999995</c:v>
                </c:pt>
                <c:pt idx="236">
                  <c:v>6.1499999999999995</c:v>
                </c:pt>
                <c:pt idx="237">
                  <c:v>6.1499999999999995</c:v>
                </c:pt>
                <c:pt idx="238">
                  <c:v>6.1499999999999995</c:v>
                </c:pt>
                <c:pt idx="239">
                  <c:v>6.05</c:v>
                </c:pt>
                <c:pt idx="240">
                  <c:v>6.2</c:v>
                </c:pt>
                <c:pt idx="241">
                  <c:v>6.2</c:v>
                </c:pt>
                <c:pt idx="242">
                  <c:v>6.1499999999999995</c:v>
                </c:pt>
                <c:pt idx="243">
                  <c:v>6.1499999999999995</c:v>
                </c:pt>
                <c:pt idx="244">
                  <c:v>6.1499999999999995</c:v>
                </c:pt>
                <c:pt idx="245">
                  <c:v>6.1499999999999995</c:v>
                </c:pt>
                <c:pt idx="246">
                  <c:v>6.1499999999999995</c:v>
                </c:pt>
                <c:pt idx="247">
                  <c:v>6</c:v>
                </c:pt>
                <c:pt idx="248">
                  <c:v>6</c:v>
                </c:pt>
                <c:pt idx="249">
                  <c:v>6</c:v>
                </c:pt>
                <c:pt idx="250">
                  <c:v>6</c:v>
                </c:pt>
                <c:pt idx="251">
                  <c:v>6</c:v>
                </c:pt>
                <c:pt idx="252">
                  <c:v>6</c:v>
                </c:pt>
                <c:pt idx="253">
                  <c:v>6.1499999999999995</c:v>
                </c:pt>
                <c:pt idx="254">
                  <c:v>6.1499999999999995</c:v>
                </c:pt>
                <c:pt idx="255">
                  <c:v>6.1499999999999995</c:v>
                </c:pt>
                <c:pt idx="256">
                  <c:v>6.1499999999999995</c:v>
                </c:pt>
                <c:pt idx="257">
                  <c:v>6.1499999999999995</c:v>
                </c:pt>
                <c:pt idx="258">
                  <c:v>6.1499999999999995</c:v>
                </c:pt>
                <c:pt idx="259">
                  <c:v>6.1499999999999995</c:v>
                </c:pt>
                <c:pt idx="260">
                  <c:v>6.1499999999999995</c:v>
                </c:pt>
                <c:pt idx="261">
                  <c:v>6.1499999999999995</c:v>
                </c:pt>
                <c:pt idx="262">
                  <c:v>6.1499999999999995</c:v>
                </c:pt>
                <c:pt idx="263">
                  <c:v>6.1499999999999995</c:v>
                </c:pt>
                <c:pt idx="264">
                  <c:v>6.1499999999999995</c:v>
                </c:pt>
                <c:pt idx="265">
                  <c:v>6.1499999999999995</c:v>
                </c:pt>
                <c:pt idx="266">
                  <c:v>6.1499999999999995</c:v>
                </c:pt>
                <c:pt idx="267">
                  <c:v>6.1499999999999995</c:v>
                </c:pt>
                <c:pt idx="268">
                  <c:v>6</c:v>
                </c:pt>
                <c:pt idx="269">
                  <c:v>5.95</c:v>
                </c:pt>
                <c:pt idx="270">
                  <c:v>6.05</c:v>
                </c:pt>
                <c:pt idx="271">
                  <c:v>6.05</c:v>
                </c:pt>
                <c:pt idx="272">
                  <c:v>6.05</c:v>
                </c:pt>
                <c:pt idx="273">
                  <c:v>6</c:v>
                </c:pt>
                <c:pt idx="274">
                  <c:v>5.95</c:v>
                </c:pt>
                <c:pt idx="275">
                  <c:v>5.9</c:v>
                </c:pt>
                <c:pt idx="276">
                  <c:v>5.95</c:v>
                </c:pt>
                <c:pt idx="277">
                  <c:v>5.9</c:v>
                </c:pt>
                <c:pt idx="278">
                  <c:v>5.9</c:v>
                </c:pt>
                <c:pt idx="279">
                  <c:v>5.9</c:v>
                </c:pt>
                <c:pt idx="280">
                  <c:v>5.9</c:v>
                </c:pt>
                <c:pt idx="281">
                  <c:v>5.9</c:v>
                </c:pt>
                <c:pt idx="282">
                  <c:v>5.9</c:v>
                </c:pt>
                <c:pt idx="283">
                  <c:v>5.8</c:v>
                </c:pt>
                <c:pt idx="284">
                  <c:v>5.8</c:v>
                </c:pt>
                <c:pt idx="285">
                  <c:v>5.8</c:v>
                </c:pt>
                <c:pt idx="286">
                  <c:v>5.8</c:v>
                </c:pt>
                <c:pt idx="287">
                  <c:v>5.8</c:v>
                </c:pt>
                <c:pt idx="288">
                  <c:v>5.75</c:v>
                </c:pt>
                <c:pt idx="289">
                  <c:v>5.75</c:v>
                </c:pt>
                <c:pt idx="290">
                  <c:v>5.9</c:v>
                </c:pt>
                <c:pt idx="291">
                  <c:v>5.8</c:v>
                </c:pt>
                <c:pt idx="292">
                  <c:v>5.8</c:v>
                </c:pt>
                <c:pt idx="293">
                  <c:v>5.8</c:v>
                </c:pt>
                <c:pt idx="294">
                  <c:v>5.8</c:v>
                </c:pt>
                <c:pt idx="295">
                  <c:v>5.75</c:v>
                </c:pt>
                <c:pt idx="296">
                  <c:v>5.7</c:v>
                </c:pt>
                <c:pt idx="297">
                  <c:v>5.6499999999999995</c:v>
                </c:pt>
                <c:pt idx="298">
                  <c:v>5.8</c:v>
                </c:pt>
                <c:pt idx="299">
                  <c:v>5.8</c:v>
                </c:pt>
                <c:pt idx="300">
                  <c:v>5.8</c:v>
                </c:pt>
                <c:pt idx="301">
                  <c:v>5.9</c:v>
                </c:pt>
                <c:pt idx="302">
                  <c:v>5.85</c:v>
                </c:pt>
                <c:pt idx="303">
                  <c:v>5.8</c:v>
                </c:pt>
                <c:pt idx="304">
                  <c:v>5.7</c:v>
                </c:pt>
                <c:pt idx="305">
                  <c:v>5.85</c:v>
                </c:pt>
                <c:pt idx="306">
                  <c:v>5.85</c:v>
                </c:pt>
                <c:pt idx="307">
                  <c:v>5.85</c:v>
                </c:pt>
                <c:pt idx="308">
                  <c:v>5.85</c:v>
                </c:pt>
                <c:pt idx="309">
                  <c:v>5.85</c:v>
                </c:pt>
                <c:pt idx="310">
                  <c:v>5.8</c:v>
                </c:pt>
                <c:pt idx="311">
                  <c:v>5.6499999999999995</c:v>
                </c:pt>
                <c:pt idx="312">
                  <c:v>5.6</c:v>
                </c:pt>
                <c:pt idx="313">
                  <c:v>5.6</c:v>
                </c:pt>
                <c:pt idx="314">
                  <c:v>5.6</c:v>
                </c:pt>
                <c:pt idx="315">
                  <c:v>5.6</c:v>
                </c:pt>
                <c:pt idx="316">
                  <c:v>5.55</c:v>
                </c:pt>
                <c:pt idx="317">
                  <c:v>5.5</c:v>
                </c:pt>
                <c:pt idx="318">
                  <c:v>5.5</c:v>
                </c:pt>
                <c:pt idx="319">
                  <c:v>5.4</c:v>
                </c:pt>
                <c:pt idx="320">
                  <c:v>5.4</c:v>
                </c:pt>
                <c:pt idx="321">
                  <c:v>5.4</c:v>
                </c:pt>
                <c:pt idx="322">
                  <c:v>5.3</c:v>
                </c:pt>
                <c:pt idx="323">
                  <c:v>5</c:v>
                </c:pt>
                <c:pt idx="324">
                  <c:v>5</c:v>
                </c:pt>
                <c:pt idx="325">
                  <c:v>4.9400000000000004</c:v>
                </c:pt>
                <c:pt idx="326">
                  <c:v>4.9400000000000004</c:v>
                </c:pt>
                <c:pt idx="327">
                  <c:v>4.9400000000000004</c:v>
                </c:pt>
                <c:pt idx="328">
                  <c:v>4.9400000000000004</c:v>
                </c:pt>
                <c:pt idx="329">
                  <c:v>5</c:v>
                </c:pt>
                <c:pt idx="330">
                  <c:v>4.9000000000000004</c:v>
                </c:pt>
                <c:pt idx="331">
                  <c:v>5.7</c:v>
                </c:pt>
                <c:pt idx="332">
                  <c:v>5.7</c:v>
                </c:pt>
                <c:pt idx="333">
                  <c:v>5.5</c:v>
                </c:pt>
                <c:pt idx="334">
                  <c:v>5.5</c:v>
                </c:pt>
                <c:pt idx="335">
                  <c:v>5.5</c:v>
                </c:pt>
                <c:pt idx="336">
                  <c:v>5.6499999999999995</c:v>
                </c:pt>
                <c:pt idx="337">
                  <c:v>5.25</c:v>
                </c:pt>
                <c:pt idx="338">
                  <c:v>5.2</c:v>
                </c:pt>
                <c:pt idx="339">
                  <c:v>5.25</c:v>
                </c:pt>
                <c:pt idx="340">
                  <c:v>5.55</c:v>
                </c:pt>
                <c:pt idx="341">
                  <c:v>5.55</c:v>
                </c:pt>
                <c:pt idx="342">
                  <c:v>5.55</c:v>
                </c:pt>
                <c:pt idx="343">
                  <c:v>5.4</c:v>
                </c:pt>
                <c:pt idx="344">
                  <c:v>5.5</c:v>
                </c:pt>
                <c:pt idx="345">
                  <c:v>5.5</c:v>
                </c:pt>
                <c:pt idx="346">
                  <c:v>5.5</c:v>
                </c:pt>
                <c:pt idx="347">
                  <c:v>5.55</c:v>
                </c:pt>
                <c:pt idx="348">
                  <c:v>5.55</c:v>
                </c:pt>
                <c:pt idx="349">
                  <c:v>5.55</c:v>
                </c:pt>
                <c:pt idx="350">
                  <c:v>5.55</c:v>
                </c:pt>
                <c:pt idx="351">
                  <c:v>5.5</c:v>
                </c:pt>
                <c:pt idx="352">
                  <c:v>5.5</c:v>
                </c:pt>
                <c:pt idx="353">
                  <c:v>5.5</c:v>
                </c:pt>
                <c:pt idx="354">
                  <c:v>5.4</c:v>
                </c:pt>
                <c:pt idx="355">
                  <c:v>5.4</c:v>
                </c:pt>
                <c:pt idx="356">
                  <c:v>5.4</c:v>
                </c:pt>
                <c:pt idx="357">
                  <c:v>5.4</c:v>
                </c:pt>
                <c:pt idx="358">
                  <c:v>5.4</c:v>
                </c:pt>
                <c:pt idx="359">
                  <c:v>5.4</c:v>
                </c:pt>
                <c:pt idx="360">
                  <c:v>5.4</c:v>
                </c:pt>
                <c:pt idx="361">
                  <c:v>5.4</c:v>
                </c:pt>
                <c:pt idx="362">
                  <c:v>5.4</c:v>
                </c:pt>
                <c:pt idx="363">
                  <c:v>5.4</c:v>
                </c:pt>
                <c:pt idx="364">
                  <c:v>5.4</c:v>
                </c:pt>
              </c:numCache>
            </c:numRef>
          </c:val>
          <c:smooth val="0"/>
          <c:extLst>
            <c:ext xmlns:c16="http://schemas.microsoft.com/office/drawing/2014/chart" uri="{C3380CC4-5D6E-409C-BE32-E72D297353CC}">
              <c16:uniqueId val="{00000001-25F5-4991-A84F-1594AA57E1F3}"/>
            </c:ext>
          </c:extLst>
        </c:ser>
        <c:dLbls>
          <c:showLegendKey val="0"/>
          <c:showVal val="0"/>
          <c:showCatName val="0"/>
          <c:showSerName val="0"/>
          <c:showPercent val="0"/>
          <c:showBubbleSize val="0"/>
        </c:dLbls>
        <c:marker val="1"/>
        <c:smooth val="0"/>
        <c:axId val="411826288"/>
        <c:axId val="411811600"/>
      </c:lineChart>
      <c:dateAx>
        <c:axId val="41181051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mn-cs"/>
              </a:defRPr>
            </a:pPr>
            <a:endParaRPr lang="bg-BG"/>
          </a:p>
        </c:txPr>
        <c:crossAx val="411815408"/>
        <c:crosses val="autoZero"/>
        <c:auto val="1"/>
        <c:lblOffset val="100"/>
        <c:baseTimeUnit val="days"/>
      </c:dateAx>
      <c:valAx>
        <c:axId val="411815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mn-cs"/>
              </a:defRPr>
            </a:pPr>
            <a:endParaRPr lang="bg-BG"/>
          </a:p>
        </c:txPr>
        <c:crossAx val="411810512"/>
        <c:crosses val="autoZero"/>
        <c:crossBetween val="between"/>
      </c:valAx>
      <c:valAx>
        <c:axId val="411811600"/>
        <c:scaling>
          <c:orientation val="minMax"/>
          <c:min val="3"/>
        </c:scaling>
        <c:delete val="0"/>
        <c:axPos val="r"/>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mn-cs"/>
              </a:defRPr>
            </a:pPr>
            <a:endParaRPr lang="bg-BG"/>
          </a:p>
        </c:txPr>
        <c:crossAx val="411826288"/>
        <c:crosses val="max"/>
        <c:crossBetween val="between"/>
      </c:valAx>
      <c:dateAx>
        <c:axId val="411826288"/>
        <c:scaling>
          <c:orientation val="minMax"/>
        </c:scaling>
        <c:delete val="1"/>
        <c:axPos val="b"/>
        <c:numFmt formatCode="m/d/yyyy" sourceLinked="1"/>
        <c:majorTickMark val="out"/>
        <c:minorTickMark val="none"/>
        <c:tickLblPos val="none"/>
        <c:crossAx val="411811600"/>
        <c:crosses val="autoZero"/>
        <c:auto val="1"/>
        <c:lblOffset val="100"/>
        <c:baseTimeUnit val="days"/>
      </c:dateAx>
      <c:spPr>
        <a:noFill/>
        <a:ln>
          <a:noFill/>
        </a:ln>
        <a:effectLst/>
      </c:spPr>
    </c:plotArea>
    <c:legend>
      <c:legendPos val="b"/>
      <c:layout>
        <c:manualLayout>
          <c:xMode val="edge"/>
          <c:yMode val="edge"/>
          <c:x val="0.32051038800872805"/>
          <c:y val="4.3941741432358808E-2"/>
          <c:w val="0.37166153216263331"/>
          <c:h val="6.6944846089742688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mn-cs"/>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Calibri" panose="020F0502020204030204" pitchFamily="34" charset="0"/>
        </a:defRPr>
      </a:pPr>
      <a:endParaRPr lang="bg-B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76325442282558E-2"/>
          <c:y val="1.9808110789828949E-2"/>
          <c:w val="0.90422677369774651"/>
          <c:h val="0.62268877653724231"/>
        </c:manualLayout>
      </c:layout>
      <c:barChart>
        <c:barDir val="col"/>
        <c:grouping val="clustered"/>
        <c:varyColors val="0"/>
        <c:ser>
          <c:idx val="0"/>
          <c:order val="0"/>
          <c:tx>
            <c:strRef>
              <c:f>Sheet2!$D$3</c:f>
              <c:strCache>
                <c:ptCount val="1"/>
                <c:pt idx="0">
                  <c:v>2017</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Sheet2!$B$5:$B$11</c:f>
              <c:strCache>
                <c:ptCount val="7"/>
                <c:pt idx="0">
                  <c:v>Акции (без АДСИЦ) </c:v>
                </c:pt>
                <c:pt idx="1">
                  <c:v>Акции на АДСИЦ</c:v>
                </c:pt>
                <c:pt idx="2">
                  <c:v>Облигации</c:v>
                </c:pt>
                <c:pt idx="3">
                  <c:v>Борсово търгувани продукти</c:v>
                </c:pt>
                <c:pt idx="4">
                  <c:v>Сегмент за държавни ценни книжа</c:v>
                </c:pt>
                <c:pt idx="5">
                  <c:v>Компенсаторни инструменти</c:v>
                </c:pt>
                <c:pt idx="6">
                  <c:v>Други </c:v>
                </c:pt>
              </c:strCache>
            </c:strRef>
          </c:cat>
          <c:val>
            <c:numRef>
              <c:f>Sheet2!$D$5:$D$11</c:f>
              <c:numCache>
                <c:formatCode>#,##0</c:formatCode>
                <c:ptCount val="7"/>
                <c:pt idx="0">
                  <c:v>532138393</c:v>
                </c:pt>
                <c:pt idx="1">
                  <c:v>85636523</c:v>
                </c:pt>
                <c:pt idx="2">
                  <c:v>78245874</c:v>
                </c:pt>
                <c:pt idx="3">
                  <c:v>2874462</c:v>
                </c:pt>
                <c:pt idx="4">
                  <c:v>664693</c:v>
                </c:pt>
                <c:pt idx="5">
                  <c:v>6080769</c:v>
                </c:pt>
                <c:pt idx="6">
                  <c:v>210224</c:v>
                </c:pt>
              </c:numCache>
            </c:numRef>
          </c:val>
          <c:extLst>
            <c:ext xmlns:c16="http://schemas.microsoft.com/office/drawing/2014/chart" uri="{C3380CC4-5D6E-409C-BE32-E72D297353CC}">
              <c16:uniqueId val="{00000000-F57E-4AEE-9694-4356AAF7EA0F}"/>
            </c:ext>
          </c:extLst>
        </c:ser>
        <c:ser>
          <c:idx val="1"/>
          <c:order val="1"/>
          <c:tx>
            <c:strRef>
              <c:f>Sheet2!$E$3</c:f>
              <c:strCache>
                <c:ptCount val="1"/>
                <c:pt idx="0">
                  <c:v>2018</c:v>
                </c:pt>
              </c:strCache>
            </c:strRef>
          </c:tx>
          <c:spPr>
            <a:solidFill>
              <a:srgbClr val="FF0000"/>
            </a:solidFill>
            <a:ln>
              <a:noFill/>
            </a:ln>
            <a:effectLst/>
          </c:spPr>
          <c:invertIfNegative val="0"/>
          <c:dLbls>
            <c:dLbl>
              <c:idx val="0"/>
              <c:layout>
                <c:manualLayout>
                  <c:x val="1.0295126973232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7E-4AEE-9694-4356AAF7EA0F}"/>
                </c:ext>
              </c:extLst>
            </c:dLbl>
            <c:dLbl>
              <c:idx val="3"/>
              <c:layout>
                <c:manualLayout>
                  <c:x val="6.8634179821551134E-3"/>
                  <c:y val="1.146350783339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7E-4AEE-9694-4356AAF7EA0F}"/>
                </c:ext>
              </c:extLst>
            </c:dLbl>
            <c:dLbl>
              <c:idx val="5"/>
              <c:layout>
                <c:manualLayout>
                  <c:x val="6.8634179821549894E-3"/>
                  <c:y val="7.64233855559794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7E-4AEE-9694-4356AAF7EA0F}"/>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Sheet2!$B$5:$B$11</c:f>
              <c:strCache>
                <c:ptCount val="7"/>
                <c:pt idx="0">
                  <c:v>Акции (без АДСИЦ) </c:v>
                </c:pt>
                <c:pt idx="1">
                  <c:v>Акции на АДСИЦ</c:v>
                </c:pt>
                <c:pt idx="2">
                  <c:v>Облигации</c:v>
                </c:pt>
                <c:pt idx="3">
                  <c:v>Борсово търгувани продукти</c:v>
                </c:pt>
                <c:pt idx="4">
                  <c:v>Сегмент за държавни ценни книжа</c:v>
                </c:pt>
                <c:pt idx="5">
                  <c:v>Компенсаторни инструменти</c:v>
                </c:pt>
                <c:pt idx="6">
                  <c:v>Други </c:v>
                </c:pt>
              </c:strCache>
            </c:strRef>
          </c:cat>
          <c:val>
            <c:numRef>
              <c:f>Sheet2!$E$5:$E$11</c:f>
              <c:numCache>
                <c:formatCode>#,##0</c:formatCode>
                <c:ptCount val="7"/>
                <c:pt idx="0">
                  <c:v>304737442</c:v>
                </c:pt>
                <c:pt idx="1">
                  <c:v>55869628</c:v>
                </c:pt>
                <c:pt idx="2">
                  <c:v>51651169</c:v>
                </c:pt>
                <c:pt idx="3">
                  <c:v>1996144</c:v>
                </c:pt>
                <c:pt idx="4">
                  <c:v>48495697</c:v>
                </c:pt>
                <c:pt idx="5">
                  <c:v>5618287</c:v>
                </c:pt>
                <c:pt idx="6">
                  <c:v>81672568</c:v>
                </c:pt>
              </c:numCache>
            </c:numRef>
          </c:val>
          <c:extLst>
            <c:ext xmlns:c16="http://schemas.microsoft.com/office/drawing/2014/chart" uri="{C3380CC4-5D6E-409C-BE32-E72D297353CC}">
              <c16:uniqueId val="{00000004-F57E-4AEE-9694-4356AAF7EA0F}"/>
            </c:ext>
          </c:extLst>
        </c:ser>
        <c:dLbls>
          <c:showLegendKey val="0"/>
          <c:showVal val="0"/>
          <c:showCatName val="0"/>
          <c:showSerName val="0"/>
          <c:showPercent val="0"/>
          <c:showBubbleSize val="0"/>
        </c:dLbls>
        <c:gapWidth val="219"/>
        <c:overlap val="-27"/>
        <c:axId val="615777184"/>
        <c:axId val="615777728"/>
      </c:barChart>
      <c:catAx>
        <c:axId val="61577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bg-BG"/>
          </a:p>
        </c:txPr>
        <c:crossAx val="615777728"/>
        <c:crosses val="autoZero"/>
        <c:auto val="1"/>
        <c:lblAlgn val="ctr"/>
        <c:lblOffset val="100"/>
        <c:noMultiLvlLbl val="0"/>
      </c:catAx>
      <c:valAx>
        <c:axId val="615777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bg-BG"/>
          </a:p>
        </c:txPr>
        <c:crossAx val="615777184"/>
        <c:crosses val="autoZero"/>
        <c:crossBetween val="between"/>
        <c:dispUnits>
          <c:builtInUnit val="millions"/>
          <c:dispUnitsLbl>
            <c:layout>
              <c:manualLayout>
                <c:xMode val="edge"/>
                <c:yMode val="edge"/>
                <c:x val="4.8938061705910675E-2"/>
                <c:y val="6.4900002707915239E-2"/>
              </c:manualLayout>
            </c:layout>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bg-BG"/>
                    <a:t>милиона лв.</a:t>
                  </a:r>
                  <a:endParaRPr lang="en-US"/>
                </a:p>
              </c:rich>
            </c:tx>
            <c:spPr>
              <a:noFill/>
              <a:ln>
                <a:noFill/>
              </a:ln>
              <a:effectLst/>
            </c:spPr>
          </c:dispUnitsLbl>
        </c:dispUnits>
      </c:valAx>
      <c:spPr>
        <a:noFill/>
        <a:ln>
          <a:noFill/>
        </a:ln>
        <a:effectLst/>
      </c:spPr>
    </c:plotArea>
    <c:legend>
      <c:legendPos val="b"/>
      <c:layout>
        <c:manualLayout>
          <c:xMode val="edge"/>
          <c:yMode val="edge"/>
          <c:x val="0.33983409430233508"/>
          <c:y val="1.6957019231584221E-2"/>
          <c:w val="0.32126294008685602"/>
          <c:h val="7.812554680664918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Calibri" panose="020F0502020204030204" pitchFamily="34" charset="0"/>
          <a:cs typeface="Calibri" panose="020F0502020204030204" pitchFamily="34" charset="0"/>
        </a:defRPr>
      </a:pPr>
      <a:endParaRPr lang="bg-B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927802285809575E-2"/>
          <c:y val="2.3622776319626712E-2"/>
          <c:w val="0.9355824584426945"/>
          <c:h val="0.52914884175706356"/>
        </c:manualLayout>
      </c:layout>
      <c:barChart>
        <c:barDir val="col"/>
        <c:grouping val="clustered"/>
        <c:varyColors val="0"/>
        <c:ser>
          <c:idx val="0"/>
          <c:order val="0"/>
          <c:tx>
            <c:strRef>
              <c:f>total!$D$3</c:f>
              <c:strCache>
                <c:ptCount val="1"/>
                <c:pt idx="0">
                  <c:v>2016</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total!$B$21:$B$27</c:f>
              <c:strCache>
                <c:ptCount val="7"/>
                <c:pt idx="0">
                  <c:v>Акции (без АДСИЦ) </c:v>
                </c:pt>
                <c:pt idx="1">
                  <c:v>Акции на АДСИЦ</c:v>
                </c:pt>
                <c:pt idx="2">
                  <c:v>Облигации</c:v>
                </c:pt>
                <c:pt idx="3">
                  <c:v>Борсово търгувани продукти</c:v>
                </c:pt>
                <c:pt idx="4">
                  <c:v>Сегмент за държавни ценни книжа</c:v>
                </c:pt>
                <c:pt idx="5">
                  <c:v>Компенсаторни инструменти</c:v>
                </c:pt>
                <c:pt idx="6">
                  <c:v>Други </c:v>
                </c:pt>
              </c:strCache>
            </c:strRef>
          </c:cat>
          <c:val>
            <c:numRef>
              <c:f>total!$D$21:$D$27</c:f>
              <c:numCache>
                <c:formatCode>#,##0</c:formatCode>
                <c:ptCount val="7"/>
                <c:pt idx="0">
                  <c:v>46805</c:v>
                </c:pt>
                <c:pt idx="1">
                  <c:v>7158</c:v>
                </c:pt>
                <c:pt idx="2">
                  <c:v>441</c:v>
                </c:pt>
                <c:pt idx="3">
                  <c:v>1366</c:v>
                </c:pt>
                <c:pt idx="4">
                  <c:v>0</c:v>
                </c:pt>
                <c:pt idx="5">
                  <c:v>2356</c:v>
                </c:pt>
                <c:pt idx="6">
                  <c:v>316</c:v>
                </c:pt>
              </c:numCache>
            </c:numRef>
          </c:val>
          <c:extLst>
            <c:ext xmlns:c16="http://schemas.microsoft.com/office/drawing/2014/chart" uri="{C3380CC4-5D6E-409C-BE32-E72D297353CC}">
              <c16:uniqueId val="{00000000-4FA5-47C5-A50C-4B6B6DFA88D4}"/>
            </c:ext>
          </c:extLst>
        </c:ser>
        <c:ser>
          <c:idx val="1"/>
          <c:order val="1"/>
          <c:tx>
            <c:strRef>
              <c:f>total!$E$3</c:f>
              <c:strCache>
                <c:ptCount val="1"/>
                <c:pt idx="0">
                  <c:v>2017</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total!$B$21:$B$27</c:f>
              <c:strCache>
                <c:ptCount val="7"/>
                <c:pt idx="0">
                  <c:v>Акции (без АДСИЦ) </c:v>
                </c:pt>
                <c:pt idx="1">
                  <c:v>Акции на АДСИЦ</c:v>
                </c:pt>
                <c:pt idx="2">
                  <c:v>Облигации</c:v>
                </c:pt>
                <c:pt idx="3">
                  <c:v>Борсово търгувани продукти</c:v>
                </c:pt>
                <c:pt idx="4">
                  <c:v>Сегмент за държавни ценни книжа</c:v>
                </c:pt>
                <c:pt idx="5">
                  <c:v>Компенсаторни инструменти</c:v>
                </c:pt>
                <c:pt idx="6">
                  <c:v>Други </c:v>
                </c:pt>
              </c:strCache>
            </c:strRef>
          </c:cat>
          <c:val>
            <c:numRef>
              <c:f>total!$E$21:$E$27</c:f>
              <c:numCache>
                <c:formatCode>#,##0</c:formatCode>
                <c:ptCount val="7"/>
                <c:pt idx="0">
                  <c:v>67245</c:v>
                </c:pt>
                <c:pt idx="1">
                  <c:v>8484</c:v>
                </c:pt>
                <c:pt idx="2">
                  <c:v>196</c:v>
                </c:pt>
                <c:pt idx="3">
                  <c:v>1358</c:v>
                </c:pt>
                <c:pt idx="4">
                  <c:v>3</c:v>
                </c:pt>
                <c:pt idx="5">
                  <c:v>2116</c:v>
                </c:pt>
                <c:pt idx="6">
                  <c:v>227</c:v>
                </c:pt>
              </c:numCache>
            </c:numRef>
          </c:val>
          <c:extLst>
            <c:ext xmlns:c16="http://schemas.microsoft.com/office/drawing/2014/chart" uri="{C3380CC4-5D6E-409C-BE32-E72D297353CC}">
              <c16:uniqueId val="{00000001-4FA5-47C5-A50C-4B6B6DFA88D4}"/>
            </c:ext>
          </c:extLst>
        </c:ser>
        <c:dLbls>
          <c:showLegendKey val="0"/>
          <c:showVal val="0"/>
          <c:showCatName val="0"/>
          <c:showSerName val="0"/>
          <c:showPercent val="0"/>
          <c:showBubbleSize val="0"/>
        </c:dLbls>
        <c:gapWidth val="150"/>
        <c:axId val="615745632"/>
        <c:axId val="615746720"/>
      </c:barChart>
      <c:catAx>
        <c:axId val="615745632"/>
        <c:scaling>
          <c:orientation val="minMax"/>
        </c:scaling>
        <c:delete val="0"/>
        <c:axPos val="b"/>
        <c:numFmt formatCode="General" sourceLinked="0"/>
        <c:majorTickMark val="out"/>
        <c:minorTickMark val="none"/>
        <c:tickLblPos val="nextTo"/>
        <c:txPr>
          <a:bodyPr rot="-5400000" vert="horz"/>
          <a:lstStyle/>
          <a:p>
            <a:pPr>
              <a:defRPr/>
            </a:pPr>
            <a:endParaRPr lang="bg-BG"/>
          </a:p>
        </c:txPr>
        <c:crossAx val="615746720"/>
        <c:crosses val="autoZero"/>
        <c:auto val="1"/>
        <c:lblAlgn val="ctr"/>
        <c:lblOffset val="100"/>
        <c:noMultiLvlLbl val="0"/>
      </c:catAx>
      <c:valAx>
        <c:axId val="615746720"/>
        <c:scaling>
          <c:orientation val="minMax"/>
        </c:scaling>
        <c:delete val="0"/>
        <c:axPos val="l"/>
        <c:majorGridlines/>
        <c:numFmt formatCode="#,##0" sourceLinked="1"/>
        <c:majorTickMark val="out"/>
        <c:minorTickMark val="none"/>
        <c:tickLblPos val="nextTo"/>
        <c:crossAx val="615745632"/>
        <c:crosses val="autoZero"/>
        <c:crossBetween val="between"/>
        <c:dispUnits>
          <c:builtInUnit val="thousands"/>
          <c:dispUnitsLbl>
            <c:layout>
              <c:manualLayout>
                <c:xMode val="edge"/>
                <c:yMode val="edge"/>
                <c:x val="6.4112708898745929E-2"/>
                <c:y val="2.8252405949256338E-2"/>
              </c:manualLayout>
            </c:layout>
            <c:tx>
              <c:rich>
                <a:bodyPr/>
                <a:lstStyle/>
                <a:p>
                  <a:pPr>
                    <a:defRPr/>
                  </a:pPr>
                  <a:r>
                    <a:rPr lang="bg-BG"/>
                    <a:t>хиляди</a:t>
                  </a:r>
                  <a:endParaRPr lang="en-US"/>
                </a:p>
              </c:rich>
            </c:tx>
          </c:dispUnitsLbl>
        </c:dispUnits>
      </c:valAx>
    </c:plotArea>
    <c:legend>
      <c:legendPos val="r"/>
      <c:layout>
        <c:manualLayout>
          <c:xMode val="edge"/>
          <c:yMode val="edge"/>
          <c:x val="0.72317428598996258"/>
          <c:y val="2.7393919510061277E-2"/>
          <c:w val="0.18684580052493449"/>
          <c:h val="7.4841790609507131E-2"/>
        </c:manualLayout>
      </c:layout>
      <c:overlay val="0"/>
    </c:legend>
    <c:plotVisOnly val="1"/>
    <c:dispBlanksAs val="gap"/>
    <c:showDLblsOverMax val="0"/>
  </c:chart>
  <c:spPr>
    <a:noFill/>
    <a:ln>
      <a:noFill/>
    </a:ln>
  </c:spPr>
  <c:txPr>
    <a:bodyPr/>
    <a:lstStyle/>
    <a:p>
      <a:pPr>
        <a:defRPr sz="600">
          <a:latin typeface="News Gothic Cyr" panose="020B0503020103020203" pitchFamily="34" charset="-52"/>
        </a:defRPr>
      </a:pPr>
      <a:endParaRPr lang="bg-BG"/>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3.0609294567108519E-2"/>
          <c:w val="1"/>
          <c:h val="0.95244883683389336"/>
        </c:manualLayout>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32-4CCA-AFF8-52A3E81563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32-4CCA-AFF8-52A3E81563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32-4CCA-AFF8-52A3E81563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C32-4CCA-AFF8-52A3E81563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C32-4CCA-AFF8-52A3E815633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C32-4CCA-AFF8-52A3E815633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C32-4CCA-AFF8-52A3E815633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C32-4CCA-AFF8-52A3E815633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C32-4CCA-AFF8-52A3E815633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C32-4CCA-AFF8-52A3E815633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C32-4CCA-AFF8-52A3E815633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C32-4CCA-AFF8-52A3E8156333}"/>
              </c:ext>
            </c:extLst>
          </c:dPt>
          <c:dLbls>
            <c:dLbl>
              <c:idx val="0"/>
              <c:layout>
                <c:manualLayout>
                  <c:x val="0.11684519827178466"/>
                  <c:y val="-0.2916854698401881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C32-4CCA-AFF8-52A3E8156333}"/>
                </c:ext>
              </c:extLst>
            </c:dLbl>
            <c:dLbl>
              <c:idx val="3"/>
              <c:layout>
                <c:manualLayout>
                  <c:x val="-3.306923235902709E-2"/>
                  <c:y val="-0.1892655103761234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C32-4CCA-AFF8-52A3E8156333}"/>
                </c:ext>
              </c:extLst>
            </c:dLbl>
            <c:dLbl>
              <c:idx val="4"/>
              <c:layout>
                <c:manualLayout>
                  <c:x val="0.16849813707927053"/>
                  <c:y val="-0.2605298369594465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C32-4CCA-AFF8-52A3E8156333}"/>
                </c:ext>
              </c:extLst>
            </c:dLbl>
            <c:dLbl>
              <c:idx val="5"/>
              <c:layout>
                <c:manualLayout>
                  <c:x val="0.11961707400953966"/>
                  <c:y val="-0.1810650547952577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C32-4CCA-AFF8-52A3E8156333}"/>
                </c:ext>
              </c:extLst>
            </c:dLbl>
            <c:dLbl>
              <c:idx val="6"/>
              <c:layout>
                <c:manualLayout>
                  <c:x val="4.6185403295176336E-3"/>
                  <c:y val="-1.968683299553392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1C32-4CCA-AFF8-52A3E8156333}"/>
                </c:ext>
              </c:extLst>
            </c:dLbl>
            <c:dLbl>
              <c:idx val="7"/>
              <c:layout>
                <c:manualLayout>
                  <c:x val="-4.9646000132336457E-2"/>
                  <c:y val="-0.21061503416856503"/>
                </c:manualLayout>
              </c:layout>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bg-BG"/>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1C32-4CCA-AFF8-52A3E8156333}"/>
                </c:ext>
              </c:extLst>
            </c:dLbl>
            <c:dLbl>
              <c:idx val="9"/>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bg-BG"/>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C32-4CCA-AFF8-52A3E8156333}"/>
                </c:ext>
              </c:extLst>
            </c:dLbl>
            <c:dLbl>
              <c:idx val="11"/>
              <c:delete val="1"/>
              <c:extLst>
                <c:ext xmlns:c15="http://schemas.microsoft.com/office/drawing/2012/chart" uri="{CE6537A1-D6FC-4f65-9D91-7224C49458BB}"/>
                <c:ext xmlns:c16="http://schemas.microsoft.com/office/drawing/2014/chart" uri="{C3380CC4-5D6E-409C-BE32-E72D297353CC}">
                  <c16:uniqueId val="{00000017-1C32-4CCA-AFF8-52A3E8156333}"/>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bg-BG"/>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branches!$C$2:$C$12</c:f>
              <c:strCache>
                <c:ptCount val="11"/>
                <c:pt idx="0">
                  <c:v>Финансови и застрахователни дейности</c:v>
                </c:pt>
                <c:pt idx="1">
                  <c:v>Операции с недвижими имоти</c:v>
                </c:pt>
                <c:pt idx="2">
                  <c:v>Преработваща промишленост</c:v>
                </c:pt>
                <c:pt idx="3">
                  <c:v>Създаване и разпространение на информация и творчески продукти; далекосъобщения</c:v>
                </c:pt>
                <c:pt idx="4">
                  <c:v>Професионални дейности и научни изследвания</c:v>
                </c:pt>
                <c:pt idx="5">
                  <c:v>Строителство</c:v>
                </c:pt>
                <c:pt idx="6">
                  <c:v>Търговия; ремонт на автомобили и мотоциклети</c:v>
                </c:pt>
                <c:pt idx="7">
                  <c:v>Производство и разпределение на електрическа и топлинна енергия и на газообразни горива</c:v>
                </c:pt>
                <c:pt idx="8">
                  <c:v>Хотелиерство и ресторантьорство</c:v>
                </c:pt>
                <c:pt idx="9">
                  <c:v>Добивна промишленост</c:v>
                </c:pt>
                <c:pt idx="10">
                  <c:v>Транспорт, складиране и пощи</c:v>
                </c:pt>
              </c:strCache>
            </c:strRef>
          </c:cat>
          <c:val>
            <c:numRef>
              <c:f>branches!$G$2:$G$12</c:f>
              <c:numCache>
                <c:formatCode>#,##0</c:formatCode>
                <c:ptCount val="11"/>
                <c:pt idx="0">
                  <c:v>202027227.24399987</c:v>
                </c:pt>
                <c:pt idx="1">
                  <c:v>78688455.073999971</c:v>
                </c:pt>
                <c:pt idx="2">
                  <c:v>50042425.356999986</c:v>
                </c:pt>
                <c:pt idx="3">
                  <c:v>7672101.4000000004</c:v>
                </c:pt>
                <c:pt idx="4">
                  <c:v>6558045.2740000002</c:v>
                </c:pt>
                <c:pt idx="5">
                  <c:v>4296974.71</c:v>
                </c:pt>
                <c:pt idx="6">
                  <c:v>3424764.4589999979</c:v>
                </c:pt>
                <c:pt idx="7">
                  <c:v>3277673.1</c:v>
                </c:pt>
                <c:pt idx="8">
                  <c:v>1747055.45</c:v>
                </c:pt>
                <c:pt idx="9">
                  <c:v>1572754.05</c:v>
                </c:pt>
                <c:pt idx="10">
                  <c:v>1299595.27</c:v>
                </c:pt>
              </c:numCache>
            </c:numRef>
          </c:val>
          <c:extLst>
            <c:ext xmlns:c16="http://schemas.microsoft.com/office/drawing/2014/chart" uri="{C3380CC4-5D6E-409C-BE32-E72D297353CC}">
              <c16:uniqueId val="{00000018-1C32-4CCA-AFF8-52A3E8156333}"/>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pPr>
      <a:endParaRPr lang="bg-BG"/>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291749283797797E-2"/>
          <c:y val="1.6796696560602477E-2"/>
          <c:w val="0.94829525370893453"/>
          <c:h val="0.54784841300936971"/>
        </c:manualLayout>
      </c:layout>
      <c:barChart>
        <c:barDir val="col"/>
        <c:grouping val="clustered"/>
        <c:varyColors val="0"/>
        <c:ser>
          <c:idx val="0"/>
          <c:order val="0"/>
          <c:tx>
            <c:strRef>
              <c:f>issues!$C$1</c:f>
              <c:strCache>
                <c:ptCount val="1"/>
                <c:pt idx="0">
                  <c:v>31.12.2017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issues!$B$2:$B$12</c:f>
              <c:strCache>
                <c:ptCount val="11"/>
                <c:pt idx="0">
                  <c:v>Сегмент акции Premium, пазар BSE</c:v>
                </c:pt>
                <c:pt idx="1">
                  <c:v>Сегмент акции Standard, пазар BSE</c:v>
                </c:pt>
                <c:pt idx="2">
                  <c:v>Сегмент за борсово търгувани продукти, пазар BSE</c:v>
                </c:pt>
                <c:pt idx="3">
                  <c:v>Сегмент за АДСИЦ, пазар BSE</c:v>
                </c:pt>
                <c:pt idx="4">
                  <c:v>Сегмент за ДЦК, пазар BSE</c:v>
                </c:pt>
                <c:pt idx="5">
                  <c:v>Сегмент за компенсаторни инструменти, пазар BSE</c:v>
                </c:pt>
                <c:pt idx="6">
                  <c:v>Сегмент за облигации, пазар BSE</c:v>
                </c:pt>
                <c:pt idx="7">
                  <c:v>Сегмент за права, пазар BSE</c:v>
                </c:pt>
                <c:pt idx="8">
                  <c:v>Сегмент за първично публично предлагане, BSE Market</c:v>
                </c:pt>
                <c:pt idx="9">
                  <c:v>Сегмент акции, пазар BаSE</c:v>
                </c:pt>
                <c:pt idx="10">
                  <c:v>Сегмент за АДСИЦ, пазар BаSE</c:v>
                </c:pt>
              </c:strCache>
            </c:strRef>
          </c:cat>
          <c:val>
            <c:numRef>
              <c:f>issues!$C$2:$C$12</c:f>
              <c:numCache>
                <c:formatCode>General</c:formatCode>
                <c:ptCount val="11"/>
                <c:pt idx="0">
                  <c:v>6</c:v>
                </c:pt>
                <c:pt idx="1">
                  <c:v>80</c:v>
                </c:pt>
                <c:pt idx="2">
                  <c:v>3</c:v>
                </c:pt>
                <c:pt idx="3">
                  <c:v>14</c:v>
                </c:pt>
                <c:pt idx="4">
                  <c:v>20</c:v>
                </c:pt>
                <c:pt idx="5">
                  <c:v>3</c:v>
                </c:pt>
                <c:pt idx="6">
                  <c:v>55</c:v>
                </c:pt>
                <c:pt idx="7">
                  <c:v>1</c:v>
                </c:pt>
                <c:pt idx="8">
                  <c:v>0</c:v>
                </c:pt>
                <c:pt idx="9">
                  <c:v>186</c:v>
                </c:pt>
                <c:pt idx="10">
                  <c:v>41</c:v>
                </c:pt>
              </c:numCache>
            </c:numRef>
          </c:val>
          <c:extLst>
            <c:ext xmlns:c16="http://schemas.microsoft.com/office/drawing/2014/chart" uri="{C3380CC4-5D6E-409C-BE32-E72D297353CC}">
              <c16:uniqueId val="{00000000-5D7E-4C52-9DCF-A7D1D07C998D}"/>
            </c:ext>
          </c:extLst>
        </c:ser>
        <c:ser>
          <c:idx val="1"/>
          <c:order val="1"/>
          <c:spPr>
            <a:solidFill>
              <a:schemeClr val="accent2"/>
            </a:solidFill>
            <a:ln>
              <a:noFill/>
            </a:ln>
            <a:effectLst/>
          </c:spPr>
          <c:invertIfNegative val="0"/>
          <c:cat>
            <c:strRef>
              <c:f>issues!$B$2:$B$12</c:f>
              <c:strCache>
                <c:ptCount val="11"/>
                <c:pt idx="0">
                  <c:v>Сегмент акции Premium, пазар BSE</c:v>
                </c:pt>
                <c:pt idx="1">
                  <c:v>Сегмент акции Standard, пазар BSE</c:v>
                </c:pt>
                <c:pt idx="2">
                  <c:v>Сегмент за борсово търгувани продукти, пазар BSE</c:v>
                </c:pt>
                <c:pt idx="3">
                  <c:v>Сегмент за АДСИЦ, пазар BSE</c:v>
                </c:pt>
                <c:pt idx="4">
                  <c:v>Сегмент за ДЦК, пазар BSE</c:v>
                </c:pt>
                <c:pt idx="5">
                  <c:v>Сегмент за компенсаторни инструменти, пазар BSE</c:v>
                </c:pt>
                <c:pt idx="6">
                  <c:v>Сегмент за облигации, пазар BSE</c:v>
                </c:pt>
                <c:pt idx="7">
                  <c:v>Сегмент за права, пазар BSE</c:v>
                </c:pt>
                <c:pt idx="8">
                  <c:v>Сегмент за първично публично предлагане, BSE Market</c:v>
                </c:pt>
                <c:pt idx="9">
                  <c:v>Сегмент акции, пазар BаSE</c:v>
                </c:pt>
                <c:pt idx="10">
                  <c:v>Сегмент за АДСИЦ, пазар BаSE</c:v>
                </c:pt>
              </c:strCache>
            </c:strRef>
          </c:cat>
          <c:val>
            <c:numRef>
              <c:f>issues!$D$2:$D$12</c:f>
            </c:numRef>
          </c:val>
          <c:extLst>
            <c:ext xmlns:c16="http://schemas.microsoft.com/office/drawing/2014/chart" uri="{C3380CC4-5D6E-409C-BE32-E72D297353CC}">
              <c16:uniqueId val="{00000001-5D7E-4C52-9DCF-A7D1D07C998D}"/>
            </c:ext>
          </c:extLst>
        </c:ser>
        <c:ser>
          <c:idx val="2"/>
          <c:order val="2"/>
          <c:spPr>
            <a:solidFill>
              <a:schemeClr val="accent3"/>
            </a:solidFill>
            <a:ln>
              <a:noFill/>
            </a:ln>
            <a:effectLst/>
          </c:spPr>
          <c:invertIfNegative val="0"/>
          <c:cat>
            <c:strRef>
              <c:f>issues!$B$2:$B$12</c:f>
              <c:strCache>
                <c:ptCount val="11"/>
                <c:pt idx="0">
                  <c:v>Сегмент акции Premium, пазар BSE</c:v>
                </c:pt>
                <c:pt idx="1">
                  <c:v>Сегмент акции Standard, пазар BSE</c:v>
                </c:pt>
                <c:pt idx="2">
                  <c:v>Сегмент за борсово търгувани продукти, пазар BSE</c:v>
                </c:pt>
                <c:pt idx="3">
                  <c:v>Сегмент за АДСИЦ, пазар BSE</c:v>
                </c:pt>
                <c:pt idx="4">
                  <c:v>Сегмент за ДЦК, пазар BSE</c:v>
                </c:pt>
                <c:pt idx="5">
                  <c:v>Сегмент за компенсаторни инструменти, пазар BSE</c:v>
                </c:pt>
                <c:pt idx="6">
                  <c:v>Сегмент за облигации, пазар BSE</c:v>
                </c:pt>
                <c:pt idx="7">
                  <c:v>Сегмент за права, пазар BSE</c:v>
                </c:pt>
                <c:pt idx="8">
                  <c:v>Сегмент за първично публично предлагане, BSE Market</c:v>
                </c:pt>
                <c:pt idx="9">
                  <c:v>Сегмент акции, пазар BаSE</c:v>
                </c:pt>
                <c:pt idx="10">
                  <c:v>Сегмент за АДСИЦ, пазар BаSE</c:v>
                </c:pt>
              </c:strCache>
            </c:strRef>
          </c:cat>
          <c:val>
            <c:numRef>
              <c:f>issues!$E$2:$E$12</c:f>
            </c:numRef>
          </c:val>
          <c:extLst>
            <c:ext xmlns:c16="http://schemas.microsoft.com/office/drawing/2014/chart" uri="{C3380CC4-5D6E-409C-BE32-E72D297353CC}">
              <c16:uniqueId val="{00000002-5D7E-4C52-9DCF-A7D1D07C998D}"/>
            </c:ext>
          </c:extLst>
        </c:ser>
        <c:ser>
          <c:idx val="3"/>
          <c:order val="3"/>
          <c:spPr>
            <a:solidFill>
              <a:schemeClr val="accent4"/>
            </a:solidFill>
            <a:ln>
              <a:noFill/>
            </a:ln>
            <a:effectLst/>
          </c:spPr>
          <c:invertIfNegative val="0"/>
          <c:cat>
            <c:strRef>
              <c:f>issues!$B$2:$B$12</c:f>
              <c:strCache>
                <c:ptCount val="11"/>
                <c:pt idx="0">
                  <c:v>Сегмент акции Premium, пазар BSE</c:v>
                </c:pt>
                <c:pt idx="1">
                  <c:v>Сегмент акции Standard, пазар BSE</c:v>
                </c:pt>
                <c:pt idx="2">
                  <c:v>Сегмент за борсово търгувани продукти, пазар BSE</c:v>
                </c:pt>
                <c:pt idx="3">
                  <c:v>Сегмент за АДСИЦ, пазар BSE</c:v>
                </c:pt>
                <c:pt idx="4">
                  <c:v>Сегмент за ДЦК, пазар BSE</c:v>
                </c:pt>
                <c:pt idx="5">
                  <c:v>Сегмент за компенсаторни инструменти, пазар BSE</c:v>
                </c:pt>
                <c:pt idx="6">
                  <c:v>Сегмент за облигации, пазар BSE</c:v>
                </c:pt>
                <c:pt idx="7">
                  <c:v>Сегмент за права, пазар BSE</c:v>
                </c:pt>
                <c:pt idx="8">
                  <c:v>Сегмент за първично публично предлагане, BSE Market</c:v>
                </c:pt>
                <c:pt idx="9">
                  <c:v>Сегмент акции, пазар BаSE</c:v>
                </c:pt>
                <c:pt idx="10">
                  <c:v>Сегмент за АДСИЦ, пазар BаSE</c:v>
                </c:pt>
              </c:strCache>
            </c:strRef>
          </c:cat>
          <c:val>
            <c:numRef>
              <c:f>issues!$F$2:$F$12</c:f>
            </c:numRef>
          </c:val>
          <c:extLst>
            <c:ext xmlns:c16="http://schemas.microsoft.com/office/drawing/2014/chart" uri="{C3380CC4-5D6E-409C-BE32-E72D297353CC}">
              <c16:uniqueId val="{00000003-5D7E-4C52-9DCF-A7D1D07C998D}"/>
            </c:ext>
          </c:extLst>
        </c:ser>
        <c:ser>
          <c:idx val="4"/>
          <c:order val="4"/>
          <c:tx>
            <c:strRef>
              <c:f>issues!$G$1</c:f>
              <c:strCache>
                <c:ptCount val="1"/>
                <c:pt idx="0">
                  <c:v>31.12.2018</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issues!$B$2:$B$12</c:f>
              <c:strCache>
                <c:ptCount val="11"/>
                <c:pt idx="0">
                  <c:v>Сегмент акции Premium, пазар BSE</c:v>
                </c:pt>
                <c:pt idx="1">
                  <c:v>Сегмент акции Standard, пазар BSE</c:v>
                </c:pt>
                <c:pt idx="2">
                  <c:v>Сегмент за борсово търгувани продукти, пазар BSE</c:v>
                </c:pt>
                <c:pt idx="3">
                  <c:v>Сегмент за АДСИЦ, пазар BSE</c:v>
                </c:pt>
                <c:pt idx="4">
                  <c:v>Сегмент за ДЦК, пазар BSE</c:v>
                </c:pt>
                <c:pt idx="5">
                  <c:v>Сегмент за компенсаторни инструменти, пазар BSE</c:v>
                </c:pt>
                <c:pt idx="6">
                  <c:v>Сегмент за облигации, пазар BSE</c:v>
                </c:pt>
                <c:pt idx="7">
                  <c:v>Сегмент за права, пазар BSE</c:v>
                </c:pt>
                <c:pt idx="8">
                  <c:v>Сегмент за първично публично предлагане, BSE Market</c:v>
                </c:pt>
                <c:pt idx="9">
                  <c:v>Сегмент акции, пазар BаSE</c:v>
                </c:pt>
                <c:pt idx="10">
                  <c:v>Сегмент за АДСИЦ, пазар BаSE</c:v>
                </c:pt>
              </c:strCache>
            </c:strRef>
          </c:cat>
          <c:val>
            <c:numRef>
              <c:f>issues!$G$2:$G$12</c:f>
              <c:numCache>
                <c:formatCode>General</c:formatCode>
                <c:ptCount val="11"/>
                <c:pt idx="0">
                  <c:v>7</c:v>
                </c:pt>
                <c:pt idx="1">
                  <c:v>60</c:v>
                </c:pt>
                <c:pt idx="2">
                  <c:v>13</c:v>
                </c:pt>
                <c:pt idx="3">
                  <c:v>12</c:v>
                </c:pt>
                <c:pt idx="4">
                  <c:v>19</c:v>
                </c:pt>
                <c:pt idx="5">
                  <c:v>3</c:v>
                </c:pt>
                <c:pt idx="6">
                  <c:v>66</c:v>
                </c:pt>
                <c:pt idx="7">
                  <c:v>0</c:v>
                </c:pt>
                <c:pt idx="8">
                  <c:v>2</c:v>
                </c:pt>
                <c:pt idx="9">
                  <c:v>154</c:v>
                </c:pt>
                <c:pt idx="10">
                  <c:v>45</c:v>
                </c:pt>
              </c:numCache>
            </c:numRef>
          </c:val>
          <c:extLst>
            <c:ext xmlns:c16="http://schemas.microsoft.com/office/drawing/2014/chart" uri="{C3380CC4-5D6E-409C-BE32-E72D297353CC}">
              <c16:uniqueId val="{00000004-5D7E-4C52-9DCF-A7D1D07C998D}"/>
            </c:ext>
          </c:extLst>
        </c:ser>
        <c:dLbls>
          <c:showLegendKey val="0"/>
          <c:showVal val="0"/>
          <c:showCatName val="0"/>
          <c:showSerName val="0"/>
          <c:showPercent val="0"/>
          <c:showBubbleSize val="0"/>
        </c:dLbls>
        <c:gapWidth val="100"/>
        <c:overlap val="-27"/>
        <c:axId val="615749984"/>
        <c:axId val="615750528"/>
      </c:barChart>
      <c:catAx>
        <c:axId val="61574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bg-BG"/>
          </a:p>
        </c:txPr>
        <c:crossAx val="615750528"/>
        <c:crosses val="autoZero"/>
        <c:auto val="1"/>
        <c:lblAlgn val="ctr"/>
        <c:lblOffset val="100"/>
        <c:noMultiLvlLbl val="0"/>
      </c:catAx>
      <c:valAx>
        <c:axId val="61575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bg-BG"/>
          </a:p>
        </c:txPr>
        <c:crossAx val="615749984"/>
        <c:crosses val="autoZero"/>
        <c:crossBetween val="between"/>
      </c:valAx>
      <c:spPr>
        <a:noFill/>
        <a:ln>
          <a:noFill/>
        </a:ln>
        <a:effectLst/>
      </c:spPr>
    </c:plotArea>
    <c:legend>
      <c:legendPos val="b"/>
      <c:layout>
        <c:manualLayout>
          <c:xMode val="edge"/>
          <c:yMode val="edge"/>
          <c:x val="0.41506818648524035"/>
          <c:y val="1.2833147060469766E-2"/>
          <c:w val="0.17413895836769874"/>
          <c:h val="6.0773823817769183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Calibri" panose="020F0502020204030204" pitchFamily="34" charset="0"/>
          <a:cs typeface="Calibri" panose="020F0502020204030204" pitchFamily="34" charset="0"/>
        </a:defRPr>
      </a:pPr>
      <a:endParaRPr lang="bg-BG"/>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80251578459814"/>
          <c:y val="1.8518518518518531E-2"/>
          <c:w val="0.85093305867726288"/>
          <c:h val="0.80461258910683442"/>
        </c:manualLayout>
      </c:layout>
      <c:areaChart>
        <c:grouping val="standard"/>
        <c:varyColors val="0"/>
        <c:ser>
          <c:idx val="0"/>
          <c:order val="0"/>
          <c:spPr>
            <a:pattFill prst="pct50">
              <a:fgClr>
                <a:schemeClr val="tx2"/>
              </a:fgClr>
              <a:bgClr>
                <a:schemeClr val="bg1"/>
              </a:bgClr>
            </a:pattFill>
            <a:ln>
              <a:solidFill>
                <a:schemeClr val="accent1"/>
              </a:solidFill>
            </a:ln>
            <a:effectLst/>
          </c:spPr>
          <c:cat>
            <c:numRef>
              <c:f>indices!$D$8:$D$252</c:f>
              <c:numCache>
                <c:formatCode>m/d/yyyy</c:formatCode>
                <c:ptCount val="245"/>
                <c:pt idx="0">
                  <c:v>43102</c:v>
                </c:pt>
                <c:pt idx="1">
                  <c:v>43103</c:v>
                </c:pt>
                <c:pt idx="2">
                  <c:v>43104</c:v>
                </c:pt>
                <c:pt idx="3">
                  <c:v>43105</c:v>
                </c:pt>
                <c:pt idx="4">
                  <c:v>43108</c:v>
                </c:pt>
                <c:pt idx="5">
                  <c:v>43109</c:v>
                </c:pt>
                <c:pt idx="6">
                  <c:v>43110</c:v>
                </c:pt>
                <c:pt idx="7">
                  <c:v>43111</c:v>
                </c:pt>
                <c:pt idx="8">
                  <c:v>43112</c:v>
                </c:pt>
                <c:pt idx="9">
                  <c:v>43115</c:v>
                </c:pt>
                <c:pt idx="10">
                  <c:v>43116</c:v>
                </c:pt>
                <c:pt idx="11">
                  <c:v>43117</c:v>
                </c:pt>
                <c:pt idx="12">
                  <c:v>43118</c:v>
                </c:pt>
                <c:pt idx="13">
                  <c:v>43119</c:v>
                </c:pt>
                <c:pt idx="14">
                  <c:v>43122</c:v>
                </c:pt>
                <c:pt idx="15">
                  <c:v>43123</c:v>
                </c:pt>
                <c:pt idx="16">
                  <c:v>43124</c:v>
                </c:pt>
                <c:pt idx="17">
                  <c:v>43125</c:v>
                </c:pt>
                <c:pt idx="18">
                  <c:v>43126</c:v>
                </c:pt>
                <c:pt idx="19">
                  <c:v>43129</c:v>
                </c:pt>
                <c:pt idx="20">
                  <c:v>43130</c:v>
                </c:pt>
                <c:pt idx="21">
                  <c:v>43131</c:v>
                </c:pt>
                <c:pt idx="22">
                  <c:v>43132</c:v>
                </c:pt>
                <c:pt idx="23">
                  <c:v>43133</c:v>
                </c:pt>
                <c:pt idx="24">
                  <c:v>43136</c:v>
                </c:pt>
                <c:pt idx="25">
                  <c:v>43137</c:v>
                </c:pt>
                <c:pt idx="26">
                  <c:v>43138</c:v>
                </c:pt>
                <c:pt idx="27">
                  <c:v>43139</c:v>
                </c:pt>
                <c:pt idx="28">
                  <c:v>43140</c:v>
                </c:pt>
                <c:pt idx="29">
                  <c:v>43143</c:v>
                </c:pt>
                <c:pt idx="30">
                  <c:v>43144</c:v>
                </c:pt>
                <c:pt idx="31">
                  <c:v>43145</c:v>
                </c:pt>
                <c:pt idx="32">
                  <c:v>43146</c:v>
                </c:pt>
                <c:pt idx="33">
                  <c:v>43147</c:v>
                </c:pt>
                <c:pt idx="34">
                  <c:v>43150</c:v>
                </c:pt>
                <c:pt idx="35">
                  <c:v>43151</c:v>
                </c:pt>
                <c:pt idx="36">
                  <c:v>43152</c:v>
                </c:pt>
                <c:pt idx="37">
                  <c:v>43153</c:v>
                </c:pt>
                <c:pt idx="38">
                  <c:v>43154</c:v>
                </c:pt>
                <c:pt idx="39">
                  <c:v>43157</c:v>
                </c:pt>
                <c:pt idx="40">
                  <c:v>43158</c:v>
                </c:pt>
                <c:pt idx="41">
                  <c:v>43159</c:v>
                </c:pt>
                <c:pt idx="42">
                  <c:v>43160</c:v>
                </c:pt>
                <c:pt idx="43">
                  <c:v>43161</c:v>
                </c:pt>
                <c:pt idx="44">
                  <c:v>43166</c:v>
                </c:pt>
                <c:pt idx="45">
                  <c:v>43167</c:v>
                </c:pt>
                <c:pt idx="46">
                  <c:v>43168</c:v>
                </c:pt>
                <c:pt idx="47">
                  <c:v>43171</c:v>
                </c:pt>
                <c:pt idx="48">
                  <c:v>43172</c:v>
                </c:pt>
                <c:pt idx="49">
                  <c:v>43173</c:v>
                </c:pt>
                <c:pt idx="50">
                  <c:v>43174</c:v>
                </c:pt>
                <c:pt idx="51">
                  <c:v>43175</c:v>
                </c:pt>
                <c:pt idx="52">
                  <c:v>43178</c:v>
                </c:pt>
                <c:pt idx="53">
                  <c:v>43179</c:v>
                </c:pt>
                <c:pt idx="54">
                  <c:v>43180</c:v>
                </c:pt>
                <c:pt idx="55">
                  <c:v>43181</c:v>
                </c:pt>
                <c:pt idx="56">
                  <c:v>43182</c:v>
                </c:pt>
                <c:pt idx="57">
                  <c:v>43185</c:v>
                </c:pt>
                <c:pt idx="58">
                  <c:v>43186</c:v>
                </c:pt>
                <c:pt idx="59">
                  <c:v>43187</c:v>
                </c:pt>
                <c:pt idx="60">
                  <c:v>43188</c:v>
                </c:pt>
                <c:pt idx="61">
                  <c:v>43193</c:v>
                </c:pt>
                <c:pt idx="62">
                  <c:v>43194</c:v>
                </c:pt>
                <c:pt idx="63">
                  <c:v>43195</c:v>
                </c:pt>
                <c:pt idx="64">
                  <c:v>43200</c:v>
                </c:pt>
                <c:pt idx="65">
                  <c:v>43201</c:v>
                </c:pt>
                <c:pt idx="66">
                  <c:v>43202</c:v>
                </c:pt>
                <c:pt idx="67">
                  <c:v>43203</c:v>
                </c:pt>
                <c:pt idx="68">
                  <c:v>43206</c:v>
                </c:pt>
                <c:pt idx="69">
                  <c:v>43207</c:v>
                </c:pt>
                <c:pt idx="70">
                  <c:v>43208</c:v>
                </c:pt>
                <c:pt idx="71">
                  <c:v>43209</c:v>
                </c:pt>
                <c:pt idx="72">
                  <c:v>43210</c:v>
                </c:pt>
                <c:pt idx="73">
                  <c:v>43213</c:v>
                </c:pt>
                <c:pt idx="74">
                  <c:v>43214</c:v>
                </c:pt>
                <c:pt idx="75">
                  <c:v>43215</c:v>
                </c:pt>
                <c:pt idx="76">
                  <c:v>43216</c:v>
                </c:pt>
                <c:pt idx="77">
                  <c:v>43217</c:v>
                </c:pt>
                <c:pt idx="78">
                  <c:v>43220</c:v>
                </c:pt>
                <c:pt idx="79">
                  <c:v>43222</c:v>
                </c:pt>
                <c:pt idx="80">
                  <c:v>43223</c:v>
                </c:pt>
                <c:pt idx="81">
                  <c:v>43224</c:v>
                </c:pt>
                <c:pt idx="82">
                  <c:v>43228</c:v>
                </c:pt>
                <c:pt idx="83">
                  <c:v>43229</c:v>
                </c:pt>
                <c:pt idx="84">
                  <c:v>43230</c:v>
                </c:pt>
                <c:pt idx="85">
                  <c:v>43231</c:v>
                </c:pt>
                <c:pt idx="86">
                  <c:v>43234</c:v>
                </c:pt>
                <c:pt idx="87">
                  <c:v>43235</c:v>
                </c:pt>
                <c:pt idx="88">
                  <c:v>43236</c:v>
                </c:pt>
                <c:pt idx="89">
                  <c:v>43237</c:v>
                </c:pt>
                <c:pt idx="90">
                  <c:v>43238</c:v>
                </c:pt>
                <c:pt idx="91">
                  <c:v>43241</c:v>
                </c:pt>
                <c:pt idx="92">
                  <c:v>43242</c:v>
                </c:pt>
                <c:pt idx="93">
                  <c:v>43243</c:v>
                </c:pt>
                <c:pt idx="94">
                  <c:v>43245</c:v>
                </c:pt>
                <c:pt idx="95">
                  <c:v>43248</c:v>
                </c:pt>
                <c:pt idx="96">
                  <c:v>43249</c:v>
                </c:pt>
                <c:pt idx="97">
                  <c:v>43250</c:v>
                </c:pt>
                <c:pt idx="98">
                  <c:v>43251</c:v>
                </c:pt>
                <c:pt idx="99">
                  <c:v>43252</c:v>
                </c:pt>
                <c:pt idx="100">
                  <c:v>43255</c:v>
                </c:pt>
                <c:pt idx="101">
                  <c:v>43256</c:v>
                </c:pt>
                <c:pt idx="102">
                  <c:v>43257</c:v>
                </c:pt>
                <c:pt idx="103">
                  <c:v>43258</c:v>
                </c:pt>
                <c:pt idx="104">
                  <c:v>43259</c:v>
                </c:pt>
                <c:pt idx="105">
                  <c:v>43262</c:v>
                </c:pt>
                <c:pt idx="106">
                  <c:v>43263</c:v>
                </c:pt>
                <c:pt idx="107">
                  <c:v>43264</c:v>
                </c:pt>
                <c:pt idx="108">
                  <c:v>43265</c:v>
                </c:pt>
                <c:pt idx="109">
                  <c:v>43266</c:v>
                </c:pt>
                <c:pt idx="110">
                  <c:v>43269</c:v>
                </c:pt>
                <c:pt idx="111">
                  <c:v>43270</c:v>
                </c:pt>
                <c:pt idx="112">
                  <c:v>43271</c:v>
                </c:pt>
                <c:pt idx="113">
                  <c:v>43272</c:v>
                </c:pt>
                <c:pt idx="114">
                  <c:v>43273</c:v>
                </c:pt>
                <c:pt idx="115">
                  <c:v>43276</c:v>
                </c:pt>
                <c:pt idx="116">
                  <c:v>43277</c:v>
                </c:pt>
                <c:pt idx="117">
                  <c:v>43278</c:v>
                </c:pt>
                <c:pt idx="118">
                  <c:v>43279</c:v>
                </c:pt>
                <c:pt idx="119">
                  <c:v>43280</c:v>
                </c:pt>
                <c:pt idx="120">
                  <c:v>43283</c:v>
                </c:pt>
                <c:pt idx="121">
                  <c:v>43284</c:v>
                </c:pt>
                <c:pt idx="122">
                  <c:v>43285</c:v>
                </c:pt>
                <c:pt idx="123">
                  <c:v>43286</c:v>
                </c:pt>
                <c:pt idx="124">
                  <c:v>43287</c:v>
                </c:pt>
                <c:pt idx="125">
                  <c:v>43290</c:v>
                </c:pt>
                <c:pt idx="126">
                  <c:v>43291</c:v>
                </c:pt>
                <c:pt idx="127">
                  <c:v>43292</c:v>
                </c:pt>
                <c:pt idx="128">
                  <c:v>43293</c:v>
                </c:pt>
                <c:pt idx="129">
                  <c:v>43294</c:v>
                </c:pt>
                <c:pt idx="130">
                  <c:v>43297</c:v>
                </c:pt>
                <c:pt idx="131">
                  <c:v>43298</c:v>
                </c:pt>
                <c:pt idx="132">
                  <c:v>43299</c:v>
                </c:pt>
                <c:pt idx="133">
                  <c:v>43300</c:v>
                </c:pt>
                <c:pt idx="134">
                  <c:v>43301</c:v>
                </c:pt>
                <c:pt idx="135">
                  <c:v>43304</c:v>
                </c:pt>
                <c:pt idx="136">
                  <c:v>43305</c:v>
                </c:pt>
                <c:pt idx="137">
                  <c:v>43306</c:v>
                </c:pt>
                <c:pt idx="138">
                  <c:v>43307</c:v>
                </c:pt>
                <c:pt idx="139">
                  <c:v>43308</c:v>
                </c:pt>
                <c:pt idx="140">
                  <c:v>43311</c:v>
                </c:pt>
                <c:pt idx="141">
                  <c:v>43312</c:v>
                </c:pt>
                <c:pt idx="142">
                  <c:v>43313</c:v>
                </c:pt>
                <c:pt idx="143">
                  <c:v>43314</c:v>
                </c:pt>
                <c:pt idx="144">
                  <c:v>43315</c:v>
                </c:pt>
                <c:pt idx="145">
                  <c:v>43318</c:v>
                </c:pt>
                <c:pt idx="146">
                  <c:v>43319</c:v>
                </c:pt>
                <c:pt idx="147">
                  <c:v>43320</c:v>
                </c:pt>
                <c:pt idx="148">
                  <c:v>43321</c:v>
                </c:pt>
                <c:pt idx="149">
                  <c:v>43322</c:v>
                </c:pt>
                <c:pt idx="150">
                  <c:v>43325</c:v>
                </c:pt>
                <c:pt idx="151">
                  <c:v>43326</c:v>
                </c:pt>
                <c:pt idx="152">
                  <c:v>43327</c:v>
                </c:pt>
                <c:pt idx="153">
                  <c:v>43328</c:v>
                </c:pt>
                <c:pt idx="154">
                  <c:v>43329</c:v>
                </c:pt>
                <c:pt idx="155">
                  <c:v>43332</c:v>
                </c:pt>
                <c:pt idx="156">
                  <c:v>43333</c:v>
                </c:pt>
                <c:pt idx="157">
                  <c:v>43334</c:v>
                </c:pt>
                <c:pt idx="158">
                  <c:v>43335</c:v>
                </c:pt>
                <c:pt idx="159">
                  <c:v>43336</c:v>
                </c:pt>
                <c:pt idx="160">
                  <c:v>43339</c:v>
                </c:pt>
                <c:pt idx="161">
                  <c:v>43340</c:v>
                </c:pt>
                <c:pt idx="162">
                  <c:v>43341</c:v>
                </c:pt>
                <c:pt idx="163">
                  <c:v>43342</c:v>
                </c:pt>
                <c:pt idx="164">
                  <c:v>43343</c:v>
                </c:pt>
                <c:pt idx="165">
                  <c:v>43346</c:v>
                </c:pt>
                <c:pt idx="166">
                  <c:v>43347</c:v>
                </c:pt>
                <c:pt idx="167">
                  <c:v>43348</c:v>
                </c:pt>
                <c:pt idx="168">
                  <c:v>43350</c:v>
                </c:pt>
                <c:pt idx="169">
                  <c:v>43353</c:v>
                </c:pt>
                <c:pt idx="170">
                  <c:v>43354</c:v>
                </c:pt>
                <c:pt idx="171">
                  <c:v>43355</c:v>
                </c:pt>
                <c:pt idx="172">
                  <c:v>43356</c:v>
                </c:pt>
                <c:pt idx="173">
                  <c:v>43357</c:v>
                </c:pt>
                <c:pt idx="174">
                  <c:v>43360</c:v>
                </c:pt>
                <c:pt idx="175">
                  <c:v>43361</c:v>
                </c:pt>
                <c:pt idx="176">
                  <c:v>43362</c:v>
                </c:pt>
                <c:pt idx="177">
                  <c:v>43363</c:v>
                </c:pt>
                <c:pt idx="178">
                  <c:v>43364</c:v>
                </c:pt>
                <c:pt idx="179">
                  <c:v>43368</c:v>
                </c:pt>
                <c:pt idx="180">
                  <c:v>43369</c:v>
                </c:pt>
                <c:pt idx="181">
                  <c:v>43370</c:v>
                </c:pt>
                <c:pt idx="182">
                  <c:v>43371</c:v>
                </c:pt>
                <c:pt idx="183">
                  <c:v>43374</c:v>
                </c:pt>
                <c:pt idx="184">
                  <c:v>43375</c:v>
                </c:pt>
                <c:pt idx="185">
                  <c:v>43376</c:v>
                </c:pt>
                <c:pt idx="186">
                  <c:v>43377</c:v>
                </c:pt>
                <c:pt idx="187">
                  <c:v>43378</c:v>
                </c:pt>
                <c:pt idx="188">
                  <c:v>43381</c:v>
                </c:pt>
                <c:pt idx="189">
                  <c:v>43382</c:v>
                </c:pt>
                <c:pt idx="190">
                  <c:v>43383</c:v>
                </c:pt>
                <c:pt idx="191">
                  <c:v>43384</c:v>
                </c:pt>
                <c:pt idx="192">
                  <c:v>43385</c:v>
                </c:pt>
                <c:pt idx="193">
                  <c:v>43388</c:v>
                </c:pt>
                <c:pt idx="194">
                  <c:v>43389</c:v>
                </c:pt>
                <c:pt idx="195">
                  <c:v>43390</c:v>
                </c:pt>
                <c:pt idx="196">
                  <c:v>43391</c:v>
                </c:pt>
                <c:pt idx="197">
                  <c:v>43392</c:v>
                </c:pt>
                <c:pt idx="198">
                  <c:v>43395</c:v>
                </c:pt>
                <c:pt idx="199">
                  <c:v>43396</c:v>
                </c:pt>
                <c:pt idx="200">
                  <c:v>43397</c:v>
                </c:pt>
                <c:pt idx="201">
                  <c:v>43398</c:v>
                </c:pt>
                <c:pt idx="202">
                  <c:v>43399</c:v>
                </c:pt>
                <c:pt idx="203">
                  <c:v>43402</c:v>
                </c:pt>
                <c:pt idx="204">
                  <c:v>43403</c:v>
                </c:pt>
                <c:pt idx="205">
                  <c:v>43404</c:v>
                </c:pt>
                <c:pt idx="206">
                  <c:v>43405</c:v>
                </c:pt>
                <c:pt idx="207">
                  <c:v>43406</c:v>
                </c:pt>
                <c:pt idx="208">
                  <c:v>43409</c:v>
                </c:pt>
                <c:pt idx="209">
                  <c:v>43410</c:v>
                </c:pt>
                <c:pt idx="210">
                  <c:v>43411</c:v>
                </c:pt>
                <c:pt idx="211">
                  <c:v>43412</c:v>
                </c:pt>
                <c:pt idx="212">
                  <c:v>43413</c:v>
                </c:pt>
                <c:pt idx="213">
                  <c:v>43416</c:v>
                </c:pt>
                <c:pt idx="214">
                  <c:v>43417</c:v>
                </c:pt>
                <c:pt idx="215">
                  <c:v>43418</c:v>
                </c:pt>
                <c:pt idx="216">
                  <c:v>43419</c:v>
                </c:pt>
                <c:pt idx="217">
                  <c:v>43420</c:v>
                </c:pt>
                <c:pt idx="218">
                  <c:v>43423</c:v>
                </c:pt>
                <c:pt idx="219">
                  <c:v>43424</c:v>
                </c:pt>
                <c:pt idx="220">
                  <c:v>43425</c:v>
                </c:pt>
                <c:pt idx="221">
                  <c:v>43426</c:v>
                </c:pt>
                <c:pt idx="222">
                  <c:v>43427</c:v>
                </c:pt>
                <c:pt idx="223">
                  <c:v>43430</c:v>
                </c:pt>
                <c:pt idx="224">
                  <c:v>43431</c:v>
                </c:pt>
                <c:pt idx="225">
                  <c:v>43432</c:v>
                </c:pt>
                <c:pt idx="226">
                  <c:v>43433</c:v>
                </c:pt>
                <c:pt idx="227">
                  <c:v>43434</c:v>
                </c:pt>
                <c:pt idx="228">
                  <c:v>43437</c:v>
                </c:pt>
                <c:pt idx="229">
                  <c:v>43438</c:v>
                </c:pt>
                <c:pt idx="230">
                  <c:v>43439</c:v>
                </c:pt>
                <c:pt idx="231">
                  <c:v>43440</c:v>
                </c:pt>
                <c:pt idx="232">
                  <c:v>43441</c:v>
                </c:pt>
                <c:pt idx="233">
                  <c:v>43444</c:v>
                </c:pt>
                <c:pt idx="234">
                  <c:v>43445</c:v>
                </c:pt>
                <c:pt idx="235">
                  <c:v>43446</c:v>
                </c:pt>
                <c:pt idx="236">
                  <c:v>43447</c:v>
                </c:pt>
                <c:pt idx="237">
                  <c:v>43448</c:v>
                </c:pt>
                <c:pt idx="238">
                  <c:v>43451</c:v>
                </c:pt>
                <c:pt idx="239">
                  <c:v>43452</c:v>
                </c:pt>
                <c:pt idx="240">
                  <c:v>43453</c:v>
                </c:pt>
                <c:pt idx="241">
                  <c:v>43454</c:v>
                </c:pt>
                <c:pt idx="242">
                  <c:v>43455</c:v>
                </c:pt>
                <c:pt idx="243">
                  <c:v>43461</c:v>
                </c:pt>
                <c:pt idx="244">
                  <c:v>43462</c:v>
                </c:pt>
              </c:numCache>
            </c:numRef>
          </c:cat>
          <c:val>
            <c:numRef>
              <c:f>indices!$E$8:$E$252</c:f>
              <c:numCache>
                <c:formatCode>General</c:formatCode>
                <c:ptCount val="245"/>
                <c:pt idx="0">
                  <c:v>684.71</c:v>
                </c:pt>
                <c:pt idx="1">
                  <c:v>685.09</c:v>
                </c:pt>
                <c:pt idx="2">
                  <c:v>691.01</c:v>
                </c:pt>
                <c:pt idx="3">
                  <c:v>692.24</c:v>
                </c:pt>
                <c:pt idx="4">
                  <c:v>688.88</c:v>
                </c:pt>
                <c:pt idx="5">
                  <c:v>688.11</c:v>
                </c:pt>
                <c:pt idx="6">
                  <c:v>697.93</c:v>
                </c:pt>
                <c:pt idx="7">
                  <c:v>702.78000000000043</c:v>
                </c:pt>
                <c:pt idx="8">
                  <c:v>710.02</c:v>
                </c:pt>
                <c:pt idx="9">
                  <c:v>714.31</c:v>
                </c:pt>
                <c:pt idx="10">
                  <c:v>715.4</c:v>
                </c:pt>
                <c:pt idx="11">
                  <c:v>709.85999999999956</c:v>
                </c:pt>
                <c:pt idx="12">
                  <c:v>711.2</c:v>
                </c:pt>
                <c:pt idx="13">
                  <c:v>711.69</c:v>
                </c:pt>
                <c:pt idx="14">
                  <c:v>708.02</c:v>
                </c:pt>
                <c:pt idx="15">
                  <c:v>709.28000000000043</c:v>
                </c:pt>
                <c:pt idx="16">
                  <c:v>706.89</c:v>
                </c:pt>
                <c:pt idx="17">
                  <c:v>708.17000000000041</c:v>
                </c:pt>
                <c:pt idx="18">
                  <c:v>709.62</c:v>
                </c:pt>
                <c:pt idx="19">
                  <c:v>709.44999999999959</c:v>
                </c:pt>
                <c:pt idx="20">
                  <c:v>710.8</c:v>
                </c:pt>
                <c:pt idx="21">
                  <c:v>712.73</c:v>
                </c:pt>
                <c:pt idx="22">
                  <c:v>711.8199999999996</c:v>
                </c:pt>
                <c:pt idx="23">
                  <c:v>719.71</c:v>
                </c:pt>
                <c:pt idx="24">
                  <c:v>716.12</c:v>
                </c:pt>
                <c:pt idx="25">
                  <c:v>690.59</c:v>
                </c:pt>
                <c:pt idx="26">
                  <c:v>701.4</c:v>
                </c:pt>
                <c:pt idx="27">
                  <c:v>698.71</c:v>
                </c:pt>
                <c:pt idx="28">
                  <c:v>693.87</c:v>
                </c:pt>
                <c:pt idx="29">
                  <c:v>696.71</c:v>
                </c:pt>
                <c:pt idx="30">
                  <c:v>698.05</c:v>
                </c:pt>
                <c:pt idx="31">
                  <c:v>697.24</c:v>
                </c:pt>
                <c:pt idx="32">
                  <c:v>693.64</c:v>
                </c:pt>
                <c:pt idx="33">
                  <c:v>696.4</c:v>
                </c:pt>
                <c:pt idx="34">
                  <c:v>692.02</c:v>
                </c:pt>
                <c:pt idx="35">
                  <c:v>694.35999999999956</c:v>
                </c:pt>
                <c:pt idx="36">
                  <c:v>691.71</c:v>
                </c:pt>
                <c:pt idx="37">
                  <c:v>687.82999999999959</c:v>
                </c:pt>
                <c:pt idx="38">
                  <c:v>687.26</c:v>
                </c:pt>
                <c:pt idx="39">
                  <c:v>686.16</c:v>
                </c:pt>
                <c:pt idx="40">
                  <c:v>687.57</c:v>
                </c:pt>
                <c:pt idx="41">
                  <c:v>686.43</c:v>
                </c:pt>
                <c:pt idx="42">
                  <c:v>684.74</c:v>
                </c:pt>
                <c:pt idx="43">
                  <c:v>683.12</c:v>
                </c:pt>
                <c:pt idx="44">
                  <c:v>687.42</c:v>
                </c:pt>
                <c:pt idx="45">
                  <c:v>682.9399999999996</c:v>
                </c:pt>
                <c:pt idx="46">
                  <c:v>685.85999999999956</c:v>
                </c:pt>
                <c:pt idx="47">
                  <c:v>681.35999999999956</c:v>
                </c:pt>
                <c:pt idx="48">
                  <c:v>679.8199999999996</c:v>
                </c:pt>
                <c:pt idx="49">
                  <c:v>679.6800000000004</c:v>
                </c:pt>
                <c:pt idx="50">
                  <c:v>679.21</c:v>
                </c:pt>
                <c:pt idx="51">
                  <c:v>679.98</c:v>
                </c:pt>
                <c:pt idx="52">
                  <c:v>671.8</c:v>
                </c:pt>
                <c:pt idx="53">
                  <c:v>660.72</c:v>
                </c:pt>
                <c:pt idx="54">
                  <c:v>669.62</c:v>
                </c:pt>
                <c:pt idx="55">
                  <c:v>667.67000000000041</c:v>
                </c:pt>
                <c:pt idx="56">
                  <c:v>661.77000000000044</c:v>
                </c:pt>
                <c:pt idx="57">
                  <c:v>653.8199999999996</c:v>
                </c:pt>
                <c:pt idx="58">
                  <c:v>655.25</c:v>
                </c:pt>
                <c:pt idx="59">
                  <c:v>654.09</c:v>
                </c:pt>
                <c:pt idx="60">
                  <c:v>649.16999999999996</c:v>
                </c:pt>
                <c:pt idx="61">
                  <c:v>653.14</c:v>
                </c:pt>
                <c:pt idx="62">
                  <c:v>654.4399999999996</c:v>
                </c:pt>
                <c:pt idx="63">
                  <c:v>659.03</c:v>
                </c:pt>
                <c:pt idx="64">
                  <c:v>664.75</c:v>
                </c:pt>
                <c:pt idx="65">
                  <c:v>660.64</c:v>
                </c:pt>
                <c:pt idx="66">
                  <c:v>661.06</c:v>
                </c:pt>
                <c:pt idx="67">
                  <c:v>663.22</c:v>
                </c:pt>
                <c:pt idx="68">
                  <c:v>662.99</c:v>
                </c:pt>
                <c:pt idx="69">
                  <c:v>661.25</c:v>
                </c:pt>
                <c:pt idx="70">
                  <c:v>660.44999999999959</c:v>
                </c:pt>
                <c:pt idx="71">
                  <c:v>662.79000000000042</c:v>
                </c:pt>
                <c:pt idx="72">
                  <c:v>658.4399999999996</c:v>
                </c:pt>
                <c:pt idx="73">
                  <c:v>659.1</c:v>
                </c:pt>
                <c:pt idx="74">
                  <c:v>659.1</c:v>
                </c:pt>
                <c:pt idx="75">
                  <c:v>663.11</c:v>
                </c:pt>
                <c:pt idx="76">
                  <c:v>660.38</c:v>
                </c:pt>
                <c:pt idx="77">
                  <c:v>658.2</c:v>
                </c:pt>
                <c:pt idx="78">
                  <c:v>658.11</c:v>
                </c:pt>
                <c:pt idx="79">
                  <c:v>654.28000000000043</c:v>
                </c:pt>
                <c:pt idx="80">
                  <c:v>658.81</c:v>
                </c:pt>
                <c:pt idx="81">
                  <c:v>652.88</c:v>
                </c:pt>
                <c:pt idx="82">
                  <c:v>653.01</c:v>
                </c:pt>
                <c:pt idx="83">
                  <c:v>652.17999999999995</c:v>
                </c:pt>
                <c:pt idx="84">
                  <c:v>649.29000000000042</c:v>
                </c:pt>
                <c:pt idx="85">
                  <c:v>645.51</c:v>
                </c:pt>
                <c:pt idx="86">
                  <c:v>644.24</c:v>
                </c:pt>
                <c:pt idx="87">
                  <c:v>643.16999999999996</c:v>
                </c:pt>
                <c:pt idx="88">
                  <c:v>642.57000000000005</c:v>
                </c:pt>
                <c:pt idx="89">
                  <c:v>649.98</c:v>
                </c:pt>
                <c:pt idx="90">
                  <c:v>647.83999999999958</c:v>
                </c:pt>
                <c:pt idx="91">
                  <c:v>646.24</c:v>
                </c:pt>
                <c:pt idx="92">
                  <c:v>644.4399999999996</c:v>
                </c:pt>
                <c:pt idx="93">
                  <c:v>642.9</c:v>
                </c:pt>
                <c:pt idx="94">
                  <c:v>642.09</c:v>
                </c:pt>
                <c:pt idx="95">
                  <c:v>639.29999999999995</c:v>
                </c:pt>
                <c:pt idx="96">
                  <c:v>637.11</c:v>
                </c:pt>
                <c:pt idx="97">
                  <c:v>634.25</c:v>
                </c:pt>
                <c:pt idx="98">
                  <c:v>636.5499999999995</c:v>
                </c:pt>
                <c:pt idx="99">
                  <c:v>637.89</c:v>
                </c:pt>
                <c:pt idx="100">
                  <c:v>638.32999999999959</c:v>
                </c:pt>
                <c:pt idx="101">
                  <c:v>633.77000000000044</c:v>
                </c:pt>
                <c:pt idx="102">
                  <c:v>634.17999999999995</c:v>
                </c:pt>
                <c:pt idx="103">
                  <c:v>631.71</c:v>
                </c:pt>
                <c:pt idx="104">
                  <c:v>631.82999999999959</c:v>
                </c:pt>
                <c:pt idx="105">
                  <c:v>629.59</c:v>
                </c:pt>
                <c:pt idx="106">
                  <c:v>632.32999999999959</c:v>
                </c:pt>
                <c:pt idx="107">
                  <c:v>634.71</c:v>
                </c:pt>
                <c:pt idx="108">
                  <c:v>637.32999999999959</c:v>
                </c:pt>
                <c:pt idx="109">
                  <c:v>627.9</c:v>
                </c:pt>
                <c:pt idx="110">
                  <c:v>630.77000000000044</c:v>
                </c:pt>
                <c:pt idx="111">
                  <c:v>630.95999999999958</c:v>
                </c:pt>
                <c:pt idx="112">
                  <c:v>632.27000000000044</c:v>
                </c:pt>
                <c:pt idx="113">
                  <c:v>631.4299999999995</c:v>
                </c:pt>
                <c:pt idx="114">
                  <c:v>630.80999999999949</c:v>
                </c:pt>
                <c:pt idx="115">
                  <c:v>632.4</c:v>
                </c:pt>
                <c:pt idx="116">
                  <c:v>631.87</c:v>
                </c:pt>
                <c:pt idx="117">
                  <c:v>633.54</c:v>
                </c:pt>
                <c:pt idx="118">
                  <c:v>633.13</c:v>
                </c:pt>
                <c:pt idx="119">
                  <c:v>634.26</c:v>
                </c:pt>
                <c:pt idx="120">
                  <c:v>626.79999999999995</c:v>
                </c:pt>
                <c:pt idx="121">
                  <c:v>626.53</c:v>
                </c:pt>
                <c:pt idx="122">
                  <c:v>630.37</c:v>
                </c:pt>
                <c:pt idx="123">
                  <c:v>629.51</c:v>
                </c:pt>
                <c:pt idx="124">
                  <c:v>633.69000000000005</c:v>
                </c:pt>
                <c:pt idx="125">
                  <c:v>628.35999999999956</c:v>
                </c:pt>
                <c:pt idx="126">
                  <c:v>629.0499999999995</c:v>
                </c:pt>
                <c:pt idx="127">
                  <c:v>624.9399999999996</c:v>
                </c:pt>
                <c:pt idx="128">
                  <c:v>627.5</c:v>
                </c:pt>
                <c:pt idx="129">
                  <c:v>627.07000000000005</c:v>
                </c:pt>
                <c:pt idx="130">
                  <c:v>623.84999999999957</c:v>
                </c:pt>
                <c:pt idx="131">
                  <c:v>624.47</c:v>
                </c:pt>
                <c:pt idx="132">
                  <c:v>628.47</c:v>
                </c:pt>
                <c:pt idx="133">
                  <c:v>630.5499999999995</c:v>
                </c:pt>
                <c:pt idx="134">
                  <c:v>632.01</c:v>
                </c:pt>
                <c:pt idx="135">
                  <c:v>633.41</c:v>
                </c:pt>
                <c:pt idx="136">
                  <c:v>637.17999999999995</c:v>
                </c:pt>
                <c:pt idx="137">
                  <c:v>636.02</c:v>
                </c:pt>
                <c:pt idx="138">
                  <c:v>635.4299999999995</c:v>
                </c:pt>
                <c:pt idx="139">
                  <c:v>632.30999999999949</c:v>
                </c:pt>
                <c:pt idx="140">
                  <c:v>627.71</c:v>
                </c:pt>
                <c:pt idx="141">
                  <c:v>634.03</c:v>
                </c:pt>
                <c:pt idx="142">
                  <c:v>634.67999999999995</c:v>
                </c:pt>
                <c:pt idx="143">
                  <c:v>639.30999999999949</c:v>
                </c:pt>
                <c:pt idx="144">
                  <c:v>640.21</c:v>
                </c:pt>
                <c:pt idx="145">
                  <c:v>639.4</c:v>
                </c:pt>
                <c:pt idx="146">
                  <c:v>640.21</c:v>
                </c:pt>
                <c:pt idx="147">
                  <c:v>640.45999999999958</c:v>
                </c:pt>
                <c:pt idx="148">
                  <c:v>641.76</c:v>
                </c:pt>
                <c:pt idx="149">
                  <c:v>639.33999999999958</c:v>
                </c:pt>
                <c:pt idx="150">
                  <c:v>635.11</c:v>
                </c:pt>
                <c:pt idx="151">
                  <c:v>632.5</c:v>
                </c:pt>
                <c:pt idx="152">
                  <c:v>631.16999999999996</c:v>
                </c:pt>
                <c:pt idx="153">
                  <c:v>633.62</c:v>
                </c:pt>
                <c:pt idx="154">
                  <c:v>633.62</c:v>
                </c:pt>
                <c:pt idx="155">
                  <c:v>634.14</c:v>
                </c:pt>
                <c:pt idx="156">
                  <c:v>634.0499999999995</c:v>
                </c:pt>
                <c:pt idx="157">
                  <c:v>629.47</c:v>
                </c:pt>
                <c:pt idx="158">
                  <c:v>634.32999999999959</c:v>
                </c:pt>
                <c:pt idx="159">
                  <c:v>636.3199999999996</c:v>
                </c:pt>
                <c:pt idx="160">
                  <c:v>634.77000000000044</c:v>
                </c:pt>
                <c:pt idx="161">
                  <c:v>630.52</c:v>
                </c:pt>
                <c:pt idx="162">
                  <c:v>630.41</c:v>
                </c:pt>
                <c:pt idx="163">
                  <c:v>633.95999999999958</c:v>
                </c:pt>
                <c:pt idx="164">
                  <c:v>631.82999999999959</c:v>
                </c:pt>
                <c:pt idx="165">
                  <c:v>630.07000000000005</c:v>
                </c:pt>
                <c:pt idx="166">
                  <c:v>632.77000000000044</c:v>
                </c:pt>
                <c:pt idx="167">
                  <c:v>628.11</c:v>
                </c:pt>
                <c:pt idx="168">
                  <c:v>626.99</c:v>
                </c:pt>
                <c:pt idx="169">
                  <c:v>628.79999999999995</c:v>
                </c:pt>
                <c:pt idx="170">
                  <c:v>632.02</c:v>
                </c:pt>
                <c:pt idx="171">
                  <c:v>631.4399999999996</c:v>
                </c:pt>
                <c:pt idx="172">
                  <c:v>630.02</c:v>
                </c:pt>
                <c:pt idx="173">
                  <c:v>629.37</c:v>
                </c:pt>
                <c:pt idx="174">
                  <c:v>627.83999999999958</c:v>
                </c:pt>
                <c:pt idx="175">
                  <c:v>629.85999999999956</c:v>
                </c:pt>
                <c:pt idx="176">
                  <c:v>627.6</c:v>
                </c:pt>
                <c:pt idx="177">
                  <c:v>627.08000000000004</c:v>
                </c:pt>
                <c:pt idx="178">
                  <c:v>623.48</c:v>
                </c:pt>
                <c:pt idx="179">
                  <c:v>623.52</c:v>
                </c:pt>
                <c:pt idx="180">
                  <c:v>623.1</c:v>
                </c:pt>
                <c:pt idx="181">
                  <c:v>623.63</c:v>
                </c:pt>
                <c:pt idx="182">
                  <c:v>624.39</c:v>
                </c:pt>
                <c:pt idx="183">
                  <c:v>625.74</c:v>
                </c:pt>
                <c:pt idx="184">
                  <c:v>628.49</c:v>
                </c:pt>
                <c:pt idx="185">
                  <c:v>622.16999999999996</c:v>
                </c:pt>
                <c:pt idx="186">
                  <c:v>622.52</c:v>
                </c:pt>
                <c:pt idx="187">
                  <c:v>623.41</c:v>
                </c:pt>
                <c:pt idx="188">
                  <c:v>618.5499999999995</c:v>
                </c:pt>
                <c:pt idx="189">
                  <c:v>617.13</c:v>
                </c:pt>
                <c:pt idx="190">
                  <c:v>617.41999999999996</c:v>
                </c:pt>
                <c:pt idx="191">
                  <c:v>609.09</c:v>
                </c:pt>
                <c:pt idx="192">
                  <c:v>610.4</c:v>
                </c:pt>
                <c:pt idx="193">
                  <c:v>610.75</c:v>
                </c:pt>
                <c:pt idx="194">
                  <c:v>609.51</c:v>
                </c:pt>
                <c:pt idx="195">
                  <c:v>610.26</c:v>
                </c:pt>
                <c:pt idx="196">
                  <c:v>608.16</c:v>
                </c:pt>
                <c:pt idx="197">
                  <c:v>608.17999999999995</c:v>
                </c:pt>
                <c:pt idx="198">
                  <c:v>606.94999999999959</c:v>
                </c:pt>
                <c:pt idx="199">
                  <c:v>597.05999999999949</c:v>
                </c:pt>
                <c:pt idx="200">
                  <c:v>600.14</c:v>
                </c:pt>
                <c:pt idx="201">
                  <c:v>598.78000000000043</c:v>
                </c:pt>
                <c:pt idx="202">
                  <c:v>599.65</c:v>
                </c:pt>
                <c:pt idx="203">
                  <c:v>602.38</c:v>
                </c:pt>
                <c:pt idx="204">
                  <c:v>597.4399999999996</c:v>
                </c:pt>
                <c:pt idx="205">
                  <c:v>596.80999999999949</c:v>
                </c:pt>
                <c:pt idx="206">
                  <c:v>596.58000000000004</c:v>
                </c:pt>
                <c:pt idx="207">
                  <c:v>596.79999999999995</c:v>
                </c:pt>
                <c:pt idx="208">
                  <c:v>596.66999999999996</c:v>
                </c:pt>
                <c:pt idx="209">
                  <c:v>594.29000000000042</c:v>
                </c:pt>
                <c:pt idx="210">
                  <c:v>592.62</c:v>
                </c:pt>
                <c:pt idx="211">
                  <c:v>595</c:v>
                </c:pt>
                <c:pt idx="212">
                  <c:v>597.76</c:v>
                </c:pt>
                <c:pt idx="213">
                  <c:v>596.08000000000004</c:v>
                </c:pt>
                <c:pt idx="214">
                  <c:v>593.85999999999956</c:v>
                </c:pt>
                <c:pt idx="215">
                  <c:v>594.78000000000043</c:v>
                </c:pt>
                <c:pt idx="216">
                  <c:v>595.74</c:v>
                </c:pt>
                <c:pt idx="217">
                  <c:v>595.30999999999949</c:v>
                </c:pt>
                <c:pt idx="218">
                  <c:v>592.67999999999995</c:v>
                </c:pt>
                <c:pt idx="219">
                  <c:v>586.98</c:v>
                </c:pt>
                <c:pt idx="220">
                  <c:v>589.47</c:v>
                </c:pt>
                <c:pt idx="221">
                  <c:v>587.87</c:v>
                </c:pt>
                <c:pt idx="222">
                  <c:v>588.9299999999995</c:v>
                </c:pt>
                <c:pt idx="223">
                  <c:v>584.9</c:v>
                </c:pt>
                <c:pt idx="224">
                  <c:v>583.19000000000005</c:v>
                </c:pt>
                <c:pt idx="225">
                  <c:v>584.72</c:v>
                </c:pt>
                <c:pt idx="226">
                  <c:v>591.74</c:v>
                </c:pt>
                <c:pt idx="227">
                  <c:v>592.12</c:v>
                </c:pt>
                <c:pt idx="228">
                  <c:v>599.1</c:v>
                </c:pt>
                <c:pt idx="229">
                  <c:v>601.33999999999958</c:v>
                </c:pt>
                <c:pt idx="230">
                  <c:v>597.25</c:v>
                </c:pt>
                <c:pt idx="231">
                  <c:v>592.44999999999959</c:v>
                </c:pt>
                <c:pt idx="232">
                  <c:v>595.3199999999996</c:v>
                </c:pt>
                <c:pt idx="233">
                  <c:v>593.16</c:v>
                </c:pt>
                <c:pt idx="234">
                  <c:v>593.21</c:v>
                </c:pt>
                <c:pt idx="235">
                  <c:v>593.05999999999949</c:v>
                </c:pt>
                <c:pt idx="236">
                  <c:v>590.47</c:v>
                </c:pt>
                <c:pt idx="237">
                  <c:v>589.6</c:v>
                </c:pt>
                <c:pt idx="238">
                  <c:v>591.24</c:v>
                </c:pt>
                <c:pt idx="239">
                  <c:v>592.12</c:v>
                </c:pt>
                <c:pt idx="240">
                  <c:v>589.65</c:v>
                </c:pt>
                <c:pt idx="241">
                  <c:v>588.80999999999949</c:v>
                </c:pt>
                <c:pt idx="242">
                  <c:v>594.84999999999957</c:v>
                </c:pt>
                <c:pt idx="243">
                  <c:v>589.09</c:v>
                </c:pt>
                <c:pt idx="244">
                  <c:v>594.45999999999958</c:v>
                </c:pt>
              </c:numCache>
            </c:numRef>
          </c:val>
          <c:extLst>
            <c:ext xmlns:c16="http://schemas.microsoft.com/office/drawing/2014/chart" uri="{C3380CC4-5D6E-409C-BE32-E72D297353CC}">
              <c16:uniqueId val="{00000000-6732-4605-A1A2-F5B3B3C324DA}"/>
            </c:ext>
          </c:extLst>
        </c:ser>
        <c:dLbls>
          <c:showLegendKey val="0"/>
          <c:showVal val="0"/>
          <c:showCatName val="0"/>
          <c:showSerName val="0"/>
          <c:showPercent val="0"/>
          <c:showBubbleSize val="0"/>
        </c:dLbls>
        <c:axId val="615752160"/>
        <c:axId val="615778272"/>
      </c:areaChart>
      <c:dateAx>
        <c:axId val="615752160"/>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mn-cs"/>
              </a:defRPr>
            </a:pPr>
            <a:endParaRPr lang="bg-BG"/>
          </a:p>
        </c:txPr>
        <c:crossAx val="615778272"/>
        <c:crosses val="autoZero"/>
        <c:auto val="1"/>
        <c:lblOffset val="100"/>
        <c:baseTimeUnit val="days"/>
      </c:dateAx>
      <c:valAx>
        <c:axId val="615778272"/>
        <c:scaling>
          <c:orientation val="minMax"/>
          <c:min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mn-cs"/>
              </a:defRPr>
            </a:pPr>
            <a:endParaRPr lang="bg-BG"/>
          </a:p>
        </c:txPr>
        <c:crossAx val="615752160"/>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Calibri" panose="020F0502020204030204" pitchFamily="34" charset="0"/>
        </a:defRPr>
      </a:pPr>
      <a:endParaRPr lang="bg-BG"/>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838419675347414E-2"/>
          <c:y val="3.1906407870247275E-2"/>
          <c:w val="0.90978187126087118"/>
          <c:h val="0.78378090933262379"/>
        </c:manualLayout>
      </c:layout>
      <c:areaChart>
        <c:grouping val="standard"/>
        <c:varyColors val="0"/>
        <c:ser>
          <c:idx val="0"/>
          <c:order val="0"/>
          <c:spPr>
            <a:pattFill prst="pct50">
              <a:fgClr>
                <a:schemeClr val="accent2">
                  <a:lumMod val="40000"/>
                  <a:lumOff val="60000"/>
                </a:schemeClr>
              </a:fgClr>
              <a:bgClr>
                <a:schemeClr val="bg1"/>
              </a:bgClr>
            </a:pattFill>
            <a:ln>
              <a:solidFill>
                <a:schemeClr val="accent2">
                  <a:lumMod val="60000"/>
                  <a:lumOff val="40000"/>
                </a:schemeClr>
              </a:solidFill>
            </a:ln>
            <a:effectLst/>
          </c:spPr>
          <c:cat>
            <c:numRef>
              <c:f>indices!$D$498:$D$743</c:f>
              <c:numCache>
                <c:formatCode>m/d/yyyy</c:formatCode>
                <c:ptCount val="246"/>
                <c:pt idx="0">
                  <c:v>43102</c:v>
                </c:pt>
                <c:pt idx="1">
                  <c:v>43103</c:v>
                </c:pt>
                <c:pt idx="2">
                  <c:v>43104</c:v>
                </c:pt>
                <c:pt idx="3">
                  <c:v>43105</c:v>
                </c:pt>
                <c:pt idx="4">
                  <c:v>43108</c:v>
                </c:pt>
                <c:pt idx="5">
                  <c:v>43109</c:v>
                </c:pt>
                <c:pt idx="6">
                  <c:v>43110</c:v>
                </c:pt>
                <c:pt idx="7">
                  <c:v>43111</c:v>
                </c:pt>
                <c:pt idx="8">
                  <c:v>43112</c:v>
                </c:pt>
                <c:pt idx="9">
                  <c:v>43115</c:v>
                </c:pt>
                <c:pt idx="10">
                  <c:v>43116</c:v>
                </c:pt>
                <c:pt idx="11">
                  <c:v>43117</c:v>
                </c:pt>
                <c:pt idx="12">
                  <c:v>43118</c:v>
                </c:pt>
                <c:pt idx="13">
                  <c:v>43119</c:v>
                </c:pt>
                <c:pt idx="14">
                  <c:v>43122</c:v>
                </c:pt>
                <c:pt idx="15">
                  <c:v>43123</c:v>
                </c:pt>
                <c:pt idx="16">
                  <c:v>43124</c:v>
                </c:pt>
                <c:pt idx="17">
                  <c:v>43125</c:v>
                </c:pt>
                <c:pt idx="18">
                  <c:v>43126</c:v>
                </c:pt>
                <c:pt idx="19">
                  <c:v>43129</c:v>
                </c:pt>
                <c:pt idx="20">
                  <c:v>43130</c:v>
                </c:pt>
                <c:pt idx="21">
                  <c:v>43131</c:v>
                </c:pt>
                <c:pt idx="22">
                  <c:v>43132</c:v>
                </c:pt>
                <c:pt idx="23">
                  <c:v>43133</c:v>
                </c:pt>
                <c:pt idx="24">
                  <c:v>43136</c:v>
                </c:pt>
                <c:pt idx="25">
                  <c:v>43137</c:v>
                </c:pt>
                <c:pt idx="26">
                  <c:v>43138</c:v>
                </c:pt>
                <c:pt idx="27">
                  <c:v>43139</c:v>
                </c:pt>
                <c:pt idx="28">
                  <c:v>43140</c:v>
                </c:pt>
                <c:pt idx="29">
                  <c:v>43143</c:v>
                </c:pt>
                <c:pt idx="30">
                  <c:v>43144</c:v>
                </c:pt>
                <c:pt idx="31">
                  <c:v>43145</c:v>
                </c:pt>
                <c:pt idx="32">
                  <c:v>43146</c:v>
                </c:pt>
                <c:pt idx="33">
                  <c:v>43147</c:v>
                </c:pt>
                <c:pt idx="34">
                  <c:v>43150</c:v>
                </c:pt>
                <c:pt idx="35">
                  <c:v>43151</c:v>
                </c:pt>
                <c:pt idx="36">
                  <c:v>43152</c:v>
                </c:pt>
                <c:pt idx="37">
                  <c:v>43153</c:v>
                </c:pt>
                <c:pt idx="38">
                  <c:v>43154</c:v>
                </c:pt>
                <c:pt idx="39">
                  <c:v>43157</c:v>
                </c:pt>
                <c:pt idx="40">
                  <c:v>43158</c:v>
                </c:pt>
                <c:pt idx="41">
                  <c:v>43159</c:v>
                </c:pt>
                <c:pt idx="42">
                  <c:v>43160</c:v>
                </c:pt>
                <c:pt idx="43">
                  <c:v>43161</c:v>
                </c:pt>
                <c:pt idx="44">
                  <c:v>43165.726064814779</c:v>
                </c:pt>
                <c:pt idx="45">
                  <c:v>43166</c:v>
                </c:pt>
                <c:pt idx="46">
                  <c:v>43167</c:v>
                </c:pt>
                <c:pt idx="47">
                  <c:v>43168</c:v>
                </c:pt>
                <c:pt idx="48">
                  <c:v>43171</c:v>
                </c:pt>
                <c:pt idx="49">
                  <c:v>43172</c:v>
                </c:pt>
                <c:pt idx="50">
                  <c:v>43173</c:v>
                </c:pt>
                <c:pt idx="51">
                  <c:v>43174</c:v>
                </c:pt>
                <c:pt idx="52">
                  <c:v>43175</c:v>
                </c:pt>
                <c:pt idx="53">
                  <c:v>43178</c:v>
                </c:pt>
                <c:pt idx="54">
                  <c:v>43179</c:v>
                </c:pt>
                <c:pt idx="55">
                  <c:v>43180</c:v>
                </c:pt>
                <c:pt idx="56">
                  <c:v>43181</c:v>
                </c:pt>
                <c:pt idx="57">
                  <c:v>43182</c:v>
                </c:pt>
                <c:pt idx="58">
                  <c:v>43185</c:v>
                </c:pt>
                <c:pt idx="59">
                  <c:v>43186</c:v>
                </c:pt>
                <c:pt idx="60">
                  <c:v>43187</c:v>
                </c:pt>
                <c:pt idx="61">
                  <c:v>43188</c:v>
                </c:pt>
                <c:pt idx="62">
                  <c:v>43193</c:v>
                </c:pt>
                <c:pt idx="63">
                  <c:v>43194</c:v>
                </c:pt>
                <c:pt idx="64">
                  <c:v>43195</c:v>
                </c:pt>
                <c:pt idx="65">
                  <c:v>43200</c:v>
                </c:pt>
                <c:pt idx="66">
                  <c:v>43201</c:v>
                </c:pt>
                <c:pt idx="67">
                  <c:v>43202</c:v>
                </c:pt>
                <c:pt idx="68">
                  <c:v>43203</c:v>
                </c:pt>
                <c:pt idx="69">
                  <c:v>43206</c:v>
                </c:pt>
                <c:pt idx="70">
                  <c:v>43207</c:v>
                </c:pt>
                <c:pt idx="71">
                  <c:v>43208</c:v>
                </c:pt>
                <c:pt idx="72">
                  <c:v>43209</c:v>
                </c:pt>
                <c:pt idx="73">
                  <c:v>43210</c:v>
                </c:pt>
                <c:pt idx="74">
                  <c:v>43213</c:v>
                </c:pt>
                <c:pt idx="75">
                  <c:v>43214</c:v>
                </c:pt>
                <c:pt idx="76">
                  <c:v>43215</c:v>
                </c:pt>
                <c:pt idx="77">
                  <c:v>43216</c:v>
                </c:pt>
                <c:pt idx="78">
                  <c:v>43217</c:v>
                </c:pt>
                <c:pt idx="79">
                  <c:v>43220</c:v>
                </c:pt>
                <c:pt idx="80">
                  <c:v>43222</c:v>
                </c:pt>
                <c:pt idx="81">
                  <c:v>43223</c:v>
                </c:pt>
                <c:pt idx="82">
                  <c:v>43224</c:v>
                </c:pt>
                <c:pt idx="83">
                  <c:v>43228</c:v>
                </c:pt>
                <c:pt idx="84">
                  <c:v>43229</c:v>
                </c:pt>
                <c:pt idx="85">
                  <c:v>43230</c:v>
                </c:pt>
                <c:pt idx="86">
                  <c:v>43231</c:v>
                </c:pt>
                <c:pt idx="87">
                  <c:v>43234</c:v>
                </c:pt>
                <c:pt idx="88">
                  <c:v>43235</c:v>
                </c:pt>
                <c:pt idx="89">
                  <c:v>43236</c:v>
                </c:pt>
                <c:pt idx="90">
                  <c:v>43237</c:v>
                </c:pt>
                <c:pt idx="91">
                  <c:v>43238</c:v>
                </c:pt>
                <c:pt idx="92">
                  <c:v>43241</c:v>
                </c:pt>
                <c:pt idx="93">
                  <c:v>43242</c:v>
                </c:pt>
                <c:pt idx="94">
                  <c:v>43243</c:v>
                </c:pt>
                <c:pt idx="95">
                  <c:v>43245</c:v>
                </c:pt>
                <c:pt idx="96">
                  <c:v>43248</c:v>
                </c:pt>
                <c:pt idx="97">
                  <c:v>43249</c:v>
                </c:pt>
                <c:pt idx="98">
                  <c:v>43250</c:v>
                </c:pt>
                <c:pt idx="99">
                  <c:v>43251</c:v>
                </c:pt>
                <c:pt idx="100">
                  <c:v>43252</c:v>
                </c:pt>
                <c:pt idx="101">
                  <c:v>43255</c:v>
                </c:pt>
                <c:pt idx="102">
                  <c:v>43256</c:v>
                </c:pt>
                <c:pt idx="103">
                  <c:v>43257</c:v>
                </c:pt>
                <c:pt idx="104">
                  <c:v>43258</c:v>
                </c:pt>
                <c:pt idx="105">
                  <c:v>43259</c:v>
                </c:pt>
                <c:pt idx="106">
                  <c:v>43262</c:v>
                </c:pt>
                <c:pt idx="107">
                  <c:v>43263</c:v>
                </c:pt>
                <c:pt idx="108">
                  <c:v>43264</c:v>
                </c:pt>
                <c:pt idx="109">
                  <c:v>43265</c:v>
                </c:pt>
                <c:pt idx="110">
                  <c:v>43266</c:v>
                </c:pt>
                <c:pt idx="111">
                  <c:v>43269</c:v>
                </c:pt>
                <c:pt idx="112">
                  <c:v>43270</c:v>
                </c:pt>
                <c:pt idx="113">
                  <c:v>43271</c:v>
                </c:pt>
                <c:pt idx="114">
                  <c:v>43272</c:v>
                </c:pt>
                <c:pt idx="115">
                  <c:v>43273</c:v>
                </c:pt>
                <c:pt idx="116">
                  <c:v>43276</c:v>
                </c:pt>
                <c:pt idx="117">
                  <c:v>43277</c:v>
                </c:pt>
                <c:pt idx="118">
                  <c:v>43278</c:v>
                </c:pt>
                <c:pt idx="119">
                  <c:v>43279</c:v>
                </c:pt>
                <c:pt idx="120">
                  <c:v>43280</c:v>
                </c:pt>
                <c:pt idx="121">
                  <c:v>43283</c:v>
                </c:pt>
                <c:pt idx="122">
                  <c:v>43284</c:v>
                </c:pt>
                <c:pt idx="123">
                  <c:v>43285</c:v>
                </c:pt>
                <c:pt idx="124">
                  <c:v>43286</c:v>
                </c:pt>
                <c:pt idx="125">
                  <c:v>43287</c:v>
                </c:pt>
                <c:pt idx="126">
                  <c:v>43290</c:v>
                </c:pt>
                <c:pt idx="127">
                  <c:v>43291</c:v>
                </c:pt>
                <c:pt idx="128">
                  <c:v>43292</c:v>
                </c:pt>
                <c:pt idx="129">
                  <c:v>43293</c:v>
                </c:pt>
                <c:pt idx="130">
                  <c:v>43294</c:v>
                </c:pt>
                <c:pt idx="131">
                  <c:v>43297</c:v>
                </c:pt>
                <c:pt idx="132">
                  <c:v>43298</c:v>
                </c:pt>
                <c:pt idx="133">
                  <c:v>43299</c:v>
                </c:pt>
                <c:pt idx="134">
                  <c:v>43300</c:v>
                </c:pt>
                <c:pt idx="135">
                  <c:v>43301</c:v>
                </c:pt>
                <c:pt idx="136">
                  <c:v>43304</c:v>
                </c:pt>
                <c:pt idx="137">
                  <c:v>43305</c:v>
                </c:pt>
                <c:pt idx="138">
                  <c:v>43306</c:v>
                </c:pt>
                <c:pt idx="139">
                  <c:v>43307</c:v>
                </c:pt>
                <c:pt idx="140">
                  <c:v>43308</c:v>
                </c:pt>
                <c:pt idx="141">
                  <c:v>43311</c:v>
                </c:pt>
                <c:pt idx="142">
                  <c:v>43312</c:v>
                </c:pt>
                <c:pt idx="143">
                  <c:v>43313</c:v>
                </c:pt>
                <c:pt idx="144">
                  <c:v>43314</c:v>
                </c:pt>
                <c:pt idx="145">
                  <c:v>43315</c:v>
                </c:pt>
                <c:pt idx="146">
                  <c:v>43318</c:v>
                </c:pt>
                <c:pt idx="147">
                  <c:v>43319</c:v>
                </c:pt>
                <c:pt idx="148">
                  <c:v>43320</c:v>
                </c:pt>
                <c:pt idx="149">
                  <c:v>43321</c:v>
                </c:pt>
                <c:pt idx="150">
                  <c:v>43322</c:v>
                </c:pt>
                <c:pt idx="151">
                  <c:v>43325</c:v>
                </c:pt>
                <c:pt idx="152">
                  <c:v>43326</c:v>
                </c:pt>
                <c:pt idx="153">
                  <c:v>43327</c:v>
                </c:pt>
                <c:pt idx="154">
                  <c:v>43328</c:v>
                </c:pt>
                <c:pt idx="155">
                  <c:v>43329</c:v>
                </c:pt>
                <c:pt idx="156">
                  <c:v>43332</c:v>
                </c:pt>
                <c:pt idx="157">
                  <c:v>43333</c:v>
                </c:pt>
                <c:pt idx="158">
                  <c:v>43334</c:v>
                </c:pt>
                <c:pt idx="159">
                  <c:v>43335</c:v>
                </c:pt>
                <c:pt idx="160">
                  <c:v>43336</c:v>
                </c:pt>
                <c:pt idx="161">
                  <c:v>43339</c:v>
                </c:pt>
                <c:pt idx="162">
                  <c:v>43340</c:v>
                </c:pt>
                <c:pt idx="163">
                  <c:v>43341</c:v>
                </c:pt>
                <c:pt idx="164">
                  <c:v>43342</c:v>
                </c:pt>
                <c:pt idx="165">
                  <c:v>43343</c:v>
                </c:pt>
                <c:pt idx="166">
                  <c:v>43346</c:v>
                </c:pt>
                <c:pt idx="167">
                  <c:v>43347</c:v>
                </c:pt>
                <c:pt idx="168">
                  <c:v>43348</c:v>
                </c:pt>
                <c:pt idx="169">
                  <c:v>43350</c:v>
                </c:pt>
                <c:pt idx="170">
                  <c:v>43353</c:v>
                </c:pt>
                <c:pt idx="171">
                  <c:v>43354</c:v>
                </c:pt>
                <c:pt idx="172">
                  <c:v>43355</c:v>
                </c:pt>
                <c:pt idx="173">
                  <c:v>43356</c:v>
                </c:pt>
                <c:pt idx="174">
                  <c:v>43357</c:v>
                </c:pt>
                <c:pt idx="175">
                  <c:v>43360</c:v>
                </c:pt>
                <c:pt idx="176">
                  <c:v>43361</c:v>
                </c:pt>
                <c:pt idx="177">
                  <c:v>43362</c:v>
                </c:pt>
                <c:pt idx="178">
                  <c:v>43363</c:v>
                </c:pt>
                <c:pt idx="179">
                  <c:v>43364</c:v>
                </c:pt>
                <c:pt idx="180">
                  <c:v>43368</c:v>
                </c:pt>
                <c:pt idx="181">
                  <c:v>43369</c:v>
                </c:pt>
                <c:pt idx="182">
                  <c:v>43370</c:v>
                </c:pt>
                <c:pt idx="183">
                  <c:v>43371</c:v>
                </c:pt>
                <c:pt idx="184">
                  <c:v>43374</c:v>
                </c:pt>
                <c:pt idx="185">
                  <c:v>43375</c:v>
                </c:pt>
                <c:pt idx="186">
                  <c:v>43376</c:v>
                </c:pt>
                <c:pt idx="187">
                  <c:v>43377</c:v>
                </c:pt>
                <c:pt idx="188">
                  <c:v>43378</c:v>
                </c:pt>
                <c:pt idx="189">
                  <c:v>43381</c:v>
                </c:pt>
                <c:pt idx="190">
                  <c:v>43382</c:v>
                </c:pt>
                <c:pt idx="191">
                  <c:v>43383</c:v>
                </c:pt>
                <c:pt idx="192">
                  <c:v>43384</c:v>
                </c:pt>
                <c:pt idx="193">
                  <c:v>43385</c:v>
                </c:pt>
                <c:pt idx="194">
                  <c:v>43388</c:v>
                </c:pt>
                <c:pt idx="195">
                  <c:v>43389</c:v>
                </c:pt>
                <c:pt idx="196">
                  <c:v>43390</c:v>
                </c:pt>
                <c:pt idx="197">
                  <c:v>43391</c:v>
                </c:pt>
                <c:pt idx="198">
                  <c:v>43392</c:v>
                </c:pt>
                <c:pt idx="199">
                  <c:v>43395</c:v>
                </c:pt>
                <c:pt idx="200">
                  <c:v>43396</c:v>
                </c:pt>
                <c:pt idx="201">
                  <c:v>43397</c:v>
                </c:pt>
                <c:pt idx="202">
                  <c:v>43398</c:v>
                </c:pt>
                <c:pt idx="203">
                  <c:v>43399</c:v>
                </c:pt>
                <c:pt idx="204">
                  <c:v>43402</c:v>
                </c:pt>
                <c:pt idx="205">
                  <c:v>43403</c:v>
                </c:pt>
                <c:pt idx="206">
                  <c:v>43404</c:v>
                </c:pt>
                <c:pt idx="207">
                  <c:v>43405</c:v>
                </c:pt>
                <c:pt idx="208">
                  <c:v>43406</c:v>
                </c:pt>
                <c:pt idx="209">
                  <c:v>43409</c:v>
                </c:pt>
                <c:pt idx="210">
                  <c:v>43410</c:v>
                </c:pt>
                <c:pt idx="211">
                  <c:v>43411</c:v>
                </c:pt>
                <c:pt idx="212">
                  <c:v>43412</c:v>
                </c:pt>
                <c:pt idx="213">
                  <c:v>43413</c:v>
                </c:pt>
                <c:pt idx="214">
                  <c:v>43416</c:v>
                </c:pt>
                <c:pt idx="215">
                  <c:v>43417</c:v>
                </c:pt>
                <c:pt idx="216">
                  <c:v>43418</c:v>
                </c:pt>
                <c:pt idx="217">
                  <c:v>43419</c:v>
                </c:pt>
                <c:pt idx="218">
                  <c:v>43420</c:v>
                </c:pt>
                <c:pt idx="219">
                  <c:v>43423</c:v>
                </c:pt>
                <c:pt idx="220">
                  <c:v>43424</c:v>
                </c:pt>
                <c:pt idx="221">
                  <c:v>43425</c:v>
                </c:pt>
                <c:pt idx="222">
                  <c:v>43426</c:v>
                </c:pt>
                <c:pt idx="223">
                  <c:v>43427</c:v>
                </c:pt>
                <c:pt idx="224">
                  <c:v>43430</c:v>
                </c:pt>
                <c:pt idx="225">
                  <c:v>43431</c:v>
                </c:pt>
                <c:pt idx="226">
                  <c:v>43432</c:v>
                </c:pt>
                <c:pt idx="227">
                  <c:v>43433</c:v>
                </c:pt>
                <c:pt idx="228">
                  <c:v>43434</c:v>
                </c:pt>
                <c:pt idx="229">
                  <c:v>43437</c:v>
                </c:pt>
                <c:pt idx="230">
                  <c:v>43438</c:v>
                </c:pt>
                <c:pt idx="231">
                  <c:v>43439</c:v>
                </c:pt>
                <c:pt idx="232">
                  <c:v>43440</c:v>
                </c:pt>
                <c:pt idx="233">
                  <c:v>43441</c:v>
                </c:pt>
                <c:pt idx="234">
                  <c:v>43444</c:v>
                </c:pt>
                <c:pt idx="235">
                  <c:v>43445</c:v>
                </c:pt>
                <c:pt idx="236">
                  <c:v>43446</c:v>
                </c:pt>
                <c:pt idx="237">
                  <c:v>43447</c:v>
                </c:pt>
                <c:pt idx="238">
                  <c:v>43448</c:v>
                </c:pt>
                <c:pt idx="239">
                  <c:v>43451</c:v>
                </c:pt>
                <c:pt idx="240">
                  <c:v>43452</c:v>
                </c:pt>
                <c:pt idx="241">
                  <c:v>43453</c:v>
                </c:pt>
                <c:pt idx="242">
                  <c:v>43454</c:v>
                </c:pt>
                <c:pt idx="243">
                  <c:v>43455</c:v>
                </c:pt>
                <c:pt idx="244">
                  <c:v>43461</c:v>
                </c:pt>
                <c:pt idx="245">
                  <c:v>43462</c:v>
                </c:pt>
              </c:numCache>
            </c:numRef>
          </c:cat>
          <c:val>
            <c:numRef>
              <c:f>indices!$E$498:$E$743</c:f>
              <c:numCache>
                <c:formatCode>General</c:formatCode>
                <c:ptCount val="246"/>
                <c:pt idx="0">
                  <c:v>560.27000000000044</c:v>
                </c:pt>
                <c:pt idx="1">
                  <c:v>559.79000000000042</c:v>
                </c:pt>
                <c:pt idx="2">
                  <c:v>564.4</c:v>
                </c:pt>
                <c:pt idx="3">
                  <c:v>566.94999999999959</c:v>
                </c:pt>
                <c:pt idx="4">
                  <c:v>564.55999999999949</c:v>
                </c:pt>
                <c:pt idx="5">
                  <c:v>564.35999999999956</c:v>
                </c:pt>
                <c:pt idx="6">
                  <c:v>568.66999999999996</c:v>
                </c:pt>
                <c:pt idx="7">
                  <c:v>570.94999999999959</c:v>
                </c:pt>
                <c:pt idx="8">
                  <c:v>574.78000000000043</c:v>
                </c:pt>
                <c:pt idx="9">
                  <c:v>574.4399999999996</c:v>
                </c:pt>
                <c:pt idx="10">
                  <c:v>575.59</c:v>
                </c:pt>
                <c:pt idx="11">
                  <c:v>573.0499999999995</c:v>
                </c:pt>
                <c:pt idx="12">
                  <c:v>573.49</c:v>
                </c:pt>
                <c:pt idx="13">
                  <c:v>573.64</c:v>
                </c:pt>
                <c:pt idx="14">
                  <c:v>569.48</c:v>
                </c:pt>
                <c:pt idx="15">
                  <c:v>570.89</c:v>
                </c:pt>
                <c:pt idx="16">
                  <c:v>568.47</c:v>
                </c:pt>
                <c:pt idx="17">
                  <c:v>568.09</c:v>
                </c:pt>
                <c:pt idx="18">
                  <c:v>567.66999999999996</c:v>
                </c:pt>
                <c:pt idx="19">
                  <c:v>565.94999999999959</c:v>
                </c:pt>
                <c:pt idx="20">
                  <c:v>568.6</c:v>
                </c:pt>
                <c:pt idx="21">
                  <c:v>571.59</c:v>
                </c:pt>
                <c:pt idx="22">
                  <c:v>570.07000000000005</c:v>
                </c:pt>
                <c:pt idx="23">
                  <c:v>572.52</c:v>
                </c:pt>
                <c:pt idx="24">
                  <c:v>569.59</c:v>
                </c:pt>
                <c:pt idx="25">
                  <c:v>559.4</c:v>
                </c:pt>
                <c:pt idx="26">
                  <c:v>564.0499999999995</c:v>
                </c:pt>
                <c:pt idx="27">
                  <c:v>561.55999999999949</c:v>
                </c:pt>
                <c:pt idx="28">
                  <c:v>559.26</c:v>
                </c:pt>
                <c:pt idx="29">
                  <c:v>561.55999999999949</c:v>
                </c:pt>
                <c:pt idx="30">
                  <c:v>561.99</c:v>
                </c:pt>
                <c:pt idx="31">
                  <c:v>560.9299999999995</c:v>
                </c:pt>
                <c:pt idx="32">
                  <c:v>559.80999999999949</c:v>
                </c:pt>
                <c:pt idx="33">
                  <c:v>559.39</c:v>
                </c:pt>
                <c:pt idx="34">
                  <c:v>556.15</c:v>
                </c:pt>
                <c:pt idx="35">
                  <c:v>556.45999999999958</c:v>
                </c:pt>
                <c:pt idx="36">
                  <c:v>554.79000000000042</c:v>
                </c:pt>
                <c:pt idx="37">
                  <c:v>557.32999999999959</c:v>
                </c:pt>
                <c:pt idx="38">
                  <c:v>557.91999999999996</c:v>
                </c:pt>
                <c:pt idx="39">
                  <c:v>557.0499999999995</c:v>
                </c:pt>
                <c:pt idx="40">
                  <c:v>559.57000000000005</c:v>
                </c:pt>
                <c:pt idx="41">
                  <c:v>557.97</c:v>
                </c:pt>
                <c:pt idx="42">
                  <c:v>556.91</c:v>
                </c:pt>
                <c:pt idx="43">
                  <c:v>554.29000000000042</c:v>
                </c:pt>
                <c:pt idx="44">
                  <c:v>553.48</c:v>
                </c:pt>
                <c:pt idx="45">
                  <c:v>556.41999999999996</c:v>
                </c:pt>
                <c:pt idx="46">
                  <c:v>553.25</c:v>
                </c:pt>
                <c:pt idx="47">
                  <c:v>553.85999999999956</c:v>
                </c:pt>
                <c:pt idx="48">
                  <c:v>551.16999999999996</c:v>
                </c:pt>
                <c:pt idx="49">
                  <c:v>550.27000000000044</c:v>
                </c:pt>
                <c:pt idx="50">
                  <c:v>547.29999999999995</c:v>
                </c:pt>
                <c:pt idx="51">
                  <c:v>548.69000000000005</c:v>
                </c:pt>
                <c:pt idx="52">
                  <c:v>550.29000000000042</c:v>
                </c:pt>
                <c:pt idx="53">
                  <c:v>548.69000000000005</c:v>
                </c:pt>
                <c:pt idx="54">
                  <c:v>541.07000000000005</c:v>
                </c:pt>
                <c:pt idx="55">
                  <c:v>544.48</c:v>
                </c:pt>
                <c:pt idx="56">
                  <c:v>543.5</c:v>
                </c:pt>
                <c:pt idx="57">
                  <c:v>542.4399999999996</c:v>
                </c:pt>
                <c:pt idx="58">
                  <c:v>538.8199999999996</c:v>
                </c:pt>
                <c:pt idx="59">
                  <c:v>538.08000000000004</c:v>
                </c:pt>
                <c:pt idx="60">
                  <c:v>537.33999999999958</c:v>
                </c:pt>
                <c:pt idx="61">
                  <c:v>536.29000000000042</c:v>
                </c:pt>
                <c:pt idx="62">
                  <c:v>538.41</c:v>
                </c:pt>
                <c:pt idx="63">
                  <c:v>537.82999999999959</c:v>
                </c:pt>
                <c:pt idx="64">
                  <c:v>540.94999999999959</c:v>
                </c:pt>
                <c:pt idx="65">
                  <c:v>542.16999999999996</c:v>
                </c:pt>
                <c:pt idx="66">
                  <c:v>540.1</c:v>
                </c:pt>
                <c:pt idx="67">
                  <c:v>542.25</c:v>
                </c:pt>
                <c:pt idx="68">
                  <c:v>543.41</c:v>
                </c:pt>
                <c:pt idx="69">
                  <c:v>541.72</c:v>
                </c:pt>
                <c:pt idx="70">
                  <c:v>542.79000000000042</c:v>
                </c:pt>
                <c:pt idx="71">
                  <c:v>543.33999999999958</c:v>
                </c:pt>
                <c:pt idx="72">
                  <c:v>543.66</c:v>
                </c:pt>
                <c:pt idx="73">
                  <c:v>540.6</c:v>
                </c:pt>
                <c:pt idx="74">
                  <c:v>542.82999999999959</c:v>
                </c:pt>
                <c:pt idx="75">
                  <c:v>541.79999999999995</c:v>
                </c:pt>
                <c:pt idx="76">
                  <c:v>542.44999999999959</c:v>
                </c:pt>
                <c:pt idx="77">
                  <c:v>541.58000000000004</c:v>
                </c:pt>
                <c:pt idx="78">
                  <c:v>541.70000000000005</c:v>
                </c:pt>
                <c:pt idx="79">
                  <c:v>540.34999999999957</c:v>
                </c:pt>
                <c:pt idx="80">
                  <c:v>539.72</c:v>
                </c:pt>
                <c:pt idx="81">
                  <c:v>540.37</c:v>
                </c:pt>
                <c:pt idx="82">
                  <c:v>538.44999999999959</c:v>
                </c:pt>
                <c:pt idx="83">
                  <c:v>538.91</c:v>
                </c:pt>
                <c:pt idx="84">
                  <c:v>537.16</c:v>
                </c:pt>
                <c:pt idx="85">
                  <c:v>536.8199999999996</c:v>
                </c:pt>
                <c:pt idx="86">
                  <c:v>535.34999999999957</c:v>
                </c:pt>
                <c:pt idx="87">
                  <c:v>534.77000000000044</c:v>
                </c:pt>
                <c:pt idx="88">
                  <c:v>533.64</c:v>
                </c:pt>
                <c:pt idx="89">
                  <c:v>532.53</c:v>
                </c:pt>
                <c:pt idx="90">
                  <c:v>535.78000000000043</c:v>
                </c:pt>
                <c:pt idx="91">
                  <c:v>536.91999999999996</c:v>
                </c:pt>
                <c:pt idx="92">
                  <c:v>534.91999999999996</c:v>
                </c:pt>
                <c:pt idx="93">
                  <c:v>532.4</c:v>
                </c:pt>
                <c:pt idx="94">
                  <c:v>532.08000000000004</c:v>
                </c:pt>
                <c:pt idx="95">
                  <c:v>531.11</c:v>
                </c:pt>
                <c:pt idx="96">
                  <c:v>529.95999999999958</c:v>
                </c:pt>
                <c:pt idx="97">
                  <c:v>529.87</c:v>
                </c:pt>
                <c:pt idx="98">
                  <c:v>527.22</c:v>
                </c:pt>
                <c:pt idx="99">
                  <c:v>528.29999999999995</c:v>
                </c:pt>
                <c:pt idx="100">
                  <c:v>527.12</c:v>
                </c:pt>
                <c:pt idx="101">
                  <c:v>525.65</c:v>
                </c:pt>
                <c:pt idx="102">
                  <c:v>523.61</c:v>
                </c:pt>
                <c:pt idx="103">
                  <c:v>523.69000000000005</c:v>
                </c:pt>
                <c:pt idx="104">
                  <c:v>520.4399999999996</c:v>
                </c:pt>
                <c:pt idx="105">
                  <c:v>522.34999999999957</c:v>
                </c:pt>
                <c:pt idx="106">
                  <c:v>522.11</c:v>
                </c:pt>
                <c:pt idx="107">
                  <c:v>522.91999999999996</c:v>
                </c:pt>
                <c:pt idx="108">
                  <c:v>524.35999999999956</c:v>
                </c:pt>
                <c:pt idx="109">
                  <c:v>525.11</c:v>
                </c:pt>
                <c:pt idx="110">
                  <c:v>520.14</c:v>
                </c:pt>
                <c:pt idx="111">
                  <c:v>522.05999999999949</c:v>
                </c:pt>
                <c:pt idx="112">
                  <c:v>520.99</c:v>
                </c:pt>
                <c:pt idx="113">
                  <c:v>520.89</c:v>
                </c:pt>
                <c:pt idx="114">
                  <c:v>521.77000000000044</c:v>
                </c:pt>
                <c:pt idx="115">
                  <c:v>521.38</c:v>
                </c:pt>
                <c:pt idx="116">
                  <c:v>522.45999999999958</c:v>
                </c:pt>
                <c:pt idx="117">
                  <c:v>522.22</c:v>
                </c:pt>
                <c:pt idx="118">
                  <c:v>523.53</c:v>
                </c:pt>
                <c:pt idx="119">
                  <c:v>523.14</c:v>
                </c:pt>
                <c:pt idx="120">
                  <c:v>525.39</c:v>
                </c:pt>
                <c:pt idx="121">
                  <c:v>522.0499999999995</c:v>
                </c:pt>
                <c:pt idx="122">
                  <c:v>522.24</c:v>
                </c:pt>
                <c:pt idx="123">
                  <c:v>522.64</c:v>
                </c:pt>
                <c:pt idx="124">
                  <c:v>522.16999999999996</c:v>
                </c:pt>
                <c:pt idx="125">
                  <c:v>523.84999999999957</c:v>
                </c:pt>
                <c:pt idx="126">
                  <c:v>523.80999999999949</c:v>
                </c:pt>
                <c:pt idx="127">
                  <c:v>524.8199999999996</c:v>
                </c:pt>
                <c:pt idx="128">
                  <c:v>524.34999999999957</c:v>
                </c:pt>
                <c:pt idx="129">
                  <c:v>522.13</c:v>
                </c:pt>
                <c:pt idx="130">
                  <c:v>523.27000000000044</c:v>
                </c:pt>
                <c:pt idx="131">
                  <c:v>522.48</c:v>
                </c:pt>
                <c:pt idx="132">
                  <c:v>522.59</c:v>
                </c:pt>
                <c:pt idx="133">
                  <c:v>525.41999999999996</c:v>
                </c:pt>
                <c:pt idx="134">
                  <c:v>524.15</c:v>
                </c:pt>
                <c:pt idx="135">
                  <c:v>525.22</c:v>
                </c:pt>
                <c:pt idx="136">
                  <c:v>526.11</c:v>
                </c:pt>
                <c:pt idx="137">
                  <c:v>528.29999999999995</c:v>
                </c:pt>
                <c:pt idx="138">
                  <c:v>526.75</c:v>
                </c:pt>
                <c:pt idx="139">
                  <c:v>525.91999999999996</c:v>
                </c:pt>
                <c:pt idx="140">
                  <c:v>523.55999999999949</c:v>
                </c:pt>
                <c:pt idx="141">
                  <c:v>522.69000000000005</c:v>
                </c:pt>
                <c:pt idx="142">
                  <c:v>525.48</c:v>
                </c:pt>
                <c:pt idx="143">
                  <c:v>526.35999999999956</c:v>
                </c:pt>
                <c:pt idx="144">
                  <c:v>528.71</c:v>
                </c:pt>
                <c:pt idx="145">
                  <c:v>531.74</c:v>
                </c:pt>
                <c:pt idx="146">
                  <c:v>528.62</c:v>
                </c:pt>
                <c:pt idx="147">
                  <c:v>531.48</c:v>
                </c:pt>
                <c:pt idx="148">
                  <c:v>529.94999999999959</c:v>
                </c:pt>
                <c:pt idx="149">
                  <c:v>531.38</c:v>
                </c:pt>
                <c:pt idx="150">
                  <c:v>528.77000000000044</c:v>
                </c:pt>
                <c:pt idx="151">
                  <c:v>527.44999999999959</c:v>
                </c:pt>
                <c:pt idx="152">
                  <c:v>525.14</c:v>
                </c:pt>
                <c:pt idx="153">
                  <c:v>524.29999999999995</c:v>
                </c:pt>
                <c:pt idx="154">
                  <c:v>525.9399999999996</c:v>
                </c:pt>
                <c:pt idx="155">
                  <c:v>525.45999999999958</c:v>
                </c:pt>
                <c:pt idx="156">
                  <c:v>526.14</c:v>
                </c:pt>
                <c:pt idx="157">
                  <c:v>525.69000000000005</c:v>
                </c:pt>
                <c:pt idx="158">
                  <c:v>524.34999999999957</c:v>
                </c:pt>
                <c:pt idx="159">
                  <c:v>525.67999999999995</c:v>
                </c:pt>
                <c:pt idx="160">
                  <c:v>525.98</c:v>
                </c:pt>
                <c:pt idx="161">
                  <c:v>525.19000000000005</c:v>
                </c:pt>
                <c:pt idx="162">
                  <c:v>522</c:v>
                </c:pt>
                <c:pt idx="163">
                  <c:v>520.19000000000005</c:v>
                </c:pt>
                <c:pt idx="164">
                  <c:v>523.05999999999949</c:v>
                </c:pt>
                <c:pt idx="165">
                  <c:v>521.61</c:v>
                </c:pt>
                <c:pt idx="166">
                  <c:v>519.51</c:v>
                </c:pt>
                <c:pt idx="167">
                  <c:v>520.99</c:v>
                </c:pt>
                <c:pt idx="168">
                  <c:v>518.97</c:v>
                </c:pt>
                <c:pt idx="169">
                  <c:v>518.03</c:v>
                </c:pt>
                <c:pt idx="170">
                  <c:v>518.48</c:v>
                </c:pt>
                <c:pt idx="171">
                  <c:v>520.5</c:v>
                </c:pt>
                <c:pt idx="172">
                  <c:v>520.58000000000004</c:v>
                </c:pt>
                <c:pt idx="173">
                  <c:v>520.91</c:v>
                </c:pt>
                <c:pt idx="174">
                  <c:v>520.53</c:v>
                </c:pt>
                <c:pt idx="175">
                  <c:v>520.8199999999996</c:v>
                </c:pt>
                <c:pt idx="176">
                  <c:v>520.66</c:v>
                </c:pt>
                <c:pt idx="177">
                  <c:v>519.77000000000044</c:v>
                </c:pt>
                <c:pt idx="178">
                  <c:v>520.34999999999957</c:v>
                </c:pt>
                <c:pt idx="179">
                  <c:v>519.16999999999996</c:v>
                </c:pt>
                <c:pt idx="180">
                  <c:v>520.45999999999958</c:v>
                </c:pt>
                <c:pt idx="181">
                  <c:v>520.5</c:v>
                </c:pt>
                <c:pt idx="182">
                  <c:v>521.32999999999959</c:v>
                </c:pt>
                <c:pt idx="183">
                  <c:v>520.33999999999958</c:v>
                </c:pt>
                <c:pt idx="184">
                  <c:v>522.53</c:v>
                </c:pt>
                <c:pt idx="185">
                  <c:v>522.89</c:v>
                </c:pt>
                <c:pt idx="186">
                  <c:v>518.91999999999996</c:v>
                </c:pt>
                <c:pt idx="187">
                  <c:v>518.02</c:v>
                </c:pt>
                <c:pt idx="188">
                  <c:v>516.58000000000004</c:v>
                </c:pt>
                <c:pt idx="189">
                  <c:v>515.53</c:v>
                </c:pt>
                <c:pt idx="190">
                  <c:v>514.38</c:v>
                </c:pt>
                <c:pt idx="191">
                  <c:v>515.41999999999996</c:v>
                </c:pt>
                <c:pt idx="192">
                  <c:v>507.91999999999979</c:v>
                </c:pt>
                <c:pt idx="193">
                  <c:v>506.91999999999979</c:v>
                </c:pt>
                <c:pt idx="194">
                  <c:v>508.11</c:v>
                </c:pt>
                <c:pt idx="195">
                  <c:v>507.69</c:v>
                </c:pt>
                <c:pt idx="196">
                  <c:v>508.21</c:v>
                </c:pt>
                <c:pt idx="197">
                  <c:v>507.7199999999998</c:v>
                </c:pt>
                <c:pt idx="198">
                  <c:v>507.44</c:v>
                </c:pt>
                <c:pt idx="199">
                  <c:v>505.78</c:v>
                </c:pt>
                <c:pt idx="200">
                  <c:v>500.63</c:v>
                </c:pt>
                <c:pt idx="201">
                  <c:v>502.54</c:v>
                </c:pt>
                <c:pt idx="202">
                  <c:v>498.11</c:v>
                </c:pt>
                <c:pt idx="203">
                  <c:v>499.03</c:v>
                </c:pt>
                <c:pt idx="204">
                  <c:v>501.21</c:v>
                </c:pt>
                <c:pt idx="205">
                  <c:v>499.4099999999998</c:v>
                </c:pt>
                <c:pt idx="206">
                  <c:v>499.33</c:v>
                </c:pt>
                <c:pt idx="207">
                  <c:v>498.74</c:v>
                </c:pt>
                <c:pt idx="208">
                  <c:v>497.56</c:v>
                </c:pt>
                <c:pt idx="209">
                  <c:v>496.96</c:v>
                </c:pt>
                <c:pt idx="210">
                  <c:v>495.9</c:v>
                </c:pt>
                <c:pt idx="211">
                  <c:v>494.89</c:v>
                </c:pt>
                <c:pt idx="212">
                  <c:v>496.44</c:v>
                </c:pt>
                <c:pt idx="213">
                  <c:v>498.97999999999979</c:v>
                </c:pt>
                <c:pt idx="214">
                  <c:v>498.57</c:v>
                </c:pt>
                <c:pt idx="215">
                  <c:v>496.19</c:v>
                </c:pt>
                <c:pt idx="216">
                  <c:v>497.26</c:v>
                </c:pt>
                <c:pt idx="217">
                  <c:v>498.48999999999978</c:v>
                </c:pt>
                <c:pt idx="218">
                  <c:v>497.41999999999979</c:v>
                </c:pt>
                <c:pt idx="219">
                  <c:v>494.92999999999978</c:v>
                </c:pt>
                <c:pt idx="220">
                  <c:v>487.76</c:v>
                </c:pt>
                <c:pt idx="221">
                  <c:v>489.5</c:v>
                </c:pt>
                <c:pt idx="222">
                  <c:v>488.2199999999998</c:v>
                </c:pt>
                <c:pt idx="223">
                  <c:v>488.74</c:v>
                </c:pt>
                <c:pt idx="224">
                  <c:v>486.55</c:v>
                </c:pt>
                <c:pt idx="225">
                  <c:v>483.2199999999998</c:v>
                </c:pt>
                <c:pt idx="226">
                  <c:v>486.03</c:v>
                </c:pt>
                <c:pt idx="227">
                  <c:v>490.36</c:v>
                </c:pt>
                <c:pt idx="228">
                  <c:v>489.6</c:v>
                </c:pt>
                <c:pt idx="229">
                  <c:v>495.2199999999998</c:v>
                </c:pt>
                <c:pt idx="230">
                  <c:v>496.26</c:v>
                </c:pt>
                <c:pt idx="231">
                  <c:v>494.09</c:v>
                </c:pt>
                <c:pt idx="232">
                  <c:v>491.72999999999979</c:v>
                </c:pt>
                <c:pt idx="233">
                  <c:v>493.6500000000002</c:v>
                </c:pt>
                <c:pt idx="234">
                  <c:v>490.8400000000002</c:v>
                </c:pt>
                <c:pt idx="235">
                  <c:v>491.3400000000002</c:v>
                </c:pt>
                <c:pt idx="236">
                  <c:v>490.12</c:v>
                </c:pt>
                <c:pt idx="237">
                  <c:v>490</c:v>
                </c:pt>
                <c:pt idx="238">
                  <c:v>494.59</c:v>
                </c:pt>
                <c:pt idx="239">
                  <c:v>495.06</c:v>
                </c:pt>
                <c:pt idx="240">
                  <c:v>496.22999999999979</c:v>
                </c:pt>
                <c:pt idx="241">
                  <c:v>492.76</c:v>
                </c:pt>
                <c:pt idx="242">
                  <c:v>493.02</c:v>
                </c:pt>
                <c:pt idx="243">
                  <c:v>494.09</c:v>
                </c:pt>
                <c:pt idx="244">
                  <c:v>493.88</c:v>
                </c:pt>
                <c:pt idx="245">
                  <c:v>496.14000000000021</c:v>
                </c:pt>
              </c:numCache>
            </c:numRef>
          </c:val>
          <c:extLst>
            <c:ext xmlns:c16="http://schemas.microsoft.com/office/drawing/2014/chart" uri="{C3380CC4-5D6E-409C-BE32-E72D297353CC}">
              <c16:uniqueId val="{00000000-94F2-4B30-9567-717C005098B6}"/>
            </c:ext>
          </c:extLst>
        </c:ser>
        <c:dLbls>
          <c:showLegendKey val="0"/>
          <c:showVal val="0"/>
          <c:showCatName val="0"/>
          <c:showSerName val="0"/>
          <c:showPercent val="0"/>
          <c:showBubbleSize val="0"/>
        </c:dLbls>
        <c:axId val="615794592"/>
        <c:axId val="411835536"/>
      </c:areaChart>
      <c:dateAx>
        <c:axId val="61579459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mn-cs"/>
              </a:defRPr>
            </a:pPr>
            <a:endParaRPr lang="bg-BG"/>
          </a:p>
        </c:txPr>
        <c:crossAx val="411835536"/>
        <c:crosses val="autoZero"/>
        <c:auto val="1"/>
        <c:lblOffset val="100"/>
        <c:baseTimeUnit val="days"/>
      </c:dateAx>
      <c:valAx>
        <c:axId val="41183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mn-cs"/>
              </a:defRPr>
            </a:pPr>
            <a:endParaRPr lang="bg-BG"/>
          </a:p>
        </c:txPr>
        <c:crossAx val="615794592"/>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Calibri" panose="020F0502020204030204" pitchFamily="34" charset="0"/>
        </a:defRPr>
      </a:pPr>
      <a:endParaRPr lang="bg-BG"/>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128114814663724E-2"/>
          <c:y val="1.8518518518518531E-2"/>
          <c:w val="0.91484367562862978"/>
          <c:h val="0.80163422968355424"/>
        </c:manualLayout>
      </c:layout>
      <c:areaChart>
        <c:grouping val="standard"/>
        <c:varyColors val="0"/>
        <c:ser>
          <c:idx val="0"/>
          <c:order val="0"/>
          <c:spPr>
            <a:pattFill prst="pct50">
              <a:fgClr>
                <a:schemeClr val="accent4"/>
              </a:fgClr>
              <a:bgClr>
                <a:schemeClr val="bg1"/>
              </a:bgClr>
            </a:pattFill>
            <a:ln>
              <a:solidFill>
                <a:schemeClr val="accent4"/>
              </a:solidFill>
            </a:ln>
            <a:effectLst/>
          </c:spPr>
          <c:cat>
            <c:numRef>
              <c:f>indices!$D$1108:$D$1352</c:f>
              <c:numCache>
                <c:formatCode>m/d/yyyy</c:formatCode>
                <c:ptCount val="245"/>
                <c:pt idx="0">
                  <c:v>43102</c:v>
                </c:pt>
                <c:pt idx="1">
                  <c:v>43103</c:v>
                </c:pt>
                <c:pt idx="2">
                  <c:v>43104</c:v>
                </c:pt>
                <c:pt idx="3">
                  <c:v>43105</c:v>
                </c:pt>
                <c:pt idx="4">
                  <c:v>43108</c:v>
                </c:pt>
                <c:pt idx="5">
                  <c:v>43109</c:v>
                </c:pt>
                <c:pt idx="6">
                  <c:v>43110</c:v>
                </c:pt>
                <c:pt idx="7">
                  <c:v>43111</c:v>
                </c:pt>
                <c:pt idx="8">
                  <c:v>43112</c:v>
                </c:pt>
                <c:pt idx="9">
                  <c:v>43115</c:v>
                </c:pt>
                <c:pt idx="10">
                  <c:v>43116</c:v>
                </c:pt>
                <c:pt idx="11">
                  <c:v>43117</c:v>
                </c:pt>
                <c:pt idx="12">
                  <c:v>43118</c:v>
                </c:pt>
                <c:pt idx="13">
                  <c:v>43119</c:v>
                </c:pt>
                <c:pt idx="14">
                  <c:v>43122</c:v>
                </c:pt>
                <c:pt idx="15">
                  <c:v>43123</c:v>
                </c:pt>
                <c:pt idx="16">
                  <c:v>43124</c:v>
                </c:pt>
                <c:pt idx="17">
                  <c:v>43125</c:v>
                </c:pt>
                <c:pt idx="18">
                  <c:v>43126</c:v>
                </c:pt>
                <c:pt idx="19">
                  <c:v>43129</c:v>
                </c:pt>
                <c:pt idx="20">
                  <c:v>43130</c:v>
                </c:pt>
                <c:pt idx="21">
                  <c:v>43131</c:v>
                </c:pt>
                <c:pt idx="22">
                  <c:v>43132</c:v>
                </c:pt>
                <c:pt idx="23">
                  <c:v>43133</c:v>
                </c:pt>
                <c:pt idx="24">
                  <c:v>43136</c:v>
                </c:pt>
                <c:pt idx="25">
                  <c:v>43137</c:v>
                </c:pt>
                <c:pt idx="26">
                  <c:v>43138</c:v>
                </c:pt>
                <c:pt idx="27">
                  <c:v>43139</c:v>
                </c:pt>
                <c:pt idx="28">
                  <c:v>43140</c:v>
                </c:pt>
                <c:pt idx="29">
                  <c:v>43143</c:v>
                </c:pt>
                <c:pt idx="30">
                  <c:v>43144</c:v>
                </c:pt>
                <c:pt idx="31">
                  <c:v>43145</c:v>
                </c:pt>
                <c:pt idx="32">
                  <c:v>43146</c:v>
                </c:pt>
                <c:pt idx="33">
                  <c:v>43147</c:v>
                </c:pt>
                <c:pt idx="34">
                  <c:v>43150</c:v>
                </c:pt>
                <c:pt idx="35">
                  <c:v>43151</c:v>
                </c:pt>
                <c:pt idx="36">
                  <c:v>43152</c:v>
                </c:pt>
                <c:pt idx="37">
                  <c:v>43153</c:v>
                </c:pt>
                <c:pt idx="38">
                  <c:v>43154</c:v>
                </c:pt>
                <c:pt idx="39">
                  <c:v>43157</c:v>
                </c:pt>
                <c:pt idx="40">
                  <c:v>43158</c:v>
                </c:pt>
                <c:pt idx="41">
                  <c:v>43159</c:v>
                </c:pt>
                <c:pt idx="42">
                  <c:v>43160</c:v>
                </c:pt>
                <c:pt idx="43">
                  <c:v>43161</c:v>
                </c:pt>
                <c:pt idx="44">
                  <c:v>43166</c:v>
                </c:pt>
                <c:pt idx="45">
                  <c:v>43167</c:v>
                </c:pt>
                <c:pt idx="46">
                  <c:v>43168</c:v>
                </c:pt>
                <c:pt idx="47">
                  <c:v>43171</c:v>
                </c:pt>
                <c:pt idx="48">
                  <c:v>43172</c:v>
                </c:pt>
                <c:pt idx="49">
                  <c:v>43173</c:v>
                </c:pt>
                <c:pt idx="50">
                  <c:v>43174</c:v>
                </c:pt>
                <c:pt idx="51">
                  <c:v>43175</c:v>
                </c:pt>
                <c:pt idx="52">
                  <c:v>43178</c:v>
                </c:pt>
                <c:pt idx="53">
                  <c:v>43179</c:v>
                </c:pt>
                <c:pt idx="54">
                  <c:v>43180</c:v>
                </c:pt>
                <c:pt idx="55">
                  <c:v>43181</c:v>
                </c:pt>
                <c:pt idx="56">
                  <c:v>43182</c:v>
                </c:pt>
                <c:pt idx="57">
                  <c:v>43185</c:v>
                </c:pt>
                <c:pt idx="58">
                  <c:v>43186</c:v>
                </c:pt>
                <c:pt idx="59">
                  <c:v>43187</c:v>
                </c:pt>
                <c:pt idx="60">
                  <c:v>43188</c:v>
                </c:pt>
                <c:pt idx="61">
                  <c:v>43193</c:v>
                </c:pt>
                <c:pt idx="62">
                  <c:v>43194</c:v>
                </c:pt>
                <c:pt idx="63">
                  <c:v>43195</c:v>
                </c:pt>
                <c:pt idx="64">
                  <c:v>43200</c:v>
                </c:pt>
                <c:pt idx="65">
                  <c:v>43201</c:v>
                </c:pt>
                <c:pt idx="66">
                  <c:v>43202</c:v>
                </c:pt>
                <c:pt idx="67">
                  <c:v>43203</c:v>
                </c:pt>
                <c:pt idx="68">
                  <c:v>43206</c:v>
                </c:pt>
                <c:pt idx="69">
                  <c:v>43207</c:v>
                </c:pt>
                <c:pt idx="70">
                  <c:v>43208</c:v>
                </c:pt>
                <c:pt idx="71">
                  <c:v>43209</c:v>
                </c:pt>
                <c:pt idx="72">
                  <c:v>43210</c:v>
                </c:pt>
                <c:pt idx="73">
                  <c:v>43213</c:v>
                </c:pt>
                <c:pt idx="74">
                  <c:v>43214</c:v>
                </c:pt>
                <c:pt idx="75">
                  <c:v>43215</c:v>
                </c:pt>
                <c:pt idx="76">
                  <c:v>43216</c:v>
                </c:pt>
                <c:pt idx="77">
                  <c:v>43217</c:v>
                </c:pt>
                <c:pt idx="78">
                  <c:v>43220</c:v>
                </c:pt>
                <c:pt idx="79">
                  <c:v>43222</c:v>
                </c:pt>
                <c:pt idx="80">
                  <c:v>43223</c:v>
                </c:pt>
                <c:pt idx="81">
                  <c:v>43224</c:v>
                </c:pt>
                <c:pt idx="82">
                  <c:v>43228</c:v>
                </c:pt>
                <c:pt idx="83">
                  <c:v>43229</c:v>
                </c:pt>
                <c:pt idx="84">
                  <c:v>43230</c:v>
                </c:pt>
                <c:pt idx="85">
                  <c:v>43231</c:v>
                </c:pt>
                <c:pt idx="86">
                  <c:v>43234</c:v>
                </c:pt>
                <c:pt idx="87">
                  <c:v>43235</c:v>
                </c:pt>
                <c:pt idx="88">
                  <c:v>43236</c:v>
                </c:pt>
                <c:pt idx="89">
                  <c:v>43237</c:v>
                </c:pt>
                <c:pt idx="90">
                  <c:v>43238</c:v>
                </c:pt>
                <c:pt idx="91">
                  <c:v>43241</c:v>
                </c:pt>
                <c:pt idx="92">
                  <c:v>43242</c:v>
                </c:pt>
                <c:pt idx="93">
                  <c:v>43243</c:v>
                </c:pt>
                <c:pt idx="94">
                  <c:v>43245</c:v>
                </c:pt>
                <c:pt idx="95">
                  <c:v>43248</c:v>
                </c:pt>
                <c:pt idx="96">
                  <c:v>43249</c:v>
                </c:pt>
                <c:pt idx="97">
                  <c:v>43250</c:v>
                </c:pt>
                <c:pt idx="98">
                  <c:v>43251</c:v>
                </c:pt>
                <c:pt idx="99">
                  <c:v>43252</c:v>
                </c:pt>
                <c:pt idx="100">
                  <c:v>43255</c:v>
                </c:pt>
                <c:pt idx="101">
                  <c:v>43256</c:v>
                </c:pt>
                <c:pt idx="102">
                  <c:v>43257</c:v>
                </c:pt>
                <c:pt idx="103">
                  <c:v>43258</c:v>
                </c:pt>
                <c:pt idx="104">
                  <c:v>43259</c:v>
                </c:pt>
                <c:pt idx="105">
                  <c:v>43262</c:v>
                </c:pt>
                <c:pt idx="106">
                  <c:v>43263</c:v>
                </c:pt>
                <c:pt idx="107">
                  <c:v>43264</c:v>
                </c:pt>
                <c:pt idx="108">
                  <c:v>43265</c:v>
                </c:pt>
                <c:pt idx="109">
                  <c:v>43266</c:v>
                </c:pt>
                <c:pt idx="110">
                  <c:v>43269</c:v>
                </c:pt>
                <c:pt idx="111">
                  <c:v>43270</c:v>
                </c:pt>
                <c:pt idx="112">
                  <c:v>43271</c:v>
                </c:pt>
                <c:pt idx="113">
                  <c:v>43272</c:v>
                </c:pt>
                <c:pt idx="114">
                  <c:v>43273</c:v>
                </c:pt>
                <c:pt idx="115">
                  <c:v>43276</c:v>
                </c:pt>
                <c:pt idx="116">
                  <c:v>43277</c:v>
                </c:pt>
                <c:pt idx="117">
                  <c:v>43278</c:v>
                </c:pt>
                <c:pt idx="118">
                  <c:v>43279</c:v>
                </c:pt>
                <c:pt idx="119">
                  <c:v>43280</c:v>
                </c:pt>
                <c:pt idx="120">
                  <c:v>43283</c:v>
                </c:pt>
                <c:pt idx="121">
                  <c:v>43284</c:v>
                </c:pt>
                <c:pt idx="122">
                  <c:v>43285</c:v>
                </c:pt>
                <c:pt idx="123">
                  <c:v>43286</c:v>
                </c:pt>
                <c:pt idx="124">
                  <c:v>43287</c:v>
                </c:pt>
                <c:pt idx="125">
                  <c:v>43290</c:v>
                </c:pt>
                <c:pt idx="126">
                  <c:v>43291</c:v>
                </c:pt>
                <c:pt idx="127">
                  <c:v>43292</c:v>
                </c:pt>
                <c:pt idx="128">
                  <c:v>43293</c:v>
                </c:pt>
                <c:pt idx="129">
                  <c:v>43294</c:v>
                </c:pt>
                <c:pt idx="130">
                  <c:v>43297</c:v>
                </c:pt>
                <c:pt idx="131">
                  <c:v>43298</c:v>
                </c:pt>
                <c:pt idx="132">
                  <c:v>43299</c:v>
                </c:pt>
                <c:pt idx="133">
                  <c:v>43300</c:v>
                </c:pt>
                <c:pt idx="134">
                  <c:v>43301</c:v>
                </c:pt>
                <c:pt idx="135">
                  <c:v>43304</c:v>
                </c:pt>
                <c:pt idx="136">
                  <c:v>43305</c:v>
                </c:pt>
                <c:pt idx="137">
                  <c:v>43306</c:v>
                </c:pt>
                <c:pt idx="138">
                  <c:v>43307</c:v>
                </c:pt>
                <c:pt idx="139">
                  <c:v>43308</c:v>
                </c:pt>
                <c:pt idx="140">
                  <c:v>43311</c:v>
                </c:pt>
                <c:pt idx="141">
                  <c:v>43312</c:v>
                </c:pt>
                <c:pt idx="142">
                  <c:v>43313</c:v>
                </c:pt>
                <c:pt idx="143">
                  <c:v>43314</c:v>
                </c:pt>
                <c:pt idx="144">
                  <c:v>43315</c:v>
                </c:pt>
                <c:pt idx="145">
                  <c:v>43318</c:v>
                </c:pt>
                <c:pt idx="146">
                  <c:v>43319</c:v>
                </c:pt>
                <c:pt idx="147">
                  <c:v>43320</c:v>
                </c:pt>
                <c:pt idx="148">
                  <c:v>43321</c:v>
                </c:pt>
                <c:pt idx="149">
                  <c:v>43322</c:v>
                </c:pt>
                <c:pt idx="150">
                  <c:v>43325</c:v>
                </c:pt>
                <c:pt idx="151">
                  <c:v>43326</c:v>
                </c:pt>
                <c:pt idx="152">
                  <c:v>43327</c:v>
                </c:pt>
                <c:pt idx="153">
                  <c:v>43328</c:v>
                </c:pt>
                <c:pt idx="154">
                  <c:v>43329</c:v>
                </c:pt>
                <c:pt idx="155">
                  <c:v>43332</c:v>
                </c:pt>
                <c:pt idx="156">
                  <c:v>43333</c:v>
                </c:pt>
                <c:pt idx="157">
                  <c:v>43334</c:v>
                </c:pt>
                <c:pt idx="158">
                  <c:v>43335</c:v>
                </c:pt>
                <c:pt idx="159">
                  <c:v>43336</c:v>
                </c:pt>
                <c:pt idx="160">
                  <c:v>43339</c:v>
                </c:pt>
                <c:pt idx="161">
                  <c:v>43340</c:v>
                </c:pt>
                <c:pt idx="162">
                  <c:v>43341</c:v>
                </c:pt>
                <c:pt idx="163">
                  <c:v>43342</c:v>
                </c:pt>
                <c:pt idx="164">
                  <c:v>43343</c:v>
                </c:pt>
                <c:pt idx="165">
                  <c:v>43346</c:v>
                </c:pt>
                <c:pt idx="166">
                  <c:v>43347</c:v>
                </c:pt>
                <c:pt idx="167">
                  <c:v>43348</c:v>
                </c:pt>
                <c:pt idx="168">
                  <c:v>43350</c:v>
                </c:pt>
                <c:pt idx="169">
                  <c:v>43353</c:v>
                </c:pt>
                <c:pt idx="170">
                  <c:v>43354</c:v>
                </c:pt>
                <c:pt idx="171">
                  <c:v>43355</c:v>
                </c:pt>
                <c:pt idx="172">
                  <c:v>43356</c:v>
                </c:pt>
                <c:pt idx="173">
                  <c:v>43357</c:v>
                </c:pt>
                <c:pt idx="174">
                  <c:v>43360</c:v>
                </c:pt>
                <c:pt idx="175">
                  <c:v>43361</c:v>
                </c:pt>
                <c:pt idx="176">
                  <c:v>43362</c:v>
                </c:pt>
                <c:pt idx="177">
                  <c:v>43363</c:v>
                </c:pt>
                <c:pt idx="178">
                  <c:v>43364</c:v>
                </c:pt>
                <c:pt idx="179">
                  <c:v>43368</c:v>
                </c:pt>
                <c:pt idx="180">
                  <c:v>43369</c:v>
                </c:pt>
                <c:pt idx="181">
                  <c:v>43370</c:v>
                </c:pt>
                <c:pt idx="182">
                  <c:v>43371</c:v>
                </c:pt>
                <c:pt idx="183">
                  <c:v>43374</c:v>
                </c:pt>
                <c:pt idx="184">
                  <c:v>43375</c:v>
                </c:pt>
                <c:pt idx="185">
                  <c:v>43376</c:v>
                </c:pt>
                <c:pt idx="186">
                  <c:v>43377</c:v>
                </c:pt>
                <c:pt idx="187">
                  <c:v>43378</c:v>
                </c:pt>
                <c:pt idx="188">
                  <c:v>43381</c:v>
                </c:pt>
                <c:pt idx="189">
                  <c:v>43382</c:v>
                </c:pt>
                <c:pt idx="190">
                  <c:v>43383</c:v>
                </c:pt>
                <c:pt idx="191">
                  <c:v>43384</c:v>
                </c:pt>
                <c:pt idx="192">
                  <c:v>43385</c:v>
                </c:pt>
                <c:pt idx="193">
                  <c:v>43388</c:v>
                </c:pt>
                <c:pt idx="194">
                  <c:v>43389</c:v>
                </c:pt>
                <c:pt idx="195">
                  <c:v>43390</c:v>
                </c:pt>
                <c:pt idx="196">
                  <c:v>43391</c:v>
                </c:pt>
                <c:pt idx="197">
                  <c:v>43392</c:v>
                </c:pt>
                <c:pt idx="198">
                  <c:v>43395</c:v>
                </c:pt>
                <c:pt idx="199">
                  <c:v>43396</c:v>
                </c:pt>
                <c:pt idx="200">
                  <c:v>43397</c:v>
                </c:pt>
                <c:pt idx="201">
                  <c:v>43398</c:v>
                </c:pt>
                <c:pt idx="202">
                  <c:v>43399</c:v>
                </c:pt>
                <c:pt idx="203">
                  <c:v>43402</c:v>
                </c:pt>
                <c:pt idx="204">
                  <c:v>43403</c:v>
                </c:pt>
                <c:pt idx="205">
                  <c:v>43404</c:v>
                </c:pt>
                <c:pt idx="206">
                  <c:v>43405</c:v>
                </c:pt>
                <c:pt idx="207">
                  <c:v>43406</c:v>
                </c:pt>
                <c:pt idx="208">
                  <c:v>43409</c:v>
                </c:pt>
                <c:pt idx="209">
                  <c:v>43410</c:v>
                </c:pt>
                <c:pt idx="210">
                  <c:v>43411</c:v>
                </c:pt>
                <c:pt idx="211">
                  <c:v>43412</c:v>
                </c:pt>
                <c:pt idx="212">
                  <c:v>43413</c:v>
                </c:pt>
                <c:pt idx="213">
                  <c:v>43416</c:v>
                </c:pt>
                <c:pt idx="214">
                  <c:v>43417</c:v>
                </c:pt>
                <c:pt idx="215">
                  <c:v>43418</c:v>
                </c:pt>
                <c:pt idx="216">
                  <c:v>43419</c:v>
                </c:pt>
                <c:pt idx="217">
                  <c:v>43420</c:v>
                </c:pt>
                <c:pt idx="218">
                  <c:v>43423</c:v>
                </c:pt>
                <c:pt idx="219">
                  <c:v>43424</c:v>
                </c:pt>
                <c:pt idx="220">
                  <c:v>43425</c:v>
                </c:pt>
                <c:pt idx="221">
                  <c:v>43426</c:v>
                </c:pt>
                <c:pt idx="222">
                  <c:v>43427</c:v>
                </c:pt>
                <c:pt idx="223">
                  <c:v>43430</c:v>
                </c:pt>
                <c:pt idx="224">
                  <c:v>43431</c:v>
                </c:pt>
                <c:pt idx="225">
                  <c:v>43432</c:v>
                </c:pt>
                <c:pt idx="226">
                  <c:v>43433</c:v>
                </c:pt>
                <c:pt idx="227">
                  <c:v>43434</c:v>
                </c:pt>
                <c:pt idx="228">
                  <c:v>43437</c:v>
                </c:pt>
                <c:pt idx="229">
                  <c:v>43438</c:v>
                </c:pt>
                <c:pt idx="230">
                  <c:v>43439</c:v>
                </c:pt>
                <c:pt idx="231">
                  <c:v>43440</c:v>
                </c:pt>
                <c:pt idx="232">
                  <c:v>43441</c:v>
                </c:pt>
                <c:pt idx="233">
                  <c:v>43444</c:v>
                </c:pt>
                <c:pt idx="234">
                  <c:v>43445</c:v>
                </c:pt>
                <c:pt idx="235">
                  <c:v>43446</c:v>
                </c:pt>
                <c:pt idx="236">
                  <c:v>43447</c:v>
                </c:pt>
                <c:pt idx="237">
                  <c:v>43448</c:v>
                </c:pt>
                <c:pt idx="238">
                  <c:v>43451</c:v>
                </c:pt>
                <c:pt idx="239">
                  <c:v>43452</c:v>
                </c:pt>
                <c:pt idx="240">
                  <c:v>43453</c:v>
                </c:pt>
                <c:pt idx="241">
                  <c:v>43454</c:v>
                </c:pt>
                <c:pt idx="242">
                  <c:v>43455</c:v>
                </c:pt>
                <c:pt idx="243">
                  <c:v>43461</c:v>
                </c:pt>
                <c:pt idx="244">
                  <c:v>43462</c:v>
                </c:pt>
              </c:numCache>
            </c:numRef>
          </c:cat>
          <c:val>
            <c:numRef>
              <c:f>indices!$E$1108:$E$1352</c:f>
              <c:numCache>
                <c:formatCode>General</c:formatCode>
                <c:ptCount val="245"/>
                <c:pt idx="0">
                  <c:v>133</c:v>
                </c:pt>
                <c:pt idx="1">
                  <c:v>132.66999999999999</c:v>
                </c:pt>
                <c:pt idx="2">
                  <c:v>134.38000000000011</c:v>
                </c:pt>
                <c:pt idx="3">
                  <c:v>134.97999999999999</c:v>
                </c:pt>
                <c:pt idx="4">
                  <c:v>134.56</c:v>
                </c:pt>
                <c:pt idx="5">
                  <c:v>134.19999999999999</c:v>
                </c:pt>
                <c:pt idx="6">
                  <c:v>135.59</c:v>
                </c:pt>
                <c:pt idx="7">
                  <c:v>136.34</c:v>
                </c:pt>
                <c:pt idx="8">
                  <c:v>137.47999999999999</c:v>
                </c:pt>
                <c:pt idx="9">
                  <c:v>137.70999999999998</c:v>
                </c:pt>
                <c:pt idx="10">
                  <c:v>138.25</c:v>
                </c:pt>
                <c:pt idx="11">
                  <c:v>137.4</c:v>
                </c:pt>
                <c:pt idx="12">
                  <c:v>137.63</c:v>
                </c:pt>
                <c:pt idx="13">
                  <c:v>137.78</c:v>
                </c:pt>
                <c:pt idx="14">
                  <c:v>137.29</c:v>
                </c:pt>
                <c:pt idx="15">
                  <c:v>137.51</c:v>
                </c:pt>
                <c:pt idx="16">
                  <c:v>137.66</c:v>
                </c:pt>
                <c:pt idx="17">
                  <c:v>137.68</c:v>
                </c:pt>
                <c:pt idx="18">
                  <c:v>137.91</c:v>
                </c:pt>
                <c:pt idx="19">
                  <c:v>137.81</c:v>
                </c:pt>
                <c:pt idx="20">
                  <c:v>137.85000000000011</c:v>
                </c:pt>
                <c:pt idx="21">
                  <c:v>138.22999999999999</c:v>
                </c:pt>
                <c:pt idx="22">
                  <c:v>137.82000000000011</c:v>
                </c:pt>
                <c:pt idx="23">
                  <c:v>138.82000000000011</c:v>
                </c:pt>
                <c:pt idx="24">
                  <c:v>137.69999999999999</c:v>
                </c:pt>
                <c:pt idx="25">
                  <c:v>133.83000000000001</c:v>
                </c:pt>
                <c:pt idx="26">
                  <c:v>135.62</c:v>
                </c:pt>
                <c:pt idx="27">
                  <c:v>135.37</c:v>
                </c:pt>
                <c:pt idx="28">
                  <c:v>134.57</c:v>
                </c:pt>
                <c:pt idx="29">
                  <c:v>135.05000000000001</c:v>
                </c:pt>
                <c:pt idx="30">
                  <c:v>135.09</c:v>
                </c:pt>
                <c:pt idx="31">
                  <c:v>134.73999999999998</c:v>
                </c:pt>
                <c:pt idx="32">
                  <c:v>134.22</c:v>
                </c:pt>
                <c:pt idx="33">
                  <c:v>134.80000000000001</c:v>
                </c:pt>
                <c:pt idx="34">
                  <c:v>133.94999999999999</c:v>
                </c:pt>
                <c:pt idx="35">
                  <c:v>134.29</c:v>
                </c:pt>
                <c:pt idx="36">
                  <c:v>134.02000000000001</c:v>
                </c:pt>
                <c:pt idx="37">
                  <c:v>134.1</c:v>
                </c:pt>
                <c:pt idx="38">
                  <c:v>133.70999999999998</c:v>
                </c:pt>
                <c:pt idx="39">
                  <c:v>133.66999999999999</c:v>
                </c:pt>
                <c:pt idx="40">
                  <c:v>134.20999999999998</c:v>
                </c:pt>
                <c:pt idx="41">
                  <c:v>133.30000000000001</c:v>
                </c:pt>
                <c:pt idx="42">
                  <c:v>134.15</c:v>
                </c:pt>
                <c:pt idx="43">
                  <c:v>133.60999999999999</c:v>
                </c:pt>
                <c:pt idx="44">
                  <c:v>134.01</c:v>
                </c:pt>
                <c:pt idx="45">
                  <c:v>133.36000000000001</c:v>
                </c:pt>
                <c:pt idx="46">
                  <c:v>133.54</c:v>
                </c:pt>
                <c:pt idx="47">
                  <c:v>132.56</c:v>
                </c:pt>
                <c:pt idx="48">
                  <c:v>132.1</c:v>
                </c:pt>
                <c:pt idx="49">
                  <c:v>131.63</c:v>
                </c:pt>
                <c:pt idx="50">
                  <c:v>131.78</c:v>
                </c:pt>
                <c:pt idx="51">
                  <c:v>132.94999999999999</c:v>
                </c:pt>
                <c:pt idx="52">
                  <c:v>131.73999999999998</c:v>
                </c:pt>
                <c:pt idx="53">
                  <c:v>130.20999999999998</c:v>
                </c:pt>
                <c:pt idx="54">
                  <c:v>131.52000000000001</c:v>
                </c:pt>
                <c:pt idx="55">
                  <c:v>131.16</c:v>
                </c:pt>
                <c:pt idx="56">
                  <c:v>130.52000000000001</c:v>
                </c:pt>
                <c:pt idx="57">
                  <c:v>129.72</c:v>
                </c:pt>
                <c:pt idx="58">
                  <c:v>129.96</c:v>
                </c:pt>
                <c:pt idx="59">
                  <c:v>129.46</c:v>
                </c:pt>
                <c:pt idx="60">
                  <c:v>128.54</c:v>
                </c:pt>
                <c:pt idx="61">
                  <c:v>129.57</c:v>
                </c:pt>
                <c:pt idx="62">
                  <c:v>129.65</c:v>
                </c:pt>
                <c:pt idx="63">
                  <c:v>130.34</c:v>
                </c:pt>
                <c:pt idx="64">
                  <c:v>131.1</c:v>
                </c:pt>
                <c:pt idx="65">
                  <c:v>130.36000000000001</c:v>
                </c:pt>
                <c:pt idx="66">
                  <c:v>130.63999999999999</c:v>
                </c:pt>
                <c:pt idx="67">
                  <c:v>130.87</c:v>
                </c:pt>
                <c:pt idx="68">
                  <c:v>130.69999999999999</c:v>
                </c:pt>
                <c:pt idx="69">
                  <c:v>130.76</c:v>
                </c:pt>
                <c:pt idx="70">
                  <c:v>130.69999999999999</c:v>
                </c:pt>
                <c:pt idx="71">
                  <c:v>130.66999999999999</c:v>
                </c:pt>
                <c:pt idx="72">
                  <c:v>129.86000000000001</c:v>
                </c:pt>
                <c:pt idx="73">
                  <c:v>130.20999999999998</c:v>
                </c:pt>
                <c:pt idx="74">
                  <c:v>130.23999999999998</c:v>
                </c:pt>
                <c:pt idx="75">
                  <c:v>130.75</c:v>
                </c:pt>
                <c:pt idx="76">
                  <c:v>130.62</c:v>
                </c:pt>
                <c:pt idx="77">
                  <c:v>130.34</c:v>
                </c:pt>
                <c:pt idx="78">
                  <c:v>129.94999999999999</c:v>
                </c:pt>
                <c:pt idx="79">
                  <c:v>129.41</c:v>
                </c:pt>
                <c:pt idx="80">
                  <c:v>129.91999999999999</c:v>
                </c:pt>
                <c:pt idx="81">
                  <c:v>129.16999999999999</c:v>
                </c:pt>
                <c:pt idx="82">
                  <c:v>129.04</c:v>
                </c:pt>
                <c:pt idx="83">
                  <c:v>128.66</c:v>
                </c:pt>
                <c:pt idx="84">
                  <c:v>128.66999999999999</c:v>
                </c:pt>
                <c:pt idx="85">
                  <c:v>128.13999999999999</c:v>
                </c:pt>
                <c:pt idx="86">
                  <c:v>127.9</c:v>
                </c:pt>
                <c:pt idx="87">
                  <c:v>127.63</c:v>
                </c:pt>
                <c:pt idx="88">
                  <c:v>127.66</c:v>
                </c:pt>
                <c:pt idx="89">
                  <c:v>128.65</c:v>
                </c:pt>
                <c:pt idx="90">
                  <c:v>128.62</c:v>
                </c:pt>
                <c:pt idx="91">
                  <c:v>127.86999999999999</c:v>
                </c:pt>
                <c:pt idx="92">
                  <c:v>127.78</c:v>
                </c:pt>
                <c:pt idx="93">
                  <c:v>127.55</c:v>
                </c:pt>
                <c:pt idx="94">
                  <c:v>127.44000000000005</c:v>
                </c:pt>
                <c:pt idx="95">
                  <c:v>126.91000000000005</c:v>
                </c:pt>
                <c:pt idx="96">
                  <c:v>126.77</c:v>
                </c:pt>
                <c:pt idx="97">
                  <c:v>126.13</c:v>
                </c:pt>
                <c:pt idx="98">
                  <c:v>126.32</c:v>
                </c:pt>
                <c:pt idx="99">
                  <c:v>126.26</c:v>
                </c:pt>
                <c:pt idx="100">
                  <c:v>126.19</c:v>
                </c:pt>
                <c:pt idx="101">
                  <c:v>125.38</c:v>
                </c:pt>
                <c:pt idx="102">
                  <c:v>125.45</c:v>
                </c:pt>
                <c:pt idx="103">
                  <c:v>125.04</c:v>
                </c:pt>
                <c:pt idx="104">
                  <c:v>125.11999999999999</c:v>
                </c:pt>
                <c:pt idx="105">
                  <c:v>124.41000000000005</c:v>
                </c:pt>
                <c:pt idx="106">
                  <c:v>124.63</c:v>
                </c:pt>
                <c:pt idx="107">
                  <c:v>125.6</c:v>
                </c:pt>
                <c:pt idx="108">
                  <c:v>125.88</c:v>
                </c:pt>
                <c:pt idx="109">
                  <c:v>124.08</c:v>
                </c:pt>
                <c:pt idx="110">
                  <c:v>124.51</c:v>
                </c:pt>
                <c:pt idx="111">
                  <c:v>124.19</c:v>
                </c:pt>
                <c:pt idx="112">
                  <c:v>124.17999999999998</c:v>
                </c:pt>
                <c:pt idx="113">
                  <c:v>124.32</c:v>
                </c:pt>
                <c:pt idx="114">
                  <c:v>124.26</c:v>
                </c:pt>
                <c:pt idx="115">
                  <c:v>124.59</c:v>
                </c:pt>
                <c:pt idx="116">
                  <c:v>124.36</c:v>
                </c:pt>
                <c:pt idx="117">
                  <c:v>125.11999999999999</c:v>
                </c:pt>
                <c:pt idx="118">
                  <c:v>124.73</c:v>
                </c:pt>
                <c:pt idx="119">
                  <c:v>124.9</c:v>
                </c:pt>
                <c:pt idx="120">
                  <c:v>123.25</c:v>
                </c:pt>
                <c:pt idx="121">
                  <c:v>123.48</c:v>
                </c:pt>
                <c:pt idx="122">
                  <c:v>123.64999999999999</c:v>
                </c:pt>
                <c:pt idx="123">
                  <c:v>123.51</c:v>
                </c:pt>
                <c:pt idx="124">
                  <c:v>123.86999999999999</c:v>
                </c:pt>
                <c:pt idx="125">
                  <c:v>123.77</c:v>
                </c:pt>
                <c:pt idx="126">
                  <c:v>124.02</c:v>
                </c:pt>
                <c:pt idx="127">
                  <c:v>123.51</c:v>
                </c:pt>
                <c:pt idx="128">
                  <c:v>122.35</c:v>
                </c:pt>
                <c:pt idx="129">
                  <c:v>122.41000000000005</c:v>
                </c:pt>
                <c:pt idx="130">
                  <c:v>121.93</c:v>
                </c:pt>
                <c:pt idx="131">
                  <c:v>122.25</c:v>
                </c:pt>
                <c:pt idx="132">
                  <c:v>122.57</c:v>
                </c:pt>
                <c:pt idx="133">
                  <c:v>121.88</c:v>
                </c:pt>
                <c:pt idx="134">
                  <c:v>122.57</c:v>
                </c:pt>
                <c:pt idx="135">
                  <c:v>122.61999999999999</c:v>
                </c:pt>
                <c:pt idx="136">
                  <c:v>123.36999999999999</c:v>
                </c:pt>
                <c:pt idx="137">
                  <c:v>122.8</c:v>
                </c:pt>
                <c:pt idx="138">
                  <c:v>122.98</c:v>
                </c:pt>
                <c:pt idx="139">
                  <c:v>122.52</c:v>
                </c:pt>
                <c:pt idx="140">
                  <c:v>122.06</c:v>
                </c:pt>
                <c:pt idx="141">
                  <c:v>122.7</c:v>
                </c:pt>
                <c:pt idx="142">
                  <c:v>122.89</c:v>
                </c:pt>
                <c:pt idx="143">
                  <c:v>123.57</c:v>
                </c:pt>
                <c:pt idx="144">
                  <c:v>124.07</c:v>
                </c:pt>
                <c:pt idx="145">
                  <c:v>123.64999999999999</c:v>
                </c:pt>
                <c:pt idx="146">
                  <c:v>124.34</c:v>
                </c:pt>
                <c:pt idx="147">
                  <c:v>123.44000000000005</c:v>
                </c:pt>
                <c:pt idx="148">
                  <c:v>123.7</c:v>
                </c:pt>
                <c:pt idx="149">
                  <c:v>123.24000000000002</c:v>
                </c:pt>
                <c:pt idx="150">
                  <c:v>122.64999999999999</c:v>
                </c:pt>
                <c:pt idx="151">
                  <c:v>122.28</c:v>
                </c:pt>
                <c:pt idx="152">
                  <c:v>122.24000000000002</c:v>
                </c:pt>
                <c:pt idx="153">
                  <c:v>122.79</c:v>
                </c:pt>
                <c:pt idx="154">
                  <c:v>122.51</c:v>
                </c:pt>
                <c:pt idx="155">
                  <c:v>122.64</c:v>
                </c:pt>
                <c:pt idx="156">
                  <c:v>122.32</c:v>
                </c:pt>
                <c:pt idx="157">
                  <c:v>121.75</c:v>
                </c:pt>
                <c:pt idx="158">
                  <c:v>122.66</c:v>
                </c:pt>
                <c:pt idx="159">
                  <c:v>123.07</c:v>
                </c:pt>
                <c:pt idx="160">
                  <c:v>122.92</c:v>
                </c:pt>
                <c:pt idx="161">
                  <c:v>121.97</c:v>
                </c:pt>
                <c:pt idx="162">
                  <c:v>121.8</c:v>
                </c:pt>
                <c:pt idx="163">
                  <c:v>122.4</c:v>
                </c:pt>
                <c:pt idx="164">
                  <c:v>122.28</c:v>
                </c:pt>
                <c:pt idx="165">
                  <c:v>121.64</c:v>
                </c:pt>
                <c:pt idx="166">
                  <c:v>122.45</c:v>
                </c:pt>
                <c:pt idx="167">
                  <c:v>121.85</c:v>
                </c:pt>
                <c:pt idx="168">
                  <c:v>121.46000000000002</c:v>
                </c:pt>
                <c:pt idx="169">
                  <c:v>121.28</c:v>
                </c:pt>
                <c:pt idx="170">
                  <c:v>121.85</c:v>
                </c:pt>
                <c:pt idx="171">
                  <c:v>121.86</c:v>
                </c:pt>
                <c:pt idx="172">
                  <c:v>121.73</c:v>
                </c:pt>
                <c:pt idx="173">
                  <c:v>121.58</c:v>
                </c:pt>
                <c:pt idx="174">
                  <c:v>121.84</c:v>
                </c:pt>
                <c:pt idx="175">
                  <c:v>122.28</c:v>
                </c:pt>
                <c:pt idx="176">
                  <c:v>122.17999999999998</c:v>
                </c:pt>
                <c:pt idx="177">
                  <c:v>121.91000000000005</c:v>
                </c:pt>
                <c:pt idx="178">
                  <c:v>121.74000000000002</c:v>
                </c:pt>
                <c:pt idx="179">
                  <c:v>121.91000000000005</c:v>
                </c:pt>
                <c:pt idx="180">
                  <c:v>121.92</c:v>
                </c:pt>
                <c:pt idx="181">
                  <c:v>122.23</c:v>
                </c:pt>
                <c:pt idx="182">
                  <c:v>121.93</c:v>
                </c:pt>
                <c:pt idx="183">
                  <c:v>122.64999999999999</c:v>
                </c:pt>
                <c:pt idx="184">
                  <c:v>122.88</c:v>
                </c:pt>
                <c:pt idx="185">
                  <c:v>121.43</c:v>
                </c:pt>
                <c:pt idx="186">
                  <c:v>121.61999999999999</c:v>
                </c:pt>
                <c:pt idx="187">
                  <c:v>121.71000000000002</c:v>
                </c:pt>
                <c:pt idx="188">
                  <c:v>121.14999999999999</c:v>
                </c:pt>
                <c:pt idx="189">
                  <c:v>120.73</c:v>
                </c:pt>
                <c:pt idx="190">
                  <c:v>120.78</c:v>
                </c:pt>
                <c:pt idx="191">
                  <c:v>119.27</c:v>
                </c:pt>
                <c:pt idx="192">
                  <c:v>119.29</c:v>
                </c:pt>
                <c:pt idx="193">
                  <c:v>119.5</c:v>
                </c:pt>
                <c:pt idx="194">
                  <c:v>119.75</c:v>
                </c:pt>
                <c:pt idx="195">
                  <c:v>119.79</c:v>
                </c:pt>
                <c:pt idx="196">
                  <c:v>119.36</c:v>
                </c:pt>
                <c:pt idx="197">
                  <c:v>119.24000000000002</c:v>
                </c:pt>
                <c:pt idx="198">
                  <c:v>118.98</c:v>
                </c:pt>
                <c:pt idx="199">
                  <c:v>117.47</c:v>
                </c:pt>
                <c:pt idx="200">
                  <c:v>118.04</c:v>
                </c:pt>
                <c:pt idx="201">
                  <c:v>117.22</c:v>
                </c:pt>
                <c:pt idx="202">
                  <c:v>117.46000000000002</c:v>
                </c:pt>
                <c:pt idx="203">
                  <c:v>117.66</c:v>
                </c:pt>
                <c:pt idx="204">
                  <c:v>116.93</c:v>
                </c:pt>
                <c:pt idx="205">
                  <c:v>117.03</c:v>
                </c:pt>
                <c:pt idx="206">
                  <c:v>116.9</c:v>
                </c:pt>
                <c:pt idx="207">
                  <c:v>116.76</c:v>
                </c:pt>
                <c:pt idx="208">
                  <c:v>116.75</c:v>
                </c:pt>
                <c:pt idx="209">
                  <c:v>116.36</c:v>
                </c:pt>
                <c:pt idx="210">
                  <c:v>116.17999999999998</c:v>
                </c:pt>
                <c:pt idx="211">
                  <c:v>116.61999999999999</c:v>
                </c:pt>
                <c:pt idx="212">
                  <c:v>117.01</c:v>
                </c:pt>
                <c:pt idx="213">
                  <c:v>116.91000000000005</c:v>
                </c:pt>
                <c:pt idx="214">
                  <c:v>116.31</c:v>
                </c:pt>
                <c:pt idx="215">
                  <c:v>116.58</c:v>
                </c:pt>
                <c:pt idx="216">
                  <c:v>117.11</c:v>
                </c:pt>
                <c:pt idx="217">
                  <c:v>116.64999999999999</c:v>
                </c:pt>
                <c:pt idx="218">
                  <c:v>115.97</c:v>
                </c:pt>
                <c:pt idx="219">
                  <c:v>114.27</c:v>
                </c:pt>
                <c:pt idx="220">
                  <c:v>115</c:v>
                </c:pt>
                <c:pt idx="221">
                  <c:v>114.64</c:v>
                </c:pt>
                <c:pt idx="222">
                  <c:v>114.9</c:v>
                </c:pt>
                <c:pt idx="223">
                  <c:v>114.38</c:v>
                </c:pt>
                <c:pt idx="224">
                  <c:v>113.66999999999999</c:v>
                </c:pt>
                <c:pt idx="225">
                  <c:v>114</c:v>
                </c:pt>
                <c:pt idx="226">
                  <c:v>115.13</c:v>
                </c:pt>
                <c:pt idx="227">
                  <c:v>115.11999999999999</c:v>
                </c:pt>
                <c:pt idx="228">
                  <c:v>116.44000000000005</c:v>
                </c:pt>
                <c:pt idx="229">
                  <c:v>116.84</c:v>
                </c:pt>
                <c:pt idx="230">
                  <c:v>116.26</c:v>
                </c:pt>
                <c:pt idx="231">
                  <c:v>115.64</c:v>
                </c:pt>
                <c:pt idx="232">
                  <c:v>116.16999999999999</c:v>
                </c:pt>
                <c:pt idx="233">
                  <c:v>115.3</c:v>
                </c:pt>
                <c:pt idx="234">
                  <c:v>115.35</c:v>
                </c:pt>
                <c:pt idx="235">
                  <c:v>115.07</c:v>
                </c:pt>
                <c:pt idx="236">
                  <c:v>114.75</c:v>
                </c:pt>
                <c:pt idx="237">
                  <c:v>114.97</c:v>
                </c:pt>
                <c:pt idx="238">
                  <c:v>115.22</c:v>
                </c:pt>
                <c:pt idx="239">
                  <c:v>115.67999999999998</c:v>
                </c:pt>
                <c:pt idx="240">
                  <c:v>115.02</c:v>
                </c:pt>
                <c:pt idx="241">
                  <c:v>115.16</c:v>
                </c:pt>
                <c:pt idx="242">
                  <c:v>115.92</c:v>
                </c:pt>
                <c:pt idx="243">
                  <c:v>115.26</c:v>
                </c:pt>
                <c:pt idx="244">
                  <c:v>115.91000000000005</c:v>
                </c:pt>
              </c:numCache>
            </c:numRef>
          </c:val>
          <c:extLst>
            <c:ext xmlns:c16="http://schemas.microsoft.com/office/drawing/2014/chart" uri="{C3380CC4-5D6E-409C-BE32-E72D297353CC}">
              <c16:uniqueId val="{00000000-1BCD-42E7-9F7A-73F2D92A6F3F}"/>
            </c:ext>
          </c:extLst>
        </c:ser>
        <c:dLbls>
          <c:showLegendKey val="0"/>
          <c:showVal val="0"/>
          <c:showCatName val="0"/>
          <c:showSerName val="0"/>
          <c:showPercent val="0"/>
          <c:showBubbleSize val="0"/>
        </c:dLbls>
        <c:axId val="411804528"/>
        <c:axId val="411803984"/>
      </c:areaChart>
      <c:dateAx>
        <c:axId val="41180452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mn-cs"/>
              </a:defRPr>
            </a:pPr>
            <a:endParaRPr lang="bg-BG"/>
          </a:p>
        </c:txPr>
        <c:crossAx val="411803984"/>
        <c:crosses val="autoZero"/>
        <c:auto val="1"/>
        <c:lblOffset val="100"/>
        <c:baseTimeUnit val="days"/>
      </c:dateAx>
      <c:valAx>
        <c:axId val="411803984"/>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mn-cs"/>
              </a:defRPr>
            </a:pPr>
            <a:endParaRPr lang="bg-BG"/>
          </a:p>
        </c:txPr>
        <c:crossAx val="411804528"/>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Calibri" panose="020F0502020204030204" pitchFamily="34" charset="0"/>
        </a:defRPr>
      </a:pPr>
      <a:endParaRPr lang="bg-BG"/>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spPr>
            <a:pattFill prst="pct50">
              <a:fgClr>
                <a:schemeClr val="accent3">
                  <a:lumMod val="60000"/>
                  <a:lumOff val="40000"/>
                </a:schemeClr>
              </a:fgClr>
              <a:bgClr>
                <a:schemeClr val="bg1"/>
              </a:bgClr>
            </a:pattFill>
            <a:ln>
              <a:solidFill>
                <a:schemeClr val="accent3">
                  <a:lumMod val="60000"/>
                  <a:lumOff val="40000"/>
                </a:schemeClr>
              </a:solidFill>
            </a:ln>
            <a:effectLst/>
          </c:spPr>
          <c:cat>
            <c:numRef>
              <c:f>indices!$D$253:$D$497</c:f>
              <c:numCache>
                <c:formatCode>m/d/yyyy</c:formatCode>
                <c:ptCount val="245"/>
                <c:pt idx="0">
                  <c:v>43102</c:v>
                </c:pt>
                <c:pt idx="1">
                  <c:v>43103</c:v>
                </c:pt>
                <c:pt idx="2">
                  <c:v>43104</c:v>
                </c:pt>
                <c:pt idx="3">
                  <c:v>43105</c:v>
                </c:pt>
                <c:pt idx="4">
                  <c:v>43108</c:v>
                </c:pt>
                <c:pt idx="5">
                  <c:v>43109</c:v>
                </c:pt>
                <c:pt idx="6">
                  <c:v>43110</c:v>
                </c:pt>
                <c:pt idx="7">
                  <c:v>43111</c:v>
                </c:pt>
                <c:pt idx="8">
                  <c:v>43112</c:v>
                </c:pt>
                <c:pt idx="9">
                  <c:v>43115</c:v>
                </c:pt>
                <c:pt idx="10">
                  <c:v>43116</c:v>
                </c:pt>
                <c:pt idx="11">
                  <c:v>43117</c:v>
                </c:pt>
                <c:pt idx="12">
                  <c:v>43118</c:v>
                </c:pt>
                <c:pt idx="13">
                  <c:v>43119</c:v>
                </c:pt>
                <c:pt idx="14">
                  <c:v>43122</c:v>
                </c:pt>
                <c:pt idx="15">
                  <c:v>43123</c:v>
                </c:pt>
                <c:pt idx="16">
                  <c:v>43124</c:v>
                </c:pt>
                <c:pt idx="17">
                  <c:v>43125</c:v>
                </c:pt>
                <c:pt idx="18">
                  <c:v>43126</c:v>
                </c:pt>
                <c:pt idx="19">
                  <c:v>43129</c:v>
                </c:pt>
                <c:pt idx="20">
                  <c:v>43130</c:v>
                </c:pt>
                <c:pt idx="21">
                  <c:v>43131</c:v>
                </c:pt>
                <c:pt idx="22">
                  <c:v>43132</c:v>
                </c:pt>
                <c:pt idx="23">
                  <c:v>43133</c:v>
                </c:pt>
                <c:pt idx="24">
                  <c:v>43136</c:v>
                </c:pt>
                <c:pt idx="25">
                  <c:v>43137</c:v>
                </c:pt>
                <c:pt idx="26">
                  <c:v>43138</c:v>
                </c:pt>
                <c:pt idx="27">
                  <c:v>43139</c:v>
                </c:pt>
                <c:pt idx="28">
                  <c:v>43140</c:v>
                </c:pt>
                <c:pt idx="29">
                  <c:v>43143</c:v>
                </c:pt>
                <c:pt idx="30">
                  <c:v>43144</c:v>
                </c:pt>
                <c:pt idx="31">
                  <c:v>43145</c:v>
                </c:pt>
                <c:pt idx="32">
                  <c:v>43146</c:v>
                </c:pt>
                <c:pt idx="33">
                  <c:v>43147</c:v>
                </c:pt>
                <c:pt idx="34">
                  <c:v>43150</c:v>
                </c:pt>
                <c:pt idx="35">
                  <c:v>43151</c:v>
                </c:pt>
                <c:pt idx="36">
                  <c:v>43152</c:v>
                </c:pt>
                <c:pt idx="37">
                  <c:v>43153</c:v>
                </c:pt>
                <c:pt idx="38">
                  <c:v>43154</c:v>
                </c:pt>
                <c:pt idx="39">
                  <c:v>43157</c:v>
                </c:pt>
                <c:pt idx="40">
                  <c:v>43158</c:v>
                </c:pt>
                <c:pt idx="41">
                  <c:v>43159</c:v>
                </c:pt>
                <c:pt idx="42">
                  <c:v>43160</c:v>
                </c:pt>
                <c:pt idx="43">
                  <c:v>43161</c:v>
                </c:pt>
                <c:pt idx="44">
                  <c:v>43166</c:v>
                </c:pt>
                <c:pt idx="45">
                  <c:v>43167</c:v>
                </c:pt>
                <c:pt idx="46">
                  <c:v>43168</c:v>
                </c:pt>
                <c:pt idx="47">
                  <c:v>43171</c:v>
                </c:pt>
                <c:pt idx="48">
                  <c:v>43172</c:v>
                </c:pt>
                <c:pt idx="49">
                  <c:v>43173</c:v>
                </c:pt>
                <c:pt idx="50">
                  <c:v>43174</c:v>
                </c:pt>
                <c:pt idx="51">
                  <c:v>43175</c:v>
                </c:pt>
                <c:pt idx="52">
                  <c:v>43178</c:v>
                </c:pt>
                <c:pt idx="53">
                  <c:v>43179</c:v>
                </c:pt>
                <c:pt idx="54">
                  <c:v>43180</c:v>
                </c:pt>
                <c:pt idx="55">
                  <c:v>43181</c:v>
                </c:pt>
                <c:pt idx="56">
                  <c:v>43182</c:v>
                </c:pt>
                <c:pt idx="57">
                  <c:v>43185</c:v>
                </c:pt>
                <c:pt idx="58">
                  <c:v>43186</c:v>
                </c:pt>
                <c:pt idx="59">
                  <c:v>43187</c:v>
                </c:pt>
                <c:pt idx="60">
                  <c:v>43188</c:v>
                </c:pt>
                <c:pt idx="61">
                  <c:v>43193</c:v>
                </c:pt>
                <c:pt idx="62">
                  <c:v>43194</c:v>
                </c:pt>
                <c:pt idx="63">
                  <c:v>43195</c:v>
                </c:pt>
                <c:pt idx="64">
                  <c:v>43200</c:v>
                </c:pt>
                <c:pt idx="65">
                  <c:v>43201</c:v>
                </c:pt>
                <c:pt idx="66">
                  <c:v>43202</c:v>
                </c:pt>
                <c:pt idx="67">
                  <c:v>43203</c:v>
                </c:pt>
                <c:pt idx="68">
                  <c:v>43206</c:v>
                </c:pt>
                <c:pt idx="69">
                  <c:v>43207</c:v>
                </c:pt>
                <c:pt idx="70">
                  <c:v>43208</c:v>
                </c:pt>
                <c:pt idx="71">
                  <c:v>43209</c:v>
                </c:pt>
                <c:pt idx="72">
                  <c:v>43210</c:v>
                </c:pt>
                <c:pt idx="73">
                  <c:v>43213</c:v>
                </c:pt>
                <c:pt idx="74">
                  <c:v>43214</c:v>
                </c:pt>
                <c:pt idx="75">
                  <c:v>43215</c:v>
                </c:pt>
                <c:pt idx="76">
                  <c:v>43216</c:v>
                </c:pt>
                <c:pt idx="77">
                  <c:v>43217</c:v>
                </c:pt>
                <c:pt idx="78">
                  <c:v>43220</c:v>
                </c:pt>
                <c:pt idx="79">
                  <c:v>43222</c:v>
                </c:pt>
                <c:pt idx="80">
                  <c:v>43223</c:v>
                </c:pt>
                <c:pt idx="81">
                  <c:v>43224</c:v>
                </c:pt>
                <c:pt idx="82">
                  <c:v>43228</c:v>
                </c:pt>
                <c:pt idx="83">
                  <c:v>43229</c:v>
                </c:pt>
                <c:pt idx="84">
                  <c:v>43230</c:v>
                </c:pt>
                <c:pt idx="85">
                  <c:v>43231</c:v>
                </c:pt>
                <c:pt idx="86">
                  <c:v>43234</c:v>
                </c:pt>
                <c:pt idx="87">
                  <c:v>43235</c:v>
                </c:pt>
                <c:pt idx="88">
                  <c:v>43236</c:v>
                </c:pt>
                <c:pt idx="89">
                  <c:v>43237</c:v>
                </c:pt>
                <c:pt idx="90">
                  <c:v>43238</c:v>
                </c:pt>
                <c:pt idx="91">
                  <c:v>43241</c:v>
                </c:pt>
                <c:pt idx="92">
                  <c:v>43242</c:v>
                </c:pt>
                <c:pt idx="93">
                  <c:v>43243</c:v>
                </c:pt>
                <c:pt idx="94">
                  <c:v>43245</c:v>
                </c:pt>
                <c:pt idx="95">
                  <c:v>43248</c:v>
                </c:pt>
                <c:pt idx="96">
                  <c:v>43249</c:v>
                </c:pt>
                <c:pt idx="97">
                  <c:v>43250</c:v>
                </c:pt>
                <c:pt idx="98">
                  <c:v>43251</c:v>
                </c:pt>
                <c:pt idx="99">
                  <c:v>43252</c:v>
                </c:pt>
                <c:pt idx="100">
                  <c:v>43255</c:v>
                </c:pt>
                <c:pt idx="101">
                  <c:v>43256</c:v>
                </c:pt>
                <c:pt idx="102">
                  <c:v>43257</c:v>
                </c:pt>
                <c:pt idx="103">
                  <c:v>43258</c:v>
                </c:pt>
                <c:pt idx="104">
                  <c:v>43259</c:v>
                </c:pt>
                <c:pt idx="105">
                  <c:v>43262</c:v>
                </c:pt>
                <c:pt idx="106">
                  <c:v>43263</c:v>
                </c:pt>
                <c:pt idx="107">
                  <c:v>43264</c:v>
                </c:pt>
                <c:pt idx="108">
                  <c:v>43265</c:v>
                </c:pt>
                <c:pt idx="109">
                  <c:v>43266</c:v>
                </c:pt>
                <c:pt idx="110">
                  <c:v>43269</c:v>
                </c:pt>
                <c:pt idx="111">
                  <c:v>43270</c:v>
                </c:pt>
                <c:pt idx="112">
                  <c:v>43271</c:v>
                </c:pt>
                <c:pt idx="113">
                  <c:v>43272</c:v>
                </c:pt>
                <c:pt idx="114">
                  <c:v>43273</c:v>
                </c:pt>
                <c:pt idx="115">
                  <c:v>43276</c:v>
                </c:pt>
                <c:pt idx="116">
                  <c:v>43277</c:v>
                </c:pt>
                <c:pt idx="117">
                  <c:v>43278</c:v>
                </c:pt>
                <c:pt idx="118">
                  <c:v>43279</c:v>
                </c:pt>
                <c:pt idx="119">
                  <c:v>43280</c:v>
                </c:pt>
                <c:pt idx="120">
                  <c:v>43283</c:v>
                </c:pt>
                <c:pt idx="121">
                  <c:v>43284</c:v>
                </c:pt>
                <c:pt idx="122">
                  <c:v>43285</c:v>
                </c:pt>
                <c:pt idx="123">
                  <c:v>43286</c:v>
                </c:pt>
                <c:pt idx="124">
                  <c:v>43287</c:v>
                </c:pt>
                <c:pt idx="125">
                  <c:v>43290</c:v>
                </c:pt>
                <c:pt idx="126">
                  <c:v>43291</c:v>
                </c:pt>
                <c:pt idx="127">
                  <c:v>43292</c:v>
                </c:pt>
                <c:pt idx="128">
                  <c:v>43293</c:v>
                </c:pt>
                <c:pt idx="129">
                  <c:v>43294</c:v>
                </c:pt>
                <c:pt idx="130">
                  <c:v>43297</c:v>
                </c:pt>
                <c:pt idx="131">
                  <c:v>43298</c:v>
                </c:pt>
                <c:pt idx="132">
                  <c:v>43299</c:v>
                </c:pt>
                <c:pt idx="133">
                  <c:v>43300</c:v>
                </c:pt>
                <c:pt idx="134">
                  <c:v>43301</c:v>
                </c:pt>
                <c:pt idx="135">
                  <c:v>43304</c:v>
                </c:pt>
                <c:pt idx="136">
                  <c:v>43305</c:v>
                </c:pt>
                <c:pt idx="137">
                  <c:v>43306</c:v>
                </c:pt>
                <c:pt idx="138">
                  <c:v>43307</c:v>
                </c:pt>
                <c:pt idx="139">
                  <c:v>43308</c:v>
                </c:pt>
                <c:pt idx="140">
                  <c:v>43311</c:v>
                </c:pt>
                <c:pt idx="141">
                  <c:v>43312</c:v>
                </c:pt>
                <c:pt idx="142">
                  <c:v>43313</c:v>
                </c:pt>
                <c:pt idx="143">
                  <c:v>43314</c:v>
                </c:pt>
                <c:pt idx="144">
                  <c:v>43315</c:v>
                </c:pt>
                <c:pt idx="145">
                  <c:v>43318</c:v>
                </c:pt>
                <c:pt idx="146">
                  <c:v>43319</c:v>
                </c:pt>
                <c:pt idx="147">
                  <c:v>43320</c:v>
                </c:pt>
                <c:pt idx="148">
                  <c:v>43321</c:v>
                </c:pt>
                <c:pt idx="149">
                  <c:v>43322</c:v>
                </c:pt>
                <c:pt idx="150">
                  <c:v>43325</c:v>
                </c:pt>
                <c:pt idx="151">
                  <c:v>43326</c:v>
                </c:pt>
                <c:pt idx="152">
                  <c:v>43327</c:v>
                </c:pt>
                <c:pt idx="153">
                  <c:v>43328</c:v>
                </c:pt>
                <c:pt idx="154">
                  <c:v>43329</c:v>
                </c:pt>
                <c:pt idx="155">
                  <c:v>43332</c:v>
                </c:pt>
                <c:pt idx="156">
                  <c:v>43333</c:v>
                </c:pt>
                <c:pt idx="157">
                  <c:v>43334</c:v>
                </c:pt>
                <c:pt idx="158">
                  <c:v>43335</c:v>
                </c:pt>
                <c:pt idx="159">
                  <c:v>43336</c:v>
                </c:pt>
                <c:pt idx="160">
                  <c:v>43339</c:v>
                </c:pt>
                <c:pt idx="161">
                  <c:v>43340</c:v>
                </c:pt>
                <c:pt idx="162">
                  <c:v>43341</c:v>
                </c:pt>
                <c:pt idx="163">
                  <c:v>43342</c:v>
                </c:pt>
                <c:pt idx="164">
                  <c:v>43343</c:v>
                </c:pt>
                <c:pt idx="165">
                  <c:v>43346</c:v>
                </c:pt>
                <c:pt idx="166">
                  <c:v>43347</c:v>
                </c:pt>
                <c:pt idx="167">
                  <c:v>43348</c:v>
                </c:pt>
                <c:pt idx="168">
                  <c:v>43350</c:v>
                </c:pt>
                <c:pt idx="169">
                  <c:v>43353</c:v>
                </c:pt>
                <c:pt idx="170">
                  <c:v>43354</c:v>
                </c:pt>
                <c:pt idx="171">
                  <c:v>43355</c:v>
                </c:pt>
                <c:pt idx="172">
                  <c:v>43356</c:v>
                </c:pt>
                <c:pt idx="173">
                  <c:v>43357</c:v>
                </c:pt>
                <c:pt idx="174">
                  <c:v>43360</c:v>
                </c:pt>
                <c:pt idx="175">
                  <c:v>43361</c:v>
                </c:pt>
                <c:pt idx="176">
                  <c:v>43362</c:v>
                </c:pt>
                <c:pt idx="177">
                  <c:v>43363</c:v>
                </c:pt>
                <c:pt idx="178">
                  <c:v>43364</c:v>
                </c:pt>
                <c:pt idx="179">
                  <c:v>43368</c:v>
                </c:pt>
                <c:pt idx="180">
                  <c:v>43369</c:v>
                </c:pt>
                <c:pt idx="181">
                  <c:v>43370</c:v>
                </c:pt>
                <c:pt idx="182">
                  <c:v>43371</c:v>
                </c:pt>
                <c:pt idx="183">
                  <c:v>43374</c:v>
                </c:pt>
                <c:pt idx="184">
                  <c:v>43375</c:v>
                </c:pt>
                <c:pt idx="185">
                  <c:v>43376</c:v>
                </c:pt>
                <c:pt idx="186">
                  <c:v>43377</c:v>
                </c:pt>
                <c:pt idx="187">
                  <c:v>43378</c:v>
                </c:pt>
                <c:pt idx="188">
                  <c:v>43381</c:v>
                </c:pt>
                <c:pt idx="189">
                  <c:v>43382</c:v>
                </c:pt>
                <c:pt idx="190">
                  <c:v>43383</c:v>
                </c:pt>
                <c:pt idx="191">
                  <c:v>43384</c:v>
                </c:pt>
                <c:pt idx="192">
                  <c:v>43385</c:v>
                </c:pt>
                <c:pt idx="193">
                  <c:v>43388</c:v>
                </c:pt>
                <c:pt idx="194">
                  <c:v>43389</c:v>
                </c:pt>
                <c:pt idx="195">
                  <c:v>43390</c:v>
                </c:pt>
                <c:pt idx="196">
                  <c:v>43391</c:v>
                </c:pt>
                <c:pt idx="197">
                  <c:v>43392</c:v>
                </c:pt>
                <c:pt idx="198">
                  <c:v>43395</c:v>
                </c:pt>
                <c:pt idx="199">
                  <c:v>43396</c:v>
                </c:pt>
                <c:pt idx="200">
                  <c:v>43397</c:v>
                </c:pt>
                <c:pt idx="201">
                  <c:v>43398</c:v>
                </c:pt>
                <c:pt idx="202">
                  <c:v>43399</c:v>
                </c:pt>
                <c:pt idx="203">
                  <c:v>43402</c:v>
                </c:pt>
                <c:pt idx="204">
                  <c:v>43403</c:v>
                </c:pt>
                <c:pt idx="205">
                  <c:v>43404</c:v>
                </c:pt>
                <c:pt idx="206">
                  <c:v>43405</c:v>
                </c:pt>
                <c:pt idx="207">
                  <c:v>43406</c:v>
                </c:pt>
                <c:pt idx="208">
                  <c:v>43409</c:v>
                </c:pt>
                <c:pt idx="209">
                  <c:v>43410</c:v>
                </c:pt>
                <c:pt idx="210">
                  <c:v>43411</c:v>
                </c:pt>
                <c:pt idx="211">
                  <c:v>43412</c:v>
                </c:pt>
                <c:pt idx="212">
                  <c:v>43413</c:v>
                </c:pt>
                <c:pt idx="213">
                  <c:v>43416</c:v>
                </c:pt>
                <c:pt idx="214">
                  <c:v>43417</c:v>
                </c:pt>
                <c:pt idx="215">
                  <c:v>43418</c:v>
                </c:pt>
                <c:pt idx="216">
                  <c:v>43419</c:v>
                </c:pt>
                <c:pt idx="217">
                  <c:v>43420</c:v>
                </c:pt>
                <c:pt idx="218">
                  <c:v>43423</c:v>
                </c:pt>
                <c:pt idx="219">
                  <c:v>43424</c:v>
                </c:pt>
                <c:pt idx="220">
                  <c:v>43425</c:v>
                </c:pt>
                <c:pt idx="221">
                  <c:v>43426</c:v>
                </c:pt>
                <c:pt idx="222">
                  <c:v>43427</c:v>
                </c:pt>
                <c:pt idx="223">
                  <c:v>43430</c:v>
                </c:pt>
                <c:pt idx="224">
                  <c:v>43431</c:v>
                </c:pt>
                <c:pt idx="225">
                  <c:v>43432</c:v>
                </c:pt>
                <c:pt idx="226">
                  <c:v>43433</c:v>
                </c:pt>
                <c:pt idx="227">
                  <c:v>43434</c:v>
                </c:pt>
                <c:pt idx="228">
                  <c:v>43437</c:v>
                </c:pt>
                <c:pt idx="229">
                  <c:v>43438</c:v>
                </c:pt>
                <c:pt idx="230">
                  <c:v>43439</c:v>
                </c:pt>
                <c:pt idx="231">
                  <c:v>43440</c:v>
                </c:pt>
                <c:pt idx="232">
                  <c:v>43441</c:v>
                </c:pt>
                <c:pt idx="233">
                  <c:v>43444</c:v>
                </c:pt>
                <c:pt idx="234">
                  <c:v>43445</c:v>
                </c:pt>
                <c:pt idx="235">
                  <c:v>43446</c:v>
                </c:pt>
                <c:pt idx="236">
                  <c:v>43447</c:v>
                </c:pt>
                <c:pt idx="237">
                  <c:v>43448</c:v>
                </c:pt>
                <c:pt idx="238">
                  <c:v>43451</c:v>
                </c:pt>
                <c:pt idx="239">
                  <c:v>43452</c:v>
                </c:pt>
                <c:pt idx="240">
                  <c:v>43453</c:v>
                </c:pt>
                <c:pt idx="241">
                  <c:v>43454</c:v>
                </c:pt>
                <c:pt idx="242">
                  <c:v>43455</c:v>
                </c:pt>
                <c:pt idx="243">
                  <c:v>43461</c:v>
                </c:pt>
                <c:pt idx="244">
                  <c:v>43462</c:v>
                </c:pt>
              </c:numCache>
            </c:numRef>
          </c:cat>
          <c:val>
            <c:numRef>
              <c:f>indices!$E$253:$E$497</c:f>
              <c:numCache>
                <c:formatCode>General</c:formatCode>
                <c:ptCount val="245"/>
                <c:pt idx="0">
                  <c:v>116.48</c:v>
                </c:pt>
                <c:pt idx="1">
                  <c:v>116.27</c:v>
                </c:pt>
                <c:pt idx="2">
                  <c:v>116.69</c:v>
                </c:pt>
                <c:pt idx="3">
                  <c:v>116.57</c:v>
                </c:pt>
                <c:pt idx="4">
                  <c:v>116.66999999999999</c:v>
                </c:pt>
                <c:pt idx="5">
                  <c:v>116.66999999999999</c:v>
                </c:pt>
                <c:pt idx="6">
                  <c:v>116.88</c:v>
                </c:pt>
                <c:pt idx="7">
                  <c:v>117.19</c:v>
                </c:pt>
                <c:pt idx="8">
                  <c:v>116.36</c:v>
                </c:pt>
                <c:pt idx="9">
                  <c:v>117.01</c:v>
                </c:pt>
                <c:pt idx="10">
                  <c:v>117.16</c:v>
                </c:pt>
                <c:pt idx="11">
                  <c:v>116.95</c:v>
                </c:pt>
                <c:pt idx="12">
                  <c:v>116.95</c:v>
                </c:pt>
                <c:pt idx="13">
                  <c:v>116.95</c:v>
                </c:pt>
                <c:pt idx="14">
                  <c:v>116.72</c:v>
                </c:pt>
                <c:pt idx="15">
                  <c:v>116.2</c:v>
                </c:pt>
                <c:pt idx="16">
                  <c:v>116.2</c:v>
                </c:pt>
                <c:pt idx="17">
                  <c:v>116.09</c:v>
                </c:pt>
                <c:pt idx="18">
                  <c:v>116.09</c:v>
                </c:pt>
                <c:pt idx="19">
                  <c:v>116.2</c:v>
                </c:pt>
                <c:pt idx="20">
                  <c:v>116.09</c:v>
                </c:pt>
                <c:pt idx="21">
                  <c:v>115.41000000000005</c:v>
                </c:pt>
                <c:pt idx="22">
                  <c:v>114.58</c:v>
                </c:pt>
                <c:pt idx="23">
                  <c:v>115.2</c:v>
                </c:pt>
                <c:pt idx="24">
                  <c:v>115.23</c:v>
                </c:pt>
                <c:pt idx="25">
                  <c:v>114.5</c:v>
                </c:pt>
                <c:pt idx="26">
                  <c:v>114.5</c:v>
                </c:pt>
                <c:pt idx="27">
                  <c:v>114.4</c:v>
                </c:pt>
                <c:pt idx="28">
                  <c:v>114.19</c:v>
                </c:pt>
                <c:pt idx="29">
                  <c:v>114.02</c:v>
                </c:pt>
                <c:pt idx="30">
                  <c:v>114.97</c:v>
                </c:pt>
                <c:pt idx="31">
                  <c:v>115.2</c:v>
                </c:pt>
                <c:pt idx="32">
                  <c:v>115.09</c:v>
                </c:pt>
                <c:pt idx="33">
                  <c:v>115.6</c:v>
                </c:pt>
                <c:pt idx="34">
                  <c:v>115.71000000000002</c:v>
                </c:pt>
                <c:pt idx="35">
                  <c:v>114.98</c:v>
                </c:pt>
                <c:pt idx="36">
                  <c:v>115.59</c:v>
                </c:pt>
                <c:pt idx="37">
                  <c:v>114.86</c:v>
                </c:pt>
                <c:pt idx="38">
                  <c:v>114.64999999999999</c:v>
                </c:pt>
                <c:pt idx="39">
                  <c:v>114.9</c:v>
                </c:pt>
                <c:pt idx="40">
                  <c:v>116.36</c:v>
                </c:pt>
                <c:pt idx="41">
                  <c:v>116.52</c:v>
                </c:pt>
                <c:pt idx="42">
                  <c:v>116</c:v>
                </c:pt>
                <c:pt idx="43">
                  <c:v>115.69</c:v>
                </c:pt>
                <c:pt idx="44">
                  <c:v>116.52</c:v>
                </c:pt>
                <c:pt idx="45">
                  <c:v>116.21000000000002</c:v>
                </c:pt>
                <c:pt idx="46">
                  <c:v>116.32</c:v>
                </c:pt>
                <c:pt idx="47">
                  <c:v>116.73</c:v>
                </c:pt>
                <c:pt idx="48">
                  <c:v>116.32</c:v>
                </c:pt>
                <c:pt idx="49">
                  <c:v>116.69</c:v>
                </c:pt>
                <c:pt idx="50">
                  <c:v>116.69</c:v>
                </c:pt>
                <c:pt idx="51">
                  <c:v>116.69</c:v>
                </c:pt>
                <c:pt idx="52">
                  <c:v>116.41000000000005</c:v>
                </c:pt>
                <c:pt idx="53">
                  <c:v>116</c:v>
                </c:pt>
                <c:pt idx="54">
                  <c:v>116.36999999999999</c:v>
                </c:pt>
                <c:pt idx="55">
                  <c:v>116.7</c:v>
                </c:pt>
                <c:pt idx="56">
                  <c:v>115.92</c:v>
                </c:pt>
                <c:pt idx="57">
                  <c:v>115.8</c:v>
                </c:pt>
                <c:pt idx="58">
                  <c:v>115.61</c:v>
                </c:pt>
                <c:pt idx="59">
                  <c:v>115.38</c:v>
                </c:pt>
                <c:pt idx="60">
                  <c:v>114.93</c:v>
                </c:pt>
                <c:pt idx="61">
                  <c:v>115.02</c:v>
                </c:pt>
                <c:pt idx="62">
                  <c:v>114.92</c:v>
                </c:pt>
                <c:pt idx="63">
                  <c:v>116.06</c:v>
                </c:pt>
                <c:pt idx="64">
                  <c:v>115.49000000000002</c:v>
                </c:pt>
                <c:pt idx="65">
                  <c:v>115.14999999999999</c:v>
                </c:pt>
                <c:pt idx="66">
                  <c:v>114.83</c:v>
                </c:pt>
                <c:pt idx="67">
                  <c:v>114.26</c:v>
                </c:pt>
                <c:pt idx="68">
                  <c:v>115.21000000000002</c:v>
                </c:pt>
                <c:pt idx="69">
                  <c:v>115.19</c:v>
                </c:pt>
                <c:pt idx="70">
                  <c:v>114.99000000000002</c:v>
                </c:pt>
                <c:pt idx="71">
                  <c:v>115.8</c:v>
                </c:pt>
                <c:pt idx="72">
                  <c:v>114.99000000000002</c:v>
                </c:pt>
                <c:pt idx="73">
                  <c:v>115.75</c:v>
                </c:pt>
                <c:pt idx="74">
                  <c:v>115.52</c:v>
                </c:pt>
                <c:pt idx="75">
                  <c:v>115.67999999999998</c:v>
                </c:pt>
                <c:pt idx="76">
                  <c:v>115.8</c:v>
                </c:pt>
                <c:pt idx="77">
                  <c:v>115.53</c:v>
                </c:pt>
                <c:pt idx="78">
                  <c:v>115.52</c:v>
                </c:pt>
                <c:pt idx="79">
                  <c:v>115.63</c:v>
                </c:pt>
                <c:pt idx="80">
                  <c:v>115.41000000000005</c:v>
                </c:pt>
                <c:pt idx="81">
                  <c:v>114.73</c:v>
                </c:pt>
                <c:pt idx="82">
                  <c:v>115.19</c:v>
                </c:pt>
                <c:pt idx="83">
                  <c:v>115.4</c:v>
                </c:pt>
                <c:pt idx="84">
                  <c:v>115.53</c:v>
                </c:pt>
                <c:pt idx="85">
                  <c:v>115.4</c:v>
                </c:pt>
                <c:pt idx="86">
                  <c:v>114.86999999999999</c:v>
                </c:pt>
                <c:pt idx="87">
                  <c:v>115.21000000000002</c:v>
                </c:pt>
                <c:pt idx="88">
                  <c:v>114.88</c:v>
                </c:pt>
                <c:pt idx="89">
                  <c:v>115.11</c:v>
                </c:pt>
                <c:pt idx="90">
                  <c:v>115.44000000000005</c:v>
                </c:pt>
                <c:pt idx="91">
                  <c:v>115.44000000000005</c:v>
                </c:pt>
                <c:pt idx="92">
                  <c:v>114.77</c:v>
                </c:pt>
                <c:pt idx="93">
                  <c:v>114.88</c:v>
                </c:pt>
                <c:pt idx="94">
                  <c:v>114.77</c:v>
                </c:pt>
                <c:pt idx="95">
                  <c:v>115.49000000000002</c:v>
                </c:pt>
                <c:pt idx="96">
                  <c:v>115.14999999999999</c:v>
                </c:pt>
                <c:pt idx="97">
                  <c:v>115.75</c:v>
                </c:pt>
                <c:pt idx="98">
                  <c:v>115.47</c:v>
                </c:pt>
                <c:pt idx="99">
                  <c:v>115.36999999999999</c:v>
                </c:pt>
                <c:pt idx="100">
                  <c:v>115.25</c:v>
                </c:pt>
                <c:pt idx="101">
                  <c:v>115.59</c:v>
                </c:pt>
                <c:pt idx="102">
                  <c:v>115.48</c:v>
                </c:pt>
                <c:pt idx="103">
                  <c:v>115.25</c:v>
                </c:pt>
                <c:pt idx="104">
                  <c:v>114.74000000000002</c:v>
                </c:pt>
                <c:pt idx="105">
                  <c:v>114.74000000000002</c:v>
                </c:pt>
                <c:pt idx="106">
                  <c:v>114.63</c:v>
                </c:pt>
                <c:pt idx="107">
                  <c:v>114.51</c:v>
                </c:pt>
                <c:pt idx="108">
                  <c:v>114.51</c:v>
                </c:pt>
                <c:pt idx="109">
                  <c:v>114.51</c:v>
                </c:pt>
                <c:pt idx="110">
                  <c:v>114.16</c:v>
                </c:pt>
                <c:pt idx="111">
                  <c:v>114.29</c:v>
                </c:pt>
                <c:pt idx="112">
                  <c:v>114.53</c:v>
                </c:pt>
                <c:pt idx="113">
                  <c:v>114.64999999999999</c:v>
                </c:pt>
                <c:pt idx="114">
                  <c:v>115.16</c:v>
                </c:pt>
                <c:pt idx="115">
                  <c:v>115.4</c:v>
                </c:pt>
                <c:pt idx="116">
                  <c:v>114.86999999999999</c:v>
                </c:pt>
                <c:pt idx="117">
                  <c:v>115.16</c:v>
                </c:pt>
                <c:pt idx="118">
                  <c:v>115.48</c:v>
                </c:pt>
                <c:pt idx="119">
                  <c:v>116.21000000000002</c:v>
                </c:pt>
                <c:pt idx="120">
                  <c:v>115.88</c:v>
                </c:pt>
                <c:pt idx="121">
                  <c:v>116.4</c:v>
                </c:pt>
                <c:pt idx="122">
                  <c:v>116.21000000000002</c:v>
                </c:pt>
                <c:pt idx="123">
                  <c:v>115.86</c:v>
                </c:pt>
                <c:pt idx="124">
                  <c:v>116.11</c:v>
                </c:pt>
                <c:pt idx="125">
                  <c:v>115.99000000000002</c:v>
                </c:pt>
                <c:pt idx="126">
                  <c:v>115.97</c:v>
                </c:pt>
                <c:pt idx="127">
                  <c:v>115.64999999999999</c:v>
                </c:pt>
                <c:pt idx="128">
                  <c:v>116.06</c:v>
                </c:pt>
                <c:pt idx="129">
                  <c:v>116.16999999999999</c:v>
                </c:pt>
                <c:pt idx="130">
                  <c:v>116.16999999999999</c:v>
                </c:pt>
                <c:pt idx="131">
                  <c:v>116.49000000000002</c:v>
                </c:pt>
                <c:pt idx="132">
                  <c:v>116.36</c:v>
                </c:pt>
                <c:pt idx="133">
                  <c:v>116.54</c:v>
                </c:pt>
                <c:pt idx="134">
                  <c:v>116.54</c:v>
                </c:pt>
                <c:pt idx="135">
                  <c:v>115.97</c:v>
                </c:pt>
                <c:pt idx="136">
                  <c:v>116.44000000000005</c:v>
                </c:pt>
                <c:pt idx="137">
                  <c:v>116.44000000000005</c:v>
                </c:pt>
                <c:pt idx="138">
                  <c:v>116.44000000000005</c:v>
                </c:pt>
                <c:pt idx="139">
                  <c:v>116.44000000000005</c:v>
                </c:pt>
                <c:pt idx="140">
                  <c:v>115.86</c:v>
                </c:pt>
                <c:pt idx="141">
                  <c:v>115.86</c:v>
                </c:pt>
                <c:pt idx="142">
                  <c:v>115.85</c:v>
                </c:pt>
                <c:pt idx="143">
                  <c:v>115.96000000000002</c:v>
                </c:pt>
                <c:pt idx="144">
                  <c:v>116.08</c:v>
                </c:pt>
                <c:pt idx="145">
                  <c:v>115.96000000000002</c:v>
                </c:pt>
                <c:pt idx="146">
                  <c:v>115.96000000000002</c:v>
                </c:pt>
                <c:pt idx="147">
                  <c:v>115.96000000000002</c:v>
                </c:pt>
                <c:pt idx="148">
                  <c:v>115.74000000000002</c:v>
                </c:pt>
                <c:pt idx="149">
                  <c:v>115.63</c:v>
                </c:pt>
                <c:pt idx="150">
                  <c:v>115.51</c:v>
                </c:pt>
                <c:pt idx="151">
                  <c:v>115.51</c:v>
                </c:pt>
                <c:pt idx="152">
                  <c:v>115.63</c:v>
                </c:pt>
                <c:pt idx="153">
                  <c:v>115.86999999999999</c:v>
                </c:pt>
                <c:pt idx="154">
                  <c:v>116.47</c:v>
                </c:pt>
                <c:pt idx="155">
                  <c:v>116.72</c:v>
                </c:pt>
                <c:pt idx="156">
                  <c:v>116.47</c:v>
                </c:pt>
                <c:pt idx="157">
                  <c:v>116.03</c:v>
                </c:pt>
                <c:pt idx="158">
                  <c:v>116.5</c:v>
                </c:pt>
                <c:pt idx="159">
                  <c:v>116.47</c:v>
                </c:pt>
                <c:pt idx="160">
                  <c:v>116.83</c:v>
                </c:pt>
                <c:pt idx="161">
                  <c:v>116.78</c:v>
                </c:pt>
                <c:pt idx="162">
                  <c:v>116.77</c:v>
                </c:pt>
                <c:pt idx="163">
                  <c:v>116.88</c:v>
                </c:pt>
                <c:pt idx="164">
                  <c:v>117.08</c:v>
                </c:pt>
                <c:pt idx="165">
                  <c:v>117.08</c:v>
                </c:pt>
                <c:pt idx="166">
                  <c:v>117.2</c:v>
                </c:pt>
                <c:pt idx="167">
                  <c:v>116.86</c:v>
                </c:pt>
                <c:pt idx="168">
                  <c:v>117.19</c:v>
                </c:pt>
                <c:pt idx="169">
                  <c:v>117.08</c:v>
                </c:pt>
                <c:pt idx="170">
                  <c:v>117.06</c:v>
                </c:pt>
                <c:pt idx="171">
                  <c:v>117.13</c:v>
                </c:pt>
                <c:pt idx="172">
                  <c:v>117.13</c:v>
                </c:pt>
                <c:pt idx="173">
                  <c:v>116.88</c:v>
                </c:pt>
                <c:pt idx="174">
                  <c:v>116.66</c:v>
                </c:pt>
                <c:pt idx="175">
                  <c:v>117.36999999999999</c:v>
                </c:pt>
                <c:pt idx="176">
                  <c:v>117.14999999999999</c:v>
                </c:pt>
                <c:pt idx="177">
                  <c:v>117.04</c:v>
                </c:pt>
                <c:pt idx="178">
                  <c:v>117.04</c:v>
                </c:pt>
                <c:pt idx="179">
                  <c:v>117.39</c:v>
                </c:pt>
                <c:pt idx="180">
                  <c:v>117.27</c:v>
                </c:pt>
                <c:pt idx="181">
                  <c:v>117.16</c:v>
                </c:pt>
                <c:pt idx="182">
                  <c:v>117.79</c:v>
                </c:pt>
                <c:pt idx="183">
                  <c:v>118.14999999999999</c:v>
                </c:pt>
                <c:pt idx="184">
                  <c:v>117.9</c:v>
                </c:pt>
                <c:pt idx="185">
                  <c:v>117.26</c:v>
                </c:pt>
                <c:pt idx="186">
                  <c:v>117.72</c:v>
                </c:pt>
                <c:pt idx="187">
                  <c:v>117.61</c:v>
                </c:pt>
                <c:pt idx="188">
                  <c:v>117.64999999999999</c:v>
                </c:pt>
                <c:pt idx="189">
                  <c:v>117.64999999999999</c:v>
                </c:pt>
                <c:pt idx="190">
                  <c:v>117.88</c:v>
                </c:pt>
                <c:pt idx="191">
                  <c:v>117.3</c:v>
                </c:pt>
                <c:pt idx="192">
                  <c:v>117.17999999999998</c:v>
                </c:pt>
                <c:pt idx="193">
                  <c:v>116.94000000000005</c:v>
                </c:pt>
                <c:pt idx="194">
                  <c:v>117.36</c:v>
                </c:pt>
                <c:pt idx="195">
                  <c:v>117.16</c:v>
                </c:pt>
                <c:pt idx="196">
                  <c:v>116.8</c:v>
                </c:pt>
                <c:pt idx="197">
                  <c:v>117.14999999999999</c:v>
                </c:pt>
                <c:pt idx="198">
                  <c:v>117.03</c:v>
                </c:pt>
                <c:pt idx="199">
                  <c:v>116.45</c:v>
                </c:pt>
                <c:pt idx="200">
                  <c:v>116.45</c:v>
                </c:pt>
                <c:pt idx="201">
                  <c:v>116.39</c:v>
                </c:pt>
                <c:pt idx="202">
                  <c:v>116.45</c:v>
                </c:pt>
                <c:pt idx="203">
                  <c:v>117.26</c:v>
                </c:pt>
                <c:pt idx="204">
                  <c:v>117.03</c:v>
                </c:pt>
                <c:pt idx="205">
                  <c:v>117.23</c:v>
                </c:pt>
                <c:pt idx="206">
                  <c:v>117.17999999999998</c:v>
                </c:pt>
                <c:pt idx="207">
                  <c:v>116.99000000000002</c:v>
                </c:pt>
                <c:pt idx="208">
                  <c:v>117.11</c:v>
                </c:pt>
                <c:pt idx="209">
                  <c:v>117.23</c:v>
                </c:pt>
                <c:pt idx="210">
                  <c:v>117.47</c:v>
                </c:pt>
                <c:pt idx="211">
                  <c:v>117.47</c:v>
                </c:pt>
                <c:pt idx="212">
                  <c:v>117.47</c:v>
                </c:pt>
                <c:pt idx="213">
                  <c:v>117.23</c:v>
                </c:pt>
                <c:pt idx="214">
                  <c:v>117.05</c:v>
                </c:pt>
                <c:pt idx="215">
                  <c:v>116.99000000000002</c:v>
                </c:pt>
                <c:pt idx="216">
                  <c:v>117.35</c:v>
                </c:pt>
                <c:pt idx="217">
                  <c:v>117.23</c:v>
                </c:pt>
                <c:pt idx="218">
                  <c:v>117.16999999999999</c:v>
                </c:pt>
                <c:pt idx="219">
                  <c:v>116.75</c:v>
                </c:pt>
                <c:pt idx="220">
                  <c:v>117.11</c:v>
                </c:pt>
                <c:pt idx="221">
                  <c:v>117.35</c:v>
                </c:pt>
                <c:pt idx="222">
                  <c:v>117.35</c:v>
                </c:pt>
                <c:pt idx="223">
                  <c:v>117.16999999999999</c:v>
                </c:pt>
                <c:pt idx="224">
                  <c:v>116.48</c:v>
                </c:pt>
                <c:pt idx="225">
                  <c:v>116.6</c:v>
                </c:pt>
                <c:pt idx="226">
                  <c:v>116.89</c:v>
                </c:pt>
                <c:pt idx="227">
                  <c:v>117.46000000000002</c:v>
                </c:pt>
                <c:pt idx="228">
                  <c:v>117.69</c:v>
                </c:pt>
                <c:pt idx="229">
                  <c:v>117.58</c:v>
                </c:pt>
                <c:pt idx="230">
                  <c:v>117.47</c:v>
                </c:pt>
                <c:pt idx="231">
                  <c:v>117.8</c:v>
                </c:pt>
                <c:pt idx="232">
                  <c:v>117.8</c:v>
                </c:pt>
                <c:pt idx="233">
                  <c:v>117.67999999999998</c:v>
                </c:pt>
                <c:pt idx="234">
                  <c:v>117.91000000000005</c:v>
                </c:pt>
                <c:pt idx="235">
                  <c:v>117.85</c:v>
                </c:pt>
                <c:pt idx="236">
                  <c:v>118.03</c:v>
                </c:pt>
                <c:pt idx="237">
                  <c:v>118.03</c:v>
                </c:pt>
                <c:pt idx="238">
                  <c:v>119.34</c:v>
                </c:pt>
                <c:pt idx="239">
                  <c:v>118.4</c:v>
                </c:pt>
                <c:pt idx="240">
                  <c:v>118.34</c:v>
                </c:pt>
                <c:pt idx="241">
                  <c:v>118.29</c:v>
                </c:pt>
                <c:pt idx="242">
                  <c:v>119.5</c:v>
                </c:pt>
                <c:pt idx="243">
                  <c:v>119.5</c:v>
                </c:pt>
                <c:pt idx="244">
                  <c:v>121.07</c:v>
                </c:pt>
              </c:numCache>
            </c:numRef>
          </c:val>
          <c:extLst>
            <c:ext xmlns:c16="http://schemas.microsoft.com/office/drawing/2014/chart" uri="{C3380CC4-5D6E-409C-BE32-E72D297353CC}">
              <c16:uniqueId val="{00000000-5B25-4CE7-AFBA-54DC7BBEE366}"/>
            </c:ext>
          </c:extLst>
        </c:ser>
        <c:dLbls>
          <c:showLegendKey val="0"/>
          <c:showVal val="0"/>
          <c:showCatName val="0"/>
          <c:showSerName val="0"/>
          <c:showPercent val="0"/>
          <c:showBubbleSize val="0"/>
        </c:dLbls>
        <c:axId val="411825744"/>
        <c:axId val="411832816"/>
      </c:areaChart>
      <c:dateAx>
        <c:axId val="41182574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mn-cs"/>
              </a:defRPr>
            </a:pPr>
            <a:endParaRPr lang="bg-BG"/>
          </a:p>
        </c:txPr>
        <c:crossAx val="411832816"/>
        <c:crosses val="autoZero"/>
        <c:auto val="1"/>
        <c:lblOffset val="100"/>
        <c:baseTimeUnit val="days"/>
      </c:dateAx>
      <c:valAx>
        <c:axId val="41183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Calibri" panose="020F0502020204030204" pitchFamily="34" charset="0"/>
                <a:ea typeface="+mn-ea"/>
                <a:cs typeface="+mn-cs"/>
              </a:defRPr>
            </a:pPr>
            <a:endParaRPr lang="bg-BG"/>
          </a:p>
        </c:txPr>
        <c:crossAx val="411825744"/>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Calibri" panose="020F0502020204030204" pitchFamily="34" charset="0"/>
        </a:defRPr>
      </a:pPr>
      <a:endParaRPr lang="bg-BG"/>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91E96-BB9B-49A7-9E1A-26FB7F3CA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63</Pages>
  <Words>20755</Words>
  <Characters>118309</Characters>
  <Application>Microsoft Office Word</Application>
  <DocSecurity>0</DocSecurity>
  <Lines>985</Lines>
  <Paragraphs>277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Годишен отчет на БФБ-София АД за 2011 г.</vt:lpstr>
      <vt:lpstr>Годишен отчет на БФБ-София АД за 2011 г.</vt:lpstr>
    </vt:vector>
  </TitlesOfParts>
  <Company>AFA OOD</Company>
  <LinksUpToDate>false</LinksUpToDate>
  <CharactersWithSpaces>138787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отчет на БФБ-София АД за 2011 г.</dc:title>
  <dc:subject>Годишен отчет за дейността на Българска фондова борса - София АД за 2011 г.</dc:subject>
  <dc:creator>Иво Станков</dc:creator>
  <cp:lastModifiedBy>James Wolf</cp:lastModifiedBy>
  <cp:revision>8</cp:revision>
  <cp:lastPrinted>2019-04-23T11:59:00Z</cp:lastPrinted>
  <dcterms:created xsi:type="dcterms:W3CDTF">2019-04-22T11:59:00Z</dcterms:created>
  <dcterms:modified xsi:type="dcterms:W3CDTF">2019-04-24T08:30:00Z</dcterms:modified>
</cp:coreProperties>
</file>