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D2E" w14:textId="77777777" w:rsidR="00747127" w:rsidRPr="00816B5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A29C9A" w14:textId="77777777" w:rsidR="00A6104E" w:rsidRPr="00816B5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746CF5" w14:textId="690F9F05" w:rsidR="003A5CB3" w:rsidRPr="00816B5B" w:rsidRDefault="00D168E6" w:rsidP="003A5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816B5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3A5CB3" w:rsidRPr="003A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5CB3" w:rsidRPr="00816B5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705EB98D" w14:textId="544C6C04" w:rsidR="00B56ADD" w:rsidRDefault="00B56ADD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461F69" w14:textId="12D8A63B" w:rsidR="003A5CB3" w:rsidRDefault="00DC373B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ДОПУСКАНЕ ДО ТЪРГОВИЯ </w:t>
      </w:r>
      <w:r w:rsidR="003A5CB3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3C61AC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093068FC" w14:textId="699A9272" w:rsidR="003C61AC" w:rsidRPr="00816B5B" w:rsidRDefault="00DC373B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r w:rsidR="003C61AC">
        <w:rPr>
          <w:rFonts w:ascii="Times New Roman" w:hAnsi="Times New Roman" w:cs="Times New Roman"/>
          <w:b/>
          <w:i/>
          <w:sz w:val="28"/>
          <w:szCs w:val="28"/>
        </w:rPr>
        <w:t>ОБЛИГАЦИИ</w:t>
      </w:r>
    </w:p>
    <w:p w14:paraId="363B127B" w14:textId="77777777" w:rsidR="00FF7472" w:rsidRPr="00816B5B" w:rsidRDefault="00FF7472" w:rsidP="002276FD">
      <w:pPr>
        <w:pStyle w:val="Default"/>
        <w:rPr>
          <w:i/>
          <w:color w:val="auto"/>
        </w:rPr>
      </w:pPr>
    </w:p>
    <w:p w14:paraId="1340DA51" w14:textId="77777777" w:rsidR="00B550A2" w:rsidRPr="00816B5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59"/>
        <w:gridCol w:w="6549"/>
      </w:tblGrid>
      <w:tr w:rsidR="00B550A2" w:rsidRPr="00816B5B" w14:paraId="7E5C9D4D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22E7" w14:textId="3C0D80FE" w:rsidR="00B550A2" w:rsidRPr="00D325F4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емитент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CAB7" w14:textId="6D1A5787" w:rsidR="00B550A2" w:rsidRPr="00D325F4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D325F4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</w:p>
        </w:tc>
      </w:tr>
      <w:tr w:rsidR="00B550A2" w:rsidRPr="00816B5B" w14:paraId="60436744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9679" w14:textId="77777777" w:rsidR="00B550A2" w:rsidRPr="00816B5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7167" w14:textId="269CCC48" w:rsidR="00B550A2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D42158" w:rsidRPr="00816B5B" w14:paraId="05DCCA1D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16F4" w14:textId="68762996" w:rsidR="00D42158" w:rsidRPr="00816B5B" w:rsidRDefault="00D42158" w:rsidP="00DD1421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временната 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54ED" w14:textId="2AC96926" w:rsidR="00D42158" w:rsidRPr="00816B5B" w:rsidRDefault="00E7530F" w:rsidP="00DD1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D42158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816B5B" w14:paraId="48E14158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764B" w14:textId="6855B1E8" w:rsidR="00876AF5" w:rsidRPr="00816B5B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876AF5" w:rsidRPr="00816B5B">
              <w:rPr>
                <w:rFonts w:ascii="Times New Roman" w:hAnsi="Times New Roman" w:cs="Times New Roman"/>
                <w:i/>
                <w:spacing w:val="6"/>
              </w:rPr>
              <w:t>на инструмента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, обект на публично предлагане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98EA" w14:textId="3A97039F" w:rsidR="00876AF5" w:rsidRPr="00816B5B" w:rsidRDefault="00E7530F" w:rsidP="00D421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0ECA" w:rsidRPr="00816B5B" w14:paraId="2587C826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9C06" w14:textId="4E72CBA5" w:rsidR="00E70ECA" w:rsidRPr="00816B5B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съветник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377E" w14:textId="24FB4D76" w:rsidR="00E70ECA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A0A4A" w:rsidRPr="00816B5B" w14:paraId="1D915161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0D42" w14:textId="07EDE6B8" w:rsidR="00E7530F" w:rsidRPr="00816B5B" w:rsidRDefault="00A4135C" w:rsidP="00AE306C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инвестиционен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посредник по предлагането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6DAC" w14:textId="14AFF922" w:rsidR="00E7530F" w:rsidRPr="00D325F4" w:rsidRDefault="00E7530F" w:rsidP="00AE306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5161871" w14:textId="77777777" w:rsidR="00B550A2" w:rsidRPr="00816B5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1BB4A190" w14:textId="77777777" w:rsidR="00890116" w:rsidRPr="00816B5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BA6C41C" w14:textId="2265F54F" w:rsidR="005F42EA" w:rsidRPr="00816B5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изготвен с цел</w:t>
      </w:r>
      <w:r w:rsidR="00A12313">
        <w:rPr>
          <w:i/>
          <w:color w:val="auto"/>
        </w:rPr>
        <w:t xml:space="preserve"> осъществяване на първично публично предлагане и</w:t>
      </w:r>
      <w:r w:rsidRPr="00816B5B">
        <w:rPr>
          <w:i/>
          <w:color w:val="auto"/>
        </w:rPr>
        <w:t xml:space="preserve"> допускане на емисия </w:t>
      </w:r>
      <w:r w:rsidR="003C61AC">
        <w:rPr>
          <w:i/>
          <w:color w:val="auto"/>
        </w:rPr>
        <w:t>облигации</w:t>
      </w:r>
      <w:r w:rsidR="00A12313">
        <w:rPr>
          <w:i/>
          <w:color w:val="auto"/>
        </w:rPr>
        <w:t>, издадени от</w:t>
      </w:r>
      <w:r w:rsidRPr="00816B5B">
        <w:rPr>
          <w:i/>
          <w:color w:val="auto"/>
        </w:rPr>
        <w:t xml:space="preserve"> </w:t>
      </w:r>
      <w:r w:rsidR="003C61AC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1</w:t>
      </w:r>
      <w:r w:rsidRPr="00816B5B">
        <w:rPr>
          <w:i/>
          <w:color w:val="auto"/>
        </w:rPr>
        <w:t xml:space="preserve">, ЕИК </w:t>
      </w:r>
      <w:r w:rsidR="003C61AC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6</w:t>
      </w:r>
      <w:r w:rsidRPr="00816B5B">
        <w:rPr>
          <w:i/>
          <w:color w:val="auto"/>
        </w:rPr>
        <w:t xml:space="preserve"> на пазара за растеж на малки и средни предприятия BЕAM (</w:t>
      </w:r>
      <w:r w:rsidRPr="00816B5B">
        <w:rPr>
          <w:i/>
        </w:rPr>
        <w:t xml:space="preserve">Bulgarian Enterprise </w:t>
      </w:r>
      <w:proofErr w:type="spellStart"/>
      <w:r w:rsidRPr="00816B5B">
        <w:rPr>
          <w:i/>
        </w:rPr>
        <w:t>Accelerator</w:t>
      </w:r>
      <w:proofErr w:type="spellEnd"/>
      <w:r w:rsidRPr="00816B5B">
        <w:rPr>
          <w:i/>
        </w:rPr>
        <w:t xml:space="preserve"> Market)</w:t>
      </w:r>
      <w:r w:rsidRPr="00816B5B">
        <w:rPr>
          <w:i/>
          <w:color w:val="auto"/>
        </w:rPr>
        <w:t>.</w:t>
      </w:r>
    </w:p>
    <w:p w14:paraId="47BE6C38" w14:textId="77777777" w:rsidR="00FF7472" w:rsidRPr="00816B5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6F4A7888" w14:textId="35F8EFB9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одобрен с Решение на</w:t>
      </w:r>
      <w:r w:rsidR="004B7B3B"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</w:t>
      </w:r>
      <w:r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16FEF198" w14:textId="77777777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4D87152E" w14:textId="55FA348A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одобрен с Решение на </w:t>
      </w:r>
      <w:r w:rsidR="00D42158" w:rsidRPr="00816B5B">
        <w:rPr>
          <w:i/>
        </w:rPr>
        <w:t>……</w:t>
      </w:r>
      <w:r w:rsidR="004B7B3B"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2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5244720E" w14:textId="77777777" w:rsidR="00E279A0" w:rsidRPr="00816B5B" w:rsidRDefault="00E279A0" w:rsidP="00D47BA9">
      <w:pPr>
        <w:pStyle w:val="Default"/>
        <w:ind w:firstLine="706"/>
        <w:jc w:val="both"/>
        <w:rPr>
          <w:i/>
        </w:rPr>
      </w:pPr>
    </w:p>
    <w:p w14:paraId="26D875F4" w14:textId="77777777" w:rsidR="007F4D92" w:rsidRPr="00816B5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</w:rPr>
        <w:t>Лица</w:t>
      </w:r>
      <w:r w:rsidR="009E3247" w:rsidRPr="00816B5B">
        <w:rPr>
          <w:i/>
        </w:rPr>
        <w:t>,</w:t>
      </w:r>
      <w:r w:rsidRPr="00816B5B">
        <w:rPr>
          <w:i/>
        </w:rPr>
        <w:t xml:space="preserve"> участвали в съставянето му: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549"/>
      </w:tblGrid>
      <w:tr w:rsidR="005C1CAB" w:rsidRPr="00816B5B" w14:paraId="21E7D7F5" w14:textId="77777777" w:rsidTr="00D325F4">
        <w:trPr>
          <w:trHeight w:val="498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31D693" w14:textId="190D36D9" w:rsidR="005C1CAB" w:rsidRPr="00816B5B" w:rsidRDefault="00A4135C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име </w:t>
            </w:r>
            <w:r w:rsidR="004B7B3B" w:rsidRPr="00816B5B">
              <w:rPr>
                <w:rFonts w:ascii="Times New Roman" w:hAnsi="Times New Roman" w:cs="Times New Roman"/>
                <w:i/>
              </w:rPr>
              <w:t>и фамилия</w:t>
            </w: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801A36F" w14:textId="7ABE8332" w:rsidR="005C1CAB" w:rsidRPr="00816B5B" w:rsidRDefault="00A4135C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позиция</w:t>
            </w:r>
          </w:p>
        </w:tc>
      </w:tr>
      <w:tr w:rsidR="007F4D92" w:rsidRPr="00816B5B" w14:paraId="5AA9F2ED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28508C2A" w14:textId="28E3FE6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351DFE1A" w14:textId="4DA3503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EC29C5A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44D952E0" w14:textId="0D4A356A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604D40FA" w14:textId="72EFE3A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4AC9F688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5AF4E0E4" w14:textId="77FD1D5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7F646D81" w14:textId="445C4C5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6CE90D9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4103A53C" w14:textId="23E920BD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43E6C2DE" w14:textId="4199AD8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19F6E95D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3D979246" w14:textId="3FA3F19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7AD35F2B" w14:textId="0F77C889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91EC07A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30634843" w14:textId="0154D65D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6BD80402" w14:textId="2EB04FC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BCAFCFD" w14:textId="77777777" w:rsidR="00747127" w:rsidRPr="00816B5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82246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212778ED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0256D6FF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8829F45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816B5B">
        <w:rPr>
          <w:i/>
          <w:color w:val="auto"/>
          <w:sz w:val="28"/>
          <w:szCs w:val="28"/>
        </w:rPr>
        <w:t>т “Българска фондова борса” АД.</w:t>
      </w:r>
    </w:p>
    <w:p w14:paraId="26250179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4B63C8C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0E3DAC8A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F10F057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7E11B02" w14:textId="77777777" w:rsidR="007F4D92" w:rsidRPr="00816B5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1D62107" w14:textId="77777777" w:rsidR="007F4D92" w:rsidRPr="00816B5B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D325F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5EBDC269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8312E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D325F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70E36EED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3634C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D325F4">
        <w:rPr>
          <w:rFonts w:ascii="Times New Roman" w:hAnsi="Times New Roman" w:cs="Times New Roman"/>
          <w:i/>
          <w:sz w:val="28"/>
          <w:szCs w:val="28"/>
        </w:rPr>
        <w:t>beam</w:t>
      </w:r>
      <w:r w:rsidRPr="00816B5B">
        <w:rPr>
          <w:rFonts w:ascii="Times New Roman" w:hAnsi="Times New Roman" w:cs="Times New Roman"/>
          <w:i/>
          <w:sz w:val="28"/>
          <w:szCs w:val="28"/>
        </w:rPr>
        <w:t>@</w:t>
      </w:r>
      <w:r w:rsidRPr="00D325F4">
        <w:rPr>
          <w:rFonts w:ascii="Times New Roman" w:hAnsi="Times New Roman" w:cs="Times New Roman"/>
          <w:i/>
          <w:sz w:val="28"/>
          <w:szCs w:val="28"/>
        </w:rPr>
        <w:t>bse</w:t>
      </w:r>
      <w:r w:rsidRPr="00816B5B">
        <w:rPr>
          <w:rFonts w:ascii="Times New Roman" w:hAnsi="Times New Roman" w:cs="Times New Roman"/>
          <w:i/>
          <w:sz w:val="28"/>
          <w:szCs w:val="28"/>
        </w:rPr>
        <w:t>-</w:t>
      </w:r>
      <w:r w:rsidRPr="00D325F4">
        <w:rPr>
          <w:rFonts w:ascii="Times New Roman" w:hAnsi="Times New Roman" w:cs="Times New Roman"/>
          <w:i/>
          <w:sz w:val="28"/>
          <w:szCs w:val="28"/>
        </w:rPr>
        <w:t>sofia</w:t>
      </w:r>
      <w:r w:rsidRPr="00816B5B">
        <w:rPr>
          <w:rFonts w:ascii="Times New Roman" w:hAnsi="Times New Roman" w:cs="Times New Roman"/>
          <w:i/>
          <w:sz w:val="28"/>
          <w:szCs w:val="28"/>
        </w:rPr>
        <w:t>.</w:t>
      </w:r>
      <w:r w:rsidRPr="00D325F4">
        <w:rPr>
          <w:rFonts w:ascii="Times New Roman" w:hAnsi="Times New Roman" w:cs="Times New Roman"/>
          <w:i/>
          <w:sz w:val="28"/>
          <w:szCs w:val="28"/>
        </w:rPr>
        <w:t>bg</w:t>
      </w:r>
    </w:p>
    <w:p w14:paraId="48A53559" w14:textId="77777777" w:rsidR="00AF377E" w:rsidRPr="00816B5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FC6FE7" w14:textId="77777777" w:rsidR="003E1ADF" w:rsidRPr="00816B5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5D98DA" w14:textId="77777777" w:rsidR="00E14A40" w:rsidRPr="00816B5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8BDDC48" w14:textId="77777777" w:rsidR="00596790" w:rsidRPr="00816B5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Content>
        <w:p w14:paraId="46B87E03" w14:textId="77777777" w:rsidR="00954C9E" w:rsidRPr="00D325F4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EC71A59" w14:textId="77777777" w:rsidR="00E279A0" w:rsidRPr="00D325F4" w:rsidRDefault="0095298D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r w:rsidRPr="00816B5B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begin"/>
          </w:r>
          <w:r w:rsidR="00954C9E" w:rsidRPr="00D325F4">
            <w:rPr>
              <w:rFonts w:ascii="Times New Roman" w:hAnsi="Times New Roman" w:cs="Times New Roman"/>
              <w:sz w:val="28"/>
              <w:szCs w:val="28"/>
              <w:lang w:val="bg-BG"/>
            </w:rPr>
            <w:instrText xml:space="preserve"> TOC \o "1-3" \h \z \u </w:instrText>
          </w:r>
          <w:r w:rsidRPr="00816B5B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separate"/>
          </w:r>
          <w:hyperlink w:anchor="_Toc32923509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I. ВЪВЕДЕНИЕ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_Toc32923509 \h </w:instrText>
            </w:r>
            <w:r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4</w:t>
            </w:r>
            <w:r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274A9955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0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II. РИСКОВИ ФАКТОРИ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_Toc32923510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5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73E912EA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1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III. ДЕКЛАРАЦИЯ ОТ ЕМИТЕНТА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_Toc32923511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6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4F878E52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2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IV. ДЕКЛАРАЦИЯ ОТ СЪВЕТНИКА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_Toc32923512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7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1E6BCE9C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3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V. ИНФОРМАЦИЯ ЗА ФИНАНСОВИТЕ ИНСТРУМЕНТИ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_Toc32923513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8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28E202F3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4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VI. ИНФОРМАЦИЯ ЗА ЕМИТЕНТА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_Toc32923514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12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0197FAAC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5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VII. ФИНАНСОВИ ОТЧЕТИ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_Toc32923515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18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3E785C85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6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VIII. СПИСЪК НА ОБЩОДОСТЪПНИТЕ ДОКУМЕНТИ, ПОСЛУЖИЛИ ЗА ИЗГОТВЯНЕ НА ДОКУМЕНТА ЗА ДОПУСКАНЕ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_Toc32923516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19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2A823176" w14:textId="77777777" w:rsidR="00E279A0" w:rsidRPr="00D325F4" w:rsidRDefault="00000000">
          <w:pPr>
            <w:pStyle w:val="TOC1"/>
            <w:rPr>
              <w:rFonts w:ascii="Times New Roman" w:hAnsi="Times New Roman" w:cs="Times New Roman"/>
              <w:noProof/>
              <w:lang w:val="bg-BG"/>
            </w:rPr>
          </w:pPr>
          <w:hyperlink w:anchor="_Toc32923517" w:history="1">
            <w:r w:rsidR="00E279A0" w:rsidRPr="00D325F4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IX. ПРИЛОЖЕНИЯ</w:t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ab/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begin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instrText xml:space="preserve"> PAGEREF _Toc32923517 \h </w:instrTex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separate"/>
            </w:r>
            <w:r w:rsidR="00E279A0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t>21</w:t>
            </w:r>
            <w:r w:rsidR="0095298D" w:rsidRPr="00D325F4">
              <w:rPr>
                <w:rFonts w:ascii="Times New Roman" w:hAnsi="Times New Roman" w:cs="Times New Roman"/>
                <w:noProof/>
                <w:webHidden/>
                <w:lang w:val="bg-BG"/>
              </w:rPr>
              <w:fldChar w:fldCharType="end"/>
            </w:r>
          </w:hyperlink>
        </w:p>
        <w:p w14:paraId="5FB04452" w14:textId="77777777" w:rsidR="00954C9E" w:rsidRPr="00816B5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16B5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839F06F" w14:textId="46737C97" w:rsidR="00596790" w:rsidRPr="00816B5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9825B" w14:textId="77777777" w:rsidR="00FF7472" w:rsidRPr="00816B5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D325F4">
        <w:rPr>
          <w:rFonts w:cs="Times New Roman"/>
          <w:i/>
          <w:color w:val="auto"/>
        </w:rPr>
        <w:lastRenderedPageBreak/>
        <w:t>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ВЪВЕДЕНИЕ</w:t>
      </w:r>
      <w:bookmarkEnd w:id="0"/>
    </w:p>
    <w:p w14:paraId="1A9AA119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3922ECDC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BE59748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1E95317" w14:textId="77777777" w:rsidR="0086656D" w:rsidRPr="00816B5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5E716EC3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5A17" w14:textId="57DD869C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</w:t>
            </w:r>
            <w:r w:rsidR="00EA258E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22B" w14:textId="3CF2572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080FFE3" w14:textId="77777777" w:rsidTr="00D325F4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BAAC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019F" w14:textId="38060C7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0647F39E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7A1D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6B6D" w14:textId="5B18B6C6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A74DB3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9EA9" w14:textId="0178B92B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DF4" w14:textId="5E28B4B3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5C2B9E3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A0A" w14:textId="21B5DA11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0230" w14:textId="5AA93102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F2F9A5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27C7" w14:textId="0683CD9F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DBA" w14:textId="27CA0ED7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978A7ED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F6F2" w14:textId="50E87992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интернет </w:t>
            </w:r>
            <w:r w:rsidR="00537D09" w:rsidRPr="00816B5B">
              <w:rPr>
                <w:rFonts w:ascii="Times New Roman" w:eastAsia="Times New Roman" w:hAnsi="Times New Roman" w:cs="Times New Roman"/>
                <w:i/>
              </w:rPr>
              <w:t>страница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911B" w14:textId="0DA82447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79A822C" w14:textId="77777777" w:rsidTr="00D325F4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1740" w14:textId="7F700C25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нтернет страница, на която е оповестен документът за допускане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B84F" w14:textId="068466ED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0451510" w14:textId="77777777" w:rsidTr="00D325F4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92CC" w14:textId="4695484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интернет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страница, където ще бъде оповестявана публично информация пред инвеститорите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7A86" w14:textId="206D4F3E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2A8B098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CAFF" w14:textId="2AE68627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лице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 с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7DB8" w14:textId="1C85B96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2D180BA6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C44" w14:textId="34D23D55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C665" w14:textId="51261030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B989E1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BEB" w14:textId="61362E4E" w:rsidR="00EA258E" w:rsidRPr="00816B5B" w:rsidRDefault="00A4135C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D53" w14:textId="3C47D9A1" w:rsidR="00EA258E" w:rsidRPr="00D325F4" w:rsidRDefault="00D42158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8C00795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58F9" w14:textId="33F41082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лицето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394D" w14:textId="2B74C750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9EF92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6E67556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816B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16B5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7AEB9115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2907" w14:textId="62C5628B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на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съветник</w:t>
            </w:r>
            <w:r w:rsidR="00E7530F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C1A5" w14:textId="496259DE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8460116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A6F0" w14:textId="77777777" w:rsidR="00EA258E" w:rsidRPr="00816B5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816B5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816B5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00AF" w14:textId="5D1E7EA6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622CAB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9CD0" w14:textId="586AAD74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B23A" w14:textId="75EDA0CF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39AED5D9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E8C" w14:textId="4DB6C62E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9CD7" w14:textId="383F24B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3624EC" w:rsidRPr="00816B5B" w14:paraId="7D89F20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556" w14:textId="2E36F823" w:rsidR="003624EC" w:rsidRPr="00816B5B" w:rsidRDefault="00A4135C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3624EC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D00" w14:textId="6970D367" w:rsidR="003624EC" w:rsidRPr="00816B5B" w:rsidRDefault="00D42158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301634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EFB5D92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4E4759B0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8274" w14:textId="286AFC79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ISIN код на </w:t>
            </w:r>
            <w:r w:rsidR="00D42158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основната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82DE" w14:textId="2B647092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1A7FA14A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304" w14:textId="473F56DF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 w:rsidR="00734975">
              <w:rPr>
                <w:rFonts w:ascii="Times New Roman" w:hAnsi="Times New Roman" w:cs="Times New Roman"/>
                <w:i/>
                <w:spacing w:val="6"/>
              </w:rPr>
              <w:t>облигациите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, обект на публично предлагане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EE45" w14:textId="63F48DF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EED3EED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4DA7" w14:textId="51267928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валута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на издаване (BGN/EUR)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B3C" w14:textId="37F623B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15A895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D16E" w14:textId="78C573D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брой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 xml:space="preserve">издадени </w:t>
            </w:r>
            <w:r w:rsidR="00EC4322">
              <w:rPr>
                <w:rFonts w:ascii="Times New Roman" w:eastAsia="Times New Roman" w:hAnsi="Times New Roman" w:cs="Times New Roman"/>
                <w:i/>
              </w:rPr>
              <w:t>облигации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3FCD" w14:textId="49FA77DE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93325E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20B7" w14:textId="3E56576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номинална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стойност</w:t>
            </w:r>
            <w:r w:rsidR="00EC4322">
              <w:rPr>
                <w:rFonts w:ascii="Times New Roman" w:eastAsia="Times New Roman" w:hAnsi="Times New Roman" w:cs="Times New Roman"/>
                <w:i/>
              </w:rPr>
              <w:t xml:space="preserve"> на една облигация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063D" w14:textId="28D55B4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7530F" w:rsidRPr="00816B5B" w14:paraId="7A6B3FF8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3298" w14:textId="77777777" w:rsidR="00E7530F" w:rsidRPr="00816B5B" w:rsidRDefault="00E7530F" w:rsidP="001A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временната 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F55" w14:textId="77777777" w:rsidR="00E7530F" w:rsidRPr="00816B5B" w:rsidRDefault="00E7530F" w:rsidP="001A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7530F" w:rsidRPr="00816B5B" w14:paraId="2033D3AC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4016" w14:textId="3F8A32F9" w:rsidR="00E7530F" w:rsidRPr="00D325F4" w:rsidRDefault="00A4135C" w:rsidP="00BB0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временната емисия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751F" w14:textId="77777777" w:rsidR="00E7530F" w:rsidRPr="00816B5B" w:rsidRDefault="00E7530F" w:rsidP="00BB0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8F76CA" w:rsidRPr="00816B5B" w14:paraId="5D1130D0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7D81" w14:textId="7659A4C2" w:rsidR="008F76CA" w:rsidRPr="00816B5B" w:rsidRDefault="00A4135C" w:rsidP="00F3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друга </w:t>
            </w:r>
            <w:r w:rsidR="008F76CA" w:rsidRPr="00816B5B">
              <w:rPr>
                <w:rFonts w:ascii="Times New Roman" w:eastAsia="Times New Roman" w:hAnsi="Times New Roman" w:cs="Times New Roman"/>
                <w:i/>
              </w:rPr>
              <w:t>информация по преценка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6C66" w14:textId="77777777" w:rsidR="008F76CA" w:rsidRPr="00816B5B" w:rsidRDefault="008F76CA" w:rsidP="00F326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0196BD11" w14:textId="77777777" w:rsidR="00E14A40" w:rsidRPr="00816B5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lastRenderedPageBreak/>
        <w:br w:type="page"/>
      </w:r>
    </w:p>
    <w:p w14:paraId="0EDFE80E" w14:textId="77777777" w:rsidR="00FF7472" w:rsidRPr="00816B5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D325F4">
        <w:rPr>
          <w:rFonts w:cs="Times New Roman"/>
          <w:i/>
          <w:color w:val="auto"/>
        </w:rPr>
        <w:lastRenderedPageBreak/>
        <w:t>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РИСКОВИ ФАКТОРИ</w:t>
      </w:r>
      <w:bookmarkEnd w:id="1"/>
    </w:p>
    <w:p w14:paraId="3ED62160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37CB3F5F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0B4AF96E" w14:textId="77777777" w:rsidR="005218CA" w:rsidRPr="00816B5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4FA33D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корпоративните събития, риск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 с прекратяване </w:t>
      </w:r>
      <w:r w:rsidR="00E70ECA" w:rsidRPr="00816B5B">
        <w:rPr>
          <w:i/>
          <w:color w:val="auto"/>
        </w:rPr>
        <w:t>на регистрацията на пазар BЕAM).</w:t>
      </w:r>
    </w:p>
    <w:p w14:paraId="4836306E" w14:textId="77777777" w:rsidR="00E70ECA" w:rsidRPr="00816B5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1007" w:rsidRPr="00816B5B" w14:paraId="51BDEE8B" w14:textId="77777777" w:rsidTr="00D325F4">
        <w:trPr>
          <w:trHeight w:val="883"/>
        </w:trPr>
        <w:tc>
          <w:tcPr>
            <w:tcW w:w="10201" w:type="dxa"/>
          </w:tcPr>
          <w:p w14:paraId="61ECBA8F" w14:textId="1C1BDEFB" w:rsidR="003115AF" w:rsidRPr="00D325F4" w:rsidRDefault="002B2DB4" w:rsidP="00734975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D325F4">
              <w:rPr>
                <w:iCs/>
              </w:rPr>
              <w:t>……</w:t>
            </w:r>
          </w:p>
        </w:tc>
      </w:tr>
    </w:tbl>
    <w:p w14:paraId="7E75283A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6F954230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4C1914DC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рисковете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макроикономическата среда, пол</w:t>
      </w:r>
      <w:r w:rsidR="00E70ECA" w:rsidRPr="00816B5B">
        <w:rPr>
          <w:i/>
          <w:color w:val="auto"/>
        </w:rPr>
        <w:t>итически риск, регулаторен риск.</w:t>
      </w:r>
    </w:p>
    <w:p w14:paraId="79422BA3" w14:textId="77777777" w:rsidR="00E70ECA" w:rsidRPr="00816B5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8966234" w14:textId="77777777" w:rsidTr="00D325F4">
        <w:trPr>
          <w:trHeight w:val="934"/>
        </w:trPr>
        <w:tc>
          <w:tcPr>
            <w:tcW w:w="10201" w:type="dxa"/>
          </w:tcPr>
          <w:p w14:paraId="7A9105BF" w14:textId="74460664" w:rsidR="00E70ECA" w:rsidRPr="00816B5B" w:rsidRDefault="002B2DB4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C423B6F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03EEE34D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7E92A981" w14:textId="77777777" w:rsidR="00E70ECA" w:rsidRPr="00816B5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816B5B">
        <w:rPr>
          <w:i/>
          <w:color w:val="auto"/>
        </w:rPr>
        <w:t>, оперативен риск, валутен риск.</w:t>
      </w:r>
    </w:p>
    <w:p w14:paraId="5B7DC454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947DC3E" w14:textId="77777777" w:rsidTr="00D325F4">
        <w:trPr>
          <w:trHeight w:val="954"/>
        </w:trPr>
        <w:tc>
          <w:tcPr>
            <w:tcW w:w="10201" w:type="dxa"/>
          </w:tcPr>
          <w:p w14:paraId="02E1BE22" w14:textId="3D7027E9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4D911B7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6896622" w14:textId="77777777" w:rsidR="00EA258E" w:rsidRPr="00816B5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701FF938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816B5B">
        <w:rPr>
          <w:i/>
          <w:color w:val="auto"/>
        </w:rPr>
        <w:t>е на емитента от друга страна.</w:t>
      </w:r>
    </w:p>
    <w:p w14:paraId="15A8D581" w14:textId="77777777" w:rsidR="000D1007" w:rsidRPr="00816B5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48A04192" w14:textId="77777777" w:rsidTr="00D325F4">
        <w:trPr>
          <w:trHeight w:val="778"/>
        </w:trPr>
        <w:tc>
          <w:tcPr>
            <w:tcW w:w="10201" w:type="dxa"/>
          </w:tcPr>
          <w:p w14:paraId="09136898" w14:textId="12B7D99C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7005A47" w14:textId="77777777" w:rsidR="004022A4" w:rsidRPr="00816B5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73942045" w14:textId="77777777" w:rsidR="00811D32" w:rsidRPr="00816B5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D325F4">
        <w:rPr>
          <w:rFonts w:cs="Times New Roman"/>
          <w:i/>
          <w:color w:val="auto"/>
        </w:rPr>
        <w:lastRenderedPageBreak/>
        <w:t>III</w:t>
      </w:r>
      <w:r w:rsidRPr="00816B5B">
        <w:rPr>
          <w:rFonts w:cs="Times New Roman"/>
          <w:i/>
          <w:color w:val="auto"/>
        </w:rPr>
        <w:t xml:space="preserve">. </w:t>
      </w:r>
      <w:r w:rsidR="00811D32" w:rsidRPr="00816B5B">
        <w:rPr>
          <w:rFonts w:cs="Times New Roman"/>
          <w:i/>
          <w:color w:val="auto"/>
        </w:rPr>
        <w:t>ДЕКЛАРАЦИЯ ОТ ЕМИТЕНТА</w:t>
      </w:r>
      <w:bookmarkEnd w:id="2"/>
    </w:p>
    <w:p w14:paraId="14A6E60A" w14:textId="77777777" w:rsidR="00811D32" w:rsidRPr="00816B5B" w:rsidRDefault="00811D32" w:rsidP="00E70ECA">
      <w:pPr>
        <w:pStyle w:val="Default"/>
        <w:rPr>
          <w:i/>
          <w:color w:val="auto"/>
        </w:rPr>
      </w:pPr>
    </w:p>
    <w:p w14:paraId="61D3C18E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3B56012" w14:textId="77777777" w:rsidR="00502D04" w:rsidRPr="00816B5B" w:rsidRDefault="00502D04" w:rsidP="00E70ECA">
      <w:pPr>
        <w:pStyle w:val="Default"/>
        <w:rPr>
          <w:i/>
          <w:color w:val="auto"/>
        </w:rPr>
      </w:pPr>
    </w:p>
    <w:p w14:paraId="30335334" w14:textId="27E40F30" w:rsidR="00DF35E4" w:rsidRPr="00816B5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 w:rsidRPr="00816B5B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816B5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3C0BC25D" w14:textId="77777777" w:rsidR="000716B2" w:rsidRPr="00816B5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2C46C6" w14:textId="61F1C450" w:rsidR="00DF35E4" w:rsidRPr="00816B5B" w:rsidRDefault="004D01FF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  <w:r w:rsidR="00DF35E4" w:rsidRPr="00816B5B">
        <w:rPr>
          <w:i/>
          <w:color w:val="auto"/>
        </w:rPr>
        <w:t>.</w:t>
      </w:r>
    </w:p>
    <w:p w14:paraId="7FA3DD5D" w14:textId="77777777" w:rsidR="000716B2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4C7024E8" w14:textId="77777777" w:rsidR="00DF35E4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Настоящият документ </w:t>
      </w:r>
      <w:r w:rsidR="00DF35E4" w:rsidRPr="00816B5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816B5B">
        <w:rPr>
          <w:i/>
          <w:color w:val="auto"/>
        </w:rPr>
        <w:t>.</w:t>
      </w:r>
      <w:r w:rsidR="00DF35E4" w:rsidRPr="00816B5B">
        <w:rPr>
          <w:i/>
          <w:color w:val="auto"/>
        </w:rPr>
        <w:t xml:space="preserve"> </w:t>
      </w:r>
    </w:p>
    <w:p w14:paraId="0544B652" w14:textId="5F3CF0DA" w:rsidR="00DF35E4" w:rsidRPr="00816B5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FF0D015" w14:textId="1155FDF9" w:rsidR="00E57DBB" w:rsidRPr="00816B5B" w:rsidRDefault="00E57D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>Дата:</w:t>
      </w:r>
      <w:r w:rsidRPr="00816B5B">
        <w:rPr>
          <w:rFonts w:ascii="Times New Roman" w:hAnsi="Times New Roman" w:cs="Times New Roman"/>
          <w:iCs/>
        </w:rPr>
        <w:t xml:space="preserve"> ……</w:t>
      </w:r>
    </w:p>
    <w:p w14:paraId="381319B1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FCD7417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17EB7990" w14:textId="1305134C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FA34FAC" w14:textId="44C2031B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7344276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AE6A5ED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D782EB7" w14:textId="61FDFAFF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6A51678" w14:textId="679300D2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65BDA53" w14:textId="77777777" w:rsidR="002036AF" w:rsidRPr="00816B5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CD38F19" w14:textId="77777777" w:rsidR="004022A4" w:rsidRPr="00816B5B" w:rsidRDefault="00562D8B" w:rsidP="003A2C6E">
      <w:pPr>
        <w:pStyle w:val="a"/>
        <w:rPr>
          <w:rFonts w:cs="Times New Roman"/>
        </w:rPr>
      </w:pPr>
      <w:bookmarkStart w:id="3" w:name="_Toc32923512"/>
      <w:r w:rsidRPr="00D325F4">
        <w:rPr>
          <w:rFonts w:cs="Times New Roman"/>
        </w:rPr>
        <w:lastRenderedPageBreak/>
        <w:t>IV</w:t>
      </w:r>
      <w:r w:rsidRPr="00816B5B">
        <w:rPr>
          <w:rFonts w:cs="Times New Roman"/>
        </w:rPr>
        <w:t xml:space="preserve">. </w:t>
      </w:r>
      <w:r w:rsidR="00811D32" w:rsidRPr="00816B5B">
        <w:rPr>
          <w:rFonts w:cs="Times New Roman"/>
        </w:rPr>
        <w:t>ДЕКЛАРАЦИЯ ОТ СЪВЕТНИКА</w:t>
      </w:r>
      <w:bookmarkEnd w:id="3"/>
    </w:p>
    <w:p w14:paraId="1B25901F" w14:textId="77777777" w:rsidR="00913359" w:rsidRPr="00816B5B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0B16A72B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7F17CF0B" w14:textId="77777777" w:rsidR="002036AF" w:rsidRPr="00816B5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6EE290" w14:textId="411302BE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="00A0451C"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7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6BF69B08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A6713F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  <w:r w:rsidRPr="00816B5B">
        <w:rPr>
          <w:i/>
          <w:color w:val="auto"/>
        </w:rPr>
        <w:t>Запознат</w:t>
      </w:r>
      <w:r w:rsidR="00737208" w:rsidRPr="00816B5B">
        <w:rPr>
          <w:i/>
          <w:color w:val="auto"/>
        </w:rPr>
        <w:t>/</w:t>
      </w:r>
      <w:r w:rsidRPr="00816B5B">
        <w:rPr>
          <w:i/>
          <w:color w:val="auto"/>
        </w:rPr>
        <w:t>и</w:t>
      </w:r>
      <w:r w:rsidR="003A2C6E" w:rsidRPr="00816B5B">
        <w:rPr>
          <w:i/>
          <w:color w:val="auto"/>
        </w:rPr>
        <w:t xml:space="preserve"> </w:t>
      </w:r>
      <w:r w:rsidR="00737208" w:rsidRPr="00816B5B">
        <w:rPr>
          <w:i/>
          <w:color w:val="auto"/>
        </w:rPr>
        <w:t>съм/</w:t>
      </w:r>
      <w:r w:rsidRPr="00816B5B">
        <w:rPr>
          <w:i/>
          <w:color w:val="auto"/>
        </w:rPr>
        <w:t xml:space="preserve"> сме с </w:t>
      </w:r>
      <w:r w:rsidR="00A0451C" w:rsidRPr="00816B5B">
        <w:rPr>
          <w:i/>
          <w:color w:val="auto"/>
        </w:rPr>
        <w:t xml:space="preserve">настоящия </w:t>
      </w:r>
      <w:r w:rsidRPr="00816B5B">
        <w:rPr>
          <w:i/>
          <w:color w:val="auto"/>
        </w:rPr>
        <w:t>документ за допускане.</w:t>
      </w:r>
    </w:p>
    <w:p w14:paraId="02537B19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</w:p>
    <w:p w14:paraId="57A60F46" w14:textId="77777777" w:rsidR="00C05E3E" w:rsidRPr="00816B5B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</w:t>
      </w:r>
      <w:r w:rsidR="00C05E3E" w:rsidRPr="00816B5B">
        <w:rPr>
          <w:i/>
          <w:color w:val="auto"/>
        </w:rPr>
        <w:t>окумент</w:t>
      </w:r>
      <w:r w:rsidRPr="00816B5B">
        <w:rPr>
          <w:i/>
          <w:color w:val="auto"/>
        </w:rPr>
        <w:t>ът</w:t>
      </w:r>
      <w:r w:rsidR="00C05E3E" w:rsidRPr="00816B5B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816B5B">
        <w:rPr>
          <w:i/>
          <w:color w:val="auto"/>
        </w:rPr>
        <w:t xml:space="preserve"> и приложимото законодателство.</w:t>
      </w:r>
    </w:p>
    <w:p w14:paraId="18A4DC2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236A238" w14:textId="0DE3AF46" w:rsidR="00C05E3E" w:rsidRPr="00816B5B" w:rsidRDefault="00E57D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</w:p>
    <w:p w14:paraId="54F9F3D7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816B5B">
        <w:rPr>
          <w:i/>
          <w:color w:val="auto"/>
        </w:rPr>
        <w:t>.</w:t>
      </w:r>
    </w:p>
    <w:p w14:paraId="140C7379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CB69FC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Емитентът отговаря на всички изисквания за допу</w:t>
      </w:r>
      <w:r w:rsidR="00741F84" w:rsidRPr="00816B5B">
        <w:rPr>
          <w:i/>
          <w:color w:val="auto"/>
        </w:rPr>
        <w:t>скане до търговия на пазар BEAM.</w:t>
      </w:r>
    </w:p>
    <w:p w14:paraId="451D7A2D" w14:textId="77777777" w:rsidR="00C05E3E" w:rsidRPr="00816B5B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16E4F01C" w14:textId="75A87573" w:rsidR="003A2C6E" w:rsidRPr="00816B5B" w:rsidRDefault="00E57D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Дата:</w:t>
      </w:r>
      <w:r w:rsidRPr="00816B5B">
        <w:rPr>
          <w:iCs/>
        </w:rPr>
        <w:t xml:space="preserve"> ……</w:t>
      </w:r>
    </w:p>
    <w:p w14:paraId="67DC1AE4" w14:textId="77777777" w:rsidR="002036AF" w:rsidRPr="00816B5B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020089EE" w14:textId="72C7D6C9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69B80E8E" w14:textId="7787CC5C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5513460A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F72C00D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03EAB6E" w14:textId="2FB7E2A1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F438CB5" w14:textId="3C7E020C" w:rsidR="004022A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2D79A4E4" w14:textId="77777777" w:rsidR="002075F9" w:rsidRPr="00816B5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B78DF4" w14:textId="77777777" w:rsidR="00FF7472" w:rsidRPr="00816B5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D325F4">
        <w:rPr>
          <w:rFonts w:cs="Times New Roman"/>
          <w:i/>
          <w:color w:val="auto"/>
        </w:rPr>
        <w:lastRenderedPageBreak/>
        <w:t>V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52CD9C49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34F183C6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05901F2" w14:textId="77777777" w:rsidR="00913359" w:rsidRPr="00816B5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1AC7189" w14:textId="64CE8A3D" w:rsidR="002276FD" w:rsidRPr="00D325F4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D325F4">
        <w:rPr>
          <w:i/>
          <w:color w:val="auto"/>
        </w:rPr>
        <w:t xml:space="preserve">Информация относно </w:t>
      </w:r>
      <w:r w:rsidR="00B66F59" w:rsidRPr="00D325F4">
        <w:rPr>
          <w:i/>
          <w:color w:val="auto"/>
        </w:rPr>
        <w:t>брой, вид, номинална стойност на издадените към момента на изготвяне на документа за допускане финансови инструменти</w:t>
      </w:r>
      <w:r w:rsidR="009B1873" w:rsidRPr="00D325F4">
        <w:rPr>
          <w:i/>
          <w:color w:val="auto"/>
        </w:rPr>
        <w:t>.</w:t>
      </w:r>
      <w:r w:rsidR="00D325F4">
        <w:rPr>
          <w:i/>
          <w:color w:val="auto"/>
          <w:lang w:val="en-GB"/>
        </w:rPr>
        <w:t xml:space="preserve"> /</w:t>
      </w:r>
      <w:r w:rsidR="00D325F4">
        <w:rPr>
          <w:i/>
          <w:color w:val="auto"/>
        </w:rPr>
        <w:t>различни от заявените съгласно документа</w:t>
      </w:r>
      <w:r w:rsidR="00D325F4">
        <w:rPr>
          <w:i/>
          <w:color w:val="auto"/>
          <w:lang w:val="en-GB"/>
        </w:rPr>
        <w:t>/</w:t>
      </w:r>
    </w:p>
    <w:p w14:paraId="2F8C7FB2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B66F59" w:rsidRPr="00816B5B" w14:paraId="406E4B50" w14:textId="77777777" w:rsidTr="00D325F4">
        <w:trPr>
          <w:trHeight w:val="758"/>
        </w:trPr>
        <w:tc>
          <w:tcPr>
            <w:tcW w:w="3652" w:type="dxa"/>
          </w:tcPr>
          <w:p w14:paraId="741B37FA" w14:textId="1104CFC5" w:rsidR="00B66F59" w:rsidRPr="00816B5B" w:rsidRDefault="00F8232C" w:rsidP="00F8631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брой </w:t>
            </w:r>
            <w:r w:rsidR="00B66F59" w:rsidRPr="00816B5B">
              <w:rPr>
                <w:rFonts w:ascii="Times New Roman" w:hAnsi="Times New Roman" w:cs="Times New Roman"/>
                <w:i/>
              </w:rPr>
              <w:t xml:space="preserve">издадени </w:t>
            </w:r>
            <w:r>
              <w:rPr>
                <w:rFonts w:ascii="Times New Roman" w:hAnsi="Times New Roman" w:cs="Times New Roman"/>
                <w:i/>
              </w:rPr>
              <w:t>инструменти</w:t>
            </w:r>
          </w:p>
        </w:tc>
        <w:tc>
          <w:tcPr>
            <w:tcW w:w="6549" w:type="dxa"/>
          </w:tcPr>
          <w:p w14:paraId="533F5A0B" w14:textId="77777777" w:rsidR="00B66F59" w:rsidRPr="00816B5B" w:rsidRDefault="00B66F59" w:rsidP="00F8631A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48B48218" w14:textId="77777777" w:rsidTr="00D325F4">
        <w:trPr>
          <w:trHeight w:val="758"/>
        </w:trPr>
        <w:tc>
          <w:tcPr>
            <w:tcW w:w="3652" w:type="dxa"/>
          </w:tcPr>
          <w:p w14:paraId="3C0B8ADC" w14:textId="18A2B19A" w:rsidR="00F3078E" w:rsidRPr="00816B5B" w:rsidRDefault="00F8232C" w:rsidP="00A23B0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вид </w:t>
            </w:r>
            <w:r w:rsidR="00F3078E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инструменти</w:t>
            </w:r>
          </w:p>
        </w:tc>
        <w:tc>
          <w:tcPr>
            <w:tcW w:w="6549" w:type="dxa"/>
          </w:tcPr>
          <w:p w14:paraId="1B3B3031" w14:textId="44D32566" w:rsidR="00581D7A" w:rsidRPr="00816B5B" w:rsidRDefault="00B66F59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26DF5D9C" w14:textId="77777777" w:rsidTr="00D325F4">
        <w:trPr>
          <w:trHeight w:val="758"/>
        </w:trPr>
        <w:tc>
          <w:tcPr>
            <w:tcW w:w="3652" w:type="dxa"/>
          </w:tcPr>
          <w:p w14:paraId="33DBAB3C" w14:textId="4B9CFE8F" w:rsidR="00F3078E" w:rsidRPr="00816B5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</w:tcPr>
          <w:p w14:paraId="0D44E3AF" w14:textId="25B4CE08" w:rsidR="00F3078E" w:rsidRPr="00816B5B" w:rsidRDefault="002B2DB4" w:rsidP="00F3078E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6320A716" w14:textId="77777777" w:rsidTr="00D325F4">
        <w:trPr>
          <w:trHeight w:val="827"/>
        </w:trPr>
        <w:tc>
          <w:tcPr>
            <w:tcW w:w="3652" w:type="dxa"/>
          </w:tcPr>
          <w:p w14:paraId="6216E384" w14:textId="60DEA2BB" w:rsidR="00F3078E" w:rsidRPr="00816B5B" w:rsidRDefault="00F8232C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валута </w:t>
            </w:r>
            <w:r w:rsidR="00F3078E" w:rsidRPr="00816B5B">
              <w:rPr>
                <w:rFonts w:ascii="Times New Roman" w:hAnsi="Times New Roman" w:cs="Times New Roman"/>
                <w:i/>
              </w:rPr>
              <w:t xml:space="preserve">на </w:t>
            </w:r>
            <w:r w:rsidR="00D84F9D">
              <w:rPr>
                <w:rFonts w:ascii="Times New Roman" w:hAnsi="Times New Roman" w:cs="Times New Roman"/>
                <w:i/>
              </w:rPr>
              <w:t>издаване</w:t>
            </w:r>
          </w:p>
        </w:tc>
        <w:tc>
          <w:tcPr>
            <w:tcW w:w="6549" w:type="dxa"/>
          </w:tcPr>
          <w:p w14:paraId="440DDE94" w14:textId="2450BEC8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3E40986C" w14:textId="77777777" w:rsidTr="00D325F4">
        <w:trPr>
          <w:trHeight w:val="758"/>
        </w:trPr>
        <w:tc>
          <w:tcPr>
            <w:tcW w:w="3652" w:type="dxa"/>
          </w:tcPr>
          <w:p w14:paraId="76B6D03B" w14:textId="37334793" w:rsidR="00F3078E" w:rsidRPr="00816B5B" w:rsidRDefault="00F8232C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срок </w:t>
            </w:r>
            <w:r w:rsidR="00F3078E" w:rsidRPr="00816B5B">
              <w:rPr>
                <w:rFonts w:ascii="Times New Roman" w:hAnsi="Times New Roman" w:cs="Times New Roman"/>
                <w:i/>
              </w:rPr>
              <w:t xml:space="preserve">на </w:t>
            </w:r>
            <w:r w:rsidR="00B66F59" w:rsidRPr="00816B5B">
              <w:rPr>
                <w:rFonts w:ascii="Times New Roman" w:hAnsi="Times New Roman" w:cs="Times New Roman"/>
                <w:i/>
              </w:rPr>
              <w:t>инструмента</w:t>
            </w:r>
          </w:p>
        </w:tc>
        <w:tc>
          <w:tcPr>
            <w:tcW w:w="6549" w:type="dxa"/>
          </w:tcPr>
          <w:p w14:paraId="7C17F5E0" w14:textId="34380C52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66F59" w:rsidRPr="00816B5B" w14:paraId="233F6F2F" w14:textId="77777777" w:rsidTr="00D325F4">
        <w:trPr>
          <w:trHeight w:val="758"/>
        </w:trPr>
        <w:tc>
          <w:tcPr>
            <w:tcW w:w="3652" w:type="dxa"/>
          </w:tcPr>
          <w:p w14:paraId="59734CE9" w14:textId="54D80EDA" w:rsidR="00B66F59" w:rsidRPr="00816B5B" w:rsidRDefault="00F8232C" w:rsidP="00961551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права </w:t>
            </w:r>
            <w:r w:rsidR="00B66F59" w:rsidRPr="00816B5B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 w:rsidR="00E77E31">
              <w:rPr>
                <w:rFonts w:ascii="Times New Roman" w:hAnsi="Times New Roman" w:cs="Times New Roman"/>
                <w:i/>
                <w:spacing w:val="6"/>
              </w:rPr>
              <w:t>облигациите</w:t>
            </w:r>
          </w:p>
        </w:tc>
        <w:tc>
          <w:tcPr>
            <w:tcW w:w="6549" w:type="dxa"/>
          </w:tcPr>
          <w:p w14:paraId="375A6E1F" w14:textId="734E9C48" w:rsidR="00B66F59" w:rsidRPr="00816B5B" w:rsidRDefault="00B66F59" w:rsidP="00961551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2D37482" w14:textId="21080952" w:rsidR="006A0433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4C5A603C" w14:textId="77777777" w:rsidR="00F8232C" w:rsidRPr="00816B5B" w:rsidRDefault="00F8232C" w:rsidP="006A0433">
      <w:pPr>
        <w:pStyle w:val="Default"/>
        <w:ind w:left="720"/>
        <w:jc w:val="both"/>
        <w:rPr>
          <w:i/>
          <w:color w:val="auto"/>
        </w:rPr>
      </w:pPr>
    </w:p>
    <w:p w14:paraId="3E06BFE2" w14:textId="4700C4C5" w:rsidR="000773AA" w:rsidRPr="00816B5B" w:rsidRDefault="000773AA" w:rsidP="00D325F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D84F9D" w:rsidRPr="00D84F9D">
        <w:rPr>
          <w:i/>
          <w:color w:val="auto"/>
        </w:rPr>
        <w:t>заявения за допускане финансов инструмент</w:t>
      </w:r>
    </w:p>
    <w:p w14:paraId="23FC0D75" w14:textId="77777777" w:rsidR="000773AA" w:rsidRPr="00D325F4" w:rsidRDefault="000773AA" w:rsidP="000773AA">
      <w:pPr>
        <w:pStyle w:val="Default"/>
        <w:ind w:left="720"/>
        <w:jc w:val="both"/>
        <w:rPr>
          <w:i/>
          <w:color w:val="auto"/>
          <w:lang w:val="en-GB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652"/>
        <w:gridCol w:w="6549"/>
      </w:tblGrid>
      <w:tr w:rsidR="000773AA" w:rsidRPr="00816B5B" w14:paraId="6A70D6F5" w14:textId="77777777" w:rsidTr="00D325F4">
        <w:trPr>
          <w:trHeight w:val="758"/>
          <w:jc w:val="center"/>
        </w:trPr>
        <w:tc>
          <w:tcPr>
            <w:tcW w:w="3652" w:type="dxa"/>
          </w:tcPr>
          <w:p w14:paraId="179CF881" w14:textId="46F5A56A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вид </w:t>
            </w:r>
            <w:r w:rsidR="000773AA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 w:rsidR="00B66F59" w:rsidRPr="00816B5B">
              <w:rPr>
                <w:rFonts w:ascii="Times New Roman" w:hAnsi="Times New Roman" w:cs="Times New Roman"/>
                <w:i/>
                <w:spacing w:val="6"/>
              </w:rPr>
              <w:t>инструмента</w:t>
            </w:r>
          </w:p>
        </w:tc>
        <w:tc>
          <w:tcPr>
            <w:tcW w:w="6549" w:type="dxa"/>
          </w:tcPr>
          <w:p w14:paraId="3585D609" w14:textId="42862C02" w:rsidR="000773AA" w:rsidRPr="00816B5B" w:rsidRDefault="00B66F59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84F9D" w:rsidRPr="00816B5B" w14:paraId="78AF644F" w14:textId="77777777" w:rsidTr="00D325F4">
        <w:trPr>
          <w:trHeight w:val="1136"/>
          <w:jc w:val="center"/>
        </w:trPr>
        <w:tc>
          <w:tcPr>
            <w:tcW w:w="3652" w:type="dxa"/>
          </w:tcPr>
          <w:p w14:paraId="235CD740" w14:textId="6D662577" w:rsidR="00D84F9D" w:rsidRPr="00D84F9D" w:rsidRDefault="00F8232C" w:rsidP="00E53B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</w:t>
            </w:r>
          </w:p>
        </w:tc>
        <w:tc>
          <w:tcPr>
            <w:tcW w:w="6549" w:type="dxa"/>
          </w:tcPr>
          <w:p w14:paraId="3BBA6487" w14:textId="77777777" w:rsidR="00D84F9D" w:rsidRPr="00816B5B" w:rsidRDefault="00D84F9D" w:rsidP="00E53BE4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1D035E14" w14:textId="77777777" w:rsidTr="00D325F4">
        <w:trPr>
          <w:trHeight w:val="758"/>
          <w:jc w:val="center"/>
        </w:trPr>
        <w:tc>
          <w:tcPr>
            <w:tcW w:w="3652" w:type="dxa"/>
          </w:tcPr>
          <w:p w14:paraId="3FC5CEC7" w14:textId="7CA55767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6549" w:type="dxa"/>
          </w:tcPr>
          <w:p w14:paraId="229A8595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40FAED6E" w14:textId="77777777" w:rsidTr="00D325F4">
        <w:trPr>
          <w:trHeight w:val="758"/>
          <w:jc w:val="center"/>
        </w:trPr>
        <w:tc>
          <w:tcPr>
            <w:tcW w:w="3652" w:type="dxa"/>
          </w:tcPr>
          <w:p w14:paraId="253CDA8B" w14:textId="0284A842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номинална </w:t>
            </w:r>
            <w:r w:rsidR="000773AA" w:rsidRPr="00816B5B">
              <w:rPr>
                <w:rFonts w:ascii="Times New Roman" w:hAnsi="Times New Roman" w:cs="Times New Roman"/>
                <w:i/>
              </w:rPr>
              <w:t>стойност</w:t>
            </w:r>
          </w:p>
        </w:tc>
        <w:tc>
          <w:tcPr>
            <w:tcW w:w="6549" w:type="dxa"/>
          </w:tcPr>
          <w:p w14:paraId="2A98BF98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84F9D" w:rsidRPr="00816B5B" w14:paraId="38322C41" w14:textId="77777777" w:rsidTr="00D325F4">
        <w:trPr>
          <w:trHeight w:val="758"/>
          <w:jc w:val="center"/>
        </w:trPr>
        <w:tc>
          <w:tcPr>
            <w:tcW w:w="3652" w:type="dxa"/>
          </w:tcPr>
          <w:p w14:paraId="28790223" w14:textId="2C12BACF" w:rsidR="00D84F9D" w:rsidRPr="00816B5B" w:rsidRDefault="00F8232C" w:rsidP="007343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емисионна</w:t>
            </w:r>
            <w:r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="00D84F9D" w:rsidRPr="00816B5B">
              <w:rPr>
                <w:rFonts w:ascii="Times New Roman" w:hAnsi="Times New Roman" w:cs="Times New Roman"/>
                <w:i/>
              </w:rPr>
              <w:t>стойност</w:t>
            </w:r>
          </w:p>
        </w:tc>
        <w:tc>
          <w:tcPr>
            <w:tcW w:w="6549" w:type="dxa"/>
          </w:tcPr>
          <w:p w14:paraId="4553BACD" w14:textId="77777777" w:rsidR="00D84F9D" w:rsidRPr="00816B5B" w:rsidRDefault="00D84F9D" w:rsidP="007343D9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816B5B" w14:paraId="45D102B2" w14:textId="77777777" w:rsidTr="00D325F4">
        <w:trPr>
          <w:trHeight w:val="758"/>
          <w:jc w:val="center"/>
        </w:trPr>
        <w:tc>
          <w:tcPr>
            <w:tcW w:w="3652" w:type="dxa"/>
          </w:tcPr>
          <w:p w14:paraId="10E1C87C" w14:textId="2227D847" w:rsidR="009A1948" w:rsidRPr="00C52B24" w:rsidRDefault="009A1948" w:rsidP="00386796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приложимото законодателство относно инструментите</w:t>
            </w:r>
          </w:p>
        </w:tc>
        <w:tc>
          <w:tcPr>
            <w:tcW w:w="6549" w:type="dxa"/>
          </w:tcPr>
          <w:p w14:paraId="40D4FBE9" w14:textId="77777777" w:rsidR="009A1948" w:rsidRPr="00816B5B" w:rsidRDefault="009A1948" w:rsidP="00386796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7E31" w:rsidRPr="00D325F4" w14:paraId="05242D3D" w14:textId="77777777" w:rsidTr="00D325F4">
        <w:trPr>
          <w:trHeight w:val="758"/>
          <w:jc w:val="center"/>
        </w:trPr>
        <w:tc>
          <w:tcPr>
            <w:tcW w:w="3652" w:type="dxa"/>
          </w:tcPr>
          <w:p w14:paraId="025F0C20" w14:textId="51278032" w:rsidR="00E77E31" w:rsidRPr="009358E5" w:rsidRDefault="009A1948" w:rsidP="004E6782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общ размер на емисията</w:t>
            </w:r>
          </w:p>
        </w:tc>
        <w:tc>
          <w:tcPr>
            <w:tcW w:w="6549" w:type="dxa"/>
          </w:tcPr>
          <w:p w14:paraId="1360D6FC" w14:textId="1A7DDA5A" w:rsidR="00E77E31" w:rsidRPr="009358E5" w:rsidRDefault="00C52B24" w:rsidP="004E6782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673D0DB9" w14:textId="77777777" w:rsidTr="008845F1">
        <w:tblPrEx>
          <w:jc w:val="left"/>
        </w:tblPrEx>
        <w:trPr>
          <w:trHeight w:val="758"/>
        </w:trPr>
        <w:tc>
          <w:tcPr>
            <w:tcW w:w="3652" w:type="dxa"/>
          </w:tcPr>
          <w:p w14:paraId="6D8CE4F1" w14:textId="77777777" w:rsidR="009358E5" w:rsidRPr="00C52B24" w:rsidRDefault="009358E5" w:rsidP="008845F1">
            <w:pPr>
              <w:rPr>
                <w:rFonts w:ascii="Times New Roman" w:hAnsi="Times New Roman" w:cs="Times New Roman"/>
                <w:i/>
              </w:rPr>
            </w:pPr>
            <w:r w:rsidRPr="008845F1">
              <w:rPr>
                <w:rFonts w:ascii="Times New Roman" w:hAnsi="Times New Roman" w:cs="Times New Roman"/>
                <w:i/>
              </w:rPr>
              <w:lastRenderedPageBreak/>
              <w:t>лихвен процент, условия за плащане на лихви, лихвена конвенция и правила по които се определят правоимащите лица</w:t>
            </w:r>
          </w:p>
        </w:tc>
        <w:tc>
          <w:tcPr>
            <w:tcW w:w="6549" w:type="dxa"/>
          </w:tcPr>
          <w:p w14:paraId="5137DD99" w14:textId="77777777" w:rsidR="009358E5" w:rsidRPr="00816B5B" w:rsidRDefault="009358E5" w:rsidP="008845F1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044D653E" w14:textId="77777777" w:rsidTr="000D70D1">
        <w:tblPrEx>
          <w:jc w:val="left"/>
        </w:tblPrEx>
        <w:trPr>
          <w:trHeight w:val="758"/>
        </w:trPr>
        <w:tc>
          <w:tcPr>
            <w:tcW w:w="3652" w:type="dxa"/>
          </w:tcPr>
          <w:p w14:paraId="18939191" w14:textId="4BF0236F" w:rsidR="009358E5" w:rsidRPr="009358E5" w:rsidRDefault="009358E5" w:rsidP="000D70D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Дати на лихвените плащания</w:t>
            </w:r>
          </w:p>
        </w:tc>
        <w:tc>
          <w:tcPr>
            <w:tcW w:w="6549" w:type="dxa"/>
          </w:tcPr>
          <w:p w14:paraId="7044390C" w14:textId="77777777" w:rsidR="009358E5" w:rsidRPr="00816B5B" w:rsidRDefault="009358E5" w:rsidP="000D70D1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40B405BA" w14:textId="77777777" w:rsidTr="00F863AF">
        <w:tblPrEx>
          <w:jc w:val="left"/>
        </w:tblPrEx>
        <w:trPr>
          <w:trHeight w:val="758"/>
        </w:trPr>
        <w:tc>
          <w:tcPr>
            <w:tcW w:w="3652" w:type="dxa"/>
          </w:tcPr>
          <w:p w14:paraId="2156BB62" w14:textId="5D310E44" w:rsidR="009358E5" w:rsidRPr="00D325F4" w:rsidRDefault="009358E5" w:rsidP="00F863AF">
            <w:pPr>
              <w:rPr>
                <w:rFonts w:ascii="Times New Roman" w:hAnsi="Times New Roman" w:cs="Times New Roman"/>
                <w:i/>
                <w:iCs/>
              </w:rPr>
            </w:pPr>
            <w:r w:rsidRPr="00D325F4">
              <w:rPr>
                <w:rFonts w:ascii="Times New Roman" w:hAnsi="Times New Roman" w:cs="Times New Roman"/>
                <w:i/>
                <w:iCs/>
              </w:rPr>
              <w:t>формула за изчисляване на лихвата</w:t>
            </w:r>
          </w:p>
        </w:tc>
        <w:tc>
          <w:tcPr>
            <w:tcW w:w="6549" w:type="dxa"/>
          </w:tcPr>
          <w:p w14:paraId="175F5E5E" w14:textId="77777777" w:rsidR="009358E5" w:rsidRPr="00816B5B" w:rsidRDefault="009358E5" w:rsidP="00F863AF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25B705B2" w14:textId="77777777" w:rsidTr="001378A4">
        <w:tblPrEx>
          <w:jc w:val="left"/>
        </w:tblPrEx>
        <w:trPr>
          <w:trHeight w:val="758"/>
        </w:trPr>
        <w:tc>
          <w:tcPr>
            <w:tcW w:w="3652" w:type="dxa"/>
          </w:tcPr>
          <w:p w14:paraId="2F96AF1C" w14:textId="0F2E7D8F" w:rsidR="009358E5" w:rsidRPr="00D325F4" w:rsidRDefault="009358E5" w:rsidP="001378A4">
            <w:pPr>
              <w:rPr>
                <w:rFonts w:ascii="Times New Roman" w:hAnsi="Times New Roman" w:cs="Times New Roman"/>
                <w:i/>
                <w:iCs/>
              </w:rPr>
            </w:pPr>
            <w:r w:rsidRPr="00D325F4">
              <w:rPr>
                <w:rFonts w:ascii="Times New Roman" w:hAnsi="Times New Roman" w:cs="Times New Roman"/>
                <w:i/>
                <w:iCs/>
              </w:rPr>
              <w:t>Лихвен процент /фиксиран или плаващ/</w:t>
            </w:r>
          </w:p>
        </w:tc>
        <w:tc>
          <w:tcPr>
            <w:tcW w:w="6549" w:type="dxa"/>
          </w:tcPr>
          <w:p w14:paraId="42C8A036" w14:textId="77777777" w:rsidR="009358E5" w:rsidRPr="00816B5B" w:rsidRDefault="009358E5" w:rsidP="001378A4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D325F4" w14:paraId="4BF3C588" w14:textId="77777777" w:rsidTr="00D325F4">
        <w:trPr>
          <w:trHeight w:val="758"/>
          <w:jc w:val="center"/>
        </w:trPr>
        <w:tc>
          <w:tcPr>
            <w:tcW w:w="3652" w:type="dxa"/>
          </w:tcPr>
          <w:p w14:paraId="2928381E" w14:textId="3C6154C5" w:rsidR="009A1948" w:rsidRPr="009358E5" w:rsidRDefault="009A1948" w:rsidP="00D372E8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брой на плащанията по главницата и описание за всяко плащане</w:t>
            </w:r>
          </w:p>
        </w:tc>
        <w:tc>
          <w:tcPr>
            <w:tcW w:w="6549" w:type="dxa"/>
          </w:tcPr>
          <w:p w14:paraId="769F4A19" w14:textId="77777777" w:rsidR="009A1948" w:rsidRPr="009358E5" w:rsidRDefault="009A1948" w:rsidP="00D372E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</w:rPr>
              <w:t>№ по ред; Дата; Размер на плащането; Остатъчна стойност на главницата.</w:t>
            </w:r>
          </w:p>
          <w:p w14:paraId="06FDA6C7" w14:textId="2824BFA9" w:rsidR="00C52B24" w:rsidRPr="009358E5" w:rsidRDefault="00C52B24" w:rsidP="00D372E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D325F4" w14:paraId="2E57BE47" w14:textId="77777777" w:rsidTr="00945658">
        <w:trPr>
          <w:trHeight w:val="758"/>
          <w:jc w:val="center"/>
        </w:trPr>
        <w:tc>
          <w:tcPr>
            <w:tcW w:w="3652" w:type="dxa"/>
          </w:tcPr>
          <w:p w14:paraId="30473688" w14:textId="4FD4F8F2" w:rsidR="009358E5" w:rsidRPr="009358E5" w:rsidRDefault="009358E5" w:rsidP="00945658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правила по които се определят правоимащите лица по </w:t>
            </w:r>
            <w:proofErr w:type="spellStart"/>
            <w:r w:rsidRPr="00D325F4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главничното</w:t>
            </w:r>
            <w:proofErr w:type="spellEnd"/>
            <w:r w:rsidRPr="00D325F4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плащане</w:t>
            </w:r>
          </w:p>
        </w:tc>
        <w:tc>
          <w:tcPr>
            <w:tcW w:w="6549" w:type="dxa"/>
          </w:tcPr>
          <w:p w14:paraId="294A9C37" w14:textId="77777777" w:rsidR="009358E5" w:rsidRPr="009358E5" w:rsidRDefault="009358E5" w:rsidP="0094565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D325F4" w14:paraId="033AA385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55E3E1B7" w14:textId="2C9134F9" w:rsidR="009A1948" w:rsidRPr="009358E5" w:rsidRDefault="009A1948" w:rsidP="006A6BEF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правата, които имат притежателите на облигациите, описание на изключенията при упражняване на тези права и описание на реда за упражняване на тези права</w:t>
            </w:r>
          </w:p>
        </w:tc>
        <w:tc>
          <w:tcPr>
            <w:tcW w:w="6549" w:type="dxa"/>
          </w:tcPr>
          <w:p w14:paraId="22571E85" w14:textId="7E8E649D" w:rsidR="009A1948" w:rsidRPr="009358E5" w:rsidRDefault="00C52B24" w:rsidP="006A6BEF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6CEE74B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2EE44426" w14:textId="07A55A7B" w:rsidR="009A1948" w:rsidRPr="00C52B24" w:rsidRDefault="009A1948" w:rsidP="009D02E4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условията за обратно изкупуване</w:t>
            </w:r>
          </w:p>
        </w:tc>
        <w:tc>
          <w:tcPr>
            <w:tcW w:w="6549" w:type="dxa"/>
          </w:tcPr>
          <w:p w14:paraId="061737A1" w14:textId="4A48B930" w:rsidR="009A1948" w:rsidRPr="00816B5B" w:rsidRDefault="00C52B24" w:rsidP="009D02E4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816B5B" w14:paraId="56BAF28B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1452876B" w14:textId="6EA148D9" w:rsidR="009A1948" w:rsidRPr="00C52B24" w:rsidRDefault="009A1948" w:rsidP="00A951AD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подробно описание на допълнителни гаранции или застраховката</w:t>
            </w:r>
          </w:p>
        </w:tc>
        <w:tc>
          <w:tcPr>
            <w:tcW w:w="6549" w:type="dxa"/>
          </w:tcPr>
          <w:p w14:paraId="3D21DA28" w14:textId="65FBC843" w:rsidR="009A1948" w:rsidRPr="00816B5B" w:rsidRDefault="00C52B24" w:rsidP="00A951AD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5F8D97DD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3048A049" w14:textId="7D724668" w:rsidR="00C52B24" w:rsidRPr="00C52B24" w:rsidRDefault="00C52B24" w:rsidP="0028134A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подробно описание на обезпечението, включително изготвено заключение за оценка от лицензиран оценител</w:t>
            </w:r>
          </w:p>
        </w:tc>
        <w:tc>
          <w:tcPr>
            <w:tcW w:w="6549" w:type="dxa"/>
          </w:tcPr>
          <w:p w14:paraId="6D39DAD9" w14:textId="5FDDBCCA" w:rsidR="00C52B24" w:rsidRPr="00816B5B" w:rsidRDefault="00C52B24" w:rsidP="0028134A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4F088FA5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525D9971" w14:textId="25C86EF2" w:rsidR="00C52B24" w:rsidRPr="00C52B24" w:rsidRDefault="00C52B24" w:rsidP="004F72DE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подробна информация относно стойността на задълженията на емитента, актуални към тримесечието, предхождащо предлагането на облигациите</w:t>
            </w:r>
          </w:p>
        </w:tc>
        <w:tc>
          <w:tcPr>
            <w:tcW w:w="6549" w:type="dxa"/>
          </w:tcPr>
          <w:p w14:paraId="6BD46A8D" w14:textId="3B79D499" w:rsidR="00C52B24" w:rsidRPr="00816B5B" w:rsidRDefault="00C52B24" w:rsidP="004F72DE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D9CB61F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2EB353BD" w14:textId="7566D11E" w:rsidR="00C52B24" w:rsidRPr="00C52B24" w:rsidRDefault="00C52B24" w:rsidP="00ED788B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максималното ниво на дълг, допустимо за емитента до окончателното погасяване на облигациите</w:t>
            </w:r>
          </w:p>
        </w:tc>
        <w:tc>
          <w:tcPr>
            <w:tcW w:w="6549" w:type="dxa"/>
          </w:tcPr>
          <w:p w14:paraId="30A0384D" w14:textId="5C2EB3C4" w:rsidR="00C52B24" w:rsidRPr="00816B5B" w:rsidRDefault="00C52B24" w:rsidP="00ED788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5E90D887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47791AE3" w14:textId="0CFFCEE5" w:rsidR="00C52B24" w:rsidRPr="00C52B24" w:rsidRDefault="00C52B24" w:rsidP="00B31EF7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обща информация за рейтинга на емитента или на неговите облигации, и името на рейтинговата агенция в случай, че такъв е присвоен</w:t>
            </w:r>
          </w:p>
        </w:tc>
        <w:tc>
          <w:tcPr>
            <w:tcW w:w="6549" w:type="dxa"/>
          </w:tcPr>
          <w:p w14:paraId="0C095F11" w14:textId="27E59DE7" w:rsidR="00C52B24" w:rsidRPr="00816B5B" w:rsidRDefault="00C52B24" w:rsidP="00B31EF7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2F5DF79D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471A7BBB" w14:textId="2B6216D8" w:rsidR="00C52B24" w:rsidRPr="00C52B24" w:rsidRDefault="00C52B24" w:rsidP="001112BC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реда и сроковете за провеждане на общо събрание на притежателите на облигации</w:t>
            </w:r>
          </w:p>
        </w:tc>
        <w:tc>
          <w:tcPr>
            <w:tcW w:w="6549" w:type="dxa"/>
          </w:tcPr>
          <w:p w14:paraId="5E098C73" w14:textId="2050E877" w:rsidR="00C52B24" w:rsidRPr="00816B5B" w:rsidRDefault="00C52B24" w:rsidP="001112BC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6ACA2F49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76187ED3" w14:textId="43DA73C9" w:rsidR="00C52B24" w:rsidRPr="00C52B24" w:rsidRDefault="00C52B24" w:rsidP="00E7007F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задълженията на емитента, произтичащи от емисията</w:t>
            </w:r>
          </w:p>
        </w:tc>
        <w:tc>
          <w:tcPr>
            <w:tcW w:w="6549" w:type="dxa"/>
          </w:tcPr>
          <w:p w14:paraId="24C66981" w14:textId="2E7BD12F" w:rsidR="00C52B24" w:rsidRPr="00816B5B" w:rsidRDefault="00C52B24" w:rsidP="00E7007F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20E296DD" w14:textId="77777777" w:rsidTr="00C52B24">
        <w:tblPrEx>
          <w:jc w:val="left"/>
        </w:tblPrEx>
        <w:trPr>
          <w:trHeight w:val="758"/>
        </w:trPr>
        <w:tc>
          <w:tcPr>
            <w:tcW w:w="3652" w:type="dxa"/>
          </w:tcPr>
          <w:p w14:paraId="5A2C08D4" w14:textId="5014334A" w:rsidR="00C52B24" w:rsidRPr="00C52B24" w:rsidRDefault="00C52B24" w:rsidP="00C93F59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lastRenderedPageBreak/>
              <w:t>при конвертируеми облигации, информация, относно броя и процента на гласовете в общото събрание на емитента, на притежателите на облигации, в случаите, когато всички облигации са конвертирани</w:t>
            </w:r>
          </w:p>
        </w:tc>
        <w:tc>
          <w:tcPr>
            <w:tcW w:w="6549" w:type="dxa"/>
          </w:tcPr>
          <w:p w14:paraId="665B83B5" w14:textId="0B0D136F" w:rsidR="00C52B24" w:rsidRPr="00816B5B" w:rsidRDefault="00C52B24" w:rsidP="00C93F59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BDA890F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112DA5C4" w14:textId="3C5C073A" w:rsidR="00C52B24" w:rsidRPr="00C52B24" w:rsidRDefault="00C52B24" w:rsidP="009E142B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параметри на предлагането при облигации, издавани в програма</w:t>
            </w:r>
          </w:p>
        </w:tc>
        <w:tc>
          <w:tcPr>
            <w:tcW w:w="6549" w:type="dxa"/>
          </w:tcPr>
          <w:p w14:paraId="1F3D027B" w14:textId="7007632B" w:rsidR="00C52B24" w:rsidRPr="00816B5B" w:rsidRDefault="00C52B24" w:rsidP="009E142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7DAE9EF7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0913C679" w14:textId="185B90EE" w:rsidR="00C52B24" w:rsidRPr="00C52B24" w:rsidRDefault="00C52B24" w:rsidP="00AE7E3C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срока на погасяване на вземанията по лихви и главница</w:t>
            </w:r>
          </w:p>
        </w:tc>
        <w:tc>
          <w:tcPr>
            <w:tcW w:w="6549" w:type="dxa"/>
          </w:tcPr>
          <w:p w14:paraId="56B1CA66" w14:textId="51D72AD1" w:rsidR="00C52B24" w:rsidRPr="00816B5B" w:rsidRDefault="00C52B24" w:rsidP="00AE7E3C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325F4" w:rsidRPr="00816B5B" w14:paraId="26E79F77" w14:textId="77777777" w:rsidTr="00F43C0B">
        <w:tblPrEx>
          <w:jc w:val="left"/>
        </w:tblPrEx>
        <w:trPr>
          <w:trHeight w:val="758"/>
        </w:trPr>
        <w:tc>
          <w:tcPr>
            <w:tcW w:w="3652" w:type="dxa"/>
          </w:tcPr>
          <w:p w14:paraId="448AF5A1" w14:textId="77777777" w:rsidR="00D325F4" w:rsidRPr="00816B5B" w:rsidRDefault="00D325F4" w:rsidP="00F43C0B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6549" w:type="dxa"/>
          </w:tcPr>
          <w:p w14:paraId="21FDF689" w14:textId="77777777" w:rsidR="00D325F4" w:rsidRPr="00816B5B" w:rsidRDefault="00D325F4" w:rsidP="00F43C0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облигациите</w:t>
            </w:r>
            <w:r w:rsidRPr="00816B5B">
              <w:rPr>
                <w:rFonts w:ascii="Times New Roman" w:hAnsi="Times New Roman" w:cs="Times New Roman"/>
              </w:rPr>
              <w:t>, обект на този документ, не съществува ограничение във връзка с прехвърлянето им.</w:t>
            </w:r>
          </w:p>
        </w:tc>
      </w:tr>
    </w:tbl>
    <w:p w14:paraId="76D6DF0E" w14:textId="6B8E787B" w:rsidR="000773AA" w:rsidRDefault="000773AA" w:rsidP="000773AA">
      <w:pPr>
        <w:pStyle w:val="Default"/>
        <w:ind w:left="720"/>
        <w:jc w:val="both"/>
        <w:rPr>
          <w:i/>
          <w:color w:val="auto"/>
        </w:rPr>
      </w:pPr>
    </w:p>
    <w:p w14:paraId="53B0EF35" w14:textId="77777777" w:rsidR="00F8232C" w:rsidRPr="00816B5B" w:rsidRDefault="00F8232C" w:rsidP="000773AA">
      <w:pPr>
        <w:pStyle w:val="Default"/>
        <w:ind w:left="720"/>
        <w:jc w:val="both"/>
        <w:rPr>
          <w:i/>
          <w:color w:val="auto"/>
        </w:rPr>
      </w:pPr>
    </w:p>
    <w:p w14:paraId="6EAFF1BC" w14:textId="5AAAA246" w:rsidR="00F8232C" w:rsidRPr="00816B5B" w:rsidRDefault="00F8232C" w:rsidP="00F8232C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>
        <w:rPr>
          <w:i/>
          <w:color w:val="auto"/>
        </w:rPr>
        <w:t>При</w:t>
      </w:r>
      <w:r w:rsidRPr="00F8232C">
        <w:rPr>
          <w:i/>
          <w:color w:val="auto"/>
        </w:rPr>
        <w:t xml:space="preserve"> обезпечени облигации</w:t>
      </w:r>
      <w:r>
        <w:rPr>
          <w:i/>
          <w:color w:val="auto"/>
        </w:rPr>
        <w:t>,</w:t>
      </w:r>
      <w:r w:rsidRPr="00F8232C">
        <w:rPr>
          <w:i/>
          <w:color w:val="auto"/>
        </w:rPr>
        <w:t xml:space="preserve"> информация относно</w:t>
      </w:r>
      <w:r>
        <w:rPr>
          <w:i/>
          <w:color w:val="auto"/>
        </w:rPr>
        <w:t>:</w:t>
      </w:r>
    </w:p>
    <w:p w14:paraId="6ED9B719" w14:textId="77777777" w:rsidR="00F8232C" w:rsidRPr="008F0378" w:rsidRDefault="00F8232C" w:rsidP="00F8232C">
      <w:pPr>
        <w:pStyle w:val="Default"/>
        <w:ind w:left="720"/>
        <w:jc w:val="both"/>
        <w:rPr>
          <w:i/>
          <w:color w:val="auto"/>
          <w:lang w:val="en-GB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652"/>
        <w:gridCol w:w="6549"/>
      </w:tblGrid>
      <w:tr w:rsidR="00F8232C" w:rsidRPr="00816B5B" w14:paraId="02991E61" w14:textId="77777777" w:rsidTr="008F0378">
        <w:trPr>
          <w:trHeight w:val="758"/>
          <w:jc w:val="center"/>
        </w:trPr>
        <w:tc>
          <w:tcPr>
            <w:tcW w:w="3652" w:type="dxa"/>
          </w:tcPr>
          <w:p w14:paraId="31523963" w14:textId="5BD41687" w:rsidR="00F8232C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F8232C">
              <w:rPr>
                <w:rFonts w:ascii="Times New Roman" w:hAnsi="Times New Roman" w:cs="Times New Roman"/>
                <w:i/>
                <w:spacing w:val="6"/>
              </w:rPr>
              <w:t>представителите на облигационерите, определени от общото събрание на облигационерите, съответно довереника на облигационерите, в приложимите случаи</w:t>
            </w:r>
          </w:p>
        </w:tc>
        <w:tc>
          <w:tcPr>
            <w:tcW w:w="6549" w:type="dxa"/>
          </w:tcPr>
          <w:p w14:paraId="3A7055D2" w14:textId="77777777" w:rsidR="00F8232C" w:rsidRPr="00816B5B" w:rsidRDefault="00F8232C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8232C" w:rsidRPr="00816B5B" w14:paraId="31BD5215" w14:textId="77777777" w:rsidTr="008F0378">
        <w:trPr>
          <w:trHeight w:val="1136"/>
          <w:jc w:val="center"/>
        </w:trPr>
        <w:tc>
          <w:tcPr>
            <w:tcW w:w="3652" w:type="dxa"/>
          </w:tcPr>
          <w:p w14:paraId="472F0E7C" w14:textId="74137331" w:rsidR="00F8232C" w:rsidRPr="00D84F9D" w:rsidRDefault="00F8232C" w:rsidP="008F03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F8232C">
              <w:rPr>
                <w:rFonts w:ascii="Times New Roman" w:hAnsi="Times New Roman" w:cs="Times New Roman"/>
                <w:i/>
              </w:rPr>
              <w:t>чреденото обезпечение на облигационната емисия</w:t>
            </w:r>
          </w:p>
        </w:tc>
        <w:tc>
          <w:tcPr>
            <w:tcW w:w="6549" w:type="dxa"/>
          </w:tcPr>
          <w:p w14:paraId="734B7B12" w14:textId="77777777" w:rsidR="00F8232C" w:rsidRPr="00816B5B" w:rsidRDefault="00F8232C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FE3BCD1" w14:textId="77777777" w:rsidR="006A0433" w:rsidRPr="00816B5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ECF614A" w14:textId="77777777" w:rsidR="006A0433" w:rsidRPr="00816B5B" w:rsidRDefault="006A0433" w:rsidP="00D325F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Друга информация, по преценка на емитента.</w:t>
      </w:r>
    </w:p>
    <w:p w14:paraId="14D412AD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6A0433" w:rsidRPr="00816B5B" w14:paraId="0EE9B59A" w14:textId="77777777" w:rsidTr="00D325F4">
        <w:trPr>
          <w:trHeight w:val="2263"/>
        </w:trPr>
        <w:tc>
          <w:tcPr>
            <w:tcW w:w="10183" w:type="dxa"/>
          </w:tcPr>
          <w:p w14:paraId="26DD3291" w14:textId="36D4794C" w:rsidR="00D47BA9" w:rsidRPr="00816B5B" w:rsidRDefault="0095298D" w:rsidP="00827988">
            <w:pPr>
              <w:pStyle w:val="Default"/>
              <w:ind w:firstLine="691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816B5B">
              <w:rPr>
                <w:color w:val="auto"/>
                <w:sz w:val="22"/>
                <w:szCs w:val="22"/>
              </w:rPr>
            </w:r>
            <w:r w:rsidRPr="00816B5B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16B5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816B5B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E88F04" w14:textId="77777777" w:rsidR="005218CA" w:rsidRPr="00816B5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12C35D87" w14:textId="77777777" w:rsidR="00FF7472" w:rsidRPr="00816B5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D325F4">
        <w:rPr>
          <w:rFonts w:cs="Times New Roman"/>
          <w:i/>
          <w:color w:val="auto"/>
        </w:rPr>
        <w:lastRenderedPageBreak/>
        <w:t>VI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ЕМИТЕНТА</w:t>
      </w:r>
      <w:bookmarkEnd w:id="5"/>
    </w:p>
    <w:p w14:paraId="6BE7CC0C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368BD78E" w14:textId="77777777" w:rsidR="00C21528" w:rsidRPr="00816B5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2DD92B58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7F6090C1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C21528" w:rsidRPr="00816B5B" w14:paraId="0AE18E6E" w14:textId="77777777" w:rsidTr="00D325F4">
        <w:trPr>
          <w:trHeight w:val="363"/>
        </w:trPr>
        <w:tc>
          <w:tcPr>
            <w:tcW w:w="3652" w:type="dxa"/>
            <w:vAlign w:val="center"/>
          </w:tcPr>
          <w:p w14:paraId="369E2863" w14:textId="75546765" w:rsidR="00C21528" w:rsidRPr="00816B5B" w:rsidRDefault="00A4135C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6549" w:type="dxa"/>
            <w:vAlign w:val="center"/>
          </w:tcPr>
          <w:p w14:paraId="6C802392" w14:textId="103E227E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7E929A3F" w14:textId="77777777" w:rsidTr="00D325F4">
        <w:trPr>
          <w:trHeight w:val="383"/>
        </w:trPr>
        <w:tc>
          <w:tcPr>
            <w:tcW w:w="3652" w:type="dxa"/>
            <w:vAlign w:val="center"/>
          </w:tcPr>
          <w:p w14:paraId="0A21C524" w14:textId="657D9D2F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6549" w:type="dxa"/>
            <w:vAlign w:val="center"/>
          </w:tcPr>
          <w:p w14:paraId="4C94ABE0" w14:textId="3ABDF2FF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0C24F212" w14:textId="77777777" w:rsidTr="00D325F4">
        <w:trPr>
          <w:trHeight w:val="363"/>
        </w:trPr>
        <w:tc>
          <w:tcPr>
            <w:tcW w:w="3652" w:type="dxa"/>
            <w:vAlign w:val="center"/>
          </w:tcPr>
          <w:p w14:paraId="593455FA" w14:textId="759152C1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6549" w:type="dxa"/>
            <w:vAlign w:val="center"/>
          </w:tcPr>
          <w:p w14:paraId="47D331A9" w14:textId="241FF575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1E5AD8AD" w14:textId="77777777" w:rsidTr="00D325F4">
        <w:trPr>
          <w:trHeight w:val="335"/>
        </w:trPr>
        <w:tc>
          <w:tcPr>
            <w:tcW w:w="3652" w:type="dxa"/>
            <w:vAlign w:val="center"/>
          </w:tcPr>
          <w:p w14:paraId="00674F92" w14:textId="768F4F4F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6549" w:type="dxa"/>
            <w:vAlign w:val="center"/>
          </w:tcPr>
          <w:p w14:paraId="16643BE7" w14:textId="791854A7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54EFC5" w14:textId="77777777" w:rsidTr="00D325F4">
        <w:trPr>
          <w:trHeight w:val="596"/>
        </w:trPr>
        <w:tc>
          <w:tcPr>
            <w:tcW w:w="3652" w:type="dxa"/>
            <w:vAlign w:val="center"/>
          </w:tcPr>
          <w:p w14:paraId="1E3718D5" w14:textId="77777777" w:rsidR="00A832AA" w:rsidRPr="00816B5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6549" w:type="dxa"/>
            <w:vAlign w:val="center"/>
          </w:tcPr>
          <w:p w14:paraId="42C060F8" w14:textId="357491FD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F7472" w:rsidRPr="00816B5B" w14:paraId="51FEE761" w14:textId="77777777" w:rsidTr="00D325F4">
        <w:trPr>
          <w:trHeight w:val="389"/>
        </w:trPr>
        <w:tc>
          <w:tcPr>
            <w:tcW w:w="3652" w:type="dxa"/>
            <w:vAlign w:val="center"/>
          </w:tcPr>
          <w:p w14:paraId="7A7F450F" w14:textId="7C470B67" w:rsidR="00FF7472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6549" w:type="dxa"/>
            <w:vAlign w:val="center"/>
          </w:tcPr>
          <w:p w14:paraId="7F89513F" w14:textId="5411728C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25070D" w:rsidRPr="00816B5B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816B5B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816B5B" w14:paraId="35DBCD16" w14:textId="77777777" w:rsidTr="00D325F4">
        <w:trPr>
          <w:trHeight w:val="681"/>
        </w:trPr>
        <w:tc>
          <w:tcPr>
            <w:tcW w:w="3652" w:type="dxa"/>
            <w:vAlign w:val="center"/>
          </w:tcPr>
          <w:p w14:paraId="3AFF5A11" w14:textId="6769AC0F" w:rsidR="00FF7472" w:rsidRPr="00816B5B" w:rsidRDefault="00A4135C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6549" w:type="dxa"/>
            <w:vAlign w:val="center"/>
          </w:tcPr>
          <w:p w14:paraId="712F123E" w14:textId="3C644452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4CD62871" w14:textId="77777777" w:rsidTr="00D325F4">
        <w:trPr>
          <w:trHeight w:val="371"/>
        </w:trPr>
        <w:tc>
          <w:tcPr>
            <w:tcW w:w="3652" w:type="dxa"/>
            <w:vAlign w:val="center"/>
          </w:tcPr>
          <w:p w14:paraId="4C578282" w14:textId="3C87ECA5" w:rsidR="00A832AA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6549" w:type="dxa"/>
            <w:vAlign w:val="center"/>
          </w:tcPr>
          <w:p w14:paraId="543693EF" w14:textId="6D9DC0FF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11053D" w:rsidRPr="00816B5B" w14:paraId="05E5A191" w14:textId="77777777" w:rsidTr="00D325F4">
        <w:trPr>
          <w:trHeight w:val="434"/>
        </w:trPr>
        <w:tc>
          <w:tcPr>
            <w:tcW w:w="3652" w:type="dxa"/>
            <w:vAlign w:val="center"/>
          </w:tcPr>
          <w:p w14:paraId="4EDA511D" w14:textId="7C19858C" w:rsidR="0011053D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6549" w:type="dxa"/>
            <w:vAlign w:val="center"/>
          </w:tcPr>
          <w:p w14:paraId="2866AC1D" w14:textId="5801F437" w:rsidR="0011053D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0B10CD" w14:textId="77777777" w:rsidTr="00D325F4">
        <w:trPr>
          <w:trHeight w:val="362"/>
        </w:trPr>
        <w:tc>
          <w:tcPr>
            <w:tcW w:w="3652" w:type="dxa"/>
            <w:vAlign w:val="center"/>
          </w:tcPr>
          <w:p w14:paraId="5573E0A9" w14:textId="006B9B9A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6549" w:type="dxa"/>
            <w:vAlign w:val="center"/>
          </w:tcPr>
          <w:p w14:paraId="597E9AF2" w14:textId="5E02CC4D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3DF2B535" w14:textId="77777777" w:rsidTr="00D325F4">
        <w:trPr>
          <w:trHeight w:val="425"/>
        </w:trPr>
        <w:tc>
          <w:tcPr>
            <w:tcW w:w="3652" w:type="dxa"/>
            <w:vAlign w:val="center"/>
          </w:tcPr>
          <w:p w14:paraId="68906EF9" w14:textId="2EF71CEA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49" w:type="dxa"/>
            <w:vAlign w:val="center"/>
          </w:tcPr>
          <w:p w14:paraId="07FE32E2" w14:textId="2C649C83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211BE442" w14:textId="77777777" w:rsidTr="00D325F4">
        <w:trPr>
          <w:trHeight w:val="353"/>
        </w:trPr>
        <w:tc>
          <w:tcPr>
            <w:tcW w:w="3652" w:type="dxa"/>
            <w:vAlign w:val="center"/>
          </w:tcPr>
          <w:p w14:paraId="231E996F" w14:textId="477628E1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6549" w:type="dxa"/>
            <w:vAlign w:val="center"/>
          </w:tcPr>
          <w:p w14:paraId="67F0EF5E" w14:textId="2AD50EB4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76EFCC91" w14:textId="77777777" w:rsidTr="00D325F4">
        <w:trPr>
          <w:trHeight w:val="353"/>
        </w:trPr>
        <w:tc>
          <w:tcPr>
            <w:tcW w:w="3652" w:type="dxa"/>
            <w:vAlign w:val="center"/>
          </w:tcPr>
          <w:p w14:paraId="46107C29" w14:textId="16B853B9" w:rsidR="00A832AA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6549" w:type="dxa"/>
            <w:vAlign w:val="center"/>
          </w:tcPr>
          <w:p w14:paraId="017815FA" w14:textId="4AA1E34F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887D215" w14:textId="77777777" w:rsidR="00C21528" w:rsidRPr="00816B5B" w:rsidRDefault="00C21528" w:rsidP="00C21528">
      <w:pPr>
        <w:pStyle w:val="Default"/>
        <w:rPr>
          <w:i/>
          <w:color w:val="auto"/>
        </w:rPr>
      </w:pPr>
    </w:p>
    <w:p w14:paraId="3D935B4D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922737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816B5B">
        <w:rPr>
          <w:i/>
          <w:color w:val="auto"/>
        </w:rPr>
        <w:t>вяне на документа за допускане.</w:t>
      </w:r>
    </w:p>
    <w:p w14:paraId="19B5461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CAACB7C" w14:textId="77777777" w:rsidTr="00D325F4">
        <w:trPr>
          <w:trHeight w:val="652"/>
        </w:trPr>
        <w:tc>
          <w:tcPr>
            <w:tcW w:w="10201" w:type="dxa"/>
          </w:tcPr>
          <w:p w14:paraId="5A4DFB33" w14:textId="3F9A3853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F4D4CD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38959BA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743FFF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816B5B">
        <w:rPr>
          <w:i/>
          <w:color w:val="auto"/>
        </w:rPr>
        <w:t xml:space="preserve"> до размера</w:t>
      </w:r>
      <w:r w:rsidR="00B721B4" w:rsidRPr="00816B5B">
        <w:rPr>
          <w:i/>
          <w:color w:val="auto"/>
        </w:rPr>
        <w:t>,</w:t>
      </w:r>
      <w:r w:rsidR="008F25E4" w:rsidRPr="00816B5B">
        <w:rPr>
          <w:i/>
          <w:color w:val="auto"/>
        </w:rPr>
        <w:t xml:space="preserve"> определен в устава.</w:t>
      </w:r>
    </w:p>
    <w:p w14:paraId="26BEDCC7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45C61484" w14:textId="77777777" w:rsidTr="00D325F4">
        <w:trPr>
          <w:trHeight w:val="769"/>
        </w:trPr>
        <w:tc>
          <w:tcPr>
            <w:tcW w:w="10201" w:type="dxa"/>
          </w:tcPr>
          <w:p w14:paraId="03288D6C" w14:textId="1A6F8DD7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0DF33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1380E46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E885AFD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816B5B">
        <w:rPr>
          <w:i/>
          <w:color w:val="auto"/>
        </w:rPr>
        <w:t xml:space="preserve">на </w:t>
      </w:r>
      <w:r w:rsidR="006A325E" w:rsidRPr="00816B5B">
        <w:rPr>
          <w:i/>
          <w:color w:val="auto"/>
        </w:rPr>
        <w:t>емитента</w:t>
      </w:r>
      <w:r w:rsidR="008F25E4" w:rsidRPr="00816B5B">
        <w:rPr>
          <w:i/>
          <w:color w:val="auto"/>
        </w:rPr>
        <w:t>.</w:t>
      </w:r>
    </w:p>
    <w:p w14:paraId="70176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44BEE7F" w14:textId="77777777" w:rsidTr="00D325F4">
        <w:trPr>
          <w:trHeight w:val="803"/>
        </w:trPr>
        <w:tc>
          <w:tcPr>
            <w:tcW w:w="10201" w:type="dxa"/>
          </w:tcPr>
          <w:p w14:paraId="4BFC5BBA" w14:textId="77777777" w:rsidR="000D3C99" w:rsidRPr="00816B5B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За акционери ЮЛ: ЕИК, Наименование,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2B57D48D" w14:textId="44A121BC" w:rsidR="00D47BA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  <w:p w14:paraId="6381E0DD" w14:textId="77777777" w:rsidR="002D7A5A" w:rsidRPr="00816B5B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 w:rsidRPr="00816B5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816B5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089C6E9B" w14:textId="7497FEB6" w:rsidR="00D47BA9" w:rsidRPr="00816B5B" w:rsidRDefault="00CA0A4A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09753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25E1F12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7EC6364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816B5B">
        <w:rPr>
          <w:i/>
          <w:color w:val="auto"/>
        </w:rPr>
        <w:t>освен, ако</w:t>
      </w:r>
      <w:r w:rsidRPr="00816B5B">
        <w:rPr>
          <w:i/>
          <w:color w:val="auto"/>
        </w:rPr>
        <w:t xml:space="preserve"> не</w:t>
      </w:r>
      <w:r w:rsidR="00B721B4" w:rsidRPr="00816B5B">
        <w:rPr>
          <w:i/>
          <w:color w:val="auto"/>
        </w:rPr>
        <w:t xml:space="preserve"> са </w:t>
      </w:r>
      <w:r w:rsidR="008F25E4" w:rsidRPr="00816B5B">
        <w:rPr>
          <w:i/>
          <w:color w:val="auto"/>
        </w:rPr>
        <w:t>посочени по т. 7 от Правилата.</w:t>
      </w:r>
    </w:p>
    <w:p w14:paraId="72ADDC73" w14:textId="60D221E7" w:rsidR="00C80DD2" w:rsidRPr="00816B5B" w:rsidRDefault="00C80DD2" w:rsidP="00C21528">
      <w:pPr>
        <w:pStyle w:val="Default"/>
        <w:spacing w:after="27"/>
        <w:jc w:val="both"/>
        <w:rPr>
          <w:i/>
          <w:color w:val="auto"/>
        </w:rPr>
      </w:pPr>
    </w:p>
    <w:p w14:paraId="786B77C0" w14:textId="3D435B3D" w:rsidR="001C3616" w:rsidRPr="00816B5B" w:rsidRDefault="001C3616" w:rsidP="001C3616">
      <w:pPr>
        <w:pStyle w:val="Default"/>
        <w:spacing w:after="27"/>
        <w:ind w:left="709" w:hanging="426"/>
        <w:jc w:val="both"/>
        <w:rPr>
          <w:i/>
          <w:color w:val="auto"/>
        </w:rPr>
      </w:pPr>
      <w:r w:rsidRPr="00816B5B">
        <w:rPr>
          <w:i/>
          <w:color w:val="auto"/>
        </w:rPr>
        <w:t>а) наименование на дружеството майка, седалище, адрес на управление, ЕИК или еквивалентен номер от търговски регистър по седалището на дружеството майка:</w:t>
      </w:r>
    </w:p>
    <w:p w14:paraId="0034867B" w14:textId="77777777" w:rsidR="001C3616" w:rsidRPr="00816B5B" w:rsidRDefault="001C3616" w:rsidP="00D325F4">
      <w:pPr>
        <w:pStyle w:val="Default"/>
        <w:spacing w:after="27"/>
        <w:ind w:left="709" w:hanging="426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2A345659" w14:textId="77777777" w:rsidTr="00D325F4">
        <w:trPr>
          <w:trHeight w:val="803"/>
        </w:trPr>
        <w:tc>
          <w:tcPr>
            <w:tcW w:w="10201" w:type="dxa"/>
          </w:tcPr>
          <w:p w14:paraId="74EFAFB3" w14:textId="6C35FE5E" w:rsidR="001C3616" w:rsidRPr="00816B5B" w:rsidRDefault="001C3616" w:rsidP="008F037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34E15299" w14:textId="778C102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2E1B6C34" w14:textId="2526E4B2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б) информация относно участието на дружеството майка в капитала на емитента:</w:t>
      </w:r>
    </w:p>
    <w:p w14:paraId="25C2E3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304A3CE5" w14:textId="77777777" w:rsidTr="00D325F4">
        <w:trPr>
          <w:trHeight w:val="803"/>
        </w:trPr>
        <w:tc>
          <w:tcPr>
            <w:tcW w:w="10201" w:type="dxa"/>
          </w:tcPr>
          <w:p w14:paraId="4B1CF0AF" w14:textId="77777777" w:rsidR="001C3616" w:rsidRPr="00816B5B" w:rsidRDefault="001C3616" w:rsidP="00A25FDF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2C20A2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5354969D" w14:textId="24992A34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в) списък с всички дъщерни дружества, който съдържа наименование, седалище, адрес на управление, ЕИК или еквивалентен номер от търговски регистър по седалището им, както и информация относно участието на емитента и дружеството майка в капитала им:</w:t>
      </w:r>
    </w:p>
    <w:p w14:paraId="6A4AB591" w14:textId="77777777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583A74E0" w14:textId="77777777" w:rsidTr="00D325F4">
        <w:trPr>
          <w:trHeight w:val="803"/>
        </w:trPr>
        <w:tc>
          <w:tcPr>
            <w:tcW w:w="10201" w:type="dxa"/>
          </w:tcPr>
          <w:p w14:paraId="73106D35" w14:textId="77777777" w:rsidR="001C3616" w:rsidRPr="00816B5B" w:rsidRDefault="001C3616" w:rsidP="00B00D93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A9FEC1A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6431A13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01EFD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основните дейности, представени по сегменти</w:t>
      </w:r>
      <w:r w:rsidR="008F25E4" w:rsidRPr="00816B5B">
        <w:rPr>
          <w:i/>
          <w:color w:val="auto"/>
        </w:rPr>
        <w:t>.</w:t>
      </w:r>
    </w:p>
    <w:p w14:paraId="685A6ABC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249"/>
        <w:gridCol w:w="2014"/>
        <w:gridCol w:w="1943"/>
      </w:tblGrid>
      <w:tr w:rsidR="00B07586" w:rsidRPr="00816B5B" w14:paraId="7130332D" w14:textId="77777777" w:rsidTr="00D325F4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C84" w14:textId="77777777" w:rsidR="00B07586" w:rsidRPr="00816B5B" w:rsidRDefault="00B07586" w:rsidP="008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535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C3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816B5B" w14:paraId="74527078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06138F0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376272E2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010" w14:textId="56DE0731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7D2402A8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2B3" w14:textId="1EC6BA6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1B" w14:textId="48E97521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AAD" w14:textId="3F3F54E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B07586" w:rsidRPr="00816B5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816B5B" w14:paraId="2203F00D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FA1" w14:textId="7BA9A4B8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334" w14:textId="36210F8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B6D" w14:textId="2D5D31B7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C1CF932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E9097CE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C1C8CD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вкл</w:t>
      </w:r>
      <w:r w:rsidR="008F25E4" w:rsidRPr="00816B5B">
        <w:rPr>
          <w:i/>
          <w:color w:val="auto"/>
        </w:rPr>
        <w:t>ючени в документа за допускане.</w:t>
      </w:r>
    </w:p>
    <w:p w14:paraId="0E549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5D91C387" w14:textId="77777777" w:rsidTr="00D325F4">
        <w:trPr>
          <w:trHeight w:val="974"/>
        </w:trPr>
        <w:tc>
          <w:tcPr>
            <w:tcW w:w="10201" w:type="dxa"/>
          </w:tcPr>
          <w:p w14:paraId="5D5694A7" w14:textId="6B490F7F" w:rsidR="000C299A" w:rsidRPr="00816B5B" w:rsidRDefault="001C3616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C06EB5C" w14:textId="77777777" w:rsidR="000C299A" w:rsidRPr="00816B5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707FEFA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1AB615" w14:textId="77777777" w:rsidR="00FD7A49" w:rsidRPr="005A1F82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5A1F82">
        <w:rPr>
          <w:i/>
          <w:color w:val="auto"/>
        </w:rPr>
        <w:lastRenderedPageBreak/>
        <w:t>При първично предлагане на Пазар BЕAM</w:t>
      </w:r>
      <w:r w:rsidR="00E01111" w:rsidRPr="005A1F82">
        <w:rPr>
          <w:i/>
          <w:color w:val="auto"/>
        </w:rPr>
        <w:t>:</w:t>
      </w:r>
      <w:r w:rsidRPr="005A1F82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5A1F82">
        <w:rPr>
          <w:i/>
          <w:color w:val="auto"/>
        </w:rPr>
        <w:t>т използвани набраните средства.</w:t>
      </w:r>
    </w:p>
    <w:p w14:paraId="56C835BE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7A49" w:rsidRPr="00816B5B" w14:paraId="1C5E2C8A" w14:textId="77777777" w:rsidTr="00D325F4">
        <w:trPr>
          <w:trHeight w:val="901"/>
        </w:trPr>
        <w:tc>
          <w:tcPr>
            <w:tcW w:w="10201" w:type="dxa"/>
          </w:tcPr>
          <w:p w14:paraId="59C2AC70" w14:textId="202064FF" w:rsidR="00FD7A49" w:rsidRPr="00816B5B" w:rsidRDefault="00A7109C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3DF7A87" w14:textId="77777777" w:rsidR="00FD7A49" w:rsidRPr="00816B5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0F6C896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1E0E22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816B5B">
        <w:rPr>
          <w:i/>
          <w:color w:val="auto"/>
        </w:rPr>
        <w:t>ане за покриване на тези нужди.</w:t>
      </w:r>
    </w:p>
    <w:p w14:paraId="3B50DDE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421D1050" w14:textId="77777777" w:rsidTr="00D325F4">
        <w:trPr>
          <w:trHeight w:val="910"/>
        </w:trPr>
        <w:tc>
          <w:tcPr>
            <w:tcW w:w="10201" w:type="dxa"/>
          </w:tcPr>
          <w:p w14:paraId="285E3B7E" w14:textId="119F29E9" w:rsidR="000C299A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007A819" w14:textId="77777777" w:rsidR="000C299A" w:rsidRPr="00816B5B" w:rsidRDefault="000C299A" w:rsidP="00C21528">
      <w:pPr>
        <w:pStyle w:val="Default"/>
        <w:spacing w:after="27"/>
        <w:rPr>
          <w:i/>
          <w:color w:val="auto"/>
        </w:rPr>
      </w:pPr>
    </w:p>
    <w:p w14:paraId="70C8BB85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5FCEC1A5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816B5B">
        <w:rPr>
          <w:i/>
          <w:color w:val="auto"/>
        </w:rPr>
        <w:t>допускане, или ако</w:t>
      </w:r>
      <w:r w:rsidRPr="00816B5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816B5B">
        <w:rPr>
          <w:i/>
          <w:color w:val="auto"/>
        </w:rPr>
        <w:t>елен изискуем оборотен капитал.</w:t>
      </w:r>
    </w:p>
    <w:p w14:paraId="19E7B92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5525" w:rsidRPr="00816B5B" w14:paraId="464855A9" w14:textId="77777777" w:rsidTr="00D325F4">
        <w:trPr>
          <w:trHeight w:val="925"/>
        </w:trPr>
        <w:tc>
          <w:tcPr>
            <w:tcW w:w="10201" w:type="dxa"/>
          </w:tcPr>
          <w:p w14:paraId="69B7ABD7" w14:textId="221791CF" w:rsidR="00CE5525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00B0637" w14:textId="77777777" w:rsidR="00CE5525" w:rsidRPr="00816B5B" w:rsidRDefault="00CE5525" w:rsidP="00C21528">
      <w:pPr>
        <w:pStyle w:val="Default"/>
        <w:spacing w:after="27"/>
        <w:rPr>
          <w:i/>
          <w:color w:val="auto"/>
        </w:rPr>
      </w:pPr>
    </w:p>
    <w:p w14:paraId="21FA534F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1B5AC3AF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 w:rsidRPr="00816B5B">
        <w:rPr>
          <w:i/>
          <w:color w:val="auto"/>
        </w:rPr>
        <w:t xml:space="preserve">в </w:t>
      </w:r>
      <w:r w:rsidRPr="00816B5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816B5B">
        <w:rPr>
          <w:i/>
          <w:color w:val="auto"/>
        </w:rPr>
        <w:t>инансово състояние на емитента.</w:t>
      </w:r>
    </w:p>
    <w:p w14:paraId="0411DD14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0C163B91" w14:textId="77777777" w:rsidTr="00D325F4">
        <w:trPr>
          <w:trHeight w:val="906"/>
        </w:trPr>
        <w:tc>
          <w:tcPr>
            <w:tcW w:w="10201" w:type="dxa"/>
          </w:tcPr>
          <w:p w14:paraId="3C5B0D33" w14:textId="7D417495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BF7DB94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7EAF958D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31094BCB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816B5B">
        <w:rPr>
          <w:i/>
          <w:color w:val="auto"/>
        </w:rPr>
        <w:t>наличието на тежести върху тях.</w:t>
      </w:r>
    </w:p>
    <w:p w14:paraId="4CAD711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7F5AD912" w14:textId="77777777" w:rsidTr="00D325F4">
        <w:trPr>
          <w:trHeight w:val="912"/>
        </w:trPr>
        <w:tc>
          <w:tcPr>
            <w:tcW w:w="10201" w:type="dxa"/>
          </w:tcPr>
          <w:p w14:paraId="34D8E1CA" w14:textId="532275C8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468DCF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3CBB2B38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7375E832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816B5B">
        <w:rPr>
          <w:i/>
          <w:color w:val="auto"/>
        </w:rPr>
        <w:t>е данни по чл. 24 от Правилата.</w:t>
      </w:r>
    </w:p>
    <w:p w14:paraId="0D59B2B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12D93333" w14:textId="77777777" w:rsidTr="00D325F4">
        <w:trPr>
          <w:trHeight w:val="1116"/>
        </w:trPr>
        <w:tc>
          <w:tcPr>
            <w:tcW w:w="10201" w:type="dxa"/>
          </w:tcPr>
          <w:p w14:paraId="452AB7C7" w14:textId="6C0D6B05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18DE034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2ADEF8F8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4701FFE9" w14:textId="77777777" w:rsidR="00C21528" w:rsidRPr="00816B5B" w:rsidRDefault="00C21528" w:rsidP="00D325F4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816B5B">
        <w:rPr>
          <w:i/>
          <w:color w:val="auto"/>
        </w:rPr>
        <w:t>ните три години.</w:t>
      </w:r>
    </w:p>
    <w:p w14:paraId="32C361D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478A536F" w14:textId="77777777" w:rsidTr="00D325F4">
        <w:trPr>
          <w:trHeight w:val="1040"/>
        </w:trPr>
        <w:tc>
          <w:tcPr>
            <w:tcW w:w="10201" w:type="dxa"/>
          </w:tcPr>
          <w:p w14:paraId="0C8E3B6C" w14:textId="59CF9833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AFA1D1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0CDF9643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789438D1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 w:rsidRPr="00816B5B">
        <w:rPr>
          <w:i/>
          <w:color w:val="auto"/>
        </w:rPr>
        <w:t>емитента</w:t>
      </w:r>
      <w:r w:rsidRPr="00816B5B">
        <w:rPr>
          <w:i/>
          <w:color w:val="auto"/>
        </w:rPr>
        <w:t xml:space="preserve">, включително </w:t>
      </w:r>
      <w:proofErr w:type="spellStart"/>
      <w:r w:rsidRPr="00816B5B">
        <w:rPr>
          <w:i/>
          <w:color w:val="auto"/>
        </w:rPr>
        <w:t>органиграма</w:t>
      </w:r>
      <w:proofErr w:type="spellEnd"/>
      <w:r w:rsidRPr="00816B5B">
        <w:rPr>
          <w:i/>
          <w:color w:val="auto"/>
        </w:rPr>
        <w:t xml:space="preserve"> и описание на човешките ресурси, предназначе</w:t>
      </w:r>
      <w:r w:rsidR="008F25E4" w:rsidRPr="00816B5B">
        <w:rPr>
          <w:i/>
          <w:color w:val="auto"/>
        </w:rPr>
        <w:t>ни за стопанската му дейност.</w:t>
      </w:r>
    </w:p>
    <w:p w14:paraId="695497C5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03756881" w14:textId="77777777" w:rsidTr="00D325F4">
        <w:trPr>
          <w:trHeight w:val="724"/>
        </w:trPr>
        <w:tc>
          <w:tcPr>
            <w:tcW w:w="10201" w:type="dxa"/>
          </w:tcPr>
          <w:p w14:paraId="6D4F457E" w14:textId="77777777" w:rsidR="00B65A0D" w:rsidRPr="00816B5B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1529E651" w14:textId="0C0EC043" w:rsidR="00D47BA9" w:rsidRPr="00816B5B" w:rsidRDefault="00F258D1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A36BD62" w14:textId="77777777" w:rsidR="00B65A0D" w:rsidRPr="00816B5B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254D0200" w14:textId="77777777" w:rsidTr="00D325F4">
        <w:trPr>
          <w:trHeight w:val="724"/>
        </w:trPr>
        <w:tc>
          <w:tcPr>
            <w:tcW w:w="10201" w:type="dxa"/>
          </w:tcPr>
          <w:p w14:paraId="310C2BFF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Организационна структура и 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органиграма</w:t>
            </w:r>
            <w:proofErr w:type="spellEnd"/>
          </w:p>
          <w:p w14:paraId="3B00B5D8" w14:textId="2CF274C0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6528E5F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46BC37FF" w14:textId="77777777" w:rsidTr="00D325F4">
        <w:trPr>
          <w:trHeight w:val="724"/>
        </w:trPr>
        <w:tc>
          <w:tcPr>
            <w:tcW w:w="10201" w:type="dxa"/>
          </w:tcPr>
          <w:p w14:paraId="782C9A37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622529AA" w14:textId="6C75BC3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DBD184A" w14:textId="77777777" w:rsidR="006A325E" w:rsidRPr="00816B5B" w:rsidRDefault="006A325E" w:rsidP="006A325E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8D1" w:rsidRPr="00816B5B" w14:paraId="3FD8B62B" w14:textId="77777777" w:rsidTr="00D325F4">
        <w:trPr>
          <w:trHeight w:val="724"/>
        </w:trPr>
        <w:tc>
          <w:tcPr>
            <w:tcW w:w="10201" w:type="dxa"/>
          </w:tcPr>
          <w:p w14:paraId="57EDE596" w14:textId="5D26D019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В случай, че се използват подизпълнители за реализиране на свързани с дейността процеси, моля да се даде принципно описание на взаимоотношенията</w:t>
            </w:r>
          </w:p>
          <w:p w14:paraId="5C8D9D4F" w14:textId="77777777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A59A2E1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7BCA5CF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816B5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816B5B">
        <w:rPr>
          <w:i/>
          <w:color w:val="auto"/>
        </w:rPr>
        <w:t>жими към дейността на емитента.</w:t>
      </w:r>
    </w:p>
    <w:p w14:paraId="1D5D57A9" w14:textId="77777777" w:rsidR="00770F12" w:rsidRPr="00816B5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7D0ABDD2" w14:textId="77777777" w:rsidTr="00D325F4">
        <w:trPr>
          <w:trHeight w:val="670"/>
        </w:trPr>
        <w:tc>
          <w:tcPr>
            <w:tcW w:w="10201" w:type="dxa"/>
          </w:tcPr>
          <w:p w14:paraId="20F89F7A" w14:textId="7BC39633" w:rsidR="00B65A0D" w:rsidRPr="00816B5B" w:rsidRDefault="00F258D1" w:rsidP="00F258D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210B77" w14:textId="77777777" w:rsidR="00B65A0D" w:rsidRPr="00816B5B" w:rsidRDefault="00B65A0D" w:rsidP="00C21528">
      <w:pPr>
        <w:pStyle w:val="Default"/>
        <w:rPr>
          <w:i/>
          <w:color w:val="auto"/>
        </w:rPr>
      </w:pPr>
    </w:p>
    <w:p w14:paraId="2EC1968B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3B922D1" w14:textId="77777777" w:rsidR="00C21528" w:rsidRPr="00816B5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C21528" w:rsidRPr="00816B5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0079A15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047481" w:rsidRPr="00816B5B" w14:paraId="774D4E82" w14:textId="77777777" w:rsidTr="00D325F4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48" w14:textId="19661026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име, фамилия на лицето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F88" w14:textId="7B8651C0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65F61C2A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D84" w14:textId="624A3067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функции в емитента и дата на изтичане на мандата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0DE" w14:textId="6AFB2BAF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55EA4" w:rsidRPr="00816B5B" w14:paraId="0D31166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EE" w14:textId="6AC2F50C" w:rsidR="00E55EA4" w:rsidRPr="00816B5B" w:rsidRDefault="00A4135C" w:rsidP="00E4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lastRenderedPageBreak/>
              <w:t>кратка професионална автобиография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B88" w14:textId="77777777" w:rsidR="00E55EA4" w:rsidRPr="00816B5B" w:rsidRDefault="00E55EA4" w:rsidP="00E47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1355B78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62" w14:textId="2F05BBC1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дейности извън дружеството, когато имат отношение към дейността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80" w14:textId="40C7B902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0C4CEFE2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F" w14:textId="113F8BFB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CAD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905264A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C11" w14:textId="20235D4C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в рамките на последните 3 (три) години лицето е било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682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03D44C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682" w14:textId="0B209A04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лицето е понастоящем член на управителен или контролен орган или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C5C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15CDB848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CA9" w14:textId="6230873E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относно дружества,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C27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3356F6D7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8" w14:textId="740D1621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 дейност, конкурентна на извършваната от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227" w14:textId="491152E0" w:rsidR="00047481" w:rsidRPr="00816B5B" w:rsidRDefault="00E55EA4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8535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33B159FD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5D619A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816B5B">
        <w:rPr>
          <w:i/>
          <w:color w:val="auto"/>
        </w:rPr>
        <w:t xml:space="preserve"> орган и дейността на емитента.</w:t>
      </w:r>
    </w:p>
    <w:p w14:paraId="71A2CDD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48579DC" w14:textId="77777777" w:rsidTr="00D325F4">
        <w:trPr>
          <w:trHeight w:val="644"/>
        </w:trPr>
        <w:tc>
          <w:tcPr>
            <w:tcW w:w="10201" w:type="dxa"/>
          </w:tcPr>
          <w:p w14:paraId="0DC0B251" w14:textId="38A52A5A" w:rsidR="004E4140" w:rsidRPr="00816B5B" w:rsidRDefault="00E55EA4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FA0BBBE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44F6B86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05DCC521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816B5B">
        <w:rPr>
          <w:i/>
          <w:color w:val="auto"/>
        </w:rPr>
        <w:t xml:space="preserve">чл. 23, </w:t>
      </w:r>
      <w:r w:rsidRPr="00816B5B">
        <w:rPr>
          <w:i/>
          <w:color w:val="auto"/>
        </w:rPr>
        <w:t>т. 20</w:t>
      </w:r>
      <w:r w:rsidR="004E4140" w:rsidRPr="00816B5B">
        <w:rPr>
          <w:i/>
          <w:color w:val="auto"/>
        </w:rPr>
        <w:t xml:space="preserve"> от Правилата</w:t>
      </w:r>
      <w:r w:rsidRPr="00816B5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816B5B">
        <w:rPr>
          <w:i/>
          <w:color w:val="auto"/>
        </w:rPr>
        <w:t>дъщерни дружества от тези лица.</w:t>
      </w:r>
    </w:p>
    <w:p w14:paraId="0183477A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349107E" w14:textId="77777777" w:rsidTr="00D325F4">
        <w:trPr>
          <w:trHeight w:val="803"/>
        </w:trPr>
        <w:tc>
          <w:tcPr>
            <w:tcW w:w="10201" w:type="dxa"/>
          </w:tcPr>
          <w:p w14:paraId="2459C78C" w14:textId="33568368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50A6D74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C15DBC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2D9C971E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lastRenderedPageBreak/>
        <w:t>Информация за открити производства по несъстоятелност или ликвидация по отношение на емитента</w:t>
      </w:r>
      <w:r w:rsidR="00AC3FD3" w:rsidRPr="00816B5B">
        <w:rPr>
          <w:i/>
          <w:color w:val="auto"/>
        </w:rPr>
        <w:t>.</w:t>
      </w:r>
    </w:p>
    <w:p w14:paraId="6B5E141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1EE2769" w14:textId="77777777" w:rsidTr="00D325F4">
        <w:trPr>
          <w:trHeight w:val="769"/>
        </w:trPr>
        <w:tc>
          <w:tcPr>
            <w:tcW w:w="10201" w:type="dxa"/>
          </w:tcPr>
          <w:p w14:paraId="1336A1E9" w14:textId="18FBF5EA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86AB0BA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00A914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40745C7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816B5B">
        <w:rPr>
          <w:i/>
          <w:color w:val="auto"/>
        </w:rPr>
        <w:t>а или финансовото му състояние.</w:t>
      </w:r>
    </w:p>
    <w:p w14:paraId="4B0BE485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82F79B" w14:textId="77777777" w:rsidTr="00D325F4">
        <w:trPr>
          <w:trHeight w:val="704"/>
        </w:trPr>
        <w:tc>
          <w:tcPr>
            <w:tcW w:w="10201" w:type="dxa"/>
          </w:tcPr>
          <w:p w14:paraId="224AB15D" w14:textId="1515D047" w:rsidR="004E4140" w:rsidRPr="00D325F4" w:rsidRDefault="00E55EA4" w:rsidP="00FB03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961BF57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05F631C5" w14:textId="77777777" w:rsidR="00047481" w:rsidRPr="00816B5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50DFF8C7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съдържа</w:t>
      </w:r>
      <w:r w:rsidR="00AC3FD3" w:rsidRPr="00816B5B">
        <w:rPr>
          <w:i/>
          <w:color w:val="auto"/>
        </w:rPr>
        <w:t>щи се в документа за допускане.</w:t>
      </w:r>
    </w:p>
    <w:p w14:paraId="3B57DC8F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937DED" w14:textId="77777777" w:rsidTr="00D325F4">
        <w:trPr>
          <w:trHeight w:val="569"/>
        </w:trPr>
        <w:tc>
          <w:tcPr>
            <w:tcW w:w="10201" w:type="dxa"/>
          </w:tcPr>
          <w:p w14:paraId="34B533DD" w14:textId="00E3E51A" w:rsidR="004E4140" w:rsidRPr="00816B5B" w:rsidRDefault="00E55EA4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0352C25F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3321F98D" w14:textId="77777777" w:rsidR="004E4140" w:rsidRPr="00816B5B" w:rsidRDefault="004E4140" w:rsidP="004E4140">
      <w:pPr>
        <w:pStyle w:val="Default"/>
        <w:jc w:val="both"/>
        <w:rPr>
          <w:i/>
          <w:color w:val="auto"/>
        </w:rPr>
      </w:pPr>
    </w:p>
    <w:p w14:paraId="396F547D" w14:textId="77777777" w:rsidR="00770F12" w:rsidRPr="00816B5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ре</w:t>
      </w:r>
      <w:r w:rsidR="00D16CAB" w:rsidRPr="00816B5B">
        <w:rPr>
          <w:i/>
          <w:color w:val="auto"/>
        </w:rPr>
        <w:t>гистрирани одитори на емитента</w:t>
      </w:r>
    </w:p>
    <w:p w14:paraId="7F091713" w14:textId="77777777" w:rsidR="00C21528" w:rsidRPr="00816B5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108F" w:rsidRPr="00816B5B" w14:paraId="6463A15E" w14:textId="77777777" w:rsidTr="00D325F4">
        <w:trPr>
          <w:trHeight w:val="1271"/>
        </w:trPr>
        <w:tc>
          <w:tcPr>
            <w:tcW w:w="10201" w:type="dxa"/>
          </w:tcPr>
          <w:p w14:paraId="1AC721AD" w14:textId="789570DD" w:rsidR="0009108F" w:rsidRPr="00816B5B" w:rsidRDefault="00E55EA4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67490AE" w14:textId="77777777" w:rsidR="00251963" w:rsidRPr="00816B5B" w:rsidRDefault="00251963" w:rsidP="00251963">
      <w:pPr>
        <w:pStyle w:val="Default"/>
        <w:spacing w:after="27"/>
        <w:jc w:val="both"/>
        <w:rPr>
          <w:i/>
          <w:color w:val="auto"/>
        </w:rPr>
      </w:pPr>
    </w:p>
    <w:p w14:paraId="30DF40A6" w14:textId="77777777" w:rsidR="00251963" w:rsidRPr="00816B5B" w:rsidRDefault="00251963" w:rsidP="00251963">
      <w:pPr>
        <w:pStyle w:val="Default"/>
        <w:jc w:val="both"/>
        <w:rPr>
          <w:i/>
          <w:color w:val="auto"/>
        </w:rPr>
      </w:pPr>
    </w:p>
    <w:p w14:paraId="7A52FFCF" w14:textId="00BD9575" w:rsidR="00251963" w:rsidRPr="00816B5B" w:rsidRDefault="00251963" w:rsidP="00251963">
      <w:pPr>
        <w:pStyle w:val="Default"/>
        <w:ind w:firstLine="708"/>
        <w:jc w:val="both"/>
        <w:rPr>
          <w:i/>
          <w:color w:val="auto"/>
        </w:rPr>
      </w:pPr>
      <w:r>
        <w:rPr>
          <w:i/>
          <w:color w:val="auto"/>
        </w:rPr>
        <w:t>Друга информация по преценка на емитента</w:t>
      </w:r>
    </w:p>
    <w:p w14:paraId="5D2C9106" w14:textId="77777777" w:rsidR="00251963" w:rsidRPr="00816B5B" w:rsidRDefault="00251963" w:rsidP="002519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51963" w:rsidRPr="00816B5B" w14:paraId="3843A2BB" w14:textId="77777777" w:rsidTr="00D05BAC">
        <w:trPr>
          <w:trHeight w:val="1271"/>
        </w:trPr>
        <w:tc>
          <w:tcPr>
            <w:tcW w:w="10201" w:type="dxa"/>
          </w:tcPr>
          <w:p w14:paraId="11C47184" w14:textId="77777777" w:rsidR="00251963" w:rsidRPr="00816B5B" w:rsidRDefault="00251963" w:rsidP="00D05BAC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5C6A83E" w14:textId="77777777" w:rsidR="00251963" w:rsidRDefault="00251963" w:rsidP="00251963">
      <w:pPr>
        <w:rPr>
          <w:rFonts w:ascii="Times New Roman" w:hAnsi="Times New Roman" w:cs="Times New Roman"/>
          <w:b/>
          <w:i/>
        </w:rPr>
      </w:pPr>
    </w:p>
    <w:p w14:paraId="5D3283D7" w14:textId="20161CF9" w:rsidR="00AD73F2" w:rsidRDefault="00AD73F2">
      <w:pPr>
        <w:rPr>
          <w:rFonts w:ascii="Times New Roman" w:hAnsi="Times New Roman" w:cs="Times New Roman"/>
          <w:b/>
          <w:i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7621088" w14:textId="77777777" w:rsidR="00C87A8A" w:rsidRPr="00816B5B" w:rsidRDefault="00C87A8A">
      <w:pPr>
        <w:rPr>
          <w:rFonts w:ascii="Times New Roman" w:hAnsi="Times New Roman" w:cs="Times New Roman"/>
          <w:b/>
          <w:i/>
        </w:rPr>
      </w:pPr>
    </w:p>
    <w:p w14:paraId="75F8B022" w14:textId="77777777" w:rsidR="00FF7472" w:rsidRPr="00816B5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D325F4">
        <w:rPr>
          <w:rFonts w:cs="Times New Roman"/>
          <w:i/>
          <w:color w:val="auto"/>
        </w:rPr>
        <w:t>VII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ФИНАНСОВИ ОТЧЕТИ</w:t>
      </w:r>
      <w:bookmarkEnd w:id="6"/>
    </w:p>
    <w:p w14:paraId="608A112B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BC19289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3C1F6B89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C6D317A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40FCC78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З</w:t>
      </w:r>
      <w:r w:rsidR="00063790" w:rsidRPr="00816B5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 w:rsidRPr="00816B5B">
        <w:rPr>
          <w:i/>
          <w:color w:val="auto"/>
        </w:rPr>
        <w:t>ът</w:t>
      </w:r>
      <w:r w:rsidR="00063790" w:rsidRPr="00816B5B">
        <w:rPr>
          <w:i/>
          <w:color w:val="auto"/>
        </w:rPr>
        <w:t xml:space="preserve"> на регистрирания одитор относно заверените отчети</w:t>
      </w:r>
      <w:r w:rsidR="00065056" w:rsidRPr="00816B5B">
        <w:rPr>
          <w:i/>
          <w:color w:val="auto"/>
        </w:rPr>
        <w:t>;</w:t>
      </w:r>
    </w:p>
    <w:p w14:paraId="0D23E573" w14:textId="77777777" w:rsidR="00063790" w:rsidRPr="00816B5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352615B0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В</w:t>
      </w:r>
      <w:r w:rsidR="00063790" w:rsidRPr="00816B5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816B5B">
        <w:rPr>
          <w:i/>
          <w:color w:val="auto"/>
        </w:rPr>
        <w:t>;</w:t>
      </w:r>
    </w:p>
    <w:p w14:paraId="111AE186" w14:textId="77777777" w:rsidR="00063790" w:rsidRPr="00816B5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A8A53" w14:textId="53EF83E2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063790" w:rsidRPr="00816B5B">
        <w:rPr>
          <w:i/>
          <w:color w:val="auto"/>
        </w:rPr>
        <w:t>рогнозни баланс, отчети за приходите и разходите, и отчети за паричните потоци за финансовата година, следваща годината на после</w:t>
      </w:r>
      <w:r w:rsidR="00816B5B">
        <w:rPr>
          <w:i/>
          <w:color w:val="auto"/>
        </w:rPr>
        <w:t>д</w:t>
      </w:r>
      <w:r w:rsidR="00063790" w:rsidRPr="00816B5B">
        <w:rPr>
          <w:i/>
          <w:color w:val="auto"/>
        </w:rPr>
        <w:t>ния заверен от регистриран одитор финансов отчет, които съдържат факторите, на които се базират прогнозн</w:t>
      </w:r>
      <w:r w:rsidR="00FB034D" w:rsidRPr="00816B5B">
        <w:rPr>
          <w:i/>
          <w:color w:val="auto"/>
        </w:rPr>
        <w:t>ите предположения и допускания.</w:t>
      </w:r>
    </w:p>
    <w:p w14:paraId="79A97847" w14:textId="77777777" w:rsidR="00047481" w:rsidRPr="00816B5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5782BBC" w14:textId="77777777" w:rsidR="00FF7472" w:rsidRPr="00816B5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816B5B">
        <w:rPr>
          <w:b/>
          <w:i/>
          <w:color w:val="auto"/>
        </w:rPr>
        <w:t>, както следва</w:t>
      </w:r>
      <w:r w:rsidRPr="00816B5B">
        <w:rPr>
          <w:b/>
          <w:i/>
          <w:color w:val="auto"/>
        </w:rPr>
        <w:t>:</w:t>
      </w:r>
    </w:p>
    <w:p w14:paraId="1E32B386" w14:textId="77777777" w:rsidR="00F31C58" w:rsidRPr="00816B5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524"/>
        <w:gridCol w:w="4727"/>
      </w:tblGrid>
      <w:tr w:rsidR="00F31C58" w:rsidRPr="00816B5B" w14:paraId="25895E1C" w14:textId="77777777" w:rsidTr="00D325F4">
        <w:trPr>
          <w:trHeight w:val="758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A1DE8A2" w14:textId="77777777" w:rsidR="00F31C58" w:rsidRPr="00816B5B" w:rsidRDefault="00F31C58" w:rsidP="00D325F4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816B5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0872573C" w14:textId="77777777" w:rsidR="00F31C58" w:rsidRPr="00816B5B" w:rsidRDefault="00FA117A" w:rsidP="00D325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816B5B" w14:paraId="0C16F93B" w14:textId="77777777" w:rsidTr="00D325F4">
        <w:trPr>
          <w:trHeight w:val="308"/>
        </w:trPr>
        <w:tc>
          <w:tcPr>
            <w:tcW w:w="5524" w:type="dxa"/>
            <w:vAlign w:val="center"/>
          </w:tcPr>
          <w:p w14:paraId="21EC0C53" w14:textId="1817D888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  <w:vAlign w:val="center"/>
          </w:tcPr>
          <w:p w14:paraId="77A18FCF" w14:textId="65DA91D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1669D3A0" w14:textId="77777777" w:rsidTr="00D325F4">
        <w:trPr>
          <w:trHeight w:val="254"/>
        </w:trPr>
        <w:tc>
          <w:tcPr>
            <w:tcW w:w="5524" w:type="dxa"/>
          </w:tcPr>
          <w:p w14:paraId="6863F7D1" w14:textId="0D19433E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5E26ED48" w14:textId="1D35511B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0018C1E5" w14:textId="77777777" w:rsidTr="00D325F4">
        <w:trPr>
          <w:trHeight w:val="263"/>
        </w:trPr>
        <w:tc>
          <w:tcPr>
            <w:tcW w:w="5524" w:type="dxa"/>
          </w:tcPr>
          <w:p w14:paraId="74E86D40" w14:textId="21753966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13B41F12" w14:textId="2927C790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5FF7B9A2" w14:textId="77777777" w:rsidTr="00D325F4">
        <w:trPr>
          <w:trHeight w:val="254"/>
        </w:trPr>
        <w:tc>
          <w:tcPr>
            <w:tcW w:w="5524" w:type="dxa"/>
          </w:tcPr>
          <w:p w14:paraId="50D32530" w14:textId="761F9A0E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4F4688B7" w14:textId="3565F48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D995DEF" w14:textId="77777777" w:rsidR="00AD73F2" w:rsidRPr="00816B5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FB56ABF" w14:textId="77777777" w:rsidR="00FF7472" w:rsidRPr="00816B5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D325F4">
        <w:rPr>
          <w:rFonts w:cs="Times New Roman"/>
          <w:i/>
          <w:color w:val="auto"/>
        </w:rPr>
        <w:lastRenderedPageBreak/>
        <w:t>VIII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2DCD01D2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CCBA65D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1BBA05CB" w14:textId="77777777" w:rsidR="00F31C58" w:rsidRPr="00816B5B" w:rsidRDefault="00F31C58" w:rsidP="003A2C6E">
      <w:pPr>
        <w:pStyle w:val="Default"/>
        <w:jc w:val="center"/>
        <w:rPr>
          <w:b/>
          <w:i/>
          <w:color w:val="auto"/>
        </w:rPr>
      </w:pPr>
    </w:p>
    <w:p w14:paraId="4A7D0593" w14:textId="77777777" w:rsidR="00B015BB" w:rsidRPr="00816B5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94BC786" w14:textId="77777777" w:rsidR="00B015BB" w:rsidRPr="00816B5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322178" w14:textId="69BADC23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D3ABE81" w14:textId="77777777" w:rsidR="00B015BB" w:rsidRPr="00816B5B" w:rsidRDefault="00B015BB" w:rsidP="003A2C6E">
      <w:pPr>
        <w:pStyle w:val="Default"/>
        <w:rPr>
          <w:i/>
          <w:color w:val="auto"/>
        </w:rPr>
      </w:pPr>
    </w:p>
    <w:p w14:paraId="11AB2066" w14:textId="77777777" w:rsidR="00B015BB" w:rsidRPr="00816B5B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816B5B">
        <w:rPr>
          <w:i/>
          <w:color w:val="auto"/>
        </w:rPr>
        <w:t>дно достъпни за обществеността:</w:t>
      </w:r>
    </w:p>
    <w:p w14:paraId="6D06B21B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а) устав на емитента</w:t>
      </w:r>
      <w:r w:rsidR="00065056" w:rsidRPr="00816B5B">
        <w:rPr>
          <w:i/>
          <w:color w:val="auto"/>
        </w:rPr>
        <w:t>;</w:t>
      </w:r>
    </w:p>
    <w:p w14:paraId="34EBB9D5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816B5B">
        <w:rPr>
          <w:i/>
          <w:color w:val="auto"/>
        </w:rPr>
        <w:t>документът</w:t>
      </w:r>
      <w:r w:rsidRPr="00816B5B">
        <w:rPr>
          <w:i/>
          <w:color w:val="auto"/>
        </w:rPr>
        <w:t xml:space="preserve"> за допускане</w:t>
      </w:r>
      <w:r w:rsidR="00065056" w:rsidRPr="00816B5B">
        <w:rPr>
          <w:i/>
          <w:color w:val="auto"/>
        </w:rPr>
        <w:t>;</w:t>
      </w:r>
    </w:p>
    <w:p w14:paraId="5244FC51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14:paraId="3B90846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33EFC8" w14:textId="409C2453" w:rsidR="004E0476" w:rsidRPr="00816B5B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е </w:t>
      </w:r>
      <w:r w:rsidR="00ED3C9D" w:rsidRPr="00816B5B">
        <w:rPr>
          <w:iCs/>
        </w:rPr>
        <w:t>……</w:t>
      </w:r>
      <w:r w:rsidR="00FB034D" w:rsidRPr="00816B5B">
        <w:rPr>
          <w:i/>
          <w:color w:val="auto"/>
          <w:vertAlign w:val="superscript"/>
        </w:rPr>
        <w:t>11</w:t>
      </w:r>
    </w:p>
    <w:p w14:paraId="0D82A460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67E8ACBF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64380C3A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5539FC0A" w14:textId="412A566D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C86E5D9" w14:textId="10425803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E2C83FB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1CD01F5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774ECFF9" w14:textId="5C371858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58D8A54" w14:textId="48ADDD15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200908E" w14:textId="77777777" w:rsidR="00C168BD" w:rsidRPr="00816B5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2AB681D6" w14:textId="77777777" w:rsidR="00B015BB" w:rsidRPr="00816B5B" w:rsidRDefault="00B015BB" w:rsidP="00FF7472">
      <w:pPr>
        <w:pStyle w:val="Default"/>
        <w:jc w:val="center"/>
        <w:rPr>
          <w:i/>
          <w:color w:val="auto"/>
        </w:rPr>
      </w:pPr>
    </w:p>
    <w:p w14:paraId="369FB7F3" w14:textId="77777777" w:rsidR="007855A5" w:rsidRPr="00816B5B" w:rsidRDefault="007855A5" w:rsidP="00FF7472">
      <w:pPr>
        <w:pStyle w:val="Default"/>
        <w:jc w:val="center"/>
        <w:rPr>
          <w:i/>
          <w:color w:val="auto"/>
        </w:rPr>
      </w:pPr>
    </w:p>
    <w:p w14:paraId="2860AA83" w14:textId="77777777" w:rsidR="00FF7472" w:rsidRPr="00816B5B" w:rsidRDefault="00C168BD" w:rsidP="00FF7472">
      <w:pPr>
        <w:pStyle w:val="Default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Други общодостъпни документи:</w:t>
      </w:r>
    </w:p>
    <w:p w14:paraId="1F7A3723" w14:textId="77777777" w:rsidR="006614A5" w:rsidRPr="00816B5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2EA2017F" w14:textId="77777777" w:rsidR="007855A5" w:rsidRPr="00816B5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168BD" w:rsidRPr="00816B5B" w14:paraId="09D10C83" w14:textId="77777777" w:rsidTr="00D325F4">
        <w:trPr>
          <w:trHeight w:val="758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8203F6E" w14:textId="77777777" w:rsidR="00C168BD" w:rsidRPr="00816B5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2E0DB8" w14:textId="77777777" w:rsidR="00C168BD" w:rsidRPr="00816B5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816B5B">
              <w:rPr>
                <w:rFonts w:ascii="Times New Roman" w:hAnsi="Times New Roman" w:cs="Times New Roman"/>
                <w:i/>
              </w:rPr>
              <w:t>в Раздел „П</w:t>
            </w:r>
            <w:r w:rsidRPr="00816B5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816B5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816B5B" w14:paraId="5BC76BE3" w14:textId="77777777" w:rsidTr="00D325F4">
        <w:trPr>
          <w:trHeight w:val="362"/>
        </w:trPr>
        <w:tc>
          <w:tcPr>
            <w:tcW w:w="5240" w:type="dxa"/>
            <w:vAlign w:val="center"/>
          </w:tcPr>
          <w:p w14:paraId="33D9A7B3" w14:textId="510744CC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40035B04" w14:textId="1EE71B9B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0C8CB271" w14:textId="77777777" w:rsidTr="00D325F4">
        <w:trPr>
          <w:trHeight w:val="344"/>
        </w:trPr>
        <w:tc>
          <w:tcPr>
            <w:tcW w:w="5240" w:type="dxa"/>
            <w:vAlign w:val="center"/>
          </w:tcPr>
          <w:p w14:paraId="0C82CF97" w14:textId="231AC674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11628B75" w14:textId="553C0C02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6FE64362" w14:textId="77777777" w:rsidTr="00D325F4">
        <w:trPr>
          <w:trHeight w:val="362"/>
        </w:trPr>
        <w:tc>
          <w:tcPr>
            <w:tcW w:w="5240" w:type="dxa"/>
            <w:vAlign w:val="center"/>
          </w:tcPr>
          <w:p w14:paraId="0CA64F9A" w14:textId="7BA58795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3488369" w14:textId="184F5DAF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16A98919" w14:textId="77777777" w:rsidTr="00D325F4">
        <w:trPr>
          <w:trHeight w:val="344"/>
        </w:trPr>
        <w:tc>
          <w:tcPr>
            <w:tcW w:w="5240" w:type="dxa"/>
            <w:vAlign w:val="center"/>
          </w:tcPr>
          <w:p w14:paraId="6FB40A8C" w14:textId="37C9D479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905981D" w14:textId="54E8EDE3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0FD4187" w14:textId="77777777" w:rsidR="00C168BD" w:rsidRPr="00816B5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0EC7896D" w14:textId="77777777" w:rsidR="00FF7472" w:rsidRPr="00816B5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D325F4">
        <w:rPr>
          <w:rFonts w:cs="Times New Roman"/>
          <w:i/>
          <w:color w:val="auto"/>
        </w:rPr>
        <w:lastRenderedPageBreak/>
        <w:t xml:space="preserve">IX. </w:t>
      </w:r>
      <w:r w:rsidR="00FF7472" w:rsidRPr="00816B5B">
        <w:rPr>
          <w:rFonts w:cs="Times New Roman"/>
          <w:i/>
          <w:color w:val="auto"/>
        </w:rPr>
        <w:t>ПРИЛОЖЕНИЯ</w:t>
      </w:r>
      <w:bookmarkEnd w:id="8"/>
    </w:p>
    <w:p w14:paraId="17EFC29D" w14:textId="77777777" w:rsidR="00FF7472" w:rsidRPr="00816B5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409BFDC" w14:textId="77777777" w:rsidR="00047481" w:rsidRPr="00816B5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51253AB" w14:textId="77777777" w:rsidR="006614A5" w:rsidRPr="00816B5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962"/>
        <w:gridCol w:w="1564"/>
        <w:gridCol w:w="1675"/>
      </w:tblGrid>
      <w:tr w:rsidR="00F77AC2" w:rsidRPr="00816B5B" w14:paraId="3F4E9A3A" w14:textId="77777777" w:rsidTr="00F77AC2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56D5EAF1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A309F2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Актуално към дата /</w:t>
            </w:r>
            <w:proofErr w:type="spellStart"/>
            <w:r w:rsidRPr="00816B5B">
              <w:rPr>
                <w:rFonts w:ascii="Times New Roman" w:hAnsi="Times New Roman" w:cs="Times New Roman"/>
                <w:i/>
              </w:rPr>
              <w:t>dd.mm.yyyy</w:t>
            </w:r>
            <w:proofErr w:type="spellEnd"/>
            <w:r w:rsidRPr="00816B5B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74C1866B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77AC2" w:rsidRPr="00816B5B" w14:paraId="3DD5258D" w14:textId="77777777" w:rsidTr="00F77AC2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</w:tcPr>
          <w:p w14:paraId="457F7784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18D1A1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412EDCB0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0E08B10F" w14:textId="77777777" w:rsidTr="00F77AC2">
        <w:trPr>
          <w:trHeight w:val="490"/>
        </w:trPr>
        <w:tc>
          <w:tcPr>
            <w:tcW w:w="6941" w:type="dxa"/>
          </w:tcPr>
          <w:p w14:paraId="350E755B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1559" w:type="dxa"/>
          </w:tcPr>
          <w:p w14:paraId="06B8E374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7DFA7FE0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1B157CED" w14:textId="77777777" w:rsidTr="00F77AC2">
        <w:trPr>
          <w:trHeight w:val="490"/>
        </w:trPr>
        <w:tc>
          <w:tcPr>
            <w:tcW w:w="6941" w:type="dxa"/>
          </w:tcPr>
          <w:p w14:paraId="7E7D498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1559" w:type="dxa"/>
          </w:tcPr>
          <w:p w14:paraId="277A283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465A91D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65138AD1" w14:textId="77777777" w:rsidTr="00F77AC2">
        <w:trPr>
          <w:trHeight w:val="490"/>
        </w:trPr>
        <w:tc>
          <w:tcPr>
            <w:tcW w:w="6941" w:type="dxa"/>
          </w:tcPr>
          <w:p w14:paraId="22665D3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C1243D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73C198E5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D37B992" w14:textId="77777777" w:rsidTr="00F77AC2">
        <w:trPr>
          <w:trHeight w:val="490"/>
        </w:trPr>
        <w:tc>
          <w:tcPr>
            <w:tcW w:w="6941" w:type="dxa"/>
          </w:tcPr>
          <w:p w14:paraId="39C1570E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93599D7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285B9A35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F62CD06" w14:textId="77777777" w:rsidTr="00F77AC2">
        <w:trPr>
          <w:trHeight w:val="490"/>
        </w:trPr>
        <w:tc>
          <w:tcPr>
            <w:tcW w:w="6941" w:type="dxa"/>
          </w:tcPr>
          <w:p w14:paraId="3DD6F978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7B2D4BDA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3C3F38B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48927742" w14:textId="77777777" w:rsidTr="00F77AC2">
        <w:trPr>
          <w:trHeight w:val="490"/>
        </w:trPr>
        <w:tc>
          <w:tcPr>
            <w:tcW w:w="6941" w:type="dxa"/>
          </w:tcPr>
          <w:p w14:paraId="6C603B7D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2D7223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5248A944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3458F330" w14:textId="77777777" w:rsidTr="00F77AC2">
        <w:trPr>
          <w:trHeight w:val="490"/>
        </w:trPr>
        <w:tc>
          <w:tcPr>
            <w:tcW w:w="6941" w:type="dxa"/>
          </w:tcPr>
          <w:p w14:paraId="35F60BD9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3B315AC0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6F73463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5A2B5E6" w14:textId="77777777" w:rsidR="00F77AC2" w:rsidRDefault="00F77AC2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293709" w14:textId="77777777" w:rsidR="00F77AC2" w:rsidRPr="00816B5B" w:rsidRDefault="00F77AC2" w:rsidP="00F77AC2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816B5B">
        <w:rPr>
          <w:b/>
          <w:i/>
          <w:color w:val="auto"/>
          <w:sz w:val="28"/>
          <w:szCs w:val="28"/>
        </w:rPr>
        <w:t>Определения и съкращения на термините, използвани в документа за допускане</w:t>
      </w:r>
    </w:p>
    <w:p w14:paraId="7E311F1F" w14:textId="77777777" w:rsidR="00F77AC2" w:rsidRPr="00816B5B" w:rsidRDefault="00F77AC2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77AC2" w:rsidRPr="00816B5B" w14:paraId="76A41955" w14:textId="77777777" w:rsidTr="005216F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3B6" w14:textId="77777777" w:rsidR="00F77AC2" w:rsidRPr="00816B5B" w:rsidRDefault="00F77AC2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Използван термин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2E1" w14:textId="77777777" w:rsidR="00F77AC2" w:rsidRPr="00816B5B" w:rsidRDefault="00F77AC2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F77AC2" w:rsidRPr="00816B5B" w14:paraId="1DB1B8B3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98B" w14:textId="77777777" w:rsidR="00F77AC2" w:rsidRPr="002E2746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16FA">
              <w:rPr>
                <w:rFonts w:ascii="Times New Roman" w:hAnsi="Times New Roman" w:cs="Times New Roman"/>
                <w:i/>
                <w:iCs/>
              </w:rPr>
              <w:t>Регламент (EС) 2017/1129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01F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F77AC2" w:rsidRPr="00816B5B" w14:paraId="64BEEA7B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0C9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CFB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19BAF39B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D99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30D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62CE1239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3888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E39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3878068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5AB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63F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5DB70BA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79A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F0C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181327D" w14:textId="77777777" w:rsidR="007A47E7" w:rsidRPr="00816B5B" w:rsidRDefault="007A47E7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816B5B" w:rsidSect="00D325F4">
      <w:headerReference w:type="default" r:id="rId10"/>
      <w:footerReference w:type="default" r:id="rId11"/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4D5" w14:textId="77777777" w:rsidR="006C0A32" w:rsidRDefault="006C0A32" w:rsidP="00B666ED">
      <w:pPr>
        <w:spacing w:after="0" w:line="240" w:lineRule="auto"/>
      </w:pPr>
      <w:r>
        <w:separator/>
      </w:r>
    </w:p>
  </w:endnote>
  <w:endnote w:type="continuationSeparator" w:id="0">
    <w:p w14:paraId="7A3D7E9D" w14:textId="77777777" w:rsidR="006C0A32" w:rsidRDefault="006C0A32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14:paraId="3B09BF89" w14:textId="77777777" w:rsidR="00827988" w:rsidRPr="00D204A5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BB92" w14:textId="77777777" w:rsidR="006C0A32" w:rsidRDefault="006C0A32" w:rsidP="00B666ED">
      <w:pPr>
        <w:spacing w:after="0" w:line="240" w:lineRule="auto"/>
      </w:pPr>
      <w:r>
        <w:separator/>
      </w:r>
    </w:p>
  </w:footnote>
  <w:footnote w:type="continuationSeparator" w:id="0">
    <w:p w14:paraId="3EC33A1B" w14:textId="77777777" w:rsidR="006C0A32" w:rsidRDefault="006C0A32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849" w14:textId="52CDE772" w:rsidR="00827988" w:rsidRPr="00D325F4" w:rsidRDefault="00827988" w:rsidP="00D204A5">
    <w:pPr>
      <w:pStyle w:val="Footer"/>
      <w:rPr>
        <w:rFonts w:ascii="Times New Roman" w:hAnsi="Times New Roman" w:cs="Times New Roman"/>
      </w:rPr>
    </w:pPr>
    <w:r w:rsidRPr="00D325F4">
      <w:rPr>
        <w:rFonts w:ascii="Times New Roman" w:hAnsi="Times New Roman" w:cs="Times New Roman"/>
        <w:i/>
      </w:rPr>
      <w:t xml:space="preserve">Образец на документ за допускане до </w:t>
    </w:r>
    <w:r w:rsidR="00A23853">
      <w:rPr>
        <w:rFonts w:ascii="Times New Roman" w:hAnsi="Times New Roman" w:cs="Times New Roman"/>
        <w:i/>
      </w:rPr>
      <w:t>търговия</w:t>
    </w:r>
    <w:r w:rsidR="003620CB" w:rsidRPr="00D325F4">
      <w:rPr>
        <w:rFonts w:ascii="Times New Roman" w:hAnsi="Times New Roman" w:cs="Times New Roman"/>
        <w:i/>
      </w:rPr>
      <w:t xml:space="preserve"> на</w:t>
    </w:r>
    <w:r w:rsidRPr="00D325F4">
      <w:rPr>
        <w:rFonts w:ascii="Times New Roman" w:hAnsi="Times New Roman" w:cs="Times New Roman"/>
        <w:i/>
      </w:rPr>
      <w:t xml:space="preserve"> </w:t>
    </w:r>
    <w:r w:rsidR="00A23853">
      <w:rPr>
        <w:rFonts w:ascii="Times New Roman" w:hAnsi="Times New Roman" w:cs="Times New Roman"/>
        <w:i/>
      </w:rPr>
      <w:t xml:space="preserve">облигации </w:t>
    </w:r>
    <w:r w:rsidR="003620CB" w:rsidRPr="00D325F4">
      <w:rPr>
        <w:rFonts w:ascii="Times New Roman" w:hAnsi="Times New Roman" w:cs="Times New Roman"/>
        <w:i/>
      </w:rPr>
      <w:t>версия 2022.1</w:t>
    </w:r>
    <w:r w:rsidRPr="00D325F4">
      <w:rPr>
        <w:rFonts w:ascii="Times New Roman" w:hAnsi="Times New Roman" w:cs="Times New Roman"/>
        <w:i/>
      </w:rPr>
      <w:t>2.</w:t>
    </w:r>
    <w:r w:rsidR="003620CB" w:rsidRPr="00D325F4">
      <w:rPr>
        <w:rFonts w:ascii="Times New Roman" w:hAnsi="Times New Roman" w:cs="Times New Roman"/>
        <w:i/>
      </w:rPr>
      <w:t>1</w:t>
    </w:r>
    <w:r w:rsidR="00DA653A">
      <w:rPr>
        <w:rFonts w:ascii="Times New Roman" w:hAnsi="Times New Roman" w:cs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A229B"/>
    <w:multiLevelType w:val="hybridMultilevel"/>
    <w:tmpl w:val="5E007CB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1EB3"/>
    <w:multiLevelType w:val="hybridMultilevel"/>
    <w:tmpl w:val="AB06B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36E2"/>
    <w:multiLevelType w:val="hybridMultilevel"/>
    <w:tmpl w:val="59F0BA28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246C"/>
    <w:multiLevelType w:val="hybridMultilevel"/>
    <w:tmpl w:val="63703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428">
    <w:abstractNumId w:val="14"/>
  </w:num>
  <w:num w:numId="2" w16cid:durableId="65306153">
    <w:abstractNumId w:val="8"/>
  </w:num>
  <w:num w:numId="3" w16cid:durableId="504786723">
    <w:abstractNumId w:val="13"/>
  </w:num>
  <w:num w:numId="4" w16cid:durableId="670453099">
    <w:abstractNumId w:val="4"/>
  </w:num>
  <w:num w:numId="5" w16cid:durableId="1640182393">
    <w:abstractNumId w:val="21"/>
  </w:num>
  <w:num w:numId="6" w16cid:durableId="1798721063">
    <w:abstractNumId w:val="11"/>
  </w:num>
  <w:num w:numId="7" w16cid:durableId="826941285">
    <w:abstractNumId w:val="19"/>
  </w:num>
  <w:num w:numId="8" w16cid:durableId="3940746">
    <w:abstractNumId w:val="5"/>
  </w:num>
  <w:num w:numId="9" w16cid:durableId="2030644325">
    <w:abstractNumId w:val="16"/>
  </w:num>
  <w:num w:numId="10" w16cid:durableId="395518229">
    <w:abstractNumId w:val="0"/>
  </w:num>
  <w:num w:numId="11" w16cid:durableId="489906860">
    <w:abstractNumId w:val="20"/>
  </w:num>
  <w:num w:numId="12" w16cid:durableId="141192494">
    <w:abstractNumId w:val="25"/>
  </w:num>
  <w:num w:numId="13" w16cid:durableId="1951012870">
    <w:abstractNumId w:val="32"/>
  </w:num>
  <w:num w:numId="14" w16cid:durableId="1634368949">
    <w:abstractNumId w:val="15"/>
  </w:num>
  <w:num w:numId="15" w16cid:durableId="1719544911">
    <w:abstractNumId w:val="6"/>
  </w:num>
  <w:num w:numId="16" w16cid:durableId="1882740035">
    <w:abstractNumId w:val="23"/>
  </w:num>
  <w:num w:numId="17" w16cid:durableId="1444416838">
    <w:abstractNumId w:val="2"/>
  </w:num>
  <w:num w:numId="18" w16cid:durableId="724111709">
    <w:abstractNumId w:val="31"/>
  </w:num>
  <w:num w:numId="19" w16cid:durableId="647974949">
    <w:abstractNumId w:val="27"/>
  </w:num>
  <w:num w:numId="20" w16cid:durableId="1241327521">
    <w:abstractNumId w:val="9"/>
  </w:num>
  <w:num w:numId="21" w16cid:durableId="1878658827">
    <w:abstractNumId w:val="28"/>
  </w:num>
  <w:num w:numId="22" w16cid:durableId="1088577507">
    <w:abstractNumId w:val="12"/>
  </w:num>
  <w:num w:numId="23" w16cid:durableId="102263679">
    <w:abstractNumId w:val="29"/>
  </w:num>
  <w:num w:numId="24" w16cid:durableId="549268543">
    <w:abstractNumId w:val="18"/>
  </w:num>
  <w:num w:numId="25" w16cid:durableId="1012099845">
    <w:abstractNumId w:val="10"/>
  </w:num>
  <w:num w:numId="26" w16cid:durableId="1629316922">
    <w:abstractNumId w:val="17"/>
  </w:num>
  <w:num w:numId="27" w16cid:durableId="1916746997">
    <w:abstractNumId w:val="7"/>
  </w:num>
  <w:num w:numId="28" w16cid:durableId="1853568534">
    <w:abstractNumId w:val="22"/>
  </w:num>
  <w:num w:numId="29" w16cid:durableId="2124496689">
    <w:abstractNumId w:val="30"/>
  </w:num>
  <w:num w:numId="30" w16cid:durableId="835152892">
    <w:abstractNumId w:val="26"/>
  </w:num>
  <w:num w:numId="31" w16cid:durableId="40177901">
    <w:abstractNumId w:val="24"/>
  </w:num>
  <w:num w:numId="32" w16cid:durableId="1870684185">
    <w:abstractNumId w:val="3"/>
  </w:num>
  <w:num w:numId="33" w16cid:durableId="105585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xNDW1sDQyNzIwM7JU0lEKTi0uzszPAykwrAUA8067iiwAAAA="/>
  </w:docVars>
  <w:rsids>
    <w:rsidRoot w:val="00FF7472"/>
    <w:rsid w:val="000106D4"/>
    <w:rsid w:val="0001267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773AA"/>
    <w:rsid w:val="0009108F"/>
    <w:rsid w:val="000A13F9"/>
    <w:rsid w:val="000A1837"/>
    <w:rsid w:val="000B727E"/>
    <w:rsid w:val="000C299A"/>
    <w:rsid w:val="000D1007"/>
    <w:rsid w:val="000D3C99"/>
    <w:rsid w:val="000D4CFC"/>
    <w:rsid w:val="000F3664"/>
    <w:rsid w:val="0011053D"/>
    <w:rsid w:val="0011325F"/>
    <w:rsid w:val="001149D0"/>
    <w:rsid w:val="00115A47"/>
    <w:rsid w:val="00116ED9"/>
    <w:rsid w:val="00127FBA"/>
    <w:rsid w:val="00132EE1"/>
    <w:rsid w:val="00152D8E"/>
    <w:rsid w:val="00160605"/>
    <w:rsid w:val="00162AC3"/>
    <w:rsid w:val="00181511"/>
    <w:rsid w:val="00186C73"/>
    <w:rsid w:val="00193A46"/>
    <w:rsid w:val="001C361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09EE"/>
    <w:rsid w:val="0021394B"/>
    <w:rsid w:val="0021741D"/>
    <w:rsid w:val="00224A30"/>
    <w:rsid w:val="00226F7E"/>
    <w:rsid w:val="002276FD"/>
    <w:rsid w:val="0022779E"/>
    <w:rsid w:val="00232FFB"/>
    <w:rsid w:val="002340D4"/>
    <w:rsid w:val="00242F5D"/>
    <w:rsid w:val="00245696"/>
    <w:rsid w:val="0025070D"/>
    <w:rsid w:val="00251963"/>
    <w:rsid w:val="00252FCB"/>
    <w:rsid w:val="002558A9"/>
    <w:rsid w:val="002578BE"/>
    <w:rsid w:val="00275078"/>
    <w:rsid w:val="002A097E"/>
    <w:rsid w:val="002B2DB4"/>
    <w:rsid w:val="002B337E"/>
    <w:rsid w:val="002B412C"/>
    <w:rsid w:val="002B778F"/>
    <w:rsid w:val="002C1616"/>
    <w:rsid w:val="002C6C8B"/>
    <w:rsid w:val="002D0A58"/>
    <w:rsid w:val="002D7A5A"/>
    <w:rsid w:val="002E2746"/>
    <w:rsid w:val="002F5892"/>
    <w:rsid w:val="0030329D"/>
    <w:rsid w:val="00307C2D"/>
    <w:rsid w:val="0031106B"/>
    <w:rsid w:val="003115AF"/>
    <w:rsid w:val="00351018"/>
    <w:rsid w:val="003531B6"/>
    <w:rsid w:val="003620CB"/>
    <w:rsid w:val="003624EC"/>
    <w:rsid w:val="00364021"/>
    <w:rsid w:val="00375F72"/>
    <w:rsid w:val="00390BA3"/>
    <w:rsid w:val="00391A91"/>
    <w:rsid w:val="003A2C6E"/>
    <w:rsid w:val="003A5CB3"/>
    <w:rsid w:val="003B5C4A"/>
    <w:rsid w:val="003C0B8E"/>
    <w:rsid w:val="003C485C"/>
    <w:rsid w:val="003C61AC"/>
    <w:rsid w:val="003D7B56"/>
    <w:rsid w:val="003E01EB"/>
    <w:rsid w:val="003E1ADF"/>
    <w:rsid w:val="00401CB8"/>
    <w:rsid w:val="004022A4"/>
    <w:rsid w:val="00467EC7"/>
    <w:rsid w:val="004708DF"/>
    <w:rsid w:val="00475A94"/>
    <w:rsid w:val="004808A4"/>
    <w:rsid w:val="004A25E3"/>
    <w:rsid w:val="004A6B74"/>
    <w:rsid w:val="004B498D"/>
    <w:rsid w:val="004B7B3B"/>
    <w:rsid w:val="004D01FF"/>
    <w:rsid w:val="004D765B"/>
    <w:rsid w:val="004E0476"/>
    <w:rsid w:val="004E0E2A"/>
    <w:rsid w:val="004E2B54"/>
    <w:rsid w:val="004E31A5"/>
    <w:rsid w:val="004E3F8A"/>
    <w:rsid w:val="004E4140"/>
    <w:rsid w:val="004E643A"/>
    <w:rsid w:val="004F4F1B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1F82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54E5E"/>
    <w:rsid w:val="006614A5"/>
    <w:rsid w:val="00690E30"/>
    <w:rsid w:val="006A0433"/>
    <w:rsid w:val="006A0A93"/>
    <w:rsid w:val="006A325E"/>
    <w:rsid w:val="006A3CD7"/>
    <w:rsid w:val="006A5E45"/>
    <w:rsid w:val="006C0A32"/>
    <w:rsid w:val="006F7E16"/>
    <w:rsid w:val="007077A5"/>
    <w:rsid w:val="00715663"/>
    <w:rsid w:val="00734975"/>
    <w:rsid w:val="0073635C"/>
    <w:rsid w:val="00737208"/>
    <w:rsid w:val="007377A4"/>
    <w:rsid w:val="00741F84"/>
    <w:rsid w:val="00747127"/>
    <w:rsid w:val="00752037"/>
    <w:rsid w:val="00761AD8"/>
    <w:rsid w:val="00770F12"/>
    <w:rsid w:val="007855A5"/>
    <w:rsid w:val="00785CF5"/>
    <w:rsid w:val="00785FC1"/>
    <w:rsid w:val="00794741"/>
    <w:rsid w:val="007A21F5"/>
    <w:rsid w:val="007A47E7"/>
    <w:rsid w:val="007C6611"/>
    <w:rsid w:val="007D1922"/>
    <w:rsid w:val="007D310B"/>
    <w:rsid w:val="007F1DEA"/>
    <w:rsid w:val="007F4D92"/>
    <w:rsid w:val="0080586D"/>
    <w:rsid w:val="008119DD"/>
    <w:rsid w:val="00811D32"/>
    <w:rsid w:val="0081239C"/>
    <w:rsid w:val="00816B5B"/>
    <w:rsid w:val="00827988"/>
    <w:rsid w:val="00831789"/>
    <w:rsid w:val="008379F6"/>
    <w:rsid w:val="00856F58"/>
    <w:rsid w:val="0086656D"/>
    <w:rsid w:val="00876AF5"/>
    <w:rsid w:val="00882D37"/>
    <w:rsid w:val="008854F1"/>
    <w:rsid w:val="00890116"/>
    <w:rsid w:val="008B631D"/>
    <w:rsid w:val="008D34F7"/>
    <w:rsid w:val="008E40E1"/>
    <w:rsid w:val="008F25E4"/>
    <w:rsid w:val="008F5FEE"/>
    <w:rsid w:val="008F76CA"/>
    <w:rsid w:val="00913359"/>
    <w:rsid w:val="0091491A"/>
    <w:rsid w:val="009211B6"/>
    <w:rsid w:val="00921CA2"/>
    <w:rsid w:val="009332CE"/>
    <w:rsid w:val="009358E5"/>
    <w:rsid w:val="00951873"/>
    <w:rsid w:val="0095298D"/>
    <w:rsid w:val="00954C9E"/>
    <w:rsid w:val="00967D85"/>
    <w:rsid w:val="00996583"/>
    <w:rsid w:val="009A1948"/>
    <w:rsid w:val="009B1873"/>
    <w:rsid w:val="009C6CE6"/>
    <w:rsid w:val="009E0223"/>
    <w:rsid w:val="009E0308"/>
    <w:rsid w:val="009E1BF9"/>
    <w:rsid w:val="009E3247"/>
    <w:rsid w:val="00A0451C"/>
    <w:rsid w:val="00A12313"/>
    <w:rsid w:val="00A23853"/>
    <w:rsid w:val="00A23B02"/>
    <w:rsid w:val="00A23D59"/>
    <w:rsid w:val="00A247F3"/>
    <w:rsid w:val="00A30679"/>
    <w:rsid w:val="00A40FA6"/>
    <w:rsid w:val="00A4135C"/>
    <w:rsid w:val="00A6104E"/>
    <w:rsid w:val="00A63AE6"/>
    <w:rsid w:val="00A67C15"/>
    <w:rsid w:val="00A7109C"/>
    <w:rsid w:val="00A7149F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59D1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66F59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35"/>
    <w:rsid w:val="00BF029C"/>
    <w:rsid w:val="00BF062D"/>
    <w:rsid w:val="00BF5D62"/>
    <w:rsid w:val="00C00522"/>
    <w:rsid w:val="00C044DC"/>
    <w:rsid w:val="00C049B0"/>
    <w:rsid w:val="00C05E3E"/>
    <w:rsid w:val="00C168BD"/>
    <w:rsid w:val="00C209F8"/>
    <w:rsid w:val="00C21528"/>
    <w:rsid w:val="00C411D6"/>
    <w:rsid w:val="00C4329D"/>
    <w:rsid w:val="00C52B24"/>
    <w:rsid w:val="00C80DD2"/>
    <w:rsid w:val="00C87A8A"/>
    <w:rsid w:val="00CA0A4A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325F4"/>
    <w:rsid w:val="00D42158"/>
    <w:rsid w:val="00D437E5"/>
    <w:rsid w:val="00D47BA9"/>
    <w:rsid w:val="00D517DB"/>
    <w:rsid w:val="00D569F8"/>
    <w:rsid w:val="00D6413E"/>
    <w:rsid w:val="00D76882"/>
    <w:rsid w:val="00D84F9D"/>
    <w:rsid w:val="00D87BB1"/>
    <w:rsid w:val="00DA653A"/>
    <w:rsid w:val="00DB0142"/>
    <w:rsid w:val="00DB2C58"/>
    <w:rsid w:val="00DC373B"/>
    <w:rsid w:val="00DC4677"/>
    <w:rsid w:val="00DF05D3"/>
    <w:rsid w:val="00DF0E5F"/>
    <w:rsid w:val="00DF35E4"/>
    <w:rsid w:val="00DF6B78"/>
    <w:rsid w:val="00E01111"/>
    <w:rsid w:val="00E02CCF"/>
    <w:rsid w:val="00E14A40"/>
    <w:rsid w:val="00E17628"/>
    <w:rsid w:val="00E22515"/>
    <w:rsid w:val="00E279A0"/>
    <w:rsid w:val="00E31858"/>
    <w:rsid w:val="00E55EA4"/>
    <w:rsid w:val="00E56200"/>
    <w:rsid w:val="00E57DBB"/>
    <w:rsid w:val="00E60B8A"/>
    <w:rsid w:val="00E618F0"/>
    <w:rsid w:val="00E70ECA"/>
    <w:rsid w:val="00E7530F"/>
    <w:rsid w:val="00E77E31"/>
    <w:rsid w:val="00E83193"/>
    <w:rsid w:val="00E943FF"/>
    <w:rsid w:val="00EA1D19"/>
    <w:rsid w:val="00EA258E"/>
    <w:rsid w:val="00EA551F"/>
    <w:rsid w:val="00EB03D6"/>
    <w:rsid w:val="00EC08DA"/>
    <w:rsid w:val="00EC0E2C"/>
    <w:rsid w:val="00EC4322"/>
    <w:rsid w:val="00ED102D"/>
    <w:rsid w:val="00ED3C9D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258D1"/>
    <w:rsid w:val="00F300D7"/>
    <w:rsid w:val="00F3078E"/>
    <w:rsid w:val="00F31C58"/>
    <w:rsid w:val="00F35FCD"/>
    <w:rsid w:val="00F4123C"/>
    <w:rsid w:val="00F454B1"/>
    <w:rsid w:val="00F53D57"/>
    <w:rsid w:val="00F63861"/>
    <w:rsid w:val="00F7708E"/>
    <w:rsid w:val="00F77AC2"/>
    <w:rsid w:val="00F8232C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ECF18"/>
  <w15:docId w15:val="{E0294A71-20B0-4F24-BBC9-2EF1B5A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B3B"/>
    <w:pPr>
      <w:tabs>
        <w:tab w:val="left" w:pos="450"/>
        <w:tab w:val="right" w:leader="dot" w:pos="9463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58"/>
    <w:pPr>
      <w:spacing w:after="0" w:line="240" w:lineRule="auto"/>
    </w:pPr>
  </w:style>
  <w:style w:type="character" w:customStyle="1" w:styleId="cf01">
    <w:name w:val="cf01"/>
    <w:basedOn w:val="DefaultParagraphFont"/>
    <w:rsid w:val="009358E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Lazarova</cp:lastModifiedBy>
  <cp:revision>6</cp:revision>
  <dcterms:created xsi:type="dcterms:W3CDTF">2022-12-15T15:00:00Z</dcterms:created>
  <dcterms:modified xsi:type="dcterms:W3CDTF">2022-12-20T08:06:00Z</dcterms:modified>
</cp:coreProperties>
</file>