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7" w:rsidRPr="004B7B3B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104E" w:rsidRPr="004B7B3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6ADD" w:rsidRPr="004B7B3B" w:rsidRDefault="00D168E6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t>ДОКУМЕНТ</w:t>
      </w:r>
      <w:r w:rsidR="00FF7472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ЗА ДОПУСКАНЕ</w:t>
      </w:r>
      <w:r w:rsidR="00B56ADD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4B7B3B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ЕМИСИЯ </w:t>
      </w:r>
      <w:r w:rsidR="00B56ADD" w:rsidRPr="004B7B3B">
        <w:rPr>
          <w:rFonts w:ascii="Times New Roman" w:hAnsi="Times New Roman" w:cs="Times New Roman"/>
          <w:b/>
          <w:i/>
          <w:sz w:val="28"/>
          <w:szCs w:val="28"/>
        </w:rPr>
        <w:t>АКЦИИ</w:t>
      </w:r>
    </w:p>
    <w:p w:rsidR="00BF062D" w:rsidRPr="004B7B3B" w:rsidRDefault="00D168E6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t>НА ПАЗАР BEAM</w:t>
      </w:r>
    </w:p>
    <w:p w:rsidR="00FF7472" w:rsidRPr="004B7B3B" w:rsidRDefault="00FF7472" w:rsidP="002276FD">
      <w:pPr>
        <w:pStyle w:val="Default"/>
        <w:rPr>
          <w:i/>
          <w:color w:val="auto"/>
        </w:rPr>
      </w:pPr>
    </w:p>
    <w:p w:rsidR="00B550A2" w:rsidRPr="004B7B3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9465" w:type="dxa"/>
        <w:tblInd w:w="93" w:type="dxa"/>
        <w:tblLook w:val="04A0"/>
      </w:tblPr>
      <w:tblGrid>
        <w:gridCol w:w="4605"/>
        <w:gridCol w:w="4860"/>
      </w:tblGrid>
      <w:tr w:rsidR="00B550A2" w:rsidRPr="004B7B3B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A2" w:rsidRPr="00E279A0" w:rsidRDefault="00E279A0" w:rsidP="00D47BA9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6"/>
                <w:lang w:val="en-US"/>
              </w:rPr>
              <w:t>E</w:t>
            </w:r>
            <w:r w:rsidR="00B550A2" w:rsidRPr="004B7B3B">
              <w:rPr>
                <w:rFonts w:ascii="Times New Roman" w:hAnsi="Times New Roman" w:cs="Times New Roman"/>
                <w:i/>
                <w:spacing w:val="6"/>
              </w:rPr>
              <w:t>митент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A2" w:rsidRPr="004B7B3B" w:rsidRDefault="0095298D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</w:tr>
      <w:tr w:rsidR="00B550A2" w:rsidRPr="004B7B3B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A2" w:rsidRPr="004B7B3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A2" w:rsidRPr="004B7B3B" w:rsidRDefault="0095298D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4B7B3B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F5" w:rsidRPr="004B7B3B" w:rsidRDefault="00876AF5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Тип на инструмента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A8" w:rsidRPr="00AB19A8" w:rsidRDefault="0095298D" w:rsidP="00AB19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876AF5" w:rsidRPr="004B7B3B" w:rsidRDefault="00AB19A8" w:rsidP="00AB19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Акции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0ECA" w:rsidRPr="004B7B3B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A" w:rsidRPr="004B7B3B" w:rsidRDefault="00E70ECA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Съветник по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A" w:rsidRPr="004B7B3B" w:rsidRDefault="0095298D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</w:tbl>
    <w:p w:rsidR="00B550A2" w:rsidRPr="004B7B3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:rsidR="00890116" w:rsidRPr="004B7B3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:rsidR="005F42EA" w:rsidRPr="004B7B3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изготвен с цел допускане на емисията финансови инструменти на </w:t>
      </w:r>
      <w:r w:rsidR="0095298D" w:rsidRPr="004B7B3B">
        <w:rPr>
          <w:i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  <w:color w:val="auto"/>
        </w:rPr>
        <w:instrText xml:space="preserve"> FORMTEXT </w:instrText>
      </w:r>
      <w:r w:rsidR="0095298D" w:rsidRPr="004B7B3B">
        <w:rPr>
          <w:i/>
          <w:color w:val="auto"/>
        </w:rPr>
      </w:r>
      <w:r w:rsidR="0095298D" w:rsidRPr="004B7B3B">
        <w:rPr>
          <w:i/>
          <w:color w:val="auto"/>
        </w:rPr>
        <w:fldChar w:fldCharType="separate"/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="0095298D" w:rsidRPr="004B7B3B">
        <w:rPr>
          <w:i/>
          <w:color w:val="auto"/>
        </w:rPr>
        <w:fldChar w:fldCharType="end"/>
      </w:r>
      <w:r w:rsidRPr="004B7B3B">
        <w:rPr>
          <w:i/>
          <w:color w:val="auto"/>
          <w:vertAlign w:val="superscript"/>
        </w:rPr>
        <w:t>1</w:t>
      </w:r>
      <w:r w:rsidRPr="004B7B3B">
        <w:rPr>
          <w:i/>
          <w:color w:val="auto"/>
        </w:rPr>
        <w:t xml:space="preserve">, ЕИК </w:t>
      </w:r>
      <w:r w:rsidR="0095298D" w:rsidRPr="004B7B3B">
        <w:rPr>
          <w:i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  <w:color w:val="auto"/>
        </w:rPr>
        <w:instrText xml:space="preserve"> FORMTEXT </w:instrText>
      </w:r>
      <w:r w:rsidR="0095298D" w:rsidRPr="004B7B3B">
        <w:rPr>
          <w:i/>
          <w:color w:val="auto"/>
        </w:rPr>
      </w:r>
      <w:r w:rsidR="0095298D" w:rsidRPr="004B7B3B">
        <w:rPr>
          <w:i/>
          <w:color w:val="auto"/>
        </w:rPr>
        <w:fldChar w:fldCharType="separate"/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="0095298D" w:rsidRPr="004B7B3B">
        <w:rPr>
          <w:i/>
          <w:color w:val="auto"/>
        </w:rPr>
        <w:fldChar w:fldCharType="end"/>
      </w:r>
      <w:r w:rsidRPr="004B7B3B">
        <w:rPr>
          <w:i/>
          <w:color w:val="auto"/>
          <w:vertAlign w:val="superscript"/>
        </w:rPr>
        <w:t>6</w:t>
      </w:r>
      <w:r w:rsidRPr="004B7B3B">
        <w:rPr>
          <w:i/>
          <w:color w:val="auto"/>
        </w:rPr>
        <w:t xml:space="preserve"> на пазара за растеж на малки и средни предприятия BЕAM (</w:t>
      </w:r>
      <w:r w:rsidRPr="004B7B3B">
        <w:rPr>
          <w:i/>
        </w:rPr>
        <w:t>Bulgarian Enterprise Accelerator Market)</w:t>
      </w:r>
      <w:r w:rsidRPr="004B7B3B">
        <w:rPr>
          <w:i/>
          <w:color w:val="auto"/>
        </w:rPr>
        <w:t>.</w:t>
      </w:r>
    </w:p>
    <w:p w:rsidR="00FF7472" w:rsidRPr="004B7B3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>Този документ е одобрен с Решение на</w:t>
      </w:r>
      <w:r w:rsidR="004B7B3B" w:rsidRPr="004B7B3B">
        <w:rPr>
          <w:i/>
          <w:color w:val="auto"/>
        </w:rPr>
        <w:t xml:space="preserve">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10</w:t>
      </w:r>
      <w:r w:rsidR="004B7B3B" w:rsidRPr="004B7B3B">
        <w:rPr>
          <w:i/>
          <w:color w:val="auto"/>
        </w:rPr>
        <w:t xml:space="preserve"> на</w:t>
      </w:r>
      <w:r w:rsidRPr="004B7B3B">
        <w:rPr>
          <w:i/>
          <w:color w:val="auto"/>
        </w:rPr>
        <w:t xml:space="preserve">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1</w:t>
      </w:r>
      <w:r w:rsidRPr="004B7B3B">
        <w:rPr>
          <w:i/>
          <w:color w:val="auto"/>
        </w:rPr>
        <w:t xml:space="preserve"> от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9</w:t>
      </w:r>
      <w:r w:rsidR="004B7B3B" w:rsidRPr="004B7B3B">
        <w:rPr>
          <w:i/>
          <w:color w:val="auto"/>
        </w:rPr>
        <w:t xml:space="preserve"> г.</w:t>
      </w:r>
    </w:p>
    <w:p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одобрен с Решение на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7B3B"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="004B7B3B" w:rsidRPr="004B7B3B">
        <w:rPr>
          <w:i/>
          <w:vertAlign w:val="superscript"/>
        </w:rPr>
        <w:t>10</w:t>
      </w:r>
      <w:r w:rsidR="004B7B3B" w:rsidRPr="004B7B3B">
        <w:rPr>
          <w:i/>
          <w:color w:val="auto"/>
        </w:rPr>
        <w:t xml:space="preserve"> на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2</w:t>
      </w:r>
      <w:r w:rsidRPr="004B7B3B">
        <w:rPr>
          <w:i/>
          <w:color w:val="auto"/>
        </w:rPr>
        <w:t xml:space="preserve"> от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9</w:t>
      </w:r>
      <w:r w:rsidR="004B7B3B" w:rsidRPr="004B7B3B">
        <w:rPr>
          <w:i/>
          <w:color w:val="auto"/>
        </w:rPr>
        <w:t xml:space="preserve"> г.</w:t>
      </w:r>
    </w:p>
    <w:p w:rsidR="00E279A0" w:rsidRPr="00DB2C58" w:rsidRDefault="00E279A0" w:rsidP="00D47BA9">
      <w:pPr>
        <w:pStyle w:val="Default"/>
        <w:ind w:firstLine="706"/>
        <w:jc w:val="both"/>
        <w:rPr>
          <w:i/>
        </w:rPr>
      </w:pPr>
    </w:p>
    <w:p w:rsidR="007F4D92" w:rsidRPr="004B7B3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</w:rPr>
        <w:t>Лица</w:t>
      </w:r>
      <w:r w:rsidR="009E3247">
        <w:rPr>
          <w:i/>
        </w:rPr>
        <w:t>,</w:t>
      </w:r>
      <w:r w:rsidRPr="004B7B3B">
        <w:rPr>
          <w:i/>
        </w:rPr>
        <w:t xml:space="preserve"> участвали в съставянето му:</w:t>
      </w:r>
    </w:p>
    <w:tbl>
      <w:tblPr>
        <w:tblW w:w="9482" w:type="dxa"/>
        <w:tblInd w:w="96" w:type="dxa"/>
        <w:tblLook w:val="04A0"/>
      </w:tblPr>
      <w:tblGrid>
        <w:gridCol w:w="4602"/>
        <w:gridCol w:w="4880"/>
      </w:tblGrid>
      <w:tr w:rsidR="005C1CAB" w:rsidRPr="004B7B3B" w:rsidTr="007F4D92">
        <w:trPr>
          <w:trHeight w:val="498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AB" w:rsidRPr="004B7B3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Име и фамилия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AB" w:rsidRPr="004B7B3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длъжност</w:t>
            </w:r>
          </w:p>
        </w:tc>
      </w:tr>
      <w:tr w:rsidR="005C1CAB" w:rsidRPr="004B7B3B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AB" w:rsidRPr="004B7B3B" w:rsidRDefault="0095298D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AB" w:rsidRPr="004B7B3B" w:rsidRDefault="0095298D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47127" w:rsidRPr="004B7B3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09F8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09F8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 w:rsidRPr="00C209F8">
        <w:rPr>
          <w:i/>
          <w:color w:val="auto"/>
          <w:sz w:val="28"/>
          <w:szCs w:val="28"/>
        </w:rPr>
        <w:t>т “Българска фондова борса” АД.</w:t>
      </w:r>
    </w:p>
    <w:p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09F8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09F8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:rsidR="007F4D92" w:rsidRPr="00C209F8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7F4D92" w:rsidRPr="00C209F8" w:rsidRDefault="007F4D92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F8">
        <w:rPr>
          <w:rFonts w:ascii="Times New Roman" w:hAnsi="Times New Roman" w:cs="Times New Roman"/>
          <w:i/>
          <w:sz w:val="28"/>
          <w:szCs w:val="28"/>
        </w:rPr>
        <w:t>Правилата на Пазара за растеж на МСП BEAM могат да бъдат намерени на интернет страницата на Българска фондова борса АД</w:t>
      </w:r>
      <w:r w:rsidR="00A30679" w:rsidRPr="00C209F8">
        <w:rPr>
          <w:rFonts w:ascii="Times New Roman" w:hAnsi="Times New Roman" w:cs="Times New Roman"/>
          <w:i/>
          <w:sz w:val="28"/>
          <w:szCs w:val="28"/>
        </w:rPr>
        <w:t>:</w:t>
      </w:r>
      <w:r w:rsidRPr="00C209F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:rsidR="00C209F8" w:rsidRPr="00C209F8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B3B" w:rsidRPr="00C209F8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F8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 w:rsidRPr="00C209F8">
        <w:rPr>
          <w:rFonts w:ascii="Times New Roman" w:hAnsi="Times New Roman" w:cs="Times New Roman"/>
          <w:i/>
          <w:sz w:val="28"/>
          <w:szCs w:val="28"/>
        </w:rPr>
        <w:t>,</w:t>
      </w:r>
      <w:r w:rsidRPr="00C209F8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 w:rsidRPr="00C209F8">
        <w:rPr>
          <w:rFonts w:ascii="Times New Roman" w:hAnsi="Times New Roman" w:cs="Times New Roman"/>
          <w:i/>
          <w:sz w:val="28"/>
          <w:szCs w:val="28"/>
        </w:rPr>
        <w:t>,</w:t>
      </w:r>
      <w:r w:rsidRPr="00C209F8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 w:rsidRPr="00C209F8">
        <w:rPr>
          <w:rFonts w:ascii="Times New Roman" w:hAnsi="Times New Roman" w:cs="Times New Roman"/>
          <w:i/>
          <w:sz w:val="28"/>
          <w:szCs w:val="28"/>
        </w:rPr>
        <w:t>:</w:t>
      </w:r>
      <w:r w:rsidRPr="00C209F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:rsidR="00C209F8" w:rsidRPr="00C209F8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B3B" w:rsidRPr="00C209F8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F8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C209F8">
        <w:rPr>
          <w:rFonts w:ascii="Times New Roman" w:hAnsi="Times New Roman" w:cs="Times New Roman"/>
          <w:i/>
          <w:sz w:val="28"/>
          <w:szCs w:val="28"/>
          <w:lang w:val="en-US"/>
        </w:rPr>
        <w:t>beam</w:t>
      </w:r>
      <w:r w:rsidRPr="00C209F8">
        <w:rPr>
          <w:rFonts w:ascii="Times New Roman" w:hAnsi="Times New Roman" w:cs="Times New Roman"/>
          <w:i/>
          <w:sz w:val="28"/>
          <w:szCs w:val="28"/>
        </w:rPr>
        <w:t>@</w:t>
      </w:r>
      <w:r w:rsidRPr="00C209F8">
        <w:rPr>
          <w:rFonts w:ascii="Times New Roman" w:hAnsi="Times New Roman" w:cs="Times New Roman"/>
          <w:i/>
          <w:sz w:val="28"/>
          <w:szCs w:val="28"/>
          <w:lang w:val="en-US"/>
        </w:rPr>
        <w:t>bse</w:t>
      </w:r>
      <w:r w:rsidRPr="00C209F8">
        <w:rPr>
          <w:rFonts w:ascii="Times New Roman" w:hAnsi="Times New Roman" w:cs="Times New Roman"/>
          <w:i/>
          <w:sz w:val="28"/>
          <w:szCs w:val="28"/>
        </w:rPr>
        <w:t>-</w:t>
      </w:r>
      <w:r w:rsidRPr="00C209F8">
        <w:rPr>
          <w:rFonts w:ascii="Times New Roman" w:hAnsi="Times New Roman" w:cs="Times New Roman"/>
          <w:i/>
          <w:sz w:val="28"/>
          <w:szCs w:val="28"/>
          <w:lang w:val="en-US"/>
        </w:rPr>
        <w:t>sofia</w:t>
      </w:r>
      <w:r w:rsidRPr="00C209F8">
        <w:rPr>
          <w:rFonts w:ascii="Times New Roman" w:hAnsi="Times New Roman" w:cs="Times New Roman"/>
          <w:i/>
          <w:sz w:val="28"/>
          <w:szCs w:val="28"/>
        </w:rPr>
        <w:t>.</w:t>
      </w:r>
      <w:r w:rsidRPr="00C209F8">
        <w:rPr>
          <w:rFonts w:ascii="Times New Roman" w:hAnsi="Times New Roman" w:cs="Times New Roman"/>
          <w:i/>
          <w:sz w:val="28"/>
          <w:szCs w:val="28"/>
          <w:lang w:val="en-US"/>
        </w:rPr>
        <w:t>bg</w:t>
      </w:r>
    </w:p>
    <w:p w:rsidR="00AF377E" w:rsidRPr="004B7B3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E1ADF" w:rsidRPr="004B7B3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4A40" w:rsidRPr="004B7B3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:rsidR="00596790" w:rsidRPr="004B7B3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Content>
        <w:p w:rsidR="00954C9E" w:rsidRPr="004B7B3B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:rsidR="00E279A0" w:rsidRDefault="0095298D">
          <w:pPr>
            <w:pStyle w:val="TOC1"/>
            <w:rPr>
              <w:noProof/>
            </w:rPr>
          </w:pPr>
          <w:r w:rsidRPr="0095298D">
            <w:rPr>
              <w:sz w:val="28"/>
              <w:szCs w:val="28"/>
              <w:lang w:val="bg-BG"/>
            </w:rPr>
            <w:fldChar w:fldCharType="begin"/>
          </w:r>
          <w:r w:rsidR="00954C9E" w:rsidRPr="004B7B3B">
            <w:rPr>
              <w:sz w:val="28"/>
              <w:szCs w:val="28"/>
              <w:lang w:val="bg-BG"/>
            </w:rPr>
            <w:instrText xml:space="preserve"> TOC \o "1-3" \h \z \u </w:instrText>
          </w:r>
          <w:r w:rsidRPr="0095298D">
            <w:rPr>
              <w:sz w:val="28"/>
              <w:szCs w:val="28"/>
              <w:lang w:val="bg-BG"/>
            </w:rPr>
            <w:fldChar w:fldCharType="separate"/>
          </w:r>
          <w:hyperlink w:anchor="_Toc32923509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I. ВЪВЕДЕНИЕ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95298D">
          <w:pPr>
            <w:pStyle w:val="TOC1"/>
            <w:rPr>
              <w:noProof/>
            </w:rPr>
          </w:pPr>
          <w:hyperlink w:anchor="_Toc32923510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II. РИСКОВИ ФАКТОРИ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95298D">
          <w:pPr>
            <w:pStyle w:val="TOC1"/>
            <w:rPr>
              <w:noProof/>
            </w:rPr>
          </w:pPr>
          <w:hyperlink w:anchor="_Toc32923511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III. ДЕКЛАРАЦИЯ ОТ ЕМИТЕНТА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95298D">
          <w:pPr>
            <w:pStyle w:val="TOC1"/>
            <w:rPr>
              <w:noProof/>
            </w:rPr>
          </w:pPr>
          <w:hyperlink w:anchor="_Toc32923512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IV. ДЕКЛАРАЦИЯ ОТ СЪВЕТНИКА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95298D">
          <w:pPr>
            <w:pStyle w:val="TOC1"/>
            <w:rPr>
              <w:noProof/>
            </w:rPr>
          </w:pPr>
          <w:hyperlink w:anchor="_Toc32923513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V. ИНФОРМАЦИЯ ЗА ФИНАНСОВИТЕ ИНСТРУМЕНТИ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95298D">
          <w:pPr>
            <w:pStyle w:val="TOC1"/>
            <w:rPr>
              <w:noProof/>
            </w:rPr>
          </w:pPr>
          <w:hyperlink w:anchor="_Toc32923514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VI. ИНФОРМАЦИЯ ЗА ЕМИТЕНТА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95298D">
          <w:pPr>
            <w:pStyle w:val="TOC1"/>
            <w:rPr>
              <w:noProof/>
            </w:rPr>
          </w:pPr>
          <w:hyperlink w:anchor="_Toc32923515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VII. ФИНАНСОВИ ОТЧЕТИ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95298D">
          <w:pPr>
            <w:pStyle w:val="TOC1"/>
            <w:rPr>
              <w:noProof/>
            </w:rPr>
          </w:pPr>
          <w:hyperlink w:anchor="_Toc32923516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VIII. СПИСЪК НА ОБЩОДОСТЪПНИТЕ ДОКУМЕНТИ, ПОСЛУЖИЛИ ЗА ИЗГОТВЯНЕ НА ДОКУМЕНТА ЗА ДОПУСКАНЕ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95298D">
          <w:pPr>
            <w:pStyle w:val="TOC1"/>
            <w:rPr>
              <w:noProof/>
            </w:rPr>
          </w:pPr>
          <w:hyperlink w:anchor="_Toc32923517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IX. ПРИЛОЖЕНИЯ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4C9E" w:rsidRPr="004B7B3B" w:rsidRDefault="0095298D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B7B3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:rsidR="00596790" w:rsidRPr="004B7B3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F7472" w:rsidRPr="004B7B3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4B7B3B">
        <w:rPr>
          <w:rFonts w:cs="Times New Roman"/>
          <w:i/>
          <w:color w:val="auto"/>
          <w:lang w:val="en-US"/>
        </w:rPr>
        <w:lastRenderedPageBreak/>
        <w:t>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ВЪВЕДЕНИЕ</w:t>
      </w:r>
      <w:bookmarkEnd w:id="0"/>
    </w:p>
    <w:p w:rsidR="00606BF7" w:rsidRPr="004B7B3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19 от Правилата за допускане до търговия на пазар BEAM</w:t>
      </w: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</w:p>
    <w:p w:rsidR="0086656D" w:rsidRPr="004B7B3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EA258E" w:rsidRPr="004B7B3B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Наименование на емитента на латиница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537D09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страница, на която е оповестен документът за допускане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страница, където ще бъде оповестявана публично информация пред инвеститорите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Лице за контакт с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="00D47BA9" w:rsidRPr="004B7B3B">
              <w:rPr>
                <w:rFonts w:ascii="Times New Roman" w:eastAsia="Times New Roman" w:hAnsi="Times New Roman" w:cs="Times New Roman"/>
                <w:i/>
              </w:rPr>
              <w:t>град, ПК, адрес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A258E" w:rsidRPr="004B7B3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EA258E" w:rsidRPr="004B7B3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4B7B3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B7B3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EA258E" w:rsidRPr="004B7B3B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Съветник по емисията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Наименование на </w:t>
            </w:r>
            <w:r w:rsidR="004E3F8A" w:rsidRPr="004B7B3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ъветника на латиница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4B7B3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="00D47BA9" w:rsidRPr="004B7B3B">
              <w:rPr>
                <w:rFonts w:ascii="Times New Roman" w:eastAsia="Times New Roman" w:hAnsi="Times New Roman" w:cs="Times New Roman"/>
                <w:i/>
              </w:rPr>
              <w:t>град, ПК, адрес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624EC" w:rsidRPr="004B7B3B" w:rsidTr="00AB19A8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EC" w:rsidRPr="004B7B3B" w:rsidRDefault="003624EC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24EC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EC" w:rsidRPr="004B7B3B" w:rsidRDefault="0095298D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24EC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A258E" w:rsidRPr="004B7B3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EA258E" w:rsidRPr="004B7B3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EA258E" w:rsidRPr="004B7B3B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Тип на инструмента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Валута на издаване (BGN/EUR)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Брой издадени финансови инструменти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Вид финансови инструменти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Друга информация по преценка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14A40" w:rsidRPr="004B7B3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F7472" w:rsidRPr="004B7B3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4B7B3B">
        <w:rPr>
          <w:rFonts w:cs="Times New Roman"/>
          <w:i/>
          <w:color w:val="auto"/>
          <w:lang w:val="en-US"/>
        </w:rPr>
        <w:lastRenderedPageBreak/>
        <w:t>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РИСКОВИ ФАКТОРИ</w:t>
      </w:r>
      <w:bookmarkEnd w:id="1"/>
    </w:p>
    <w:p w:rsidR="00606BF7" w:rsidRPr="004B7B3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20 от Правилата за допускане до търговия на пазар BEAM</w:t>
      </w:r>
    </w:p>
    <w:p w:rsidR="005218CA" w:rsidRPr="004B7B3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рисковите фактори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корпоративните събития, риск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 с прекратяване </w:t>
      </w:r>
      <w:r w:rsidR="00E70ECA" w:rsidRPr="004B7B3B">
        <w:rPr>
          <w:i/>
          <w:color w:val="auto"/>
        </w:rPr>
        <w:t>на регистрацията на пазар BЕAM).</w:t>
      </w:r>
    </w:p>
    <w:p w:rsidR="00E70ECA" w:rsidRPr="004B7B3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0D1007" w:rsidRPr="004B7B3B" w:rsidTr="00186C73">
        <w:trPr>
          <w:trHeight w:val="883"/>
        </w:trPr>
        <w:tc>
          <w:tcPr>
            <w:tcW w:w="9738" w:type="dxa"/>
          </w:tcPr>
          <w:p w:rsidR="000D1007" w:rsidRPr="004B7B3B" w:rsidRDefault="0095298D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1007" w:rsidRPr="004B7B3B" w:rsidRDefault="000D1007" w:rsidP="000D1007">
      <w:pPr>
        <w:pStyle w:val="Default"/>
        <w:jc w:val="both"/>
        <w:rPr>
          <w:i/>
          <w:color w:val="auto"/>
        </w:rPr>
      </w:pPr>
    </w:p>
    <w:p w:rsidR="00EA258E" w:rsidRPr="004B7B3B" w:rsidRDefault="00EA258E" w:rsidP="000D1007">
      <w:pPr>
        <w:pStyle w:val="Default"/>
        <w:jc w:val="both"/>
        <w:rPr>
          <w:i/>
          <w:color w:val="auto"/>
        </w:rPr>
      </w:pPr>
    </w:p>
    <w:p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рисковете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макроикономическата среда, пол</w:t>
      </w:r>
      <w:r w:rsidR="00E70ECA" w:rsidRPr="004B7B3B">
        <w:rPr>
          <w:i/>
          <w:color w:val="auto"/>
        </w:rPr>
        <w:t>итически риск, регулаторен риск.</w:t>
      </w:r>
    </w:p>
    <w:p w:rsidR="00E70ECA" w:rsidRPr="004B7B3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E70ECA" w:rsidRPr="004B7B3B" w:rsidTr="00186C73">
        <w:trPr>
          <w:trHeight w:val="778"/>
        </w:trPr>
        <w:tc>
          <w:tcPr>
            <w:tcW w:w="9738" w:type="dxa"/>
          </w:tcPr>
          <w:p w:rsidR="00E70ECA" w:rsidRPr="004B7B3B" w:rsidRDefault="0095298D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1007" w:rsidRPr="004B7B3B" w:rsidRDefault="000D1007" w:rsidP="000D1007">
      <w:pPr>
        <w:pStyle w:val="Default"/>
        <w:jc w:val="both"/>
        <w:rPr>
          <w:i/>
          <w:color w:val="auto"/>
        </w:rPr>
      </w:pPr>
    </w:p>
    <w:p w:rsidR="00EA258E" w:rsidRPr="004B7B3B" w:rsidRDefault="00EA258E" w:rsidP="000D1007">
      <w:pPr>
        <w:pStyle w:val="Default"/>
        <w:jc w:val="both"/>
        <w:rPr>
          <w:i/>
          <w:color w:val="auto"/>
        </w:rPr>
      </w:pPr>
    </w:p>
    <w:p w:rsidR="00E70ECA" w:rsidRPr="004B7B3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4B7B3B">
        <w:rPr>
          <w:i/>
          <w:color w:val="auto"/>
        </w:rPr>
        <w:t>, оперативен риск, валутен риск.</w:t>
      </w:r>
    </w:p>
    <w:p w:rsidR="000D1007" w:rsidRPr="004B7B3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E70ECA" w:rsidRPr="004B7B3B" w:rsidTr="00186C73">
        <w:trPr>
          <w:trHeight w:val="778"/>
        </w:trPr>
        <w:tc>
          <w:tcPr>
            <w:tcW w:w="9738" w:type="dxa"/>
          </w:tcPr>
          <w:p w:rsidR="00E70ECA" w:rsidRPr="004B7B3B" w:rsidRDefault="0095298D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1007" w:rsidRPr="004B7B3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:rsidR="00EA258E" w:rsidRPr="004B7B3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4B7B3B">
        <w:rPr>
          <w:i/>
          <w:color w:val="auto"/>
        </w:rPr>
        <w:t>е на емитента от друга страна.</w:t>
      </w:r>
    </w:p>
    <w:p w:rsidR="000D1007" w:rsidRPr="004B7B3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E70ECA" w:rsidRPr="004B7B3B" w:rsidTr="00186C73">
        <w:trPr>
          <w:trHeight w:val="778"/>
        </w:trPr>
        <w:tc>
          <w:tcPr>
            <w:tcW w:w="9738" w:type="dxa"/>
          </w:tcPr>
          <w:p w:rsidR="00E70ECA" w:rsidRPr="004B7B3B" w:rsidRDefault="0095298D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022A4" w:rsidRPr="004B7B3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4B7B3B">
        <w:rPr>
          <w:rFonts w:ascii="Times New Roman" w:hAnsi="Times New Roman" w:cs="Times New Roman"/>
          <w:i/>
          <w:sz w:val="23"/>
          <w:szCs w:val="23"/>
        </w:rPr>
        <w:br w:type="page"/>
      </w:r>
    </w:p>
    <w:p w:rsidR="00811D32" w:rsidRPr="004B7B3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4B7B3B">
        <w:rPr>
          <w:rFonts w:cs="Times New Roman"/>
          <w:i/>
          <w:color w:val="auto"/>
          <w:lang w:val="en-US"/>
        </w:rPr>
        <w:lastRenderedPageBreak/>
        <w:t>III</w:t>
      </w:r>
      <w:r w:rsidRPr="004B7B3B">
        <w:rPr>
          <w:rFonts w:cs="Times New Roman"/>
          <w:i/>
          <w:color w:val="auto"/>
        </w:rPr>
        <w:t xml:space="preserve">. </w:t>
      </w:r>
      <w:r w:rsidR="00811D32" w:rsidRPr="004B7B3B">
        <w:rPr>
          <w:rFonts w:cs="Times New Roman"/>
          <w:i/>
          <w:color w:val="auto"/>
        </w:rPr>
        <w:t>ДЕКЛАРАЦИЯ ОТ ЕМИТЕНТА</w:t>
      </w:r>
      <w:bookmarkEnd w:id="2"/>
    </w:p>
    <w:p w:rsidR="00811D32" w:rsidRPr="004B7B3B" w:rsidRDefault="00811D32" w:rsidP="00E70ECA">
      <w:pPr>
        <w:pStyle w:val="Default"/>
        <w:rPr>
          <w:i/>
          <w:color w:val="auto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:rsidR="00502D04" w:rsidRPr="004B7B3B" w:rsidRDefault="00502D04" w:rsidP="00E70ECA">
      <w:pPr>
        <w:pStyle w:val="Default"/>
        <w:rPr>
          <w:i/>
          <w:color w:val="auto"/>
        </w:rPr>
      </w:pPr>
    </w:p>
    <w:p w:rsidR="00DF35E4" w:rsidRPr="004B7B3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С настоящото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7708E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7708E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3A2C6E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:rsidR="000716B2" w:rsidRPr="004B7B3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35E4" w:rsidRPr="004B7B3B" w:rsidRDefault="00DF35E4" w:rsidP="003A2C6E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Информацията, съдържаща се в настоящия документ за допускане</w:t>
      </w:r>
      <w:r w:rsidR="005C0FCA">
        <w:rPr>
          <w:i/>
          <w:color w:val="auto"/>
        </w:rPr>
        <w:t>,</w:t>
      </w:r>
      <w:r w:rsidRPr="004B7B3B">
        <w:rPr>
          <w:i/>
          <w:color w:val="auto"/>
        </w:rPr>
        <w:t xml:space="preserve"> е достоверна и точна и съдържа всички данни, които са необходими за оценката на финансовите инструменти, за които се отнася.</w:t>
      </w:r>
    </w:p>
    <w:p w:rsidR="000716B2" w:rsidRPr="004B7B3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:rsidR="00DF35E4" w:rsidRPr="004B7B3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Настоящият документ </w:t>
      </w:r>
      <w:r w:rsidR="00DF35E4" w:rsidRPr="004B7B3B">
        <w:rPr>
          <w:i/>
          <w:color w:val="auto"/>
        </w:rPr>
        <w:t>за допускане предоставя надеждно описание на рисковите фактори, свързани с емитента и финансовите инструменти</w:t>
      </w:r>
      <w:r w:rsidR="0021394B" w:rsidRPr="004B7B3B">
        <w:rPr>
          <w:i/>
          <w:color w:val="auto"/>
        </w:rPr>
        <w:t>.</w:t>
      </w:r>
      <w:r w:rsidR="00DF35E4" w:rsidRPr="004B7B3B">
        <w:rPr>
          <w:i/>
          <w:color w:val="auto"/>
        </w:rPr>
        <w:t xml:space="preserve"> </w:t>
      </w:r>
    </w:p>
    <w:p w:rsidR="00DF35E4" w:rsidRPr="004B7B3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F35E4" w:rsidRPr="004B7B3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:rsidR="00DF35E4" w:rsidRPr="004B7B3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t>Декларатор,</w:t>
      </w:r>
    </w:p>
    <w:p w:rsidR="00DF35E4" w:rsidRPr="004B7B3B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4</w:t>
      </w:r>
    </w:p>
    <w:p w:rsidR="00DF35E4" w:rsidRPr="004B7B3B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5</w:t>
      </w:r>
    </w:p>
    <w:p w:rsidR="00DF35E4" w:rsidRPr="004B7B3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:rsidR="00DF35E4" w:rsidRPr="004B7B3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:rsidR="00DF35E4" w:rsidRPr="004B7B3B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4</w:t>
      </w:r>
    </w:p>
    <w:p w:rsidR="00DF35E4" w:rsidRPr="004B7B3B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5</w:t>
      </w:r>
    </w:p>
    <w:p w:rsidR="002036AF" w:rsidRPr="004B7B3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4B7B3B">
        <w:rPr>
          <w:rFonts w:ascii="Times New Roman" w:hAnsi="Times New Roman" w:cs="Times New Roman"/>
          <w:i/>
          <w:sz w:val="23"/>
          <w:szCs w:val="23"/>
        </w:rPr>
        <w:br w:type="page"/>
      </w:r>
    </w:p>
    <w:p w:rsidR="004022A4" w:rsidRPr="004B7B3B" w:rsidRDefault="00562D8B" w:rsidP="003A2C6E">
      <w:pPr>
        <w:pStyle w:val="a"/>
      </w:pPr>
      <w:bookmarkStart w:id="3" w:name="_Toc32923512"/>
      <w:r w:rsidRPr="004B7B3B">
        <w:rPr>
          <w:lang w:val="en-US"/>
        </w:rPr>
        <w:lastRenderedPageBreak/>
        <w:t>IV</w:t>
      </w:r>
      <w:r w:rsidRPr="004B7B3B">
        <w:t xml:space="preserve">. </w:t>
      </w:r>
      <w:r w:rsidR="00811D32" w:rsidRPr="004B7B3B">
        <w:t>ДЕКЛАРАЦИЯ ОТ СЪВЕТНИКА</w:t>
      </w:r>
      <w:bookmarkEnd w:id="3"/>
    </w:p>
    <w:p w:rsidR="00913359" w:rsidRPr="00EA1D19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:rsidR="002036AF" w:rsidRPr="004B7B3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036AF" w:rsidRPr="003A2C6E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0451C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:rsidR="002036AF" w:rsidRPr="003A2C6E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5E3E" w:rsidRPr="003A2C6E" w:rsidRDefault="00C05E3E" w:rsidP="003A2C6E">
      <w:pPr>
        <w:pStyle w:val="Default"/>
        <w:ind w:firstLine="708"/>
        <w:rPr>
          <w:i/>
          <w:color w:val="auto"/>
        </w:rPr>
      </w:pPr>
      <w:r w:rsidRPr="003A2C6E">
        <w:rPr>
          <w:i/>
          <w:color w:val="auto"/>
        </w:rPr>
        <w:t>Запознат</w:t>
      </w:r>
      <w:r w:rsidR="00737208" w:rsidRPr="003A2C6E">
        <w:rPr>
          <w:i/>
          <w:color w:val="auto"/>
        </w:rPr>
        <w:t>/</w:t>
      </w:r>
      <w:r w:rsidRPr="003A2C6E">
        <w:rPr>
          <w:i/>
          <w:color w:val="auto"/>
        </w:rPr>
        <w:t>и</w:t>
      </w:r>
      <w:r w:rsidR="003A2C6E" w:rsidRPr="003A2C6E">
        <w:rPr>
          <w:i/>
          <w:color w:val="auto"/>
        </w:rPr>
        <w:t xml:space="preserve"> </w:t>
      </w:r>
      <w:r w:rsidR="00737208" w:rsidRPr="003A2C6E">
        <w:rPr>
          <w:i/>
          <w:color w:val="auto"/>
        </w:rPr>
        <w:t>съм/</w:t>
      </w:r>
      <w:r w:rsidRPr="003A2C6E">
        <w:rPr>
          <w:i/>
          <w:color w:val="auto"/>
        </w:rPr>
        <w:t xml:space="preserve"> сме с </w:t>
      </w:r>
      <w:r w:rsidR="00A0451C" w:rsidRPr="003A2C6E">
        <w:rPr>
          <w:i/>
          <w:color w:val="auto"/>
        </w:rPr>
        <w:t xml:space="preserve">настоящия </w:t>
      </w:r>
      <w:r w:rsidRPr="003A2C6E">
        <w:rPr>
          <w:i/>
          <w:color w:val="auto"/>
        </w:rPr>
        <w:t>документ за допускане.</w:t>
      </w:r>
    </w:p>
    <w:p w:rsidR="00C05E3E" w:rsidRPr="003A2C6E" w:rsidRDefault="00C05E3E" w:rsidP="003A2C6E">
      <w:pPr>
        <w:pStyle w:val="Default"/>
        <w:ind w:firstLine="708"/>
        <w:rPr>
          <w:i/>
          <w:color w:val="auto"/>
        </w:rPr>
      </w:pPr>
    </w:p>
    <w:p w:rsidR="00C05E3E" w:rsidRPr="003A2C6E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</w:t>
      </w:r>
      <w:r w:rsidR="00C05E3E" w:rsidRPr="003A2C6E">
        <w:rPr>
          <w:i/>
          <w:color w:val="auto"/>
        </w:rPr>
        <w:t>окумент</w:t>
      </w:r>
      <w:r w:rsidRPr="003A2C6E">
        <w:rPr>
          <w:i/>
          <w:color w:val="auto"/>
        </w:rPr>
        <w:t>ът</w:t>
      </w:r>
      <w:r w:rsidR="00C05E3E" w:rsidRPr="003A2C6E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3A2C6E">
        <w:rPr>
          <w:i/>
          <w:color w:val="auto"/>
        </w:rPr>
        <w:t xml:space="preserve"> и приложимото законодателство.</w:t>
      </w: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Доколкото ми/ни е известно и на база получените от емитента документи и информация, информацията, съдържаща се в документа за допускане, е разбирае</w:t>
      </w:r>
      <w:r w:rsidR="00741F84" w:rsidRPr="003A2C6E">
        <w:rPr>
          <w:i/>
          <w:color w:val="auto"/>
        </w:rPr>
        <w:t>ма, вярна, ясна и неподвеждаща.</w:t>
      </w: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3A2C6E">
        <w:rPr>
          <w:i/>
          <w:color w:val="auto"/>
        </w:rPr>
        <w:t>.</w:t>
      </w: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Емитентът отговаря на всички изисквания за допу</w:t>
      </w:r>
      <w:r w:rsidR="00741F84" w:rsidRPr="003A2C6E">
        <w:rPr>
          <w:i/>
          <w:color w:val="auto"/>
        </w:rPr>
        <w:t>скане до търговия на пазар BEAM.</w:t>
      </w:r>
    </w:p>
    <w:p w:rsidR="00C05E3E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:rsidR="003A2C6E" w:rsidRPr="003A2C6E" w:rsidRDefault="003A2C6E" w:rsidP="003A2C6E">
      <w:pPr>
        <w:pStyle w:val="Default"/>
        <w:ind w:firstLine="709"/>
        <w:jc w:val="both"/>
        <w:rPr>
          <w:i/>
          <w:color w:val="auto"/>
        </w:rPr>
      </w:pPr>
    </w:p>
    <w:p w:rsidR="002036AF" w:rsidRPr="003A2C6E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 w:rsidR="002036AF" w:rsidRPr="003A2C6E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2036AF" w:rsidRPr="003A2C6E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2036AF" w:rsidRPr="003A2C6E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:rsidR="002036AF" w:rsidRPr="003A2C6E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:rsidR="002036AF" w:rsidRPr="003A2C6E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4022A4" w:rsidRPr="003A2C6E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2075F9" w:rsidRPr="004B7B3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F7472" w:rsidRPr="004B7B3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4B7B3B">
        <w:rPr>
          <w:rFonts w:cs="Times New Roman"/>
          <w:i/>
          <w:color w:val="auto"/>
          <w:lang w:val="en-US"/>
        </w:rPr>
        <w:lastRenderedPageBreak/>
        <w:t>V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:rsidR="006A0433" w:rsidRPr="004B7B3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22 от Правилата за допускане до търговия на пазар BEAM</w:t>
      </w:r>
    </w:p>
    <w:p w:rsidR="00913359" w:rsidRPr="004B7B3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:rsidR="002276FD" w:rsidRPr="004B7B3B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вида, броя, номиналната стойност и валутата на издаване на инструмента</w:t>
      </w:r>
      <w:r w:rsidR="009B1873" w:rsidRPr="004B7B3B">
        <w:rPr>
          <w:i/>
          <w:color w:val="auto"/>
        </w:rPr>
        <w:t>.</w:t>
      </w:r>
    </w:p>
    <w:p w:rsidR="00EA258E" w:rsidRPr="004B7B3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9738" w:type="dxa"/>
        <w:tblLook w:val="04A0"/>
      </w:tblPr>
      <w:tblGrid>
        <w:gridCol w:w="4727"/>
        <w:gridCol w:w="5011"/>
      </w:tblGrid>
      <w:tr w:rsidR="00F3078E" w:rsidRPr="004B7B3B" w:rsidTr="00186C73">
        <w:trPr>
          <w:trHeight w:val="758"/>
        </w:trPr>
        <w:tc>
          <w:tcPr>
            <w:tcW w:w="4727" w:type="dxa"/>
            <w:vAlign w:val="center"/>
          </w:tcPr>
          <w:p w:rsidR="00F3078E" w:rsidRPr="004B7B3B" w:rsidRDefault="00F3078E" w:rsidP="00A23B02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Вид на акциите</w:t>
            </w:r>
            <w:r w:rsidR="00390BA3" w:rsidRPr="004B7B3B">
              <w:rPr>
                <w:rFonts w:ascii="Times New Roman" w:hAnsi="Times New Roman" w:cs="Times New Roman"/>
                <w:i/>
                <w:spacing w:val="6"/>
              </w:rPr>
              <w:t>:</w:t>
            </w:r>
          </w:p>
        </w:tc>
        <w:tc>
          <w:tcPr>
            <w:tcW w:w="5011" w:type="dxa"/>
            <w:vAlign w:val="center"/>
          </w:tcPr>
          <w:p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Обикновени;</w:t>
            </w:r>
          </w:p>
          <w:p w:rsidR="00581D7A" w:rsidRPr="003A2C6E" w:rsidRDefault="00AB19A8" w:rsidP="00AB19A8">
            <w:pPr>
              <w:rPr>
                <w:rFonts w:ascii="Times New Roman" w:hAnsi="Times New Roman" w:cs="Times New Roman"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Привилегировани</w:t>
            </w:r>
            <w:r w:rsidR="0095298D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4B7B3B" w:rsidTr="005C628F">
        <w:trPr>
          <w:trHeight w:val="758"/>
        </w:trPr>
        <w:tc>
          <w:tcPr>
            <w:tcW w:w="4727" w:type="dxa"/>
            <w:vAlign w:val="center"/>
          </w:tcPr>
          <w:p w:rsidR="00A23B02" w:rsidRPr="004B7B3B" w:rsidRDefault="00A23B02" w:rsidP="00A23B02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Права</w:t>
            </w:r>
            <w:r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737208">
              <w:rPr>
                <w:rFonts w:ascii="Times New Roman" w:hAnsi="Times New Roman" w:cs="Times New Roman"/>
                <w:i/>
                <w:spacing w:val="6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pacing w:val="6"/>
              </w:rPr>
              <w:t>акциите</w:t>
            </w:r>
            <w:r w:rsidRPr="004B7B3B">
              <w:rPr>
                <w:rFonts w:ascii="Times New Roman" w:hAnsi="Times New Roman" w:cs="Times New Roman"/>
                <w:i/>
                <w:spacing w:val="6"/>
              </w:rPr>
              <w:t>:</w:t>
            </w:r>
          </w:p>
        </w:tc>
        <w:tc>
          <w:tcPr>
            <w:tcW w:w="5011" w:type="dxa"/>
            <w:vAlign w:val="center"/>
          </w:tcPr>
          <w:p w:rsidR="00A23B02" w:rsidRPr="003A2C6E" w:rsidRDefault="0095298D" w:rsidP="005C628F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:rsidTr="00186C73">
        <w:trPr>
          <w:trHeight w:val="758"/>
        </w:trPr>
        <w:tc>
          <w:tcPr>
            <w:tcW w:w="4727" w:type="dxa"/>
            <w:vAlign w:val="center"/>
          </w:tcPr>
          <w:p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5011" w:type="dxa"/>
            <w:vAlign w:val="center"/>
          </w:tcPr>
          <w:p w:rsidR="00F3078E" w:rsidRPr="003A2C6E" w:rsidRDefault="0095298D" w:rsidP="00F3078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:rsidTr="00186C73">
        <w:trPr>
          <w:trHeight w:val="758"/>
        </w:trPr>
        <w:tc>
          <w:tcPr>
            <w:tcW w:w="4727" w:type="dxa"/>
            <w:vAlign w:val="center"/>
          </w:tcPr>
          <w:p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Единична номинална стойност</w:t>
            </w:r>
          </w:p>
        </w:tc>
        <w:tc>
          <w:tcPr>
            <w:tcW w:w="5011" w:type="dxa"/>
            <w:vAlign w:val="center"/>
          </w:tcPr>
          <w:p w:rsidR="00F3078E" w:rsidRPr="003A2C6E" w:rsidRDefault="0095298D" w:rsidP="00F3078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:rsidTr="00D47BA9">
        <w:trPr>
          <w:trHeight w:val="1136"/>
        </w:trPr>
        <w:tc>
          <w:tcPr>
            <w:tcW w:w="4727" w:type="dxa"/>
            <w:vAlign w:val="center"/>
          </w:tcPr>
          <w:p w:rsidR="00F3078E" w:rsidRPr="004B7B3B" w:rsidRDefault="00F3078E" w:rsidP="003A2C6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5011" w:type="dxa"/>
            <w:vAlign w:val="center"/>
          </w:tcPr>
          <w:p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EUR;</w:t>
            </w:r>
          </w:p>
          <w:p w:rsidR="00581D7A" w:rsidRPr="003A2C6E" w:rsidRDefault="00AB19A8" w:rsidP="00AB19A8">
            <w:pPr>
              <w:rPr>
                <w:rFonts w:ascii="Times New Roman" w:hAnsi="Times New Roman" w:cs="Times New Roman"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BGN</w:t>
            </w:r>
            <w:r w:rsidR="0095298D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:rsidTr="00186C73">
        <w:trPr>
          <w:trHeight w:val="758"/>
        </w:trPr>
        <w:tc>
          <w:tcPr>
            <w:tcW w:w="4727" w:type="dxa"/>
            <w:vAlign w:val="center"/>
          </w:tcPr>
          <w:p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Срок на съществуване</w:t>
            </w:r>
          </w:p>
        </w:tc>
        <w:tc>
          <w:tcPr>
            <w:tcW w:w="5011" w:type="dxa"/>
            <w:vAlign w:val="center"/>
          </w:tcPr>
          <w:p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Ограничени със срок</w:t>
            </w:r>
          </w:p>
          <w:p w:rsidR="00581D7A" w:rsidRPr="003A2C6E" w:rsidRDefault="00AB19A8" w:rsidP="00AB19A8">
            <w:pPr>
              <w:rPr>
                <w:rFonts w:ascii="Times New Roman" w:hAnsi="Times New Roman" w:cs="Times New Roman"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Безсрочни</w:t>
            </w:r>
            <w:r w:rsidR="0095298D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:rsidTr="00186C73">
        <w:trPr>
          <w:trHeight w:val="758"/>
        </w:trPr>
        <w:tc>
          <w:tcPr>
            <w:tcW w:w="4727" w:type="dxa"/>
            <w:vAlign w:val="center"/>
          </w:tcPr>
          <w:p w:rsidR="000D4CFC" w:rsidRPr="004B7B3B" w:rsidRDefault="000D4CFC" w:rsidP="000D4CFC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5011" w:type="dxa"/>
            <w:vAlign w:val="center"/>
          </w:tcPr>
          <w:p w:rsidR="000D4CFC" w:rsidRPr="003A2C6E" w:rsidRDefault="000D4CFC" w:rsidP="00EB03D6">
            <w:pPr>
              <w:jc w:val="both"/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t>За акциите</w:t>
            </w:r>
            <w:r w:rsidR="00EB03D6" w:rsidRPr="003A2C6E">
              <w:rPr>
                <w:rFonts w:ascii="Times New Roman" w:hAnsi="Times New Roman" w:cs="Times New Roman"/>
              </w:rPr>
              <w:t>,</w:t>
            </w:r>
            <w:r w:rsidRPr="003A2C6E">
              <w:rPr>
                <w:rFonts w:ascii="Times New Roman" w:hAnsi="Times New Roman" w:cs="Times New Roman"/>
              </w:rPr>
              <w:t xml:space="preserve"> обект на този документ</w:t>
            </w:r>
            <w:r w:rsidR="00EB03D6" w:rsidRPr="003A2C6E">
              <w:rPr>
                <w:rFonts w:ascii="Times New Roman" w:hAnsi="Times New Roman" w:cs="Times New Roman"/>
              </w:rPr>
              <w:t>,</w:t>
            </w:r>
            <w:r w:rsidRPr="003A2C6E">
              <w:rPr>
                <w:rFonts w:ascii="Times New Roman" w:hAnsi="Times New Roman" w:cs="Times New Roman"/>
              </w:rPr>
              <w:t xml:space="preserve"> не съществува ограничение във връзка с прехвърлянето им</w:t>
            </w:r>
            <w:r w:rsidR="00EB03D6" w:rsidRPr="003A2C6E">
              <w:rPr>
                <w:rFonts w:ascii="Times New Roman" w:hAnsi="Times New Roman" w:cs="Times New Roman"/>
              </w:rPr>
              <w:t>.</w:t>
            </w:r>
          </w:p>
        </w:tc>
      </w:tr>
    </w:tbl>
    <w:p w:rsidR="006A0433" w:rsidRPr="004B7B3B" w:rsidRDefault="006A0433" w:rsidP="006A0433">
      <w:pPr>
        <w:pStyle w:val="Default"/>
        <w:ind w:left="720"/>
        <w:jc w:val="both"/>
        <w:rPr>
          <w:i/>
          <w:color w:val="auto"/>
        </w:rPr>
      </w:pPr>
    </w:p>
    <w:p w:rsidR="004808A4" w:rsidRPr="004B7B3B" w:rsidRDefault="004808A4" w:rsidP="006A0433">
      <w:pPr>
        <w:pStyle w:val="Default"/>
        <w:ind w:left="720"/>
        <w:jc w:val="both"/>
        <w:rPr>
          <w:i/>
          <w:color w:val="auto"/>
        </w:rPr>
      </w:pPr>
    </w:p>
    <w:p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  <w:sz w:val="23"/>
          <w:szCs w:val="23"/>
        </w:rPr>
      </w:pPr>
      <w:r w:rsidRPr="004B7B3B">
        <w:rPr>
          <w:i/>
          <w:color w:val="auto"/>
          <w:sz w:val="23"/>
          <w:szCs w:val="23"/>
        </w:rPr>
        <w:t xml:space="preserve">В </w:t>
      </w:r>
      <w:r w:rsidRPr="004B7B3B">
        <w:rPr>
          <w:i/>
          <w:color w:val="auto"/>
        </w:rPr>
        <w:t>случаите на увеличение на капитала</w:t>
      </w:r>
      <w:r w:rsidR="005F2931">
        <w:rPr>
          <w:i/>
          <w:color w:val="auto"/>
        </w:rPr>
        <w:t>:</w:t>
      </w:r>
      <w:r w:rsidRPr="004B7B3B">
        <w:rPr>
          <w:i/>
          <w:color w:val="auto"/>
        </w:rPr>
        <w:t xml:space="preserve"> брой акции от увеличение на капитала, които ще бъдат предложени на инвеститорите</w:t>
      </w:r>
    </w:p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630"/>
      </w:tblGrid>
      <w:tr w:rsidR="00561AD0" w:rsidRPr="003A2C6E" w:rsidTr="002A097E">
        <w:trPr>
          <w:trHeight w:val="823"/>
        </w:trPr>
        <w:tc>
          <w:tcPr>
            <w:tcW w:w="9630" w:type="dxa"/>
          </w:tcPr>
          <w:p w:rsidR="00561AD0" w:rsidRPr="003A2C6E" w:rsidRDefault="0095298D" w:rsidP="006A325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3A2C6E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3A2C6E">
              <w:rPr>
                <w:color w:val="auto"/>
                <w:sz w:val="22"/>
                <w:szCs w:val="22"/>
              </w:rPr>
            </w:r>
            <w:r w:rsidRPr="003A2C6E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Pr="003A2C6E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EA258E" w:rsidRPr="004B7B3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Описание на очаквания брой акции, притежание на миноритарни акционери и </w:t>
      </w:r>
      <w:r w:rsidR="002075F9" w:rsidRPr="004B7B3B">
        <w:rPr>
          <w:i/>
          <w:color w:val="auto"/>
        </w:rPr>
        <w:t>срокът, за който</w:t>
      </w:r>
      <w:r w:rsidRPr="004B7B3B">
        <w:rPr>
          <w:i/>
          <w:color w:val="auto"/>
        </w:rPr>
        <w:t xml:space="preserve"> ще бъдат достигнати</w:t>
      </w:r>
      <w:r w:rsidR="009B1873" w:rsidRPr="004B7B3B">
        <w:rPr>
          <w:i/>
          <w:color w:val="auto"/>
        </w:rPr>
        <w:t>.</w:t>
      </w:r>
    </w:p>
    <w:p w:rsidR="00EA258E" w:rsidRPr="004B7B3B" w:rsidRDefault="00EA258E" w:rsidP="00EA258E">
      <w:pPr>
        <w:pStyle w:val="Default"/>
        <w:spacing w:after="27"/>
        <w:ind w:left="720"/>
        <w:jc w:val="both"/>
        <w:rPr>
          <w:i/>
          <w:color w:val="auto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0D4CFC" w:rsidRPr="004B7B3B" w:rsidTr="002A097E">
        <w:trPr>
          <w:trHeight w:val="758"/>
        </w:trPr>
        <w:tc>
          <w:tcPr>
            <w:tcW w:w="4727" w:type="dxa"/>
            <w:vAlign w:val="center"/>
          </w:tcPr>
          <w:p w:rsidR="000D4CFC" w:rsidRPr="004B7B3B" w:rsidRDefault="000D4CFC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Брой акции, които ще бъд</w:t>
            </w:r>
            <w:r w:rsidR="007F1DEA">
              <w:rPr>
                <w:rFonts w:ascii="Times New Roman" w:hAnsi="Times New Roman" w:cs="Times New Roman"/>
                <w:i/>
              </w:rPr>
              <w:t>ат</w:t>
            </w:r>
            <w:r w:rsidRPr="004B7B3B">
              <w:rPr>
                <w:rFonts w:ascii="Times New Roman" w:hAnsi="Times New Roman" w:cs="Times New Roman"/>
                <w:i/>
              </w:rPr>
              <w:t xml:space="preserve"> предложен</w:t>
            </w:r>
            <w:r w:rsidR="007F1DEA">
              <w:rPr>
                <w:rFonts w:ascii="Times New Roman" w:hAnsi="Times New Roman" w:cs="Times New Roman"/>
                <w:i/>
              </w:rPr>
              <w:t>и</w:t>
            </w:r>
            <w:r w:rsidR="00390BA3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:rsidR="000D4CFC" w:rsidRPr="004B7B3B" w:rsidRDefault="0095298D" w:rsidP="000D4CFC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:rsidTr="002A097E">
        <w:trPr>
          <w:trHeight w:val="758"/>
        </w:trPr>
        <w:tc>
          <w:tcPr>
            <w:tcW w:w="4727" w:type="dxa"/>
            <w:vAlign w:val="center"/>
          </w:tcPr>
          <w:p w:rsidR="000D4CFC" w:rsidRPr="004B7B3B" w:rsidRDefault="000D4CFC" w:rsidP="00116ED9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Процент </w:t>
            </w:r>
            <w:r w:rsidR="00116ED9" w:rsidRPr="004B7B3B">
              <w:rPr>
                <w:rFonts w:ascii="Times New Roman" w:hAnsi="Times New Roman" w:cs="Times New Roman"/>
                <w:i/>
              </w:rPr>
              <w:t>о</w:t>
            </w:r>
            <w:r w:rsidRPr="004B7B3B">
              <w:rPr>
                <w:rFonts w:ascii="Times New Roman" w:hAnsi="Times New Roman" w:cs="Times New Roman"/>
                <w:i/>
              </w:rPr>
              <w:t>т капитала</w:t>
            </w:r>
            <w:r w:rsidR="00390BA3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:rsidR="000D4CFC" w:rsidRPr="004B7B3B" w:rsidRDefault="0095298D" w:rsidP="000D4CFC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:rsidTr="002A097E">
        <w:trPr>
          <w:trHeight w:val="758"/>
        </w:trPr>
        <w:tc>
          <w:tcPr>
            <w:tcW w:w="4727" w:type="dxa"/>
            <w:vAlign w:val="center"/>
          </w:tcPr>
          <w:p w:rsidR="000D4CFC" w:rsidRPr="004B7B3B" w:rsidRDefault="00390BA3" w:rsidP="00E279A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lastRenderedPageBreak/>
              <w:t xml:space="preserve">Срок, в който </w:t>
            </w:r>
            <w:r w:rsidR="00E279A0">
              <w:rPr>
                <w:rFonts w:ascii="Times New Roman" w:hAnsi="Times New Roman" w:cs="Times New Roman"/>
                <w:i/>
              </w:rPr>
              <w:t>се планира да</w:t>
            </w:r>
            <w:r w:rsidRPr="004B7B3B">
              <w:rPr>
                <w:rFonts w:ascii="Times New Roman" w:hAnsi="Times New Roman" w:cs="Times New Roman"/>
                <w:i/>
              </w:rPr>
              <w:t xml:space="preserve"> бъд</w:t>
            </w:r>
            <w:r w:rsidR="00E279A0">
              <w:rPr>
                <w:rFonts w:ascii="Times New Roman" w:hAnsi="Times New Roman" w:cs="Times New Roman"/>
                <w:i/>
              </w:rPr>
              <w:t>е</w:t>
            </w:r>
            <w:r w:rsidRPr="004B7B3B">
              <w:rPr>
                <w:rFonts w:ascii="Times New Roman" w:hAnsi="Times New Roman" w:cs="Times New Roman"/>
                <w:i/>
              </w:rPr>
              <w:t xml:space="preserve"> достигнат:</w:t>
            </w:r>
          </w:p>
        </w:tc>
        <w:tc>
          <w:tcPr>
            <w:tcW w:w="4921" w:type="dxa"/>
            <w:vAlign w:val="center"/>
          </w:tcPr>
          <w:p w:rsidR="000D4CFC" w:rsidRPr="004B7B3B" w:rsidRDefault="0095298D" w:rsidP="00390BA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6ED9" w:rsidRPr="004B7B3B" w:rsidTr="002A097E">
        <w:trPr>
          <w:trHeight w:val="758"/>
        </w:trPr>
        <w:tc>
          <w:tcPr>
            <w:tcW w:w="4727" w:type="dxa"/>
            <w:vAlign w:val="center"/>
          </w:tcPr>
          <w:p w:rsidR="00116ED9" w:rsidRPr="004B7B3B" w:rsidRDefault="00116ED9" w:rsidP="00390BA3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Условия </w:t>
            </w:r>
            <w:r w:rsidR="00390BA3" w:rsidRPr="004B7B3B">
              <w:rPr>
                <w:rFonts w:ascii="Times New Roman" w:hAnsi="Times New Roman" w:cs="Times New Roman"/>
                <w:i/>
              </w:rPr>
              <w:t xml:space="preserve">на </w:t>
            </w:r>
            <w:r w:rsidRPr="004B7B3B">
              <w:rPr>
                <w:rFonts w:ascii="Times New Roman" w:hAnsi="Times New Roman" w:cs="Times New Roman"/>
                <w:i/>
              </w:rPr>
              <w:t>предл</w:t>
            </w:r>
            <w:r w:rsidR="00390BA3" w:rsidRPr="004B7B3B">
              <w:rPr>
                <w:rFonts w:ascii="Times New Roman" w:hAnsi="Times New Roman" w:cs="Times New Roman"/>
                <w:i/>
              </w:rPr>
              <w:t>агането</w:t>
            </w:r>
            <w:r w:rsidR="001F0FE6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:rsidR="00116ED9" w:rsidRPr="004B7B3B" w:rsidRDefault="0095298D" w:rsidP="00116ED9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EA258E" w:rsidRPr="004B7B3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Приложимото законодателство относно инструментите</w:t>
      </w:r>
      <w:r w:rsidR="009B1873" w:rsidRPr="004B7B3B">
        <w:rPr>
          <w:i/>
          <w:color w:val="auto"/>
        </w:rPr>
        <w:t>:</w:t>
      </w:r>
    </w:p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630"/>
      </w:tblGrid>
      <w:tr w:rsidR="00561AD0" w:rsidRPr="004B7B3B" w:rsidTr="00737208">
        <w:trPr>
          <w:trHeight w:val="1001"/>
        </w:trPr>
        <w:tc>
          <w:tcPr>
            <w:tcW w:w="9630" w:type="dxa"/>
          </w:tcPr>
          <w:p w:rsidR="002075F9" w:rsidRPr="004B7B3B" w:rsidRDefault="0095298D" w:rsidP="00561AD0">
            <w:pPr>
              <w:pStyle w:val="Default"/>
              <w:spacing w:after="27"/>
              <w:jc w:val="both"/>
              <w:rPr>
                <w:i/>
                <w:color w:val="auto"/>
                <w:sz w:val="23"/>
                <w:szCs w:val="23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606BF7" w:rsidRPr="004B7B3B" w:rsidRDefault="00606BF7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относно:</w:t>
      </w:r>
    </w:p>
    <w:p w:rsidR="00EA258E" w:rsidRPr="004B7B3B" w:rsidRDefault="00EA258E" w:rsidP="00EA258E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606BF7" w:rsidRPr="004B7B3B" w:rsidTr="002A097E">
        <w:trPr>
          <w:trHeight w:val="758"/>
        </w:trPr>
        <w:tc>
          <w:tcPr>
            <w:tcW w:w="4727" w:type="dxa"/>
            <w:vAlign w:val="center"/>
          </w:tcPr>
          <w:p w:rsidR="00606BF7" w:rsidRPr="004B7B3B" w:rsidRDefault="001D62AF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О</w:t>
            </w:r>
            <w:r w:rsidR="00606BF7" w:rsidRPr="004B7B3B">
              <w:rPr>
                <w:rFonts w:ascii="Times New Roman" w:hAnsi="Times New Roman" w:cs="Times New Roman"/>
                <w:i/>
              </w:rPr>
              <w:t>ргана, оправомощен да вземе решение за издаване на финансови</w:t>
            </w:r>
            <w:r w:rsidR="00E279A0">
              <w:rPr>
                <w:rFonts w:ascii="Times New Roman" w:hAnsi="Times New Roman" w:cs="Times New Roman"/>
                <w:i/>
              </w:rPr>
              <w:t>те</w:t>
            </w:r>
            <w:r w:rsidR="00606BF7" w:rsidRPr="004B7B3B">
              <w:rPr>
                <w:rFonts w:ascii="Times New Roman" w:hAnsi="Times New Roman" w:cs="Times New Roman"/>
                <w:i/>
              </w:rPr>
              <w:t xml:space="preserve"> инструменти</w:t>
            </w:r>
          </w:p>
        </w:tc>
        <w:tc>
          <w:tcPr>
            <w:tcW w:w="4921" w:type="dxa"/>
            <w:vAlign w:val="center"/>
          </w:tcPr>
          <w:p w:rsidR="00606BF7" w:rsidRPr="004B7B3B" w:rsidRDefault="0095298D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6BF7" w:rsidRPr="004B7B3B" w:rsidTr="002A097E">
        <w:trPr>
          <w:trHeight w:val="758"/>
        </w:trPr>
        <w:tc>
          <w:tcPr>
            <w:tcW w:w="4727" w:type="dxa"/>
            <w:vAlign w:val="center"/>
          </w:tcPr>
          <w:p w:rsidR="00606BF7" w:rsidRPr="004B7B3B" w:rsidRDefault="001D62AF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</w:t>
            </w:r>
            <w:r w:rsidR="00606BF7" w:rsidRPr="004B7B3B">
              <w:rPr>
                <w:rFonts w:ascii="Times New Roman" w:hAnsi="Times New Roman" w:cs="Times New Roman"/>
                <w:i/>
              </w:rPr>
              <w:t>ата и съдържание на решението за издаване</w:t>
            </w:r>
            <w:r w:rsidR="00E279A0">
              <w:rPr>
                <w:rFonts w:ascii="Times New Roman" w:hAnsi="Times New Roman" w:cs="Times New Roman"/>
                <w:i/>
              </w:rPr>
              <w:t xml:space="preserve"> на финансовите инструменти</w:t>
            </w:r>
          </w:p>
        </w:tc>
        <w:tc>
          <w:tcPr>
            <w:tcW w:w="4921" w:type="dxa"/>
            <w:vAlign w:val="center"/>
          </w:tcPr>
          <w:p w:rsidR="00606BF7" w:rsidRPr="004B7B3B" w:rsidRDefault="0095298D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6BF7" w:rsidRPr="004B7B3B" w:rsidTr="002A097E">
        <w:trPr>
          <w:trHeight w:val="758"/>
        </w:trPr>
        <w:tc>
          <w:tcPr>
            <w:tcW w:w="4727" w:type="dxa"/>
            <w:vAlign w:val="center"/>
          </w:tcPr>
          <w:p w:rsidR="00606BF7" w:rsidRPr="004B7B3B" w:rsidRDefault="001D62AF" w:rsidP="001D62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Р</w:t>
            </w:r>
            <w:r w:rsidR="00606BF7" w:rsidRPr="004B7B3B">
              <w:rPr>
                <w:rFonts w:ascii="Times New Roman" w:hAnsi="Times New Roman" w:cs="Times New Roman"/>
                <w:i/>
              </w:rPr>
              <w:t>еда и сроковете за провеждане на общо събрание на акционерите</w:t>
            </w:r>
          </w:p>
        </w:tc>
        <w:tc>
          <w:tcPr>
            <w:tcW w:w="4921" w:type="dxa"/>
            <w:vAlign w:val="center"/>
          </w:tcPr>
          <w:p w:rsidR="00606BF7" w:rsidRPr="004B7B3B" w:rsidRDefault="0095298D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D4062" w:rsidRPr="004B7B3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1D4062" w:rsidRPr="004B7B3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реда за разпределяне на дивидент</w:t>
      </w:r>
    </w:p>
    <w:p w:rsidR="00561AD0" w:rsidRPr="004B7B3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630"/>
      </w:tblGrid>
      <w:tr w:rsidR="00561AD0" w:rsidRPr="004B7B3B" w:rsidTr="002A097E">
        <w:trPr>
          <w:trHeight w:val="895"/>
        </w:trPr>
        <w:tc>
          <w:tcPr>
            <w:tcW w:w="9630" w:type="dxa"/>
          </w:tcPr>
          <w:p w:rsidR="00561AD0" w:rsidRPr="004B7B3B" w:rsidRDefault="0095298D" w:rsidP="00561AD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61AD0" w:rsidRPr="004B7B3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:rsidR="00375F72" w:rsidRPr="004B7B3B" w:rsidRDefault="00375F72" w:rsidP="00375F72">
      <w:pPr>
        <w:pStyle w:val="Default"/>
        <w:ind w:firstLine="709"/>
        <w:jc w:val="both"/>
        <w:rPr>
          <w:i/>
          <w:color w:val="auto"/>
        </w:rPr>
      </w:pPr>
    </w:p>
    <w:p w:rsidR="00F05123" w:rsidRPr="004B7B3B" w:rsidRDefault="00BF5D62" w:rsidP="00375F72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>По преценка на емитента</w:t>
      </w:r>
      <w:r w:rsidR="007F1DEA">
        <w:rPr>
          <w:i/>
          <w:color w:val="auto"/>
        </w:rPr>
        <w:t>:</w:t>
      </w:r>
      <w:r w:rsidRPr="004B7B3B">
        <w:rPr>
          <w:i/>
          <w:color w:val="auto"/>
        </w:rPr>
        <w:t xml:space="preserve"> </w:t>
      </w:r>
      <w:r w:rsidR="00375F72" w:rsidRPr="004B7B3B">
        <w:rPr>
          <w:i/>
          <w:color w:val="auto"/>
        </w:rPr>
        <w:t xml:space="preserve">допълнителна </w:t>
      </w:r>
      <w:r w:rsidRPr="004B7B3B">
        <w:rPr>
          <w:i/>
          <w:color w:val="auto"/>
        </w:rPr>
        <w:t>информация относно р</w:t>
      </w:r>
      <w:r w:rsidR="00F05123" w:rsidRPr="004B7B3B">
        <w:rPr>
          <w:i/>
          <w:color w:val="auto"/>
        </w:rPr>
        <w:t>ешения за разпределяне на дивидент за дейността през последните завършени финансови години:</w:t>
      </w:r>
    </w:p>
    <w:p w:rsidR="00F05123" w:rsidRPr="004B7B3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F05123" w:rsidRPr="0025070D" w:rsidTr="002A097E">
        <w:trPr>
          <w:trHeight w:val="283"/>
        </w:trPr>
        <w:tc>
          <w:tcPr>
            <w:tcW w:w="4727" w:type="dxa"/>
            <w:vAlign w:val="center"/>
          </w:tcPr>
          <w:p w:rsidR="00F05123" w:rsidRPr="0025070D" w:rsidRDefault="00A23B02" w:rsidP="00E279A0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дата 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на </w:t>
            </w:r>
            <w:r w:rsidR="00E279A0" w:rsidRPr="0025070D">
              <w:rPr>
                <w:rFonts w:ascii="Times New Roman" w:hAnsi="Times New Roman" w:cs="Times New Roman"/>
                <w:i/>
              </w:rPr>
              <w:t>решението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на ОСА</w:t>
            </w:r>
          </w:p>
        </w:tc>
        <w:tc>
          <w:tcPr>
            <w:tcW w:w="4921" w:type="dxa"/>
            <w:vAlign w:val="center"/>
          </w:tcPr>
          <w:p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F05123" w:rsidRPr="0025070D" w:rsidTr="002A097E">
        <w:trPr>
          <w:trHeight w:val="283"/>
        </w:trPr>
        <w:tc>
          <w:tcPr>
            <w:tcW w:w="4727" w:type="dxa"/>
            <w:vAlign w:val="center"/>
          </w:tcPr>
          <w:p w:rsidR="00F05123" w:rsidRPr="0025070D" w:rsidRDefault="007F1DEA" w:rsidP="00F051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F05123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за която </w:t>
            </w:r>
            <w:r w:rsidR="00F05123" w:rsidRPr="0025070D">
              <w:rPr>
                <w:rFonts w:ascii="Times New Roman" w:hAnsi="Times New Roman" w:cs="Times New Roman"/>
                <w:i/>
              </w:rPr>
              <w:t>се разпределя дивидент</w:t>
            </w:r>
          </w:p>
        </w:tc>
        <w:tc>
          <w:tcPr>
            <w:tcW w:w="4921" w:type="dxa"/>
            <w:vAlign w:val="center"/>
          </w:tcPr>
          <w:p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:rsidTr="002A097E">
        <w:trPr>
          <w:trHeight w:val="256"/>
        </w:trPr>
        <w:tc>
          <w:tcPr>
            <w:tcW w:w="4727" w:type="dxa"/>
            <w:vAlign w:val="center"/>
          </w:tcPr>
          <w:p w:rsidR="00F05123" w:rsidRPr="0025070D" w:rsidRDefault="00A23B02" w:rsidP="00A23B02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обща 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сума на </w:t>
            </w:r>
            <w:r w:rsidRPr="0025070D">
              <w:rPr>
                <w:rFonts w:ascii="Times New Roman" w:hAnsi="Times New Roman" w:cs="Times New Roman"/>
                <w:i/>
              </w:rPr>
              <w:t xml:space="preserve">разпределения </w:t>
            </w:r>
            <w:r w:rsidR="00F05123" w:rsidRPr="0025070D">
              <w:rPr>
                <w:rFonts w:ascii="Times New Roman" w:hAnsi="Times New Roman" w:cs="Times New Roman"/>
                <w:i/>
              </w:rPr>
              <w:t>дивидент</w:t>
            </w:r>
          </w:p>
        </w:tc>
        <w:tc>
          <w:tcPr>
            <w:tcW w:w="4921" w:type="dxa"/>
            <w:vAlign w:val="center"/>
          </w:tcPr>
          <w:p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:rsidTr="002A097E">
        <w:trPr>
          <w:trHeight w:val="256"/>
        </w:trPr>
        <w:tc>
          <w:tcPr>
            <w:tcW w:w="4727" w:type="dxa"/>
            <w:vAlign w:val="center"/>
          </w:tcPr>
          <w:p w:rsidR="00F05123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дивидент </w:t>
            </w:r>
            <w:r w:rsidRPr="0025070D">
              <w:rPr>
                <w:rFonts w:ascii="Times New Roman" w:hAnsi="Times New Roman" w:cs="Times New Roman"/>
                <w:i/>
              </w:rPr>
              <w:t>н</w:t>
            </w:r>
            <w:r w:rsidR="00F05123" w:rsidRPr="0025070D">
              <w:rPr>
                <w:rFonts w:ascii="Times New Roman" w:hAnsi="Times New Roman" w:cs="Times New Roman"/>
                <w:i/>
              </w:rPr>
              <w:t>а една акция</w:t>
            </w:r>
          </w:p>
        </w:tc>
        <w:tc>
          <w:tcPr>
            <w:tcW w:w="4921" w:type="dxa"/>
            <w:vAlign w:val="center"/>
          </w:tcPr>
          <w:p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:rsidTr="003A2C6E">
        <w:trPr>
          <w:trHeight w:val="236"/>
        </w:trPr>
        <w:tc>
          <w:tcPr>
            <w:tcW w:w="4727" w:type="dxa"/>
            <w:vAlign w:val="center"/>
          </w:tcPr>
          <w:p w:rsidR="00F05123" w:rsidRPr="0025070D" w:rsidRDefault="00A23B02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начална дата </w:t>
            </w:r>
            <w:r w:rsidR="00F05123" w:rsidRPr="0025070D">
              <w:rPr>
                <w:rFonts w:ascii="Times New Roman" w:hAnsi="Times New Roman" w:cs="Times New Roman"/>
                <w:i/>
              </w:rPr>
              <w:t>на изплащане</w:t>
            </w:r>
          </w:p>
        </w:tc>
        <w:tc>
          <w:tcPr>
            <w:tcW w:w="4921" w:type="dxa"/>
            <w:vAlign w:val="center"/>
          </w:tcPr>
          <w:p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F05123" w:rsidRPr="0025070D" w:rsidRDefault="00F05123" w:rsidP="00561AD0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7F1DEA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3A2C6E">
        <w:trPr>
          <w:trHeight w:val="209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3A2C6E">
        <w:trPr>
          <w:trHeight w:val="23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3A2C6E">
        <w:trPr>
          <w:trHeight w:val="209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A23B02" w:rsidRPr="0025070D" w:rsidTr="0025070D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:rsidTr="0025070D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25070D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25070D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3A2C6E">
        <w:trPr>
          <w:trHeight w:val="101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F05123" w:rsidRPr="004B7B3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:rsidR="00606BF7" w:rsidRPr="004B7B3B" w:rsidRDefault="00606BF7" w:rsidP="00561AD0">
      <w:pPr>
        <w:pStyle w:val="Default"/>
        <w:ind w:left="720"/>
        <w:jc w:val="both"/>
        <w:rPr>
          <w:i/>
          <w:color w:val="auto"/>
        </w:rPr>
      </w:pPr>
    </w:p>
    <w:p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Права, свързани с финансовите инструменти и реда за тяхното упражняване, най-малко:</w:t>
      </w:r>
    </w:p>
    <w:p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а) права за закупуване преди друг при оферти за подписка за ценни книжа от същия клас</w:t>
            </w:r>
          </w:p>
        </w:tc>
        <w:tc>
          <w:tcPr>
            <w:tcW w:w="4921" w:type="dxa"/>
            <w:vAlign w:val="center"/>
          </w:tcPr>
          <w:p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б) право на дял от печалбите на емитента</w:t>
            </w:r>
          </w:p>
        </w:tc>
        <w:tc>
          <w:tcPr>
            <w:tcW w:w="4921" w:type="dxa"/>
            <w:vAlign w:val="center"/>
          </w:tcPr>
          <w:p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в) право на остатъчен дял при ликвидация</w:t>
            </w:r>
          </w:p>
        </w:tc>
        <w:tc>
          <w:tcPr>
            <w:tcW w:w="4921" w:type="dxa"/>
            <w:vAlign w:val="center"/>
          </w:tcPr>
          <w:p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Право на гарантиран ликвидационен дял;</w:t>
            </w:r>
          </w:p>
          <w:p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или</w:t>
            </w:r>
          </w:p>
          <w:p w:rsidR="002276FD" w:rsidRPr="004B7B3B" w:rsidRDefault="00AB19A8" w:rsidP="00AB19A8">
            <w:pPr>
              <w:rPr>
                <w:rFonts w:ascii="Times New Roman" w:hAnsi="Times New Roman" w:cs="Times New Roman"/>
                <w:i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Право на допълнителен ликвидационен дял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г) условия за обратно изкупуване</w:t>
            </w:r>
          </w:p>
        </w:tc>
        <w:tc>
          <w:tcPr>
            <w:tcW w:w="4921" w:type="dxa"/>
            <w:vAlign w:val="center"/>
          </w:tcPr>
          <w:p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3A2C6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д) условия за конвертиране</w:t>
            </w:r>
          </w:p>
        </w:tc>
        <w:tc>
          <w:tcPr>
            <w:tcW w:w="4921" w:type="dxa"/>
            <w:vAlign w:val="center"/>
          </w:tcPr>
          <w:p w:rsidR="002276FD" w:rsidRPr="004B7B3B" w:rsidRDefault="0095298D" w:rsidP="003A2C6E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7A5A" w:rsidRPr="004B7B3B" w:rsidTr="00E22515">
        <w:trPr>
          <w:trHeight w:val="758"/>
        </w:trPr>
        <w:tc>
          <w:tcPr>
            <w:tcW w:w="4727" w:type="dxa"/>
            <w:vAlign w:val="center"/>
          </w:tcPr>
          <w:p w:rsidR="002D7A5A" w:rsidRPr="004B7B3B" w:rsidRDefault="002D7A5A" w:rsidP="00E22515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други съществуващи привилегии, ако има такива</w:t>
            </w:r>
          </w:p>
        </w:tc>
        <w:tc>
          <w:tcPr>
            <w:tcW w:w="4921" w:type="dxa"/>
            <w:vAlign w:val="center"/>
          </w:tcPr>
          <w:p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Право на гарантиран дивидент;</w:t>
            </w:r>
          </w:p>
          <w:p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Право на допълнителен дивидент;</w:t>
            </w:r>
          </w:p>
          <w:p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Право на глас;</w:t>
            </w:r>
          </w:p>
          <w:p w:rsidR="002D7A5A" w:rsidRPr="004B7B3B" w:rsidRDefault="00AB19A8" w:rsidP="00AB19A8">
            <w:pPr>
              <w:rPr>
                <w:rFonts w:ascii="Times New Roman" w:hAnsi="Times New Roman" w:cs="Times New Roman"/>
                <w:i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Други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606BF7" w:rsidRPr="004B7B3B" w:rsidRDefault="00606BF7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6A0433" w:rsidRPr="003A2C6E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Политики на емитента относно бъдещо разпределяне на печалба и плащания на </w:t>
      </w:r>
      <w:r w:rsidRPr="003A2C6E">
        <w:rPr>
          <w:i/>
          <w:color w:val="auto"/>
        </w:rPr>
        <w:t xml:space="preserve">дивиденти, </w:t>
      </w:r>
      <w:r w:rsidR="00715663" w:rsidRPr="003A2C6E">
        <w:rPr>
          <w:i/>
          <w:color w:val="auto"/>
        </w:rPr>
        <w:t>ко</w:t>
      </w:r>
      <w:r w:rsidR="00737208" w:rsidRPr="003A2C6E">
        <w:rPr>
          <w:i/>
          <w:color w:val="auto"/>
        </w:rPr>
        <w:t>и</w:t>
      </w:r>
      <w:r w:rsidR="00715663" w:rsidRPr="003A2C6E">
        <w:rPr>
          <w:i/>
          <w:color w:val="auto"/>
        </w:rPr>
        <w:t>то</w:t>
      </w:r>
      <w:r w:rsidRPr="003A2C6E">
        <w:rPr>
          <w:i/>
          <w:color w:val="auto"/>
        </w:rPr>
        <w:t xml:space="preserve"> съдържа</w:t>
      </w:r>
      <w:r w:rsidR="00737208" w:rsidRPr="003A2C6E">
        <w:rPr>
          <w:i/>
          <w:color w:val="auto"/>
        </w:rPr>
        <w:t>т</w:t>
      </w:r>
      <w:r w:rsidRPr="003A2C6E">
        <w:rPr>
          <w:i/>
          <w:color w:val="auto"/>
        </w:rPr>
        <w:t xml:space="preserve"> най-малко:</w:t>
      </w:r>
    </w:p>
    <w:p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а) датата</w:t>
            </w:r>
            <w:r w:rsidR="00375F72" w:rsidRPr="004B7B3B">
              <w:rPr>
                <w:rFonts w:ascii="Times New Roman" w:hAnsi="Times New Roman" w:cs="Times New Roman"/>
                <w:i/>
              </w:rPr>
              <w:t>,</w:t>
            </w:r>
            <w:r w:rsidRPr="004B7B3B">
              <w:rPr>
                <w:rFonts w:ascii="Times New Roman" w:hAnsi="Times New Roman" w:cs="Times New Roman"/>
                <w:i/>
              </w:rPr>
              <w:t xml:space="preserve"> на която възниква правото на дивидент</w:t>
            </w:r>
          </w:p>
        </w:tc>
        <w:tc>
          <w:tcPr>
            <w:tcW w:w="4921" w:type="dxa"/>
            <w:vAlign w:val="center"/>
          </w:tcPr>
          <w:p w:rsidR="00856F58" w:rsidRPr="00856F58" w:rsidRDefault="0095298D" w:rsidP="00856F58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 xml:space="preserve">Например: </w:t>
            </w:r>
          </w:p>
          <w:p w:rsidR="002276FD" w:rsidRPr="004B7B3B" w:rsidRDefault="00856F58" w:rsidP="00856F58">
            <w:pPr>
              <w:rPr>
                <w:rFonts w:ascii="Times New Roman" w:hAnsi="Times New Roman" w:cs="Times New Roman"/>
                <w:i/>
              </w:rPr>
            </w:pPr>
            <w:r w:rsidRPr="00856F58">
              <w:rPr>
                <w:rFonts w:ascii="Times New Roman" w:hAnsi="Times New Roman" w:cs="Times New Roman"/>
                <w:noProof/>
              </w:rPr>
              <w:t xml:space="preserve">Правото да получат дивидент имат лицата, вписани </w:t>
            </w:r>
            <w:r>
              <w:rPr>
                <w:rFonts w:ascii="Times New Roman" w:hAnsi="Times New Roman" w:cs="Times New Roman"/>
                <w:noProof/>
              </w:rPr>
              <w:t>като акционери в</w:t>
            </w:r>
            <w:r w:rsidRPr="00856F58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Ц</w:t>
            </w:r>
            <w:r w:rsidRPr="00856F58">
              <w:rPr>
                <w:rFonts w:ascii="Times New Roman" w:hAnsi="Times New Roman" w:cs="Times New Roman"/>
                <w:noProof/>
              </w:rPr>
              <w:t>ентрал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856F58">
              <w:rPr>
                <w:rFonts w:ascii="Times New Roman" w:hAnsi="Times New Roman" w:cs="Times New Roman"/>
                <w:noProof/>
              </w:rPr>
              <w:t xml:space="preserve">н </w:t>
            </w:r>
            <w:r>
              <w:rPr>
                <w:rFonts w:ascii="Times New Roman" w:hAnsi="Times New Roman" w:cs="Times New Roman"/>
                <w:noProof/>
              </w:rPr>
              <w:t>депозитар</w:t>
            </w:r>
            <w:r w:rsidRPr="00856F58">
              <w:rPr>
                <w:rFonts w:ascii="Times New Roman" w:hAnsi="Times New Roman" w:cs="Times New Roman"/>
                <w:noProof/>
              </w:rPr>
              <w:t xml:space="preserve"> </w:t>
            </w:r>
            <w:r w:rsidRPr="00856F58">
              <w:rPr>
                <w:rFonts w:ascii="Times New Roman" w:hAnsi="Times New Roman" w:cs="Times New Roman"/>
                <w:noProof/>
              </w:rPr>
              <w:lastRenderedPageBreak/>
              <w:t xml:space="preserve">на 14-ия ден след деня на общото събрание 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lastRenderedPageBreak/>
              <w:t>б) срок</w:t>
            </w:r>
            <w:r w:rsidR="00B63023" w:rsidRPr="004B7B3B">
              <w:rPr>
                <w:rFonts w:ascii="Times New Roman" w:hAnsi="Times New Roman" w:cs="Times New Roman"/>
                <w:i/>
              </w:rPr>
              <w:t>а</w:t>
            </w:r>
            <w:r w:rsidRPr="004B7B3B">
              <w:rPr>
                <w:rFonts w:ascii="Times New Roman" w:hAnsi="Times New Roman" w:cs="Times New Roman"/>
                <w:i/>
              </w:rPr>
              <w:t>, до който правото на дивидент може да бъде упражнено</w:t>
            </w:r>
          </w:p>
        </w:tc>
        <w:tc>
          <w:tcPr>
            <w:tcW w:w="4921" w:type="dxa"/>
            <w:vAlign w:val="center"/>
          </w:tcPr>
          <w:p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в) информация, в чия полза е дивидентът след изтичане на срока за неговото упражняване</w:t>
            </w:r>
          </w:p>
        </w:tc>
        <w:tc>
          <w:tcPr>
            <w:tcW w:w="4921" w:type="dxa"/>
            <w:vAlign w:val="center"/>
          </w:tcPr>
          <w:p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4808A4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Друга информация, по преценка на емитента.</w:t>
      </w:r>
    </w:p>
    <w:p w:rsidR="006A0433" w:rsidRPr="004B7B3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630"/>
      </w:tblGrid>
      <w:tr w:rsidR="006A0433" w:rsidRPr="004B7B3B" w:rsidTr="002A097E">
        <w:trPr>
          <w:trHeight w:val="2263"/>
        </w:trPr>
        <w:tc>
          <w:tcPr>
            <w:tcW w:w="9630" w:type="dxa"/>
          </w:tcPr>
          <w:p w:rsidR="00D47BA9" w:rsidRPr="004B7B3B" w:rsidRDefault="0095298D" w:rsidP="00827988">
            <w:pPr>
              <w:pStyle w:val="Default"/>
              <w:ind w:firstLine="691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827988" w:rsidRPr="00827988">
              <w:rPr>
                <w:noProof/>
                <w:color w:val="auto"/>
                <w:sz w:val="22"/>
                <w:szCs w:val="22"/>
              </w:rPr>
              <w:t>Тук можете да изложите друга информация, свързана с издадените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218CA" w:rsidRPr="004B7B3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:rsidR="00FF7472" w:rsidRPr="004B7B3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4B7B3B">
        <w:rPr>
          <w:rFonts w:cs="Times New Roman"/>
          <w:i/>
          <w:color w:val="auto"/>
          <w:lang w:val="en-US"/>
        </w:rPr>
        <w:lastRenderedPageBreak/>
        <w:t>VI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ИНФОРМАЦИЯ ЗА ЕМИТЕНТА</w:t>
      </w:r>
      <w:bookmarkEnd w:id="5"/>
    </w:p>
    <w:p w:rsidR="00B07586" w:rsidRPr="004B7B3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:rsidR="00C21528" w:rsidRPr="004B7B3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23 от Правилата за допускане до търговия на пазар BEAM</w:t>
      </w:r>
    </w:p>
    <w:p w:rsidR="00FF7472" w:rsidRPr="004B7B3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:rsidR="00B07586" w:rsidRPr="004B7B3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4659"/>
        <w:gridCol w:w="4899"/>
      </w:tblGrid>
      <w:tr w:rsidR="00C21528" w:rsidRPr="004B7B3B" w:rsidTr="002A097E">
        <w:trPr>
          <w:trHeight w:val="363"/>
        </w:trPr>
        <w:tc>
          <w:tcPr>
            <w:tcW w:w="4659" w:type="dxa"/>
            <w:vAlign w:val="center"/>
          </w:tcPr>
          <w:p w:rsidR="00C21528" w:rsidRPr="00D16CAB" w:rsidRDefault="00C21528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4899" w:type="dxa"/>
            <w:vAlign w:val="center"/>
          </w:tcPr>
          <w:p w:rsidR="00C21528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:rsidTr="002A097E">
        <w:trPr>
          <w:trHeight w:val="383"/>
        </w:trPr>
        <w:tc>
          <w:tcPr>
            <w:tcW w:w="4659" w:type="dxa"/>
            <w:vAlign w:val="center"/>
          </w:tcPr>
          <w:p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4899" w:type="dxa"/>
            <w:vAlign w:val="center"/>
          </w:tcPr>
          <w:p w:rsidR="00C21528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:rsidTr="002A097E">
        <w:trPr>
          <w:trHeight w:val="363"/>
        </w:trPr>
        <w:tc>
          <w:tcPr>
            <w:tcW w:w="4659" w:type="dxa"/>
            <w:vAlign w:val="center"/>
          </w:tcPr>
          <w:p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4899" w:type="dxa"/>
            <w:vAlign w:val="center"/>
          </w:tcPr>
          <w:p w:rsidR="00C21528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:rsidTr="00D16CAB">
        <w:trPr>
          <w:trHeight w:val="335"/>
        </w:trPr>
        <w:tc>
          <w:tcPr>
            <w:tcW w:w="4659" w:type="dxa"/>
            <w:vAlign w:val="center"/>
          </w:tcPr>
          <w:p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4899" w:type="dxa"/>
            <w:vAlign w:val="center"/>
          </w:tcPr>
          <w:p w:rsidR="00C21528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A23B02">
        <w:trPr>
          <w:trHeight w:val="596"/>
        </w:trPr>
        <w:tc>
          <w:tcPr>
            <w:tcW w:w="4659" w:type="dxa"/>
            <w:vAlign w:val="center"/>
          </w:tcPr>
          <w:p w:rsidR="00A832AA" w:rsidRPr="00D16CA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4899" w:type="dxa"/>
            <w:vAlign w:val="center"/>
          </w:tcPr>
          <w:p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7472" w:rsidRPr="004B7B3B" w:rsidTr="00A23B02">
        <w:trPr>
          <w:trHeight w:val="389"/>
        </w:trPr>
        <w:tc>
          <w:tcPr>
            <w:tcW w:w="4659" w:type="dxa"/>
            <w:vAlign w:val="center"/>
          </w:tcPr>
          <w:p w:rsidR="00FF7472" w:rsidRPr="00D16CAB" w:rsidRDefault="00C21528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4899" w:type="dxa"/>
            <w:vAlign w:val="center"/>
          </w:tcPr>
          <w:p w:rsidR="00FF7472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  <w:r w:rsidR="0025070D" w:rsidRPr="00D47BA9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D47BA9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4B7B3B" w:rsidTr="002A097E">
        <w:trPr>
          <w:trHeight w:val="681"/>
        </w:trPr>
        <w:tc>
          <w:tcPr>
            <w:tcW w:w="4659" w:type="dxa"/>
            <w:vAlign w:val="center"/>
          </w:tcPr>
          <w:p w:rsidR="00FF7472" w:rsidRPr="00D16CAB" w:rsidRDefault="00C21528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Срок, за който е учреден, освен ако е учреден за неопределен срок</w:t>
            </w:r>
          </w:p>
        </w:tc>
        <w:tc>
          <w:tcPr>
            <w:tcW w:w="4899" w:type="dxa"/>
            <w:vAlign w:val="center"/>
          </w:tcPr>
          <w:p w:rsidR="00FF7472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D16CAB">
        <w:trPr>
          <w:trHeight w:val="371"/>
        </w:trPr>
        <w:tc>
          <w:tcPr>
            <w:tcW w:w="4659" w:type="dxa"/>
            <w:vAlign w:val="center"/>
          </w:tcPr>
          <w:p w:rsidR="00A832AA" w:rsidRPr="00D16CAB" w:rsidRDefault="0011053D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4899" w:type="dxa"/>
            <w:vAlign w:val="center"/>
          </w:tcPr>
          <w:p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053D" w:rsidRPr="004B7B3B" w:rsidTr="00D16CAB">
        <w:trPr>
          <w:trHeight w:val="434"/>
        </w:trPr>
        <w:tc>
          <w:tcPr>
            <w:tcW w:w="4659" w:type="dxa"/>
            <w:vAlign w:val="center"/>
          </w:tcPr>
          <w:p w:rsidR="0011053D" w:rsidRPr="00D16CAB" w:rsidRDefault="0011053D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4899" w:type="dxa"/>
            <w:vAlign w:val="center"/>
          </w:tcPr>
          <w:p w:rsidR="0011053D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A23B02">
        <w:trPr>
          <w:trHeight w:val="362"/>
        </w:trPr>
        <w:tc>
          <w:tcPr>
            <w:tcW w:w="4659" w:type="dxa"/>
            <w:vAlign w:val="center"/>
          </w:tcPr>
          <w:p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4899" w:type="dxa"/>
            <w:vAlign w:val="center"/>
          </w:tcPr>
          <w:p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A23B02">
        <w:trPr>
          <w:trHeight w:val="425"/>
        </w:trPr>
        <w:tc>
          <w:tcPr>
            <w:tcW w:w="4659" w:type="dxa"/>
            <w:vAlign w:val="center"/>
          </w:tcPr>
          <w:p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899" w:type="dxa"/>
            <w:vAlign w:val="center"/>
          </w:tcPr>
          <w:p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A23B02">
        <w:trPr>
          <w:trHeight w:val="353"/>
        </w:trPr>
        <w:tc>
          <w:tcPr>
            <w:tcW w:w="4659" w:type="dxa"/>
            <w:vAlign w:val="center"/>
          </w:tcPr>
          <w:p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4899" w:type="dxa"/>
            <w:vAlign w:val="center"/>
          </w:tcPr>
          <w:p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D16CAB">
        <w:trPr>
          <w:trHeight w:val="353"/>
        </w:trPr>
        <w:tc>
          <w:tcPr>
            <w:tcW w:w="4659" w:type="dxa"/>
            <w:vAlign w:val="center"/>
          </w:tcPr>
          <w:p w:rsidR="00A832AA" w:rsidRPr="00D16CAB" w:rsidRDefault="00D16CAB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4899" w:type="dxa"/>
            <w:vAlign w:val="center"/>
          </w:tcPr>
          <w:p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21528" w:rsidRPr="004B7B3B" w:rsidRDefault="00C21528" w:rsidP="00C21528">
      <w:pPr>
        <w:pStyle w:val="Default"/>
        <w:rPr>
          <w:i/>
          <w:color w:val="auto"/>
        </w:rPr>
      </w:pPr>
    </w:p>
    <w:p w:rsidR="00B07586" w:rsidRPr="004B7B3B" w:rsidRDefault="00B07586" w:rsidP="00C21528">
      <w:pPr>
        <w:pStyle w:val="Default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4B7B3B">
        <w:rPr>
          <w:i/>
          <w:color w:val="auto"/>
        </w:rPr>
        <w:t>вяне на документа за допускане.</w:t>
      </w:r>
    </w:p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0D3C99" w:rsidRPr="004B7B3B" w:rsidTr="002A097E">
        <w:trPr>
          <w:trHeight w:val="652"/>
        </w:trPr>
        <w:tc>
          <w:tcPr>
            <w:tcW w:w="9558" w:type="dxa"/>
          </w:tcPr>
          <w:p w:rsidR="000D3C99" w:rsidRPr="004B7B3B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4B7B3B">
        <w:rPr>
          <w:i/>
          <w:color w:val="auto"/>
        </w:rPr>
        <w:t xml:space="preserve"> до размера</w:t>
      </w:r>
      <w:r w:rsidR="00B721B4">
        <w:rPr>
          <w:i/>
          <w:color w:val="auto"/>
        </w:rPr>
        <w:t>,</w:t>
      </w:r>
      <w:r w:rsidR="008F25E4" w:rsidRPr="004B7B3B">
        <w:rPr>
          <w:i/>
          <w:color w:val="auto"/>
        </w:rPr>
        <w:t xml:space="preserve"> определен в устава.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0D3C99" w:rsidRPr="004B7B3B" w:rsidTr="002A097E">
        <w:trPr>
          <w:trHeight w:val="769"/>
        </w:trPr>
        <w:tc>
          <w:tcPr>
            <w:tcW w:w="9558" w:type="dxa"/>
          </w:tcPr>
          <w:p w:rsidR="000D3C99" w:rsidRPr="004B7B3B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4B7B3B">
        <w:rPr>
          <w:i/>
          <w:color w:val="auto"/>
        </w:rPr>
        <w:t xml:space="preserve">на </w:t>
      </w:r>
      <w:r w:rsidR="006A325E">
        <w:rPr>
          <w:i/>
          <w:color w:val="auto"/>
        </w:rPr>
        <w:t>емитента</w:t>
      </w:r>
      <w:r w:rsidR="008F25E4" w:rsidRPr="004B7B3B">
        <w:rPr>
          <w:i/>
          <w:color w:val="auto"/>
        </w:rPr>
        <w:t>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0D3C99" w:rsidRPr="004B7B3B" w:rsidTr="00D47BA9">
        <w:trPr>
          <w:trHeight w:val="803"/>
        </w:trPr>
        <w:tc>
          <w:tcPr>
            <w:tcW w:w="9558" w:type="dxa"/>
          </w:tcPr>
          <w:p w:rsidR="000D3C99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lastRenderedPageBreak/>
              <w:t>За акционери ЮЛ: ЕИК, Наименование, брой акции</w:t>
            </w:r>
            <w:r w:rsidR="00D47BA9">
              <w:rPr>
                <w:i/>
                <w:color w:val="auto"/>
                <w:sz w:val="22"/>
                <w:szCs w:val="22"/>
              </w:rPr>
              <w:t>:</w:t>
            </w:r>
          </w:p>
          <w:p w:rsidR="00D47BA9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  <w:p w:rsidR="002D7A5A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4B7B3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>
              <w:rPr>
                <w:i/>
                <w:color w:val="auto"/>
                <w:sz w:val="22"/>
                <w:szCs w:val="22"/>
              </w:rPr>
              <w:t>:</w:t>
            </w:r>
          </w:p>
          <w:p w:rsidR="00D47BA9" w:rsidRPr="004B7B3B" w:rsidRDefault="0095298D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4B7B3B">
        <w:rPr>
          <w:i/>
          <w:color w:val="auto"/>
        </w:rPr>
        <w:t>освен, ако</w:t>
      </w:r>
      <w:r w:rsidRPr="004B7B3B">
        <w:rPr>
          <w:i/>
          <w:color w:val="auto"/>
        </w:rPr>
        <w:t xml:space="preserve"> не</w:t>
      </w:r>
      <w:r w:rsidR="00B721B4">
        <w:rPr>
          <w:i/>
          <w:color w:val="auto"/>
        </w:rPr>
        <w:t xml:space="preserve"> </w:t>
      </w:r>
      <w:r w:rsidR="00B721B4" w:rsidRPr="004B7B3B">
        <w:rPr>
          <w:i/>
          <w:color w:val="auto"/>
        </w:rPr>
        <w:t xml:space="preserve">са </w:t>
      </w:r>
      <w:r w:rsidR="008F25E4" w:rsidRPr="004B7B3B">
        <w:rPr>
          <w:i/>
          <w:color w:val="auto"/>
        </w:rPr>
        <w:t>посочени по т. 7 от Правилата.</w:t>
      </w:r>
    </w:p>
    <w:p w:rsidR="00C80DD2" w:rsidRPr="004B7B3B" w:rsidRDefault="00C80DD2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4659"/>
        <w:gridCol w:w="4899"/>
      </w:tblGrid>
      <w:tr w:rsidR="00BB6080" w:rsidRPr="004B7B3B" w:rsidTr="00FB034D">
        <w:trPr>
          <w:trHeight w:val="452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Наименование на дружеството</w:t>
            </w:r>
          </w:p>
        </w:tc>
        <w:tc>
          <w:tcPr>
            <w:tcW w:w="4899" w:type="dxa"/>
            <w:vAlign w:val="center"/>
          </w:tcPr>
          <w:p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443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Наименование на </w:t>
            </w:r>
            <w:r w:rsidR="00D16CAB" w:rsidRPr="004B7B3B">
              <w:rPr>
                <w:rFonts w:ascii="Times New Roman" w:hAnsi="Times New Roman" w:cs="Times New Roman"/>
                <w:i/>
                <w:spacing w:val="6"/>
              </w:rPr>
              <w:t>дружеството</w:t>
            </w:r>
            <w:r w:rsidR="00D16CAB" w:rsidRPr="004B7B3B">
              <w:rPr>
                <w:rFonts w:ascii="Times New Roman" w:hAnsi="Times New Roman" w:cs="Times New Roman"/>
                <w:i/>
              </w:rPr>
              <w:t xml:space="preserve"> </w:t>
            </w:r>
            <w:r w:rsidRPr="004B7B3B">
              <w:rPr>
                <w:rFonts w:ascii="Times New Roman" w:hAnsi="Times New Roman" w:cs="Times New Roman"/>
                <w:i/>
              </w:rPr>
              <w:t>на латиница</w:t>
            </w:r>
          </w:p>
        </w:tc>
        <w:tc>
          <w:tcPr>
            <w:tcW w:w="4899" w:type="dxa"/>
            <w:vAlign w:val="center"/>
          </w:tcPr>
          <w:p w:rsidR="00BB6080" w:rsidRPr="004B7B3B" w:rsidRDefault="0095298D" w:rsidP="00D47BA9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416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4899" w:type="dxa"/>
            <w:vAlign w:val="center"/>
          </w:tcPr>
          <w:p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497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4899" w:type="dxa"/>
            <w:vAlign w:val="center"/>
          </w:tcPr>
          <w:p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2A097E">
        <w:trPr>
          <w:trHeight w:val="1108"/>
        </w:trPr>
        <w:tc>
          <w:tcPr>
            <w:tcW w:w="4659" w:type="dxa"/>
            <w:vAlign w:val="center"/>
          </w:tcPr>
          <w:p w:rsidR="00BB6080" w:rsidRPr="004B7B3B" w:rsidRDefault="00BB6080" w:rsidP="006A325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ЕИК на емитента или еквивалентен номер от търговски рег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 xml:space="preserve">истър по седалището на </w:t>
            </w:r>
            <w:r w:rsidR="006A325E">
              <w:rPr>
                <w:i/>
                <w:color w:val="auto"/>
                <w:sz w:val="22"/>
                <w:szCs w:val="22"/>
              </w:rPr>
              <w:t>дружеството</w:t>
            </w:r>
          </w:p>
        </w:tc>
        <w:tc>
          <w:tcPr>
            <w:tcW w:w="4899" w:type="dxa"/>
            <w:vAlign w:val="center"/>
          </w:tcPr>
          <w:p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2A097E">
        <w:trPr>
          <w:trHeight w:val="363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Позиция, по отношение на емитента</w:t>
            </w:r>
          </w:p>
        </w:tc>
        <w:tc>
          <w:tcPr>
            <w:tcW w:w="4899" w:type="dxa"/>
            <w:vAlign w:val="center"/>
          </w:tcPr>
          <w:p w:rsidR="00827988" w:rsidRPr="00827988" w:rsidRDefault="0095298D" w:rsidP="00827988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827988" w:rsidRPr="00827988">
              <w:rPr>
                <w:rFonts w:ascii="Times New Roman" w:hAnsi="Times New Roman" w:cs="Times New Roman"/>
                <w:noProof/>
              </w:rPr>
              <w:t>Дружество майка</w:t>
            </w:r>
          </w:p>
          <w:p w:rsidR="00BB6080" w:rsidRPr="004B7B3B" w:rsidRDefault="00827988" w:rsidP="00827988">
            <w:pPr>
              <w:rPr>
                <w:rFonts w:ascii="Times New Roman" w:hAnsi="Times New Roman" w:cs="Times New Roman"/>
                <w:i/>
              </w:rPr>
            </w:pPr>
            <w:r w:rsidRPr="00827988">
              <w:rPr>
                <w:rFonts w:ascii="Times New Roman" w:hAnsi="Times New Roman" w:cs="Times New Roman"/>
                <w:noProof/>
              </w:rPr>
              <w:t>Дъщерно дружество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479"/>
        </w:trPr>
        <w:tc>
          <w:tcPr>
            <w:tcW w:w="4659" w:type="dxa"/>
            <w:vAlign w:val="center"/>
          </w:tcPr>
          <w:p w:rsidR="00BB6080" w:rsidRPr="004B7B3B" w:rsidRDefault="00B07586" w:rsidP="00BB608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Участие в капитала</w:t>
            </w:r>
          </w:p>
        </w:tc>
        <w:tc>
          <w:tcPr>
            <w:tcW w:w="4899" w:type="dxa"/>
            <w:vAlign w:val="center"/>
          </w:tcPr>
          <w:p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704"/>
        </w:trPr>
        <w:tc>
          <w:tcPr>
            <w:tcW w:w="4659" w:type="dxa"/>
            <w:vAlign w:val="center"/>
          </w:tcPr>
          <w:p w:rsidR="00BB6080" w:rsidRPr="004B7B3B" w:rsidRDefault="00A832AA" w:rsidP="00A832A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Емитентът 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прит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>е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жава в капитала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 xml:space="preserve"> 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на дружеството</w:t>
            </w:r>
            <w:r w:rsidR="00D517DB" w:rsidRPr="004B7B3B">
              <w:rPr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4899" w:type="dxa"/>
            <w:vAlign w:val="center"/>
          </w:tcPr>
          <w:p w:rsidR="00BB6080" w:rsidRPr="004B7B3B" w:rsidRDefault="0095298D" w:rsidP="00827988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827988" w:rsidRPr="00827988">
              <w:rPr>
                <w:rFonts w:ascii="Times New Roman" w:hAnsi="Times New Roman" w:cs="Times New Roman"/>
                <w:noProof/>
              </w:rPr>
              <w:t>Брой акции/дялове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6CAB" w:rsidRPr="004B7B3B" w:rsidTr="00D16CAB">
        <w:trPr>
          <w:trHeight w:val="340"/>
        </w:trPr>
        <w:tc>
          <w:tcPr>
            <w:tcW w:w="4659" w:type="dxa"/>
          </w:tcPr>
          <w:p w:rsidR="00D16CAB" w:rsidRPr="004B7B3B" w:rsidRDefault="00D16CAB" w:rsidP="00D16CAB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Дружеството притежава в капитала на </w:t>
            </w:r>
            <w:r w:rsidR="00E02CCF" w:rsidRPr="004B7B3B">
              <w:rPr>
                <w:i/>
                <w:color w:val="auto"/>
                <w:sz w:val="22"/>
                <w:szCs w:val="22"/>
              </w:rPr>
              <w:t>емитент</w:t>
            </w:r>
            <w:r w:rsidR="00E02CCF">
              <w:rPr>
                <w:i/>
                <w:color w:val="auto"/>
                <w:sz w:val="22"/>
                <w:szCs w:val="22"/>
              </w:rPr>
              <w:t>а</w:t>
            </w:r>
            <w:r w:rsidRPr="004B7B3B">
              <w:rPr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4899" w:type="dxa"/>
          </w:tcPr>
          <w:p w:rsidR="00D16CAB" w:rsidRPr="004B7B3B" w:rsidRDefault="0095298D" w:rsidP="00827988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827988" w:rsidRPr="00827988">
              <w:rPr>
                <w:rFonts w:ascii="Times New Roman" w:hAnsi="Times New Roman" w:cs="Times New Roman"/>
                <w:noProof/>
              </w:rPr>
              <w:t>Брой акции/дялове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Описание на основните дейности, представени по сегменти</w:t>
      </w:r>
      <w:r w:rsidR="008F25E4" w:rsidRPr="004B7B3B">
        <w:rPr>
          <w:i/>
          <w:color w:val="auto"/>
        </w:rPr>
        <w:t>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9462" w:type="dxa"/>
        <w:tblInd w:w="96" w:type="dxa"/>
        <w:tblLook w:val="04A0"/>
      </w:tblPr>
      <w:tblGrid>
        <w:gridCol w:w="5772"/>
        <w:gridCol w:w="1890"/>
        <w:gridCol w:w="1800"/>
      </w:tblGrid>
      <w:tr w:rsidR="00B07586" w:rsidRPr="004B7B3B" w:rsidTr="002A097E">
        <w:trPr>
          <w:trHeight w:val="30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4B7B3B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586" w:rsidRPr="004B7B3B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  <w:r w:rsidR="00B07586" w:rsidRPr="004B7B3B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B07586" w:rsidRPr="004B7B3B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>
        <w:rPr>
          <w:i/>
          <w:color w:val="auto"/>
        </w:rPr>
        <w:t xml:space="preserve">във </w:t>
      </w:r>
      <w:r w:rsidRPr="004B7B3B">
        <w:rPr>
          <w:i/>
          <w:color w:val="auto"/>
        </w:rPr>
        <w:t>финансовите отчети, вкл</w:t>
      </w:r>
      <w:r w:rsidR="008F25E4" w:rsidRPr="004B7B3B">
        <w:rPr>
          <w:i/>
          <w:color w:val="auto"/>
        </w:rPr>
        <w:t>ючени в документа за допускане.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0C299A" w:rsidRPr="004B7B3B" w:rsidTr="00FB034D">
        <w:trPr>
          <w:trHeight w:val="974"/>
        </w:trPr>
        <w:tc>
          <w:tcPr>
            <w:tcW w:w="9558" w:type="dxa"/>
          </w:tcPr>
          <w:p w:rsidR="000C299A" w:rsidRPr="004B7B3B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C299A" w:rsidRPr="004B7B3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FD7A49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При първично предлагане на Пазар BЕAM</w:t>
      </w:r>
      <w:r w:rsidR="00E01111">
        <w:rPr>
          <w:i/>
          <w:color w:val="auto"/>
        </w:rPr>
        <w:t>:</w:t>
      </w:r>
      <w:r w:rsidRPr="004B7B3B">
        <w:rPr>
          <w:i/>
          <w:color w:val="auto"/>
        </w:rPr>
        <w:t xml:space="preserve"> описание на планираните цели, за достигането на които ще бъда</w:t>
      </w:r>
      <w:r w:rsidR="008F25E4" w:rsidRPr="004B7B3B">
        <w:rPr>
          <w:i/>
          <w:color w:val="auto"/>
        </w:rPr>
        <w:t>т използвани набраните средства.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FD7A49" w:rsidRPr="004B7B3B" w:rsidTr="002A097E">
        <w:trPr>
          <w:trHeight w:val="659"/>
        </w:trPr>
        <w:tc>
          <w:tcPr>
            <w:tcW w:w="9558" w:type="dxa"/>
          </w:tcPr>
          <w:p w:rsidR="00FD7A49" w:rsidRPr="004B7B3B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D7A49" w:rsidRPr="004B7B3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4B7B3B">
        <w:rPr>
          <w:i/>
          <w:color w:val="auto"/>
        </w:rPr>
        <w:t>ане за покриване на тези нужди.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0C299A" w:rsidRPr="004B7B3B" w:rsidTr="002A097E">
        <w:trPr>
          <w:trHeight w:val="614"/>
        </w:trPr>
        <w:tc>
          <w:tcPr>
            <w:tcW w:w="9558" w:type="dxa"/>
          </w:tcPr>
          <w:p w:rsidR="000C299A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C299A" w:rsidRPr="004B7B3B" w:rsidRDefault="000C299A" w:rsidP="00C21528">
      <w:pPr>
        <w:pStyle w:val="Default"/>
        <w:spacing w:after="27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r w:rsidR="00FB034D" w:rsidRPr="004B7B3B">
        <w:rPr>
          <w:i/>
          <w:color w:val="auto"/>
        </w:rPr>
        <w:t>допускане</w:t>
      </w:r>
      <w:r w:rsidR="00FB034D">
        <w:rPr>
          <w:i/>
          <w:color w:val="auto"/>
        </w:rPr>
        <w:t>,</w:t>
      </w:r>
      <w:r w:rsidR="00FB034D" w:rsidRPr="004B7B3B">
        <w:rPr>
          <w:i/>
          <w:color w:val="auto"/>
        </w:rPr>
        <w:t xml:space="preserve"> или ако</w:t>
      </w:r>
      <w:r w:rsidRPr="004B7B3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4B7B3B">
        <w:rPr>
          <w:i/>
          <w:color w:val="auto"/>
        </w:rPr>
        <w:t>елен изискуем оборотен капитал.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CE5525" w:rsidRPr="004B7B3B" w:rsidTr="002A097E">
        <w:trPr>
          <w:trHeight w:val="614"/>
        </w:trPr>
        <w:tc>
          <w:tcPr>
            <w:tcW w:w="9558" w:type="dxa"/>
          </w:tcPr>
          <w:p w:rsidR="00CE5525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CE5525" w:rsidRPr="004B7B3B" w:rsidRDefault="00CE5525" w:rsidP="00C21528">
      <w:pPr>
        <w:pStyle w:val="Default"/>
        <w:spacing w:after="27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>
        <w:rPr>
          <w:i/>
          <w:color w:val="auto"/>
        </w:rPr>
        <w:t>в</w:t>
      </w:r>
      <w:r w:rsidR="00E01111" w:rsidRPr="004B7B3B">
        <w:rPr>
          <w:i/>
          <w:color w:val="auto"/>
        </w:rPr>
        <w:t xml:space="preserve"> </w:t>
      </w:r>
      <w:r w:rsidRPr="004B7B3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4B7B3B">
        <w:rPr>
          <w:i/>
          <w:color w:val="auto"/>
        </w:rPr>
        <w:t>инансово състояние на емитента.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F12696" w:rsidRPr="004B7B3B" w:rsidTr="002A097E">
        <w:trPr>
          <w:trHeight w:val="659"/>
        </w:trPr>
        <w:tc>
          <w:tcPr>
            <w:tcW w:w="9558" w:type="dxa"/>
          </w:tcPr>
          <w:p w:rsidR="00F12696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12696" w:rsidRPr="004B7B3B" w:rsidRDefault="00F12696" w:rsidP="00C21528">
      <w:pPr>
        <w:pStyle w:val="Default"/>
        <w:spacing w:after="27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4B7B3B">
        <w:rPr>
          <w:i/>
          <w:color w:val="auto"/>
        </w:rPr>
        <w:t>наличието на тежести върху тях.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F12696" w:rsidRPr="004B7B3B" w:rsidTr="002A097E">
        <w:trPr>
          <w:trHeight w:val="644"/>
        </w:trPr>
        <w:tc>
          <w:tcPr>
            <w:tcW w:w="9558" w:type="dxa"/>
          </w:tcPr>
          <w:p w:rsidR="00F12696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12696" w:rsidRPr="004B7B3B" w:rsidRDefault="00F12696" w:rsidP="00C21528">
      <w:pPr>
        <w:pStyle w:val="Default"/>
        <w:spacing w:after="27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lastRenderedPageBreak/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4B7B3B">
        <w:rPr>
          <w:i/>
          <w:color w:val="auto"/>
        </w:rPr>
        <w:t>е данни по чл. 24 от Правилата.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B65A0D" w:rsidRPr="004B7B3B" w:rsidTr="002A097E">
        <w:trPr>
          <w:trHeight w:val="769"/>
        </w:trPr>
        <w:tc>
          <w:tcPr>
            <w:tcW w:w="9558" w:type="dxa"/>
          </w:tcPr>
          <w:p w:rsidR="00B65A0D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65A0D" w:rsidRDefault="00B65A0D" w:rsidP="00C21528">
      <w:pPr>
        <w:pStyle w:val="Default"/>
        <w:spacing w:after="27"/>
        <w:rPr>
          <w:i/>
          <w:color w:val="auto"/>
        </w:rPr>
      </w:pPr>
    </w:p>
    <w:p w:rsidR="00FB034D" w:rsidRPr="004B7B3B" w:rsidRDefault="00FB034D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4B7B3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4B7B3B">
        <w:rPr>
          <w:i/>
          <w:color w:val="auto"/>
        </w:rPr>
        <w:t>ните три години.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B65A0D" w:rsidRPr="004B7B3B" w:rsidTr="002A097E">
        <w:trPr>
          <w:trHeight w:val="751"/>
        </w:trPr>
        <w:tc>
          <w:tcPr>
            <w:tcW w:w="9558" w:type="dxa"/>
          </w:tcPr>
          <w:p w:rsidR="00B65A0D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65A0D" w:rsidRDefault="00B65A0D" w:rsidP="00C21528">
      <w:pPr>
        <w:pStyle w:val="Default"/>
        <w:spacing w:after="27"/>
        <w:rPr>
          <w:i/>
          <w:color w:val="auto"/>
        </w:rPr>
      </w:pPr>
    </w:p>
    <w:p w:rsidR="00FB034D" w:rsidRPr="004B7B3B" w:rsidRDefault="00FB034D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>
        <w:rPr>
          <w:i/>
          <w:color w:val="auto"/>
        </w:rPr>
        <w:t>емитента</w:t>
      </w:r>
      <w:r w:rsidRPr="004B7B3B">
        <w:rPr>
          <w:i/>
          <w:color w:val="auto"/>
        </w:rPr>
        <w:t>, включително органиграма и описание на човешките ресурси, предназначе</w:t>
      </w:r>
      <w:r w:rsidR="008F25E4" w:rsidRPr="004B7B3B">
        <w:rPr>
          <w:i/>
          <w:color w:val="auto"/>
        </w:rPr>
        <w:t>ни за стопанската му дейност.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B65A0D" w:rsidRPr="006A325E" w:rsidTr="002A097E">
        <w:trPr>
          <w:trHeight w:val="724"/>
        </w:trPr>
        <w:tc>
          <w:tcPr>
            <w:tcW w:w="9558" w:type="dxa"/>
          </w:tcPr>
          <w:p w:rsidR="00B65A0D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:rsidR="00D47BA9" w:rsidRPr="006A325E" w:rsidRDefault="0095298D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65A0D" w:rsidRPr="006A325E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6A325E" w:rsidRPr="006A325E" w:rsidTr="00364021">
        <w:trPr>
          <w:trHeight w:val="724"/>
        </w:trPr>
        <w:tc>
          <w:tcPr>
            <w:tcW w:w="9558" w:type="dxa"/>
          </w:tcPr>
          <w:p w:rsidR="006A325E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Организационна структура и органиграма</w:t>
            </w:r>
          </w:p>
          <w:p w:rsidR="00D47BA9" w:rsidRPr="006A325E" w:rsidRDefault="0095298D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A325E" w:rsidRPr="006A325E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6A325E" w:rsidRPr="006A325E" w:rsidTr="00364021">
        <w:trPr>
          <w:trHeight w:val="724"/>
        </w:trPr>
        <w:tc>
          <w:tcPr>
            <w:tcW w:w="9558" w:type="dxa"/>
          </w:tcPr>
          <w:p w:rsidR="006A325E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:rsidR="00D47BA9" w:rsidRPr="006A325E" w:rsidRDefault="0095298D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A325E" w:rsidRPr="004B7B3B" w:rsidRDefault="006A325E" w:rsidP="006A325E">
      <w:pPr>
        <w:pStyle w:val="Default"/>
        <w:spacing w:after="27"/>
        <w:rPr>
          <w:i/>
          <w:color w:val="auto"/>
        </w:rPr>
      </w:pPr>
    </w:p>
    <w:p w:rsidR="006A325E" w:rsidRPr="004B7B3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4B7B3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4B7B3B">
        <w:rPr>
          <w:i/>
          <w:color w:val="auto"/>
        </w:rPr>
        <w:t>жими към дейността на емитента.</w:t>
      </w:r>
    </w:p>
    <w:p w:rsidR="00770F12" w:rsidRPr="004B7B3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B65A0D" w:rsidRPr="004B7B3B" w:rsidTr="002A097E">
        <w:trPr>
          <w:trHeight w:val="670"/>
        </w:trPr>
        <w:tc>
          <w:tcPr>
            <w:tcW w:w="9558" w:type="dxa"/>
          </w:tcPr>
          <w:p w:rsidR="00B65A0D" w:rsidRPr="004B7B3B" w:rsidRDefault="0095298D" w:rsidP="00C2152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65A0D" w:rsidRPr="004B7B3B" w:rsidRDefault="00B65A0D" w:rsidP="00C21528">
      <w:pPr>
        <w:pStyle w:val="Default"/>
        <w:rPr>
          <w:i/>
          <w:color w:val="auto"/>
        </w:rPr>
      </w:pPr>
    </w:p>
    <w:p w:rsidR="00B07586" w:rsidRPr="004B7B3B" w:rsidRDefault="00B07586" w:rsidP="00C21528">
      <w:pPr>
        <w:pStyle w:val="Default"/>
        <w:rPr>
          <w:i/>
          <w:color w:val="auto"/>
        </w:rPr>
      </w:pPr>
    </w:p>
    <w:p w:rsidR="00C21528" w:rsidRPr="004B7B3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</w:t>
      </w:r>
      <w:r w:rsidR="00C21528" w:rsidRPr="004B7B3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9462" w:type="dxa"/>
        <w:tblInd w:w="96" w:type="dxa"/>
        <w:tblLook w:val="04A0"/>
      </w:tblPr>
      <w:tblGrid>
        <w:gridCol w:w="5052"/>
        <w:gridCol w:w="4410"/>
      </w:tblGrid>
      <w:tr w:rsidR="00047481" w:rsidRPr="004B7B3B" w:rsidTr="00F02B1E">
        <w:trPr>
          <w:trHeight w:val="322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Три имена на лицето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Професионална автобиография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Функции в 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>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lastRenderedPageBreak/>
              <w:t>Дата на изтичане на мандата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  <w:r w:rsidR="0025070D" w:rsidRPr="00FB034D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FB034D">
              <w:rPr>
                <w:rFonts w:ascii="Times New Roman" w:hAnsi="Times New Roman" w:cs="Times New Roman"/>
              </w:rPr>
              <w:t>г.</w:t>
            </w:r>
            <w:r w:rsidR="00047481" w:rsidRPr="00FB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5803B2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д</w:t>
            </w:r>
            <w:r w:rsidR="00047481" w:rsidRPr="004B7B3B">
              <w:rPr>
                <w:rFonts w:ascii="Times New Roman" w:eastAsia="Times New Roman" w:hAnsi="Times New Roman" w:cs="Times New Roman"/>
                <w:i/>
              </w:rPr>
              <w:t>ейности извън дружеството, когато имат отношение към дейността на 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60472A" w:rsidRPr="0060472A">
              <w:rPr>
                <w:rFonts w:ascii="Times New Roman" w:hAnsi="Times New Roman" w:cs="Times New Roman"/>
                <w:noProof/>
              </w:rPr>
              <w:t>Наименование, ЕИК, орган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 xml:space="preserve"> със значимо участие в емитента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, в които в рамките на последните 3 (три) години лицето е било акционер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60472A" w:rsidRPr="0060472A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</w:t>
            </w:r>
            <w:r w:rsidR="00D16CAB" w:rsidRPr="004B7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>със значимо участие в емитента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, в които лицето е </w:t>
            </w:r>
            <w:r w:rsidR="005803B2" w:rsidRPr="004B7B3B">
              <w:rPr>
                <w:rFonts w:ascii="Times New Roman" w:eastAsia="Times New Roman" w:hAnsi="Times New Roman" w:cs="Times New Roman"/>
                <w:i/>
              </w:rPr>
              <w:t>понастоящем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член на управителен или контролен орган или акционер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60472A" w:rsidRPr="0060472A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относно дружества</w:t>
            </w:r>
            <w:r w:rsidR="00EE3D7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60472A" w:rsidRPr="0060472A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 xml:space="preserve"> дейност,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конкурентна на извършваната от 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4B7B3B">
        <w:rPr>
          <w:i/>
          <w:color w:val="auto"/>
        </w:rPr>
        <w:t xml:space="preserve"> орган и дейността на емитента.</w:t>
      </w:r>
    </w:p>
    <w:p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4E4140" w:rsidRPr="004B7B3B" w:rsidTr="002A097E">
        <w:trPr>
          <w:trHeight w:val="644"/>
        </w:trPr>
        <w:tc>
          <w:tcPr>
            <w:tcW w:w="9558" w:type="dxa"/>
          </w:tcPr>
          <w:p w:rsidR="004E4140" w:rsidRPr="004B7B3B" w:rsidRDefault="0095298D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4B7B3B">
        <w:rPr>
          <w:i/>
          <w:color w:val="auto"/>
        </w:rPr>
        <w:t xml:space="preserve">чл. 23, </w:t>
      </w:r>
      <w:r w:rsidRPr="004B7B3B">
        <w:rPr>
          <w:i/>
          <w:color w:val="auto"/>
        </w:rPr>
        <w:t>т. 20</w:t>
      </w:r>
      <w:r w:rsidR="004E4140" w:rsidRPr="004B7B3B">
        <w:rPr>
          <w:i/>
          <w:color w:val="auto"/>
        </w:rPr>
        <w:t xml:space="preserve"> от Правилата</w:t>
      </w:r>
      <w:r w:rsidRPr="004B7B3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4B7B3B">
        <w:rPr>
          <w:i/>
          <w:color w:val="auto"/>
        </w:rPr>
        <w:t>дъщерни дружества от тези лица.</w:t>
      </w:r>
    </w:p>
    <w:p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4E4140" w:rsidRPr="00FB034D" w:rsidTr="00FB034D">
        <w:trPr>
          <w:trHeight w:val="803"/>
        </w:trPr>
        <w:tc>
          <w:tcPr>
            <w:tcW w:w="9558" w:type="dxa"/>
          </w:tcPr>
          <w:p w:rsidR="004E4140" w:rsidRPr="00FB034D" w:rsidRDefault="0095298D" w:rsidP="00770F12">
            <w:pPr>
              <w:pStyle w:val="Default"/>
              <w:spacing w:after="27"/>
              <w:rPr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открити производства по несъстоятелност или ликвидация по отношение на емитента</w:t>
      </w:r>
      <w:r w:rsidR="00AC3FD3" w:rsidRPr="004B7B3B">
        <w:rPr>
          <w:i/>
          <w:color w:val="auto"/>
        </w:rPr>
        <w:t>.</w:t>
      </w:r>
    </w:p>
    <w:p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4E4140" w:rsidRPr="00FB034D" w:rsidTr="002A097E">
        <w:trPr>
          <w:trHeight w:val="769"/>
        </w:trPr>
        <w:tc>
          <w:tcPr>
            <w:tcW w:w="9558" w:type="dxa"/>
          </w:tcPr>
          <w:p w:rsidR="004E4140" w:rsidRPr="00FB034D" w:rsidRDefault="0095298D" w:rsidP="00770F12">
            <w:pPr>
              <w:pStyle w:val="Default"/>
              <w:spacing w:after="27"/>
              <w:rPr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4B7B3B">
        <w:rPr>
          <w:i/>
          <w:color w:val="auto"/>
        </w:rPr>
        <w:t>а или финансовото му състояние.</w:t>
      </w:r>
    </w:p>
    <w:p w:rsidR="00770F12" w:rsidRPr="004B7B3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4E4140" w:rsidRPr="004B7B3B" w:rsidTr="002A097E">
        <w:trPr>
          <w:trHeight w:val="704"/>
        </w:trPr>
        <w:tc>
          <w:tcPr>
            <w:tcW w:w="9558" w:type="dxa"/>
          </w:tcPr>
          <w:p w:rsidR="004E4140" w:rsidRPr="004B7B3B" w:rsidRDefault="0095298D" w:rsidP="00FB034D">
            <w:pPr>
              <w:spacing w:after="200" w:line="276" w:lineRule="auto"/>
              <w:jc w:val="both"/>
              <w:rPr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E4140" w:rsidRPr="004B7B3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:rsidR="00047481" w:rsidRPr="004B7B3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>
        <w:rPr>
          <w:i/>
          <w:color w:val="auto"/>
        </w:rPr>
        <w:t>във</w:t>
      </w:r>
      <w:r w:rsidR="00EE3D78" w:rsidRPr="004B7B3B">
        <w:rPr>
          <w:i/>
          <w:color w:val="auto"/>
        </w:rPr>
        <w:t xml:space="preserve"> </w:t>
      </w:r>
      <w:r w:rsidRPr="004B7B3B">
        <w:rPr>
          <w:i/>
          <w:color w:val="auto"/>
        </w:rPr>
        <w:t>финансовите отчети, съдържа</w:t>
      </w:r>
      <w:r w:rsidR="00AC3FD3" w:rsidRPr="004B7B3B">
        <w:rPr>
          <w:i/>
          <w:color w:val="auto"/>
        </w:rPr>
        <w:t>щи се в документа за допускане.</w:t>
      </w:r>
    </w:p>
    <w:p w:rsidR="00770F12" w:rsidRPr="004B7B3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4E4140" w:rsidRPr="00FB034D" w:rsidTr="002A097E">
        <w:trPr>
          <w:trHeight w:val="569"/>
        </w:trPr>
        <w:tc>
          <w:tcPr>
            <w:tcW w:w="9558" w:type="dxa"/>
          </w:tcPr>
          <w:p w:rsidR="004E4140" w:rsidRPr="00FB034D" w:rsidRDefault="0095298D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E4140" w:rsidRPr="004B7B3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:rsidR="00047481" w:rsidRPr="004B7B3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:rsidR="00770F12" w:rsidRPr="004B7B3B" w:rsidRDefault="00770F12" w:rsidP="00F31C58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</w:t>
      </w:r>
      <w:r w:rsidR="00AC3FD3" w:rsidRPr="004B7B3B">
        <w:rPr>
          <w:i/>
          <w:color w:val="auto"/>
        </w:rPr>
        <w:t xml:space="preserve">мация за </w:t>
      </w:r>
      <w:r w:rsidR="004E3F8A" w:rsidRPr="004B7B3B">
        <w:rPr>
          <w:i/>
          <w:color w:val="auto"/>
        </w:rPr>
        <w:t>с</w:t>
      </w:r>
      <w:r w:rsidR="00AC3FD3" w:rsidRPr="004B7B3B">
        <w:rPr>
          <w:i/>
          <w:color w:val="auto"/>
        </w:rPr>
        <w:t>ъветника по емисията.</w:t>
      </w:r>
    </w:p>
    <w:p w:rsidR="00770F12" w:rsidRPr="004B7B3B" w:rsidRDefault="00770F12" w:rsidP="004E4140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4727"/>
        <w:gridCol w:w="4831"/>
      </w:tblGrid>
      <w:tr w:rsidR="0022779E" w:rsidRPr="003A2C6E" w:rsidTr="002A097E">
        <w:trPr>
          <w:trHeight w:val="355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  <w:spacing w:val="6"/>
              </w:rPr>
              <w:t xml:space="preserve">Наименование на </w:t>
            </w:r>
            <w:r w:rsidR="004E3F8A" w:rsidRPr="003A2C6E">
              <w:rPr>
                <w:rFonts w:ascii="Times New Roman" w:hAnsi="Times New Roman" w:cs="Times New Roman"/>
                <w:i/>
                <w:spacing w:val="6"/>
              </w:rPr>
              <w:t>с</w:t>
            </w:r>
            <w:r w:rsidRPr="003A2C6E">
              <w:rPr>
                <w:rFonts w:ascii="Times New Roman" w:hAnsi="Times New Roman" w:cs="Times New Roman"/>
                <w:i/>
                <w:spacing w:val="6"/>
              </w:rPr>
              <w:t>ъветника по емисията</w:t>
            </w:r>
          </w:p>
        </w:tc>
        <w:tc>
          <w:tcPr>
            <w:tcW w:w="4831" w:type="dxa"/>
            <w:tcBorders>
              <w:top w:val="single" w:sz="4" w:space="0" w:color="auto"/>
            </w:tcBorders>
            <w:vAlign w:val="center"/>
          </w:tcPr>
          <w:p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346"/>
        </w:trPr>
        <w:tc>
          <w:tcPr>
            <w:tcW w:w="4727" w:type="dxa"/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Наименование на </w:t>
            </w:r>
            <w:r w:rsidR="004E3F8A" w:rsidRPr="003A2C6E">
              <w:rPr>
                <w:rFonts w:ascii="Times New Roman" w:hAnsi="Times New Roman" w:cs="Times New Roman"/>
                <w:i/>
              </w:rPr>
              <w:t>с</w:t>
            </w:r>
            <w:r w:rsidRPr="003A2C6E">
              <w:rPr>
                <w:rFonts w:ascii="Times New Roman" w:hAnsi="Times New Roman" w:cs="Times New Roman"/>
                <w:i/>
              </w:rPr>
              <w:t>ъветника на латиница</w:t>
            </w:r>
          </w:p>
        </w:tc>
        <w:tc>
          <w:tcPr>
            <w:tcW w:w="4831" w:type="dxa"/>
            <w:vAlign w:val="center"/>
          </w:tcPr>
          <w:p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355"/>
        </w:trPr>
        <w:tc>
          <w:tcPr>
            <w:tcW w:w="4727" w:type="dxa"/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ЕИК на </w:t>
            </w:r>
            <w:r w:rsidR="004E3F8A" w:rsidRPr="003A2C6E">
              <w:rPr>
                <w:rFonts w:ascii="Times New Roman" w:hAnsi="Times New Roman" w:cs="Times New Roman"/>
                <w:i/>
              </w:rPr>
              <w:t>с</w:t>
            </w:r>
            <w:r w:rsidRPr="003A2C6E">
              <w:rPr>
                <w:rFonts w:ascii="Times New Roman" w:hAnsi="Times New Roman" w:cs="Times New Roman"/>
                <w:i/>
              </w:rPr>
              <w:t>ъветника</w:t>
            </w:r>
          </w:p>
        </w:tc>
        <w:tc>
          <w:tcPr>
            <w:tcW w:w="4831" w:type="dxa"/>
            <w:vAlign w:val="center"/>
          </w:tcPr>
          <w:p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346"/>
        </w:trPr>
        <w:tc>
          <w:tcPr>
            <w:tcW w:w="4727" w:type="dxa"/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Адрес за кореспонденция /град, ПК, адрес/</w:t>
            </w:r>
          </w:p>
        </w:tc>
        <w:tc>
          <w:tcPr>
            <w:tcW w:w="4831" w:type="dxa"/>
            <w:vAlign w:val="center"/>
          </w:tcPr>
          <w:p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355"/>
        </w:trPr>
        <w:tc>
          <w:tcPr>
            <w:tcW w:w="4727" w:type="dxa"/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Лице за контакт</w:t>
            </w:r>
          </w:p>
        </w:tc>
        <w:tc>
          <w:tcPr>
            <w:tcW w:w="4831" w:type="dxa"/>
            <w:vAlign w:val="center"/>
          </w:tcPr>
          <w:p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25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951873">
        <w:trPr>
          <w:trHeight w:val="650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F02B1E" w:rsidRPr="003A2C6E" w:rsidRDefault="0022779E" w:rsidP="00D16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Интернет страница, където ще бъде оповестявана информация относно </w:t>
            </w:r>
            <w:r w:rsidR="00D16CAB" w:rsidRPr="003A2C6E">
              <w:rPr>
                <w:rFonts w:ascii="Times New Roman" w:hAnsi="Times New Roman" w:cs="Times New Roman"/>
                <w:i/>
              </w:rPr>
              <w:t>емитента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FB034D" w:rsidTr="002A097E">
        <w:trPr>
          <w:trHeight w:val="52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22779E" w:rsidRPr="00FB034D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  <w:i/>
              </w:rPr>
              <w:t xml:space="preserve">Дата на </w:t>
            </w:r>
            <w:r w:rsidR="00F53D57" w:rsidRPr="00FB034D">
              <w:rPr>
                <w:rFonts w:ascii="Times New Roman" w:hAnsi="Times New Roman" w:cs="Times New Roman"/>
                <w:i/>
              </w:rPr>
              <w:t xml:space="preserve">сключване на </w:t>
            </w:r>
            <w:r w:rsidRPr="00FB034D">
              <w:rPr>
                <w:rFonts w:ascii="Times New Roman" w:hAnsi="Times New Roman" w:cs="Times New Roman"/>
                <w:i/>
              </w:rPr>
              <w:t>договор</w:t>
            </w:r>
            <w:r w:rsidR="00F53D57" w:rsidRPr="00FB034D">
              <w:rPr>
                <w:rFonts w:ascii="Times New Roman" w:hAnsi="Times New Roman" w:cs="Times New Roman"/>
                <w:i/>
              </w:rPr>
              <w:t>а с емитента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22779E" w:rsidRPr="003A2C6E" w:rsidRDefault="0095298D" w:rsidP="0025070D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CAB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  <w:r w:rsidR="00D16CAB" w:rsidRPr="003A2C6E">
              <w:rPr>
                <w:rFonts w:ascii="Times New Roman" w:hAnsi="Times New Roman" w:cs="Times New Roman"/>
                <w:vertAlign w:val="superscript"/>
              </w:rPr>
              <w:t>9</w:t>
            </w:r>
            <w:r w:rsidR="0025070D" w:rsidRPr="003A2C6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5070D" w:rsidRPr="003A2C6E">
              <w:rPr>
                <w:rFonts w:ascii="Times New Roman" w:hAnsi="Times New Roman" w:cs="Times New Roman"/>
              </w:rPr>
              <w:t>г.</w:t>
            </w:r>
          </w:p>
        </w:tc>
      </w:tr>
      <w:tr w:rsidR="00951873" w:rsidRPr="00FB034D" w:rsidTr="00951873">
        <w:trPr>
          <w:trHeight w:val="452"/>
        </w:trPr>
        <w:tc>
          <w:tcPr>
            <w:tcW w:w="4727" w:type="dxa"/>
            <w:vAlign w:val="center"/>
          </w:tcPr>
          <w:p w:rsidR="00951873" w:rsidRPr="00FB034D" w:rsidRDefault="00951873" w:rsidP="009518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</w:t>
            </w:r>
            <w:r w:rsidRPr="00FB034D">
              <w:rPr>
                <w:rFonts w:ascii="Times New Roman" w:hAnsi="Times New Roman" w:cs="Times New Roman"/>
                <w:i/>
              </w:rPr>
              <w:t xml:space="preserve"> на договора с емитента</w:t>
            </w:r>
          </w:p>
        </w:tc>
        <w:tc>
          <w:tcPr>
            <w:tcW w:w="4831" w:type="dxa"/>
            <w:vAlign w:val="center"/>
          </w:tcPr>
          <w:p w:rsidR="00951873" w:rsidRPr="003A2C6E" w:rsidRDefault="0095298D" w:rsidP="00951873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1873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  <w:r w:rsidR="00951873" w:rsidRPr="003A2C6E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951873" w:rsidRPr="003A2C6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2779E" w:rsidRPr="004B7B3B" w:rsidRDefault="0022779E" w:rsidP="004E4140">
      <w:pPr>
        <w:pStyle w:val="Default"/>
        <w:jc w:val="both"/>
        <w:rPr>
          <w:i/>
          <w:color w:val="auto"/>
        </w:rPr>
      </w:pPr>
    </w:p>
    <w:p w:rsidR="004E4140" w:rsidRPr="004B7B3B" w:rsidRDefault="004E4140" w:rsidP="004E4140">
      <w:pPr>
        <w:pStyle w:val="Default"/>
        <w:jc w:val="both"/>
        <w:rPr>
          <w:i/>
          <w:color w:val="auto"/>
        </w:rPr>
      </w:pPr>
    </w:p>
    <w:p w:rsidR="00770F12" w:rsidRPr="004B7B3B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ре</w:t>
      </w:r>
      <w:r w:rsidR="00D16CAB">
        <w:rPr>
          <w:i/>
          <w:color w:val="auto"/>
        </w:rPr>
        <w:t>гистрирани одитори на емитента</w:t>
      </w:r>
    </w:p>
    <w:p w:rsidR="00C21528" w:rsidRPr="004B7B3B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09108F" w:rsidRPr="004B7B3B" w:rsidTr="00951873">
        <w:trPr>
          <w:trHeight w:val="1271"/>
        </w:trPr>
        <w:tc>
          <w:tcPr>
            <w:tcW w:w="9558" w:type="dxa"/>
          </w:tcPr>
          <w:p w:rsidR="0009108F" w:rsidRPr="004B7B3B" w:rsidRDefault="0095298D" w:rsidP="00951873">
            <w:pPr>
              <w:rPr>
                <w:rFonts w:ascii="Times New Roman" w:hAnsi="Times New Roman" w:cs="Times New Roman"/>
                <w:b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73F2" w:rsidRPr="004B7B3B" w:rsidRDefault="00AD73F2">
      <w:pPr>
        <w:rPr>
          <w:rFonts w:ascii="Times New Roman" w:hAnsi="Times New Roman" w:cs="Times New Roman"/>
          <w:b/>
          <w:i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:rsidR="00FF7472" w:rsidRPr="004B7B3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4B7B3B">
        <w:rPr>
          <w:rFonts w:cs="Times New Roman"/>
          <w:i/>
          <w:color w:val="auto"/>
          <w:lang w:val="en-US"/>
        </w:rPr>
        <w:lastRenderedPageBreak/>
        <w:t>VII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ФИНАНСОВИ ОТЧЕТИ</w:t>
      </w:r>
      <w:bookmarkEnd w:id="6"/>
    </w:p>
    <w:p w:rsidR="00F31C58" w:rsidRPr="004B7B3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24 от Правилата за допускане до търговия на пазар BEAM</w:t>
      </w:r>
    </w:p>
    <w:p w:rsidR="00FF7472" w:rsidRPr="004B7B3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:rsidR="00F31C58" w:rsidRPr="004B7B3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З</w:t>
      </w:r>
      <w:r w:rsidR="00063790" w:rsidRPr="004B7B3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>
        <w:rPr>
          <w:i/>
          <w:color w:val="auto"/>
        </w:rPr>
        <w:t>ът</w:t>
      </w:r>
      <w:r w:rsidR="00063790" w:rsidRPr="004B7B3B">
        <w:rPr>
          <w:i/>
          <w:color w:val="auto"/>
        </w:rPr>
        <w:t xml:space="preserve"> на регистрирания одитор относно заверените отчети</w:t>
      </w:r>
      <w:r w:rsidR="00065056" w:rsidRPr="004B7B3B">
        <w:rPr>
          <w:i/>
          <w:color w:val="auto"/>
        </w:rPr>
        <w:t>;</w:t>
      </w:r>
    </w:p>
    <w:p w:rsidR="00063790" w:rsidRPr="004B7B3B" w:rsidRDefault="00063790" w:rsidP="003A2C6E">
      <w:pPr>
        <w:pStyle w:val="Default"/>
        <w:ind w:left="708"/>
        <w:jc w:val="both"/>
        <w:rPr>
          <w:i/>
          <w:color w:val="auto"/>
        </w:rPr>
      </w:pPr>
    </w:p>
    <w:p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В</w:t>
      </w:r>
      <w:r w:rsidR="00063790" w:rsidRPr="004B7B3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4B7B3B">
        <w:rPr>
          <w:i/>
          <w:color w:val="auto"/>
        </w:rPr>
        <w:t>;</w:t>
      </w:r>
    </w:p>
    <w:p w:rsidR="00063790" w:rsidRPr="004B7B3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</w:t>
      </w:r>
      <w:r w:rsidR="00063790" w:rsidRPr="004B7B3B">
        <w:rPr>
          <w:i/>
          <w:color w:val="auto"/>
        </w:rPr>
        <w:t>рогнозни баланс, отчети за приходите и разходите, и отчети за паричните потоци за финансовата година, следваща годината на посления заверен от регистриран одитор финансов отчет, които съдържат факторите, на които се базират прогнозн</w:t>
      </w:r>
      <w:r w:rsidR="00FB034D">
        <w:rPr>
          <w:i/>
          <w:color w:val="auto"/>
        </w:rPr>
        <w:t>ите предположения и допускания.</w:t>
      </w:r>
    </w:p>
    <w:p w:rsidR="00047481" w:rsidRPr="004B7B3B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FF7472" w:rsidRPr="004B7B3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4B7B3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4B7B3B">
        <w:rPr>
          <w:b/>
          <w:i/>
          <w:color w:val="auto"/>
        </w:rPr>
        <w:t>, както следва</w:t>
      </w:r>
      <w:r w:rsidRPr="004B7B3B">
        <w:rPr>
          <w:b/>
          <w:i/>
          <w:color w:val="auto"/>
        </w:rPr>
        <w:t>:</w:t>
      </w:r>
    </w:p>
    <w:p w:rsidR="00F31C58" w:rsidRPr="004B7B3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9454" w:type="dxa"/>
        <w:tblLook w:val="04A0"/>
      </w:tblPr>
      <w:tblGrid>
        <w:gridCol w:w="4727"/>
        <w:gridCol w:w="4727"/>
      </w:tblGrid>
      <w:tr w:rsidR="00F31C58" w:rsidRPr="004B7B3B" w:rsidTr="00D204A5">
        <w:trPr>
          <w:trHeight w:val="758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F31C58" w:rsidRPr="004B7B3B" w:rsidRDefault="00F31C58" w:rsidP="009B1873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4B7B3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4B7B3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F31C58" w:rsidRPr="004B7B3B" w:rsidRDefault="00FA117A" w:rsidP="00D204A5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FB034D" w:rsidTr="00FE5EEA">
        <w:trPr>
          <w:trHeight w:val="308"/>
        </w:trPr>
        <w:tc>
          <w:tcPr>
            <w:tcW w:w="4727" w:type="dxa"/>
            <w:vAlign w:val="center"/>
          </w:tcPr>
          <w:p w:rsidR="00F31C58" w:rsidRPr="00FB034D" w:rsidRDefault="0095298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F31C58" w:rsidRPr="00FB034D" w:rsidRDefault="0095298D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:rsidTr="00FE5EEA">
        <w:trPr>
          <w:trHeight w:val="254"/>
        </w:trPr>
        <w:tc>
          <w:tcPr>
            <w:tcW w:w="4727" w:type="dxa"/>
          </w:tcPr>
          <w:p w:rsidR="00F31C58" w:rsidRPr="00FB034D" w:rsidRDefault="0095298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:rsidR="00F31C58" w:rsidRPr="00FB034D" w:rsidRDefault="0095298D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:rsidTr="00FE5EEA">
        <w:trPr>
          <w:trHeight w:val="263"/>
        </w:trPr>
        <w:tc>
          <w:tcPr>
            <w:tcW w:w="4727" w:type="dxa"/>
          </w:tcPr>
          <w:p w:rsidR="00F31C58" w:rsidRPr="00FB034D" w:rsidRDefault="0095298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:rsidR="00F31C58" w:rsidRPr="00FB034D" w:rsidRDefault="0095298D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:rsidTr="00FE5EEA">
        <w:trPr>
          <w:trHeight w:val="254"/>
        </w:trPr>
        <w:tc>
          <w:tcPr>
            <w:tcW w:w="4727" w:type="dxa"/>
          </w:tcPr>
          <w:p w:rsidR="00F31C58" w:rsidRPr="00FB034D" w:rsidRDefault="0095298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:rsidR="00F31C58" w:rsidRPr="00FB034D" w:rsidRDefault="0095298D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73F2" w:rsidRPr="004B7B3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:rsidR="00FF7472" w:rsidRPr="004B7B3B" w:rsidRDefault="000106D4" w:rsidP="00954C9E">
      <w:pPr>
        <w:pStyle w:val="Heading1"/>
        <w:rPr>
          <w:rFonts w:cs="Times New Roman"/>
          <w:i/>
          <w:color w:val="auto"/>
        </w:rPr>
      </w:pPr>
      <w:bookmarkStart w:id="7" w:name="_Toc32923516"/>
      <w:r w:rsidRPr="004B7B3B">
        <w:rPr>
          <w:rFonts w:cs="Times New Roman"/>
          <w:i/>
          <w:color w:val="auto"/>
          <w:lang w:val="en-US"/>
        </w:rPr>
        <w:lastRenderedPageBreak/>
        <w:t>VIII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7"/>
    </w:p>
    <w:p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25 от Правилата за допускане до търговия на пазар BEAM</w:t>
      </w:r>
    </w:p>
    <w:p w:rsidR="00F31C58" w:rsidRPr="004B7B3B" w:rsidRDefault="00F31C58" w:rsidP="003A2C6E">
      <w:pPr>
        <w:pStyle w:val="Default"/>
        <w:jc w:val="center"/>
        <w:rPr>
          <w:b/>
          <w:i/>
          <w:color w:val="auto"/>
        </w:rPr>
      </w:pPr>
    </w:p>
    <w:p w:rsidR="00B015BB" w:rsidRPr="004B7B3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bCs/>
          <w:i/>
          <w:sz w:val="28"/>
          <w:szCs w:val="28"/>
        </w:rPr>
        <w:t>Декларация от емитента</w:t>
      </w:r>
    </w:p>
    <w:p w:rsidR="00B015BB" w:rsidRPr="004B7B3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15BB" w:rsidRPr="00FB034D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A5E45"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A5E45"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:rsidR="00B015BB" w:rsidRPr="00FB034D" w:rsidRDefault="00B015BB" w:rsidP="003A2C6E">
      <w:pPr>
        <w:pStyle w:val="Default"/>
        <w:rPr>
          <w:i/>
          <w:color w:val="auto"/>
        </w:rPr>
      </w:pPr>
    </w:p>
    <w:p w:rsidR="00B015BB" w:rsidRPr="00FB034D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FB034D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FB034D">
        <w:rPr>
          <w:i/>
          <w:color w:val="auto"/>
        </w:rPr>
        <w:t>дно достъпни за обществеността:</w:t>
      </w:r>
    </w:p>
    <w:p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FB034D">
        <w:rPr>
          <w:i/>
          <w:color w:val="auto"/>
        </w:rPr>
        <w:t>а) устав на емитента</w:t>
      </w:r>
      <w:r w:rsidR="00065056" w:rsidRPr="00FB034D">
        <w:rPr>
          <w:i/>
          <w:color w:val="auto"/>
        </w:rPr>
        <w:t>;</w:t>
      </w:r>
    </w:p>
    <w:p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FB034D">
        <w:rPr>
          <w:i/>
          <w:color w:val="auto"/>
        </w:rPr>
        <w:t xml:space="preserve">б)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FB034D">
        <w:rPr>
          <w:i/>
          <w:color w:val="auto"/>
        </w:rPr>
        <w:t>документът</w:t>
      </w:r>
      <w:r w:rsidRPr="00FB034D">
        <w:rPr>
          <w:i/>
          <w:color w:val="auto"/>
        </w:rPr>
        <w:t xml:space="preserve"> за допускане</w:t>
      </w:r>
      <w:r w:rsidR="00065056" w:rsidRPr="00FB034D">
        <w:rPr>
          <w:i/>
          <w:color w:val="auto"/>
        </w:rPr>
        <w:t>;</w:t>
      </w:r>
    </w:p>
    <w:p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FB034D">
        <w:rPr>
          <w:i/>
          <w:color w:val="auto"/>
        </w:rPr>
        <w:t xml:space="preserve">в) финансовата информация на индивидуална или консолидирана основа за всяка от две финансови години, предхождащи годината, в която е изготвен документът за допускане. </w:t>
      </w:r>
    </w:p>
    <w:p w:rsidR="00B015BB" w:rsidRPr="00FB034D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E0476" w:rsidRPr="00FB034D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FB034D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FB034D">
        <w:rPr>
          <w:i/>
          <w:color w:val="auto"/>
        </w:rPr>
        <w:t>,</w:t>
      </w:r>
      <w:r w:rsidRPr="00FB034D">
        <w:rPr>
          <w:i/>
          <w:color w:val="auto"/>
        </w:rPr>
        <w:t xml:space="preserve"> е </w:t>
      </w:r>
      <w:r w:rsidR="0095298D" w:rsidRPr="00FB034D">
        <w:rPr>
          <w:i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5E45" w:rsidRPr="00FB034D">
        <w:rPr>
          <w:i/>
          <w:color w:val="auto"/>
        </w:rPr>
        <w:instrText xml:space="preserve"> FORMTEXT </w:instrText>
      </w:r>
      <w:r w:rsidR="0095298D" w:rsidRPr="00FB034D">
        <w:rPr>
          <w:i/>
          <w:color w:val="auto"/>
        </w:rPr>
      </w:r>
      <w:r w:rsidR="0095298D" w:rsidRPr="00FB034D">
        <w:rPr>
          <w:i/>
          <w:color w:val="auto"/>
        </w:rPr>
        <w:fldChar w:fldCharType="separate"/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95298D" w:rsidRPr="00FB034D">
        <w:rPr>
          <w:i/>
          <w:color w:val="auto"/>
        </w:rPr>
        <w:fldChar w:fldCharType="end"/>
      </w:r>
      <w:r w:rsidR="00FB034D" w:rsidRPr="00FB034D">
        <w:rPr>
          <w:i/>
          <w:color w:val="auto"/>
          <w:vertAlign w:val="superscript"/>
        </w:rPr>
        <w:t>11</w:t>
      </w:r>
    </w:p>
    <w:p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</w:p>
    <w:p w:rsidR="00B015BB" w:rsidRPr="00FB034D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:rsidR="00B015BB" w:rsidRPr="00FB034D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t>Декларатор,</w:t>
      </w:r>
    </w:p>
    <w:p w:rsidR="00B015BB" w:rsidRPr="00FB034D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4</w:t>
      </w:r>
    </w:p>
    <w:p w:rsidR="00B015BB" w:rsidRPr="00FB034D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5</w:t>
      </w:r>
    </w:p>
    <w:p w:rsidR="00B015BB" w:rsidRPr="00FB034D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:rsidR="00B015BB" w:rsidRPr="00FB034D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:rsidR="00B015BB" w:rsidRPr="00FB034D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4</w:t>
      </w:r>
    </w:p>
    <w:p w:rsidR="00B015BB" w:rsidRPr="00FB034D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5</w:t>
      </w:r>
    </w:p>
    <w:p w:rsidR="00C168BD" w:rsidRPr="004B7B3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:rsidR="00B015BB" w:rsidRPr="004B7B3B" w:rsidRDefault="00B015BB" w:rsidP="00FF7472">
      <w:pPr>
        <w:pStyle w:val="Default"/>
        <w:jc w:val="center"/>
        <w:rPr>
          <w:i/>
          <w:color w:val="auto"/>
        </w:rPr>
      </w:pPr>
    </w:p>
    <w:p w:rsidR="007855A5" w:rsidRPr="004B7B3B" w:rsidRDefault="007855A5" w:rsidP="00FF7472">
      <w:pPr>
        <w:pStyle w:val="Default"/>
        <w:jc w:val="center"/>
        <w:rPr>
          <w:i/>
          <w:color w:val="auto"/>
        </w:rPr>
      </w:pPr>
    </w:p>
    <w:p w:rsidR="00FF7472" w:rsidRPr="004B7B3B" w:rsidRDefault="00C168BD" w:rsidP="00FF7472">
      <w:pPr>
        <w:pStyle w:val="Default"/>
        <w:jc w:val="center"/>
        <w:rPr>
          <w:b/>
          <w:i/>
          <w:color w:val="auto"/>
        </w:rPr>
      </w:pPr>
      <w:r w:rsidRPr="004B7B3B">
        <w:rPr>
          <w:b/>
          <w:i/>
          <w:color w:val="auto"/>
        </w:rPr>
        <w:t>Други общодостъпни документи:</w:t>
      </w:r>
    </w:p>
    <w:p w:rsidR="006614A5" w:rsidRPr="004B7B3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:rsidR="007855A5" w:rsidRPr="004B7B3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9454" w:type="dxa"/>
        <w:tblLook w:val="04A0"/>
      </w:tblPr>
      <w:tblGrid>
        <w:gridCol w:w="4727"/>
        <w:gridCol w:w="4727"/>
      </w:tblGrid>
      <w:tr w:rsidR="00C168BD" w:rsidRPr="004B7B3B" w:rsidTr="004E2B54">
        <w:trPr>
          <w:trHeight w:val="758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C168BD" w:rsidRPr="004B7B3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C168BD" w:rsidRPr="004B7B3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4B7B3B">
              <w:rPr>
                <w:rFonts w:ascii="Times New Roman" w:hAnsi="Times New Roman" w:cs="Times New Roman"/>
                <w:i/>
              </w:rPr>
              <w:t>в Раздел „П</w:t>
            </w:r>
            <w:r w:rsidRPr="004B7B3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4B7B3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5A0D6D" w:rsidTr="00FE5EEA">
        <w:trPr>
          <w:trHeight w:val="362"/>
        </w:trPr>
        <w:tc>
          <w:tcPr>
            <w:tcW w:w="4727" w:type="dxa"/>
            <w:vAlign w:val="center"/>
          </w:tcPr>
          <w:p w:rsidR="00C168BD" w:rsidRPr="005A0D6D" w:rsidRDefault="0095298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C168BD" w:rsidRPr="005A0D6D" w:rsidRDefault="0095298D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:rsidTr="00FE5EEA">
        <w:trPr>
          <w:trHeight w:val="344"/>
        </w:trPr>
        <w:tc>
          <w:tcPr>
            <w:tcW w:w="4727" w:type="dxa"/>
            <w:vAlign w:val="center"/>
          </w:tcPr>
          <w:p w:rsidR="00C168BD" w:rsidRPr="005A0D6D" w:rsidRDefault="0095298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C168BD" w:rsidRPr="005A0D6D" w:rsidRDefault="0095298D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:rsidTr="00FE5EEA">
        <w:trPr>
          <w:trHeight w:val="362"/>
        </w:trPr>
        <w:tc>
          <w:tcPr>
            <w:tcW w:w="4727" w:type="dxa"/>
            <w:vAlign w:val="center"/>
          </w:tcPr>
          <w:p w:rsidR="00C168BD" w:rsidRPr="005A0D6D" w:rsidRDefault="0095298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C168BD" w:rsidRPr="005A0D6D" w:rsidRDefault="0095298D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:rsidTr="00FE5EEA">
        <w:trPr>
          <w:trHeight w:val="344"/>
        </w:trPr>
        <w:tc>
          <w:tcPr>
            <w:tcW w:w="4727" w:type="dxa"/>
            <w:vAlign w:val="center"/>
          </w:tcPr>
          <w:p w:rsidR="00C168BD" w:rsidRPr="005A0D6D" w:rsidRDefault="0095298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C168BD" w:rsidRPr="005A0D6D" w:rsidRDefault="0095298D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168BD" w:rsidRPr="004B7B3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:rsidR="00FF7472" w:rsidRPr="004B7B3B" w:rsidRDefault="00A7149F" w:rsidP="00954C9E">
      <w:pPr>
        <w:pStyle w:val="Heading1"/>
        <w:rPr>
          <w:rFonts w:cs="Times New Roman"/>
          <w:i/>
          <w:color w:val="auto"/>
        </w:rPr>
      </w:pPr>
      <w:bookmarkStart w:id="8" w:name="_Toc32923517"/>
      <w:r w:rsidRPr="004B7B3B">
        <w:rPr>
          <w:rFonts w:cs="Times New Roman"/>
          <w:i/>
          <w:color w:val="auto"/>
          <w:lang w:val="en-US"/>
        </w:rPr>
        <w:lastRenderedPageBreak/>
        <w:t xml:space="preserve">IX. </w:t>
      </w:r>
      <w:r w:rsidR="00FF7472" w:rsidRPr="004B7B3B">
        <w:rPr>
          <w:rFonts w:cs="Times New Roman"/>
          <w:i/>
          <w:color w:val="auto"/>
        </w:rPr>
        <w:t>ПРИЛОЖЕНИЯ</w:t>
      </w:r>
      <w:bookmarkEnd w:id="8"/>
    </w:p>
    <w:p w:rsidR="00FF7472" w:rsidRPr="004B7B3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47481" w:rsidRPr="004B7B3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26 от Правилата за допускане до търговия на пазар BEAM</w:t>
      </w:r>
    </w:p>
    <w:p w:rsidR="006614A5" w:rsidRPr="004B7B3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614A5" w:rsidRPr="004B7B3B" w:rsidRDefault="006614A5" w:rsidP="006614A5">
      <w:pPr>
        <w:pStyle w:val="ListParagraph"/>
        <w:rPr>
          <w:rFonts w:ascii="Times New Roman" w:hAnsi="Times New Roman" w:cs="Times New Roman"/>
          <w:i/>
        </w:rPr>
      </w:pPr>
    </w:p>
    <w:tbl>
      <w:tblPr>
        <w:tblStyle w:val="TableGrid"/>
        <w:tblW w:w="9454" w:type="dxa"/>
        <w:tblLook w:val="04A0"/>
      </w:tblPr>
      <w:tblGrid>
        <w:gridCol w:w="4727"/>
        <w:gridCol w:w="4727"/>
      </w:tblGrid>
      <w:tr w:rsidR="00160605" w:rsidRPr="004B7B3B" w:rsidTr="00D204A5">
        <w:trPr>
          <w:trHeight w:val="758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160605" w:rsidRPr="004B7B3B" w:rsidRDefault="00160605" w:rsidP="005F42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160605" w:rsidRPr="004B7B3B" w:rsidRDefault="00160605" w:rsidP="005F42EA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160605" w:rsidRPr="004B7B3B" w:rsidTr="005A0D6D">
        <w:trPr>
          <w:trHeight w:val="758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160605" w:rsidRPr="004B7B3B" w:rsidRDefault="00160605" w:rsidP="00351018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160605" w:rsidRPr="005A0D6D" w:rsidRDefault="0095298D" w:rsidP="005A0D6D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0605" w:rsidRPr="004B7B3B" w:rsidTr="005A0D6D">
        <w:trPr>
          <w:trHeight w:val="490"/>
        </w:trPr>
        <w:tc>
          <w:tcPr>
            <w:tcW w:w="4727" w:type="dxa"/>
            <w:vAlign w:val="center"/>
          </w:tcPr>
          <w:p w:rsidR="00160605" w:rsidRPr="004B7B3B" w:rsidRDefault="00160605" w:rsidP="00351018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4727" w:type="dxa"/>
            <w:vAlign w:val="center"/>
          </w:tcPr>
          <w:p w:rsidR="00160605" w:rsidRPr="005A0D6D" w:rsidRDefault="0095298D" w:rsidP="005A0D6D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0605" w:rsidRPr="004B7B3B" w:rsidTr="005A0D6D">
        <w:trPr>
          <w:trHeight w:val="490"/>
        </w:trPr>
        <w:tc>
          <w:tcPr>
            <w:tcW w:w="4727" w:type="dxa"/>
          </w:tcPr>
          <w:p w:rsidR="00160605" w:rsidRPr="004B7B3B" w:rsidRDefault="00160605" w:rsidP="00351018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4727" w:type="dxa"/>
            <w:vAlign w:val="center"/>
          </w:tcPr>
          <w:p w:rsidR="00160605" w:rsidRPr="005A0D6D" w:rsidRDefault="0095298D" w:rsidP="005A0D6D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21CA2" w:rsidRPr="004B7B3B" w:rsidRDefault="00921CA2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8A9" w:rsidRPr="004B7B3B" w:rsidRDefault="00FF58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F58A9" w:rsidRPr="004B7B3B" w:rsidRDefault="00FF58A9" w:rsidP="00FF58A9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4B7B3B">
        <w:rPr>
          <w:b/>
          <w:i/>
          <w:color w:val="auto"/>
          <w:sz w:val="28"/>
          <w:szCs w:val="28"/>
        </w:rPr>
        <w:lastRenderedPageBreak/>
        <w:t>Определения и съкращения на термините, използвани в документа за допускане</w:t>
      </w:r>
    </w:p>
    <w:p w:rsidR="00FF58A9" w:rsidRPr="004B7B3B" w:rsidRDefault="00FF58A9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92" w:type="dxa"/>
        <w:tblInd w:w="96" w:type="dxa"/>
        <w:tblLook w:val="04A0"/>
      </w:tblPr>
      <w:tblGrid>
        <w:gridCol w:w="3882"/>
        <w:gridCol w:w="5310"/>
      </w:tblGrid>
      <w:tr w:rsidR="00047481" w:rsidRPr="004B7B3B" w:rsidTr="002A097E">
        <w:trPr>
          <w:trHeight w:val="30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186C73" w:rsidP="0018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Използван т</w:t>
            </w:r>
            <w:r w:rsidR="00047481" w:rsidRPr="004B7B3B">
              <w:rPr>
                <w:rFonts w:ascii="Times New Roman" w:eastAsia="Times New Roman" w:hAnsi="Times New Roman" w:cs="Times New Roman"/>
                <w:i/>
              </w:rPr>
              <w:t>ермин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81" w:rsidRPr="004B7B3B" w:rsidRDefault="00047481" w:rsidP="000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047481" w:rsidRPr="004B7B3B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5074FE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4FE">
              <w:rPr>
                <w:rFonts w:ascii="Times New Roman" w:hAnsi="Times New Roman" w:cs="Times New Roman"/>
              </w:rPr>
              <w:t>Регламент (EС) 2017/1129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5074FE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4FE">
              <w:rPr>
                <w:rFonts w:ascii="Times New Roman" w:eastAsia="Times New Roman" w:hAnsi="Times New Roman" w:cs="Times New Roman"/>
                <w:i/>
              </w:rPr>
              <w:t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ценни книжа до търговия на регулиран пазар, и за отмяна на Директива 2003/71/ЕО</w:t>
            </w:r>
          </w:p>
        </w:tc>
      </w:tr>
      <w:tr w:rsidR="005A0D6D" w:rsidRPr="005A0D6D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95298D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95298D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95298D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95298D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95298D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95298D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95298D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95298D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F58A9" w:rsidRPr="004B7B3B" w:rsidRDefault="00FF58A9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4A5" w:rsidRPr="004B7B3B" w:rsidRDefault="006614A5" w:rsidP="006614A5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4B7B3B">
        <w:rPr>
          <w:b/>
          <w:i/>
          <w:color w:val="auto"/>
          <w:sz w:val="28"/>
          <w:szCs w:val="28"/>
        </w:rPr>
        <w:t>Описание и номерация на всички приложения</w:t>
      </w:r>
    </w:p>
    <w:p w:rsidR="006614A5" w:rsidRPr="004B7B3B" w:rsidRDefault="006614A5" w:rsidP="006614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327" w:type="dxa"/>
        <w:tblLook w:val="04A0"/>
      </w:tblPr>
      <w:tblGrid>
        <w:gridCol w:w="5238"/>
        <w:gridCol w:w="1929"/>
        <w:gridCol w:w="2160"/>
      </w:tblGrid>
      <w:tr w:rsidR="006614A5" w:rsidRPr="004B7B3B" w:rsidTr="002A097E">
        <w:trPr>
          <w:trHeight w:val="363"/>
        </w:trPr>
        <w:tc>
          <w:tcPr>
            <w:tcW w:w="5238" w:type="dxa"/>
            <w:vAlign w:val="center"/>
          </w:tcPr>
          <w:p w:rsidR="006614A5" w:rsidRPr="004B7B3B" w:rsidRDefault="006614A5" w:rsidP="009B18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4B7B3B">
              <w:rPr>
                <w:rFonts w:ascii="Times New Roman" w:hAnsi="Times New Roman" w:cs="Times New Roman"/>
                <w:i/>
                <w:spacing w:val="6"/>
              </w:rPr>
              <w:t>документа</w:t>
            </w:r>
          </w:p>
        </w:tc>
        <w:tc>
          <w:tcPr>
            <w:tcW w:w="1929" w:type="dxa"/>
          </w:tcPr>
          <w:p w:rsidR="006614A5" w:rsidRPr="004B7B3B" w:rsidRDefault="009B1873" w:rsidP="00D204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  <w:tc>
          <w:tcPr>
            <w:tcW w:w="2160" w:type="dxa"/>
            <w:vAlign w:val="center"/>
          </w:tcPr>
          <w:p w:rsidR="006614A5" w:rsidRPr="004B7B3B" w:rsidRDefault="009B1873" w:rsidP="00D204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Актуално към дата</w:t>
            </w:r>
            <w:r w:rsidR="00DF6B78" w:rsidRPr="004B7B3B">
              <w:rPr>
                <w:rFonts w:ascii="Times New Roman" w:hAnsi="Times New Roman" w:cs="Times New Roman"/>
                <w:i/>
              </w:rPr>
              <w:t xml:space="preserve"> /dd.mm.yyyy/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</w:tbl>
    <w:p w:rsidR="007A47E7" w:rsidRPr="004B7B3B" w:rsidRDefault="007A47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D7B56" w:rsidRPr="004B7B3B" w:rsidRDefault="003D7B56" w:rsidP="007A47E7">
      <w:pPr>
        <w:jc w:val="center"/>
        <w:rPr>
          <w:rFonts w:ascii="Times New Roman" w:hAnsi="Times New Roman" w:cs="Times New Roman"/>
          <w:i/>
        </w:rPr>
      </w:pPr>
    </w:p>
    <w:p w:rsidR="003D7B56" w:rsidRPr="004B7B3B" w:rsidRDefault="003D7B56" w:rsidP="007A47E7">
      <w:pPr>
        <w:jc w:val="center"/>
        <w:rPr>
          <w:rFonts w:ascii="Times New Roman" w:hAnsi="Times New Roman" w:cs="Times New Roman"/>
          <w:i/>
        </w:rPr>
      </w:pPr>
    </w:p>
    <w:p w:rsidR="00FD2FD0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t xml:space="preserve">Долуподписаните лица, в качеството си на представляващи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, съответно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в качеството си на съветник по емисията, с подписите си декларират, че </w:t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t>настоящият д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окумент за допускане до търговия на акции на пазар </w:t>
      </w:r>
      <w:r w:rsidRPr="004B7B3B">
        <w:rPr>
          <w:rFonts w:ascii="Times New Roman" w:hAnsi="Times New Roman" w:cs="Times New Roman"/>
          <w:i/>
          <w:sz w:val="24"/>
          <w:szCs w:val="24"/>
          <w:lang w:val="en-US"/>
        </w:rPr>
        <w:t>BEAM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t>е изготвен в съответствие с изискванията, определени в Правилата за дейността на пазара BЕAM и приложимото законодателство</w:t>
      </w:r>
      <w:r w:rsidR="00FD2FD0" w:rsidRPr="004B7B3B">
        <w:rPr>
          <w:rFonts w:ascii="Times New Roman" w:hAnsi="Times New Roman" w:cs="Times New Roman"/>
          <w:i/>
          <w:sz w:val="24"/>
          <w:szCs w:val="24"/>
        </w:rPr>
        <w:t>.</w:t>
      </w:r>
    </w:p>
    <w:p w:rsidR="00FD2FD0" w:rsidRPr="004B7B3B" w:rsidRDefault="00FD2FD0" w:rsidP="00FE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t>За</w:t>
      </w:r>
      <w:r w:rsidR="003D7B56" w:rsidRPr="004B7B3B">
        <w:rPr>
          <w:rFonts w:ascii="Times New Roman" w:hAnsi="Times New Roman" w:cs="Times New Roman"/>
          <w:i/>
        </w:rPr>
        <w:t xml:space="preserve"> </w:t>
      </w:r>
      <w:r w:rsidR="0095298D" w:rsidRPr="004B7B3B">
        <w:rPr>
          <w:rFonts w:ascii="Times New Roman" w:hAnsi="Times New Roman" w:cs="Times New Roman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</w:rPr>
      </w:r>
      <w:r w:rsidR="0095298D" w:rsidRPr="004B7B3B">
        <w:rPr>
          <w:rFonts w:ascii="Times New Roman" w:hAnsi="Times New Roman" w:cs="Times New Roman"/>
          <w:i/>
        </w:rPr>
        <w:fldChar w:fldCharType="separate"/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="0095298D" w:rsidRPr="004B7B3B">
        <w:rPr>
          <w:rFonts w:ascii="Times New Roman" w:hAnsi="Times New Roman" w:cs="Times New Roman"/>
          <w:i/>
        </w:rPr>
        <w:fldChar w:fldCharType="end"/>
      </w:r>
      <w:r w:rsidRPr="004B7B3B">
        <w:rPr>
          <w:rFonts w:ascii="Times New Roman" w:hAnsi="Times New Roman" w:cs="Times New Roman"/>
          <w:i/>
          <w:vertAlign w:val="superscript"/>
        </w:rPr>
        <w:t>1</w:t>
      </w:r>
    </w:p>
    <w:p w:rsidR="003D7B56" w:rsidRPr="00A8785B" w:rsidRDefault="003D7B56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:rsidR="003D7B56" w:rsidRPr="004B7B3B" w:rsidRDefault="0095298D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1A91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91A91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391A91" w:rsidRPr="004B7B3B" w:rsidRDefault="0095298D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1A91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91A91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391A91" w:rsidRPr="004B7B3B" w:rsidRDefault="00391A91" w:rsidP="00FE5EEA">
      <w:pPr>
        <w:tabs>
          <w:tab w:val="left" w:pos="5580"/>
        </w:tabs>
        <w:spacing w:after="0" w:line="240" w:lineRule="auto"/>
        <w:ind w:left="709" w:firstLine="558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4B7B3B">
        <w:rPr>
          <w:rFonts w:ascii="Times New Roman" w:hAnsi="Times New Roman" w:cs="Times New Roman"/>
          <w:i/>
        </w:rPr>
        <w:t xml:space="preserve">За </w:t>
      </w:r>
      <w:r w:rsidR="0095298D" w:rsidRPr="004B7B3B">
        <w:rPr>
          <w:rFonts w:ascii="Times New Roman" w:hAnsi="Times New Roman" w:cs="Times New Roman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</w:rPr>
      </w:r>
      <w:r w:rsidR="0095298D" w:rsidRPr="004B7B3B">
        <w:rPr>
          <w:rFonts w:ascii="Times New Roman" w:hAnsi="Times New Roman" w:cs="Times New Roman"/>
          <w:i/>
        </w:rPr>
        <w:fldChar w:fldCharType="separate"/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="0095298D" w:rsidRPr="004B7B3B">
        <w:rPr>
          <w:rFonts w:ascii="Times New Roman" w:hAnsi="Times New Roman" w:cs="Times New Roman"/>
          <w:i/>
        </w:rPr>
        <w:fldChar w:fldCharType="end"/>
      </w:r>
      <w:r w:rsidRPr="004B7B3B">
        <w:rPr>
          <w:rFonts w:ascii="Times New Roman" w:hAnsi="Times New Roman" w:cs="Times New Roman"/>
          <w:i/>
          <w:vertAlign w:val="superscript"/>
        </w:rPr>
        <w:t>2</w:t>
      </w:r>
    </w:p>
    <w:p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:rsidR="003D7B56" w:rsidRPr="004B7B3B" w:rsidRDefault="0095298D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3D7B56" w:rsidRPr="004B7B3B" w:rsidRDefault="0095298D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1A91" w:rsidRPr="004B7B3B" w:rsidRDefault="00391A91">
      <w:pPr>
        <w:rPr>
          <w:rFonts w:ascii="Times New Roman" w:hAnsi="Times New Roman" w:cs="Times New Roman"/>
          <w:b/>
          <w:i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:rsidR="00364021" w:rsidRPr="004A6B74" w:rsidRDefault="00364021" w:rsidP="00054F17">
      <w:pPr>
        <w:pStyle w:val="Heading1"/>
        <w:tabs>
          <w:tab w:val="left" w:pos="2977"/>
        </w:tabs>
        <w:spacing w:line="240" w:lineRule="auto"/>
        <w:rPr>
          <w:rFonts w:cs="Times New Roman"/>
          <w:color w:val="auto"/>
        </w:rPr>
      </w:pPr>
      <w:r w:rsidRPr="004A6B74">
        <w:rPr>
          <w:rFonts w:cs="Times New Roman"/>
          <w:color w:val="auto"/>
          <w:lang w:val="en-US"/>
        </w:rPr>
        <w:lastRenderedPageBreak/>
        <w:t>I</w:t>
      </w:r>
      <w:r w:rsidRPr="00B06F21">
        <w:rPr>
          <w:rFonts w:cs="Times New Roman"/>
          <w:color w:val="auto"/>
        </w:rPr>
        <w:t xml:space="preserve">. </w:t>
      </w:r>
      <w:r>
        <w:t>ИНФОРМАЦИЯ ЗА ПРЕДЛАГАНЕТО</w:t>
      </w:r>
    </w:p>
    <w:p w:rsidR="00364021" w:rsidRPr="004A6B74" w:rsidRDefault="00364021" w:rsidP="00054F17">
      <w:pPr>
        <w:pStyle w:val="Default"/>
        <w:jc w:val="center"/>
        <w:rPr>
          <w:b/>
          <w:color w:val="auto"/>
          <w:sz w:val="20"/>
          <w:szCs w:val="20"/>
        </w:rPr>
      </w:pPr>
    </w:p>
    <w:p w:rsidR="00364021" w:rsidRPr="00186C73" w:rsidRDefault="00364021" w:rsidP="00054F17">
      <w:pPr>
        <w:pStyle w:val="Default"/>
        <w:jc w:val="center"/>
        <w:rPr>
          <w:b/>
          <w:sz w:val="20"/>
          <w:szCs w:val="20"/>
        </w:rPr>
      </w:pPr>
      <w:r w:rsidRPr="00186C73">
        <w:rPr>
          <w:b/>
          <w:sz w:val="20"/>
          <w:szCs w:val="20"/>
        </w:rPr>
        <w:t xml:space="preserve">По чл. </w:t>
      </w:r>
      <w:r>
        <w:rPr>
          <w:b/>
          <w:sz w:val="20"/>
          <w:szCs w:val="20"/>
        </w:rPr>
        <w:t>14, ал. 1, т. 4</w:t>
      </w:r>
      <w:r w:rsidRPr="00186C73">
        <w:rPr>
          <w:b/>
          <w:sz w:val="20"/>
          <w:szCs w:val="20"/>
        </w:rPr>
        <w:t xml:space="preserve"> от Правилата за допускане до търговия на пазар BEAM</w:t>
      </w:r>
    </w:p>
    <w:p w:rsidR="00364021" w:rsidRPr="00B06F21" w:rsidRDefault="00364021" w:rsidP="00054F17">
      <w:pPr>
        <w:pStyle w:val="Default"/>
        <w:rPr>
          <w:b/>
        </w:rPr>
      </w:pPr>
    </w:p>
    <w:p w:rsidR="00364021" w:rsidRPr="00B06F21" w:rsidRDefault="00364021" w:rsidP="00054F17">
      <w:pPr>
        <w:pStyle w:val="Default"/>
        <w:jc w:val="center"/>
        <w:rPr>
          <w:b/>
        </w:rPr>
      </w:pPr>
      <w:r w:rsidRPr="00B06F21">
        <w:rPr>
          <w:b/>
        </w:rPr>
        <w:t>Подробна информация относно предлагането</w:t>
      </w:r>
    </w:p>
    <w:p w:rsidR="00364021" w:rsidRDefault="00364021" w:rsidP="00054F17">
      <w:pPr>
        <w:pStyle w:val="Default"/>
        <w:jc w:val="center"/>
        <w:rPr>
          <w:b/>
          <w:color w:val="auto"/>
        </w:rPr>
      </w:pP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364021" w:rsidRPr="00611D21" w:rsidTr="0036402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611D21" w:rsidRDefault="00364021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21">
              <w:rPr>
                <w:rFonts w:ascii="Times New Roman" w:eastAsia="Times New Roman" w:hAnsi="Times New Roman" w:cs="Times New Roman"/>
                <w:spacing w:val="6"/>
              </w:rPr>
              <w:t>Настоящото предлагане представлява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611D21" w:rsidRDefault="00364021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21">
              <w:rPr>
                <w:rFonts w:ascii="Times New Roman" w:hAnsi="Times New Roman" w:cs="Times New Roman"/>
              </w:rPr>
              <w:t xml:space="preserve">Първично публично предлагане на </w:t>
            </w:r>
            <w:r w:rsidR="00054F17" w:rsidRPr="00611D21">
              <w:rPr>
                <w:rFonts w:ascii="Times New Roman" w:hAnsi="Times New Roman" w:cs="Times New Roman"/>
              </w:rPr>
              <w:t xml:space="preserve">пазар </w:t>
            </w:r>
            <w:r w:rsidR="005A0D6D" w:rsidRPr="00611D21">
              <w:rPr>
                <w:rFonts w:ascii="Times New Roman" w:hAnsi="Times New Roman" w:cs="Times New Roman"/>
                <w:lang w:val="en-US"/>
              </w:rPr>
              <w:t>BEAM</w:t>
            </w:r>
          </w:p>
        </w:tc>
      </w:tr>
      <w:tr w:rsidR="00364021" w:rsidRPr="00611D21" w:rsidTr="0036402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611D21" w:rsidRDefault="00054F1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21">
              <w:rPr>
                <w:rFonts w:ascii="Times New Roman" w:eastAsia="Times New Roman" w:hAnsi="Times New Roman" w:cs="Times New Roman"/>
                <w:spacing w:val="6"/>
              </w:rPr>
              <w:t>Брой на предложените ценни книжа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611D21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90F3E" w:rsidRPr="00611D21" w:rsidTr="00F90F3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E" w:rsidRPr="00611D21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Валута на предлагането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E" w:rsidRPr="005A0D6D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Предлагането се осъществява в BGN/EUR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6A3CD7" w:rsidRPr="00611D21" w:rsidTr="006A3CD7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D7" w:rsidRPr="00611D21" w:rsidRDefault="006A3CD7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611D21">
              <w:rPr>
                <w:rFonts w:ascii="Times New Roman" w:eastAsia="Times New Roman" w:hAnsi="Times New Roman" w:cs="Times New Roman"/>
                <w:spacing w:val="6"/>
                <w:lang w:val="en-US"/>
              </w:rPr>
              <w:t>ISIN</w:t>
            </w:r>
            <w:r w:rsidRPr="00611D21">
              <w:rPr>
                <w:rFonts w:ascii="Times New Roman" w:eastAsia="Times New Roman" w:hAnsi="Times New Roman" w:cs="Times New Roman"/>
                <w:spacing w:val="6"/>
              </w:rPr>
              <w:t xml:space="preserve"> код на временната емисия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D7" w:rsidRPr="00611D21" w:rsidRDefault="0095298D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6A3CD7" w:rsidRPr="00611D21" w:rsidTr="006A3CD7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D7" w:rsidRPr="00611D21" w:rsidRDefault="00611D21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611D21">
              <w:rPr>
                <w:rFonts w:ascii="Times New Roman" w:eastAsia="Times New Roman" w:hAnsi="Times New Roman" w:cs="Times New Roman"/>
                <w:spacing w:val="6"/>
              </w:rPr>
              <w:t>Присвоен б</w:t>
            </w:r>
            <w:r w:rsidR="006A3CD7" w:rsidRPr="00611D21">
              <w:rPr>
                <w:rFonts w:ascii="Times New Roman" w:eastAsia="Times New Roman" w:hAnsi="Times New Roman" w:cs="Times New Roman"/>
                <w:spacing w:val="6"/>
              </w:rPr>
              <w:t>орсов код на временната емисия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D7" w:rsidRPr="00611D21" w:rsidRDefault="0095298D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A67C15" w:rsidRPr="00611D21" w:rsidTr="00A67C15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Pr="00611D21" w:rsidRDefault="00A67C15" w:rsidP="00611D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611D21">
              <w:rPr>
                <w:rFonts w:ascii="Times New Roman" w:eastAsia="Times New Roman" w:hAnsi="Times New Roman" w:cs="Times New Roman"/>
              </w:rPr>
              <w:t>Брой записани и платени инструменти, при които предлагането се счита за успешно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Pr="00611D21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 1 акция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611D21" w:rsidRPr="00611D21" w:rsidTr="00611D2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21" w:rsidRPr="00611D21" w:rsidRDefault="00611D21" w:rsidP="0061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21">
              <w:rPr>
                <w:rFonts w:ascii="Times New Roman" w:eastAsia="Times New Roman" w:hAnsi="Times New Roman" w:cs="Times New Roman"/>
              </w:rPr>
              <w:t>Всяко лице може да запише най-малко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21" w:rsidRPr="00611D21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 1 акция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90F3E" w:rsidRPr="00611D21" w:rsidTr="00F90F3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E" w:rsidRPr="00611D21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F3E">
              <w:rPr>
                <w:rFonts w:ascii="Times New Roman" w:eastAsia="Times New Roman" w:hAnsi="Times New Roman" w:cs="Times New Roman"/>
              </w:rPr>
              <w:t>Възможност за удължаване сроковете за предлагане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E" w:rsidRPr="00611D21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>
              <w:rPr>
                <w:rFonts w:asciiTheme="majorHAnsi" w:hAnsiTheme="majorHAnsi"/>
              </w:rPr>
              <w:t>На</w:t>
            </w:r>
            <w:r w:rsidR="00E17628">
              <w:rPr>
                <w:rFonts w:asciiTheme="majorHAnsi" w:hAnsiTheme="majorHAnsi"/>
                <w:noProof/>
              </w:rPr>
              <w:t xml:space="preserve">пример: Не </w:t>
            </w:r>
            <w:r w:rsidR="00E17628" w:rsidRPr="00E17628">
              <w:rPr>
                <w:rFonts w:asciiTheme="majorHAnsi" w:hAnsiTheme="majorHAnsi"/>
                <w:noProof/>
              </w:rPr>
              <w:t>е предвидена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90F3E" w:rsidRPr="00611D21" w:rsidTr="00F90F3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E" w:rsidRPr="00611D21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F3E">
              <w:rPr>
                <w:rFonts w:ascii="Times New Roman" w:eastAsia="Times New Roman" w:hAnsi="Times New Roman" w:cs="Times New Roman"/>
              </w:rPr>
              <w:t xml:space="preserve">Възможност за </w:t>
            </w:r>
            <w:r>
              <w:rPr>
                <w:rFonts w:ascii="Times New Roman" w:eastAsia="Times New Roman" w:hAnsi="Times New Roman" w:cs="Times New Roman"/>
              </w:rPr>
              <w:t>прекратяване или отлагане</w:t>
            </w:r>
            <w:r w:rsidRPr="00F90F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F90F3E">
              <w:rPr>
                <w:rFonts w:ascii="Times New Roman" w:eastAsia="Times New Roman" w:hAnsi="Times New Roman" w:cs="Times New Roman"/>
              </w:rPr>
              <w:t>а предлагане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Предлагането може да бъде отложено до тридесет работни дни или прекратено само след оповестено на интернет страниците на пазар beam, на емитента, на съветника и на обслужващия инвестиционен посредник Решение.</w:t>
            </w:r>
          </w:p>
          <w:p w:rsidR="00F90F3E" w:rsidRPr="00F90F3E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Решението следва да бъде оповестено най-малко два дни преди оповестената дата за провеждане на IPO аукцион на борсата.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</w:tbl>
    <w:p w:rsidR="00364021" w:rsidRDefault="00364021" w:rsidP="00054F17">
      <w:pPr>
        <w:pStyle w:val="Default"/>
        <w:jc w:val="center"/>
        <w:rPr>
          <w:b/>
          <w:color w:val="auto"/>
        </w:rPr>
      </w:pPr>
    </w:p>
    <w:p w:rsidR="00054F17" w:rsidRDefault="00054F17" w:rsidP="00054F17">
      <w:pPr>
        <w:pStyle w:val="Default"/>
        <w:jc w:val="center"/>
        <w:rPr>
          <w:b/>
          <w:color w:val="auto"/>
        </w:rPr>
      </w:pPr>
    </w:p>
    <w:p w:rsidR="006A3CD7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F17">
        <w:rPr>
          <w:rFonts w:ascii="Times New Roman" w:hAnsi="Times New Roman" w:cs="Times New Roman"/>
          <w:b/>
          <w:sz w:val="24"/>
          <w:szCs w:val="24"/>
        </w:rPr>
        <w:t>а.</w:t>
      </w:r>
      <w:r w:rsidR="00054F17" w:rsidRPr="00054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CD7" w:rsidRPr="00B06F21">
        <w:rPr>
          <w:rFonts w:ascii="Times New Roman" w:hAnsi="Times New Roman" w:cs="Times New Roman"/>
          <w:b/>
          <w:sz w:val="24"/>
          <w:szCs w:val="24"/>
        </w:rPr>
        <w:t>данни относно минималната цена на предлагането</w:t>
      </w:r>
      <w:r w:rsidR="006A3CD7">
        <w:rPr>
          <w:rFonts w:ascii="Times New Roman" w:hAnsi="Times New Roman" w:cs="Times New Roman"/>
          <w:b/>
          <w:sz w:val="24"/>
          <w:szCs w:val="24"/>
        </w:rPr>
        <w:t>.</w:t>
      </w:r>
    </w:p>
    <w:p w:rsidR="006A3CD7" w:rsidRDefault="006A3CD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021" w:rsidRDefault="006A3CD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054F17" w:rsidRPr="00054F17">
        <w:rPr>
          <w:rFonts w:ascii="Times New Roman" w:hAnsi="Times New Roman" w:cs="Times New Roman"/>
          <w:b/>
          <w:sz w:val="24"/>
          <w:szCs w:val="24"/>
        </w:rPr>
        <w:t>енови диапазон на предлагането (IPO Matching Range)</w:t>
      </w: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364021" w:rsidRPr="004A6B74" w:rsidTr="00F07811">
        <w:trPr>
          <w:trHeight w:val="5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054F1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Минимална цена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:rsidTr="00F07811">
        <w:trPr>
          <w:trHeight w:val="46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054F1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Максимална цена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054F17" w:rsidRPr="004A6B74" w:rsidTr="00F07811">
        <w:trPr>
          <w:trHeight w:val="124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17" w:rsidRPr="004A6B74" w:rsidRDefault="00054F17" w:rsidP="006A3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 сума</w:t>
            </w:r>
            <w:r w:rsidR="006A3CD7">
              <w:rPr>
                <w:rFonts w:ascii="Times New Roman" w:eastAsia="Times New Roman" w:hAnsi="Times New Roman" w:cs="Times New Roman"/>
              </w:rPr>
              <w:t>, която емитент</w:t>
            </w:r>
            <w:r w:rsidR="009211B6">
              <w:rPr>
                <w:rFonts w:ascii="Times New Roman" w:eastAsia="Times New Roman" w:hAnsi="Times New Roman" w:cs="Times New Roman"/>
              </w:rPr>
              <w:t>ът</w:t>
            </w:r>
            <w:r w:rsidR="006A3CD7">
              <w:rPr>
                <w:rFonts w:ascii="Times New Roman" w:eastAsia="Times New Roman" w:hAnsi="Times New Roman" w:cs="Times New Roman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A3CD7">
              <w:rPr>
                <w:rFonts w:ascii="Times New Roman" w:eastAsia="Times New Roman" w:hAnsi="Times New Roman" w:cs="Times New Roman"/>
              </w:rPr>
              <w:t>пол</w:t>
            </w:r>
            <w:r w:rsidR="00951873">
              <w:rPr>
                <w:rFonts w:ascii="Times New Roman" w:eastAsia="Times New Roman" w:hAnsi="Times New Roman" w:cs="Times New Roman"/>
              </w:rPr>
              <w:t xml:space="preserve">учил </w:t>
            </w:r>
            <w:r w:rsidR="009211B6">
              <w:rPr>
                <w:rFonts w:ascii="Times New Roman" w:eastAsia="Times New Roman" w:hAnsi="Times New Roman" w:cs="Times New Roman"/>
              </w:rPr>
              <w:t>в</w:t>
            </w:r>
            <w:r w:rsidR="006A3CD7">
              <w:rPr>
                <w:rFonts w:ascii="Times New Roman" w:eastAsia="Times New Roman" w:hAnsi="Times New Roman" w:cs="Times New Roman"/>
              </w:rPr>
              <w:t xml:space="preserve">следствие </w:t>
            </w:r>
            <w:r>
              <w:rPr>
                <w:rFonts w:ascii="Times New Roman" w:eastAsia="Times New Roman" w:hAnsi="Times New Roman" w:cs="Times New Roman"/>
              </w:rPr>
              <w:t>на предлагането, в случай че всички предложени ценни книжа бъдат записани на м</w:t>
            </w:r>
            <w:r w:rsidR="006A3CD7">
              <w:rPr>
                <w:rFonts w:ascii="Times New Roman" w:eastAsia="Times New Roman" w:hAnsi="Times New Roman" w:cs="Times New Roman"/>
              </w:rPr>
              <w:t>ини</w:t>
            </w:r>
            <w:r>
              <w:rPr>
                <w:rFonts w:ascii="Times New Roman" w:eastAsia="Times New Roman" w:hAnsi="Times New Roman" w:cs="Times New Roman"/>
              </w:rPr>
              <w:t>мална цена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17" w:rsidRPr="005074FE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Сумата не трябва да е по-голяма от максималния предвиден в ЗППЦК и Регламент (EС) 2017/1129размер на предлагане в случай на публично предлагане без проспект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6A3CD7" w:rsidRPr="004A6B74" w:rsidTr="00F07811">
        <w:trPr>
          <w:trHeight w:val="129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D7" w:rsidRPr="004A6B74" w:rsidRDefault="006A3CD7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 сума, която емитент</w:t>
            </w:r>
            <w:r w:rsidR="009211B6">
              <w:rPr>
                <w:rFonts w:ascii="Times New Roman" w:eastAsia="Times New Roman" w:hAnsi="Times New Roman" w:cs="Times New Roman"/>
              </w:rPr>
              <w:t>ът</w:t>
            </w:r>
            <w:r w:rsidR="00951873">
              <w:rPr>
                <w:rFonts w:ascii="Times New Roman" w:eastAsia="Times New Roman" w:hAnsi="Times New Roman" w:cs="Times New Roman"/>
              </w:rPr>
              <w:t xml:space="preserve"> би получил </w:t>
            </w:r>
            <w:r w:rsidR="009211B6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следствие на предлагането, в случай че всички предложени ценни книжа бъдат записани на максимална цена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D7" w:rsidRPr="004A6B74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Сумата не трябва да е по-голяма от максималния предвиден в ЗППЦК и Регламент (EС) 2017/1129 размер на предлагане в случай на публично предлагане без проспект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07811" w:rsidRPr="004A6B74" w:rsidTr="00F07811">
        <w:trPr>
          <w:trHeight w:val="9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11" w:rsidRPr="004A6B74" w:rsidRDefault="00F07811" w:rsidP="00F07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на удовлетворяване на поръчките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FF" w:rsidRDefault="00F07811" w:rsidP="00E94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Пазар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beam</w:t>
            </w:r>
            <w:r>
              <w:rPr>
                <w:rFonts w:ascii="Times New Roman" w:eastAsia="Times New Roman" w:hAnsi="Times New Roman" w:cs="Times New Roman"/>
              </w:rPr>
              <w:t xml:space="preserve"> чрез уеб-сайта си и чрез системата за търговия</w:t>
            </w:r>
            <w:r w:rsidR="009211B6">
              <w:rPr>
                <w:rFonts w:ascii="Times New Roman" w:eastAsia="Times New Roman" w:hAnsi="Times New Roman" w:cs="Times New Roman"/>
              </w:rPr>
              <w:t xml:space="preserve"> </w:t>
            </w:r>
            <w:r w:rsidR="009211B6">
              <w:rPr>
                <w:rFonts w:ascii="Times New Roman" w:eastAsia="Times New Roman" w:hAnsi="Times New Roman" w:cs="Times New Roman"/>
                <w:lang w:val="en-US"/>
              </w:rPr>
              <w:t>Xetra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F0781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, на която </w:t>
            </w:r>
            <w:r w:rsidR="00DB2C58"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2C58">
              <w:rPr>
                <w:rFonts w:ascii="Times New Roman" w:eastAsia="Times New Roman" w:hAnsi="Times New Roman" w:cs="Times New Roman"/>
              </w:rPr>
              <w:t xml:space="preserve">провежда </w:t>
            </w:r>
            <w:r>
              <w:rPr>
                <w:rFonts w:ascii="Times New Roman" w:eastAsia="Times New Roman" w:hAnsi="Times New Roman" w:cs="Times New Roman"/>
              </w:rPr>
              <w:t>аукцион</w:t>
            </w:r>
            <w:r w:rsidR="009211B6">
              <w:rPr>
                <w:rFonts w:ascii="Times New Roman" w:eastAsia="Times New Roman" w:hAnsi="Times New Roman" w:cs="Times New Roman"/>
              </w:rPr>
              <w:t>ът,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2C58">
              <w:rPr>
                <w:rFonts w:ascii="Times New Roman" w:eastAsia="Times New Roman" w:hAnsi="Times New Roman" w:cs="Times New Roman"/>
              </w:rPr>
              <w:t xml:space="preserve">оповестява </w:t>
            </w:r>
            <w:r w:rsidR="00E943FF">
              <w:rPr>
                <w:rFonts w:ascii="Times New Roman" w:eastAsia="Times New Roman" w:hAnsi="Times New Roman" w:cs="Times New Roman"/>
              </w:rPr>
              <w:t>цената на сключване на сделките.</w:t>
            </w:r>
          </w:p>
          <w:p w:rsidR="00E943FF" w:rsidRPr="00F07811" w:rsidRDefault="00E943FF" w:rsidP="00DB2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Цената на сключване на сделките е еднаква за всички участници.</w:t>
            </w:r>
          </w:p>
        </w:tc>
      </w:tr>
    </w:tbl>
    <w:p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F17" w:rsidRPr="004A6B74" w:rsidRDefault="00054F1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021" w:rsidRDefault="00364021" w:rsidP="00054F1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06F21">
        <w:rPr>
          <w:rFonts w:ascii="Times New Roman" w:hAnsi="Times New Roman" w:cs="Times New Roman"/>
          <w:b/>
          <w:sz w:val="24"/>
          <w:szCs w:val="24"/>
        </w:rPr>
        <w:t>начало и край на предлагането</w:t>
      </w:r>
    </w:p>
    <w:p w:rsidR="00054F17" w:rsidRDefault="00054F17" w:rsidP="00054F1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611D21" w:rsidRPr="004A6B74" w:rsidTr="00611D21">
        <w:trPr>
          <w:trHeight w:val="127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21" w:rsidRPr="00611D21" w:rsidRDefault="00611D21" w:rsidP="00F078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Комитетът по управление на пазар </w:t>
            </w:r>
            <w:r>
              <w:rPr>
                <w:rFonts w:ascii="Times New Roman" w:eastAsia="Times New Roman" w:hAnsi="Times New Roman" w:cs="Times New Roman"/>
                <w:spacing w:val="6"/>
                <w:lang w:val="en-US"/>
              </w:rPr>
              <w:t>beam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е допуснал финансовите инструменти при услов</w:t>
            </w:r>
            <w:r w:rsidR="00F07811">
              <w:rPr>
                <w:rFonts w:ascii="Times New Roman" w:eastAsia="Times New Roman" w:hAnsi="Times New Roman" w:cs="Times New Roman"/>
                <w:spacing w:val="6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та на първично предлагане със свое Решение: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21" w:rsidRPr="00D76882" w:rsidRDefault="00611D21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5298D"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="0095298D" w:rsidRPr="005A0D6D">
              <w:rPr>
                <w:rFonts w:asciiTheme="majorHAnsi" w:hAnsiTheme="majorHAnsi"/>
              </w:rPr>
            </w:r>
            <w:r w:rsidR="0095298D" w:rsidRPr="005A0D6D">
              <w:rPr>
                <w:rFonts w:asciiTheme="majorHAnsi" w:hAnsiTheme="majorHAnsi"/>
              </w:rPr>
              <w:fldChar w:fldCharType="separate"/>
            </w:r>
            <w:r w:rsidR="00E17628">
              <w:rPr>
                <w:rFonts w:asciiTheme="majorHAnsi" w:hAnsiTheme="majorHAnsi"/>
              </w:rPr>
              <w:t xml:space="preserve">№ и дата </w:t>
            </w:r>
            <w:r w:rsidR="00E17628" w:rsidRPr="00E17628">
              <w:rPr>
                <w:rFonts w:asciiTheme="majorHAnsi" w:hAnsiTheme="majorHAnsi"/>
                <w:noProof/>
              </w:rPr>
              <w:t>на решението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  <w:r w:rsidR="005A0D6D" w:rsidRPr="005A0D6D">
              <w:rPr>
                <w:rFonts w:asciiTheme="majorHAnsi" w:hAnsiTheme="majorHAn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="0095298D"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="0095298D" w:rsidRPr="005A0D6D">
              <w:rPr>
                <w:rFonts w:asciiTheme="majorHAnsi" w:hAnsiTheme="majorHAnsi"/>
              </w:rPr>
            </w:r>
            <w:r w:rsidR="0095298D"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  <w:r w:rsidR="005A0D6D" w:rsidRPr="00E17628">
              <w:rPr>
                <w:rFonts w:asciiTheme="majorHAnsi" w:hAnsiTheme="majorHAnsi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64021" w:rsidRPr="004A6B74" w:rsidTr="00F07811">
        <w:trPr>
          <w:trHeight w:val="111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6A3CD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Дата на оповестяване на съобщението за публично предлагане на уеб-страницата на емитента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:rsidR="00D76882" w:rsidRPr="00D76882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:rsidTr="00F07811">
        <w:trPr>
          <w:trHeight w:val="124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6A3CD7" w:rsidRDefault="006A3CD7" w:rsidP="006A3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Дата на оповестяване на съобщението за публично предлагане на уеб-страницата на пазар </w:t>
            </w:r>
            <w:r>
              <w:rPr>
                <w:rFonts w:ascii="Times New Roman" w:eastAsia="Times New Roman" w:hAnsi="Times New Roman" w:cs="Times New Roman"/>
                <w:spacing w:val="6"/>
                <w:lang w:val="en-US"/>
              </w:rPr>
              <w:t>beam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:rsidR="00364021" w:rsidRPr="004A6B74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:rsidTr="00F07811">
        <w:trPr>
          <w:trHeight w:val="116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6A3CD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Дата на оповестяване на съобщението за публично предлагане на уеб-страницата на </w:t>
            </w:r>
            <w:r w:rsidR="00364021" w:rsidRPr="004A6B74">
              <w:rPr>
                <w:rFonts w:ascii="Times New Roman" w:eastAsia="Times New Roman" w:hAnsi="Times New Roman" w:cs="Times New Roman"/>
              </w:rPr>
              <w:t>съветника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:rsidR="00364021" w:rsidRPr="004A6B74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A67C15" w:rsidRPr="004A6B74" w:rsidTr="00F07811">
        <w:trPr>
          <w:trHeight w:val="125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Pr="004A6B74" w:rsidRDefault="00A67C15" w:rsidP="00A67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Дата на оповестяване на съобщението за публично предлагане на уеб-страницата на </w:t>
            </w:r>
            <w:r>
              <w:rPr>
                <w:rFonts w:ascii="Times New Roman" w:eastAsia="Times New Roman" w:hAnsi="Times New Roman" w:cs="Times New Roman"/>
              </w:rPr>
              <w:t>обслужващия инвестиционен посредник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:rsidR="00A67C15" w:rsidRPr="004A6B74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A67C15" w:rsidRPr="004A6B74" w:rsidTr="00F07811">
        <w:trPr>
          <w:trHeight w:val="125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Pr="004A6B74" w:rsidRDefault="00A67C15" w:rsidP="00951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Дата на оповестяване на съобщението за публично предлагане на уеб-страницата на </w:t>
            </w:r>
            <w:r>
              <w:rPr>
                <w:rFonts w:ascii="Times New Roman" w:eastAsia="Times New Roman" w:hAnsi="Times New Roman" w:cs="Times New Roman"/>
              </w:rPr>
              <w:t>специализирана медия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:rsidR="00A67C15" w:rsidRPr="004A6B74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:rsidTr="00F07811">
        <w:trPr>
          <w:trHeight w:val="151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D76882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  <w:r w:rsidR="006A3CD7">
              <w:rPr>
                <w:rFonts w:ascii="Times New Roman" w:eastAsia="Times New Roman" w:hAnsi="Times New Roman" w:cs="Times New Roman"/>
              </w:rPr>
              <w:t xml:space="preserve"> на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E22515" w:rsidRDefault="0095298D" w:rsidP="00E17628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Начало на публично предлагане е по-късната дата на оповестяване на съобщението за предлагането на уеб-страницата на пазар beam и на страницата на емитента и на обслужващия инвестиционен посредник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07811" w:rsidRPr="004A6B74" w:rsidTr="00F0781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11" w:rsidRPr="004A6B74" w:rsidRDefault="00F07811" w:rsidP="00F07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Продължителност на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11" w:rsidRPr="00611D21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Предлагането ще продължи до изчерпване на предлаганото количество акции, но не повече от една търговска сесия, в рамките на която се провежда IPO аукциона.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D76882" w:rsidRPr="004A6B74" w:rsidTr="00F07811">
        <w:trPr>
          <w:trHeight w:val="11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82" w:rsidRPr="004A6B74" w:rsidRDefault="00D76882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График на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:rsidR="00E17628" w:rsidRPr="00E17628" w:rsidRDefault="00E17628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E17628">
              <w:rPr>
                <w:rFonts w:asciiTheme="majorHAnsi" w:hAnsiTheme="majorHAnsi"/>
                <w:noProof/>
              </w:rPr>
              <w:t>дата на оповестяване;</w:t>
            </w:r>
          </w:p>
          <w:p w:rsidR="00E17628" w:rsidRPr="00E17628" w:rsidRDefault="00E17628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E17628">
              <w:rPr>
                <w:rFonts w:asciiTheme="majorHAnsi" w:hAnsiTheme="majorHAnsi"/>
                <w:noProof/>
              </w:rPr>
              <w:t>срок на предлагането в дни;</w:t>
            </w:r>
          </w:p>
          <w:p w:rsidR="00E17628" w:rsidRPr="00E17628" w:rsidRDefault="00E17628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E17628">
              <w:rPr>
                <w:rFonts w:asciiTheme="majorHAnsi" w:hAnsiTheme="majorHAnsi"/>
                <w:noProof/>
              </w:rPr>
              <w:t>дата на провеждане на IPO аукциона на борсата;</w:t>
            </w:r>
          </w:p>
          <w:p w:rsidR="009E0308" w:rsidRPr="00E22515" w:rsidRDefault="00E17628" w:rsidP="00E17628">
            <w:pPr>
              <w:spacing w:after="0" w:line="240" w:lineRule="auto"/>
              <w:rPr>
                <w:rFonts w:asciiTheme="majorHAnsi" w:hAnsiTheme="majorHAnsi"/>
              </w:rPr>
            </w:pPr>
            <w:r w:rsidRPr="00E17628">
              <w:rPr>
                <w:rFonts w:asciiTheme="majorHAnsi" w:hAnsiTheme="majorHAnsi"/>
                <w:noProof/>
              </w:rPr>
              <w:t>Крайна дата на предлагането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:rsidTr="00F07811">
        <w:trPr>
          <w:trHeight w:val="116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D76882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Край</w:t>
            </w:r>
            <w:r w:rsidR="00A67C15">
              <w:rPr>
                <w:rFonts w:ascii="Times New Roman" w:eastAsia="Times New Roman" w:hAnsi="Times New Roman" w:cs="Times New Roman"/>
              </w:rPr>
              <w:t>на дата</w:t>
            </w:r>
            <w:r>
              <w:rPr>
                <w:rFonts w:ascii="Times New Roman" w:eastAsia="Times New Roman" w:hAnsi="Times New Roman" w:cs="Times New Roman"/>
              </w:rPr>
              <w:t xml:space="preserve"> на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A67C15" w:rsidRDefault="00A67C15" w:rsidP="00A67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Краят на публичното предлагане е първия</w:t>
            </w:r>
            <w:r w:rsidR="00D22D0F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работен ден</w:t>
            </w:r>
            <w:r w:rsidR="00D22D0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следващ изтичането на два работни дни, считано от датата на провеждане на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IPO</w:t>
            </w:r>
            <w:r>
              <w:rPr>
                <w:rFonts w:ascii="Times New Roman" w:eastAsia="Times New Roman" w:hAnsi="Times New Roman" w:cs="Times New Roman"/>
              </w:rPr>
              <w:t xml:space="preserve"> аукциона</w:t>
            </w:r>
            <w:r w:rsidR="003C0B8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7C15" w:rsidRPr="004A6B74" w:rsidTr="00F07811">
        <w:trPr>
          <w:trHeight w:val="115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Pr="004A6B74" w:rsidRDefault="00A67C15" w:rsidP="00A67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на оповестяване на резултатите от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Pr="00A67C15" w:rsidRDefault="0095298D" w:rsidP="003C0B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</w:tbl>
    <w:p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882" w:rsidRPr="004A6B74" w:rsidRDefault="00D76882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6F21">
        <w:rPr>
          <w:rFonts w:ascii="Times New Roman" w:hAnsi="Times New Roman" w:cs="Times New Roman"/>
          <w:b/>
          <w:sz w:val="24"/>
          <w:szCs w:val="24"/>
        </w:rPr>
        <w:t>информация относно член на Борсата, упълномощен да въведе поръчка в системата за търговия</w:t>
      </w:r>
    </w:p>
    <w:p w:rsidR="006A3CD7" w:rsidRPr="004A6B74" w:rsidRDefault="006A3CD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2" w:type="dxa"/>
        <w:tblInd w:w="96" w:type="dxa"/>
        <w:tblLook w:val="04A0"/>
      </w:tblPr>
      <w:tblGrid>
        <w:gridCol w:w="4872"/>
        <w:gridCol w:w="4860"/>
      </w:tblGrid>
      <w:tr w:rsidR="00364021" w:rsidRPr="004A6B74" w:rsidTr="00D569F8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611D21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Наименование </w:t>
            </w:r>
            <w:r w:rsidR="00D569F8">
              <w:rPr>
                <w:rFonts w:ascii="Times New Roman" w:eastAsia="Times New Roman" w:hAnsi="Times New Roman" w:cs="Times New Roman"/>
                <w:spacing w:val="6"/>
              </w:rPr>
              <w:t>на борсовия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член: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115A47" w:rsidRPr="004A6B74" w:rsidTr="00115A47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Идентификация на борсовия член в системата: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4A6B74" w:rsidRDefault="0095298D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115A47" w:rsidRPr="004A6B74" w:rsidTr="00115A47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Подаване на поръчки за покупка: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47">
              <w:rPr>
                <w:rFonts w:ascii="Times New Roman" w:eastAsia="Times New Roman" w:hAnsi="Times New Roman" w:cs="Times New Roman"/>
              </w:rPr>
              <w:t xml:space="preserve">Придобиване на акции </w:t>
            </w:r>
            <w:r>
              <w:rPr>
                <w:rFonts w:ascii="Times New Roman" w:eastAsia="Times New Roman" w:hAnsi="Times New Roman" w:cs="Times New Roman"/>
              </w:rPr>
              <w:t>може да бъде осъществено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след като бъде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пода</w:t>
            </w:r>
            <w:r>
              <w:rPr>
                <w:rFonts w:ascii="Times New Roman" w:eastAsia="Times New Roman" w:hAnsi="Times New Roman" w:cs="Times New Roman"/>
              </w:rPr>
              <w:t>дена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поръчка </w:t>
            </w:r>
            <w:r w:rsidRPr="00115A47">
              <w:rPr>
                <w:rFonts w:ascii="Times New Roman" w:eastAsia="Times New Roman" w:hAnsi="Times New Roman" w:cs="Times New Roman"/>
              </w:rPr>
              <w:t>по образец пр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012671">
              <w:rPr>
                <w:rFonts w:ascii="Times New Roman" w:eastAsia="Times New Roman" w:hAnsi="Times New Roman" w:cs="Times New Roman"/>
              </w:rPr>
              <w:t>з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упълномощен инвестиционен посредник</w:t>
            </w:r>
            <w:r>
              <w:rPr>
                <w:rFonts w:ascii="Times New Roman" w:eastAsia="Times New Roman" w:hAnsi="Times New Roman" w:cs="Times New Roman"/>
              </w:rPr>
              <w:t xml:space="preserve">, член на борсата и участник на пазар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beam</w:t>
            </w:r>
          </w:p>
        </w:tc>
      </w:tr>
    </w:tbl>
    <w:p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9F8" w:rsidRPr="00B06F21" w:rsidRDefault="00D569F8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A3CD7" w:rsidRPr="00DA62DE">
        <w:rPr>
          <w:rFonts w:ascii="Times New Roman" w:hAnsi="Times New Roman" w:cs="Times New Roman"/>
          <w:b/>
          <w:sz w:val="24"/>
          <w:szCs w:val="24"/>
        </w:rPr>
        <w:t>наименование на банката, в която ще бъде открита набирателната сметка</w:t>
      </w:r>
    </w:p>
    <w:p w:rsidR="006A3CD7" w:rsidRPr="00B06F21" w:rsidRDefault="006A3CD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364021" w:rsidRPr="004A6B74" w:rsidTr="0036402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F07811" w:rsidP="00F07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Наименование на банката, в която е открита набирателната сметка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:rsidTr="0036402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21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Ред за връщане на набраните </w:t>
            </w:r>
            <w:r w:rsidR="00F90F3E">
              <w:rPr>
                <w:rFonts w:ascii="Times New Roman" w:eastAsia="Times New Roman" w:hAnsi="Times New Roman" w:cs="Times New Roman"/>
                <w:spacing w:val="6"/>
              </w:rPr>
              <w:t>средства, в случай че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предлагането не бъде успешно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Емитентът в рамките на пет работни 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дни уведомява банката, в която е открита </w:t>
            </w:r>
            <w:r>
              <w:rPr>
                <w:rFonts w:ascii="Times New Roman" w:eastAsia="Times New Roman" w:hAnsi="Times New Roman" w:cs="Times New Roman"/>
              </w:rPr>
              <w:t>набирателната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сметка за резултата от</w:t>
            </w:r>
          </w:p>
          <w:p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47">
              <w:rPr>
                <w:rFonts w:ascii="Times New Roman" w:eastAsia="Times New Roman" w:hAnsi="Times New Roman" w:cs="Times New Roman"/>
              </w:rPr>
              <w:t xml:space="preserve">подписката и публикува на интернет страниците на </w:t>
            </w:r>
            <w:r w:rsidR="009E0308" w:rsidRPr="00115A47">
              <w:rPr>
                <w:rFonts w:ascii="Times New Roman" w:eastAsia="Times New Roman" w:hAnsi="Times New Roman" w:cs="Times New Roman"/>
              </w:rPr>
              <w:t>емитента</w:t>
            </w:r>
            <w:r w:rsidR="009E0308">
              <w:rPr>
                <w:rFonts w:ascii="Times New Roman" w:eastAsia="Times New Roman" w:hAnsi="Times New Roman" w:cs="Times New Roman"/>
              </w:rPr>
              <w:t>,на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обслужващия инвестиционен посредник и на съветника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покана до</w:t>
            </w:r>
          </w:p>
          <w:p w:rsidR="00364021" w:rsidRPr="004A6B74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47">
              <w:rPr>
                <w:rFonts w:ascii="Times New Roman" w:eastAsia="Times New Roman" w:hAnsi="Times New Roman" w:cs="Times New Roman"/>
              </w:rPr>
              <w:t>лицата, записали ценни книжа, в която обявява условията</w:t>
            </w:r>
            <w:r>
              <w:rPr>
                <w:rFonts w:ascii="Times New Roman" w:eastAsia="Times New Roman" w:hAnsi="Times New Roman" w:cs="Times New Roman"/>
              </w:rPr>
              <w:t>, срок</w:t>
            </w:r>
            <w:r w:rsidR="00012671">
              <w:rPr>
                <w:rFonts w:ascii="Times New Roman" w:eastAsia="Times New Roman" w:hAnsi="Times New Roman" w:cs="Times New Roman"/>
              </w:rPr>
              <w:t>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и реда за връщане на набраните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5A47">
              <w:rPr>
                <w:rFonts w:ascii="Times New Roman" w:eastAsia="Times New Roman" w:hAnsi="Times New Roman" w:cs="Times New Roman"/>
              </w:rPr>
              <w:t>суми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64021" w:rsidRDefault="00364021" w:rsidP="0005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9F8" w:rsidRDefault="00D569F8" w:rsidP="0005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CD7" w:rsidRDefault="006A3CD7" w:rsidP="006A3CD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00CFC">
        <w:rPr>
          <w:rFonts w:ascii="Times New Roman" w:hAnsi="Times New Roman" w:cs="Times New Roman"/>
          <w:b/>
          <w:sz w:val="24"/>
          <w:szCs w:val="24"/>
        </w:rPr>
        <w:t>информация относно приложимия аукцион</w:t>
      </w:r>
    </w:p>
    <w:p w:rsidR="00F90F3E" w:rsidRDefault="00F90F3E" w:rsidP="006A3CD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2" w:type="dxa"/>
        <w:tblInd w:w="96" w:type="dxa"/>
        <w:tblLook w:val="04A0"/>
      </w:tblPr>
      <w:tblGrid>
        <w:gridCol w:w="3702"/>
        <w:gridCol w:w="6030"/>
      </w:tblGrid>
      <w:tr w:rsidR="00F90F3E" w:rsidRPr="00F90F3E" w:rsidTr="00F90F3E">
        <w:trPr>
          <w:trHeight w:val="30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E" w:rsidRPr="00F90F3E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F3E">
              <w:rPr>
                <w:rFonts w:ascii="Times New Roman" w:eastAsia="Times New Roman" w:hAnsi="Times New Roman" w:cs="Times New Roman"/>
              </w:rPr>
              <w:t>Приложим аукцион: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E" w:rsidRPr="00F90F3E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F3E">
              <w:rPr>
                <w:rFonts w:ascii="Times New Roman" w:hAnsi="Times New Roman" w:cs="Times New Roman"/>
                <w:bCs/>
                <w:color w:val="000000"/>
                <w:lang w:val="en-US"/>
              </w:rPr>
              <w:t>Xetra</w:t>
            </w:r>
            <w:r w:rsidRPr="00F90F3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0F3E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Pr="00F90F3E">
              <w:rPr>
                <w:rFonts w:ascii="Times New Roman" w:hAnsi="Times New Roman" w:cs="Times New Roman"/>
                <w:bCs/>
                <w:color w:val="000000"/>
              </w:rPr>
              <w:t xml:space="preserve">7 </w:t>
            </w:r>
            <w:r w:rsidRPr="00F90F3E">
              <w:rPr>
                <w:rFonts w:ascii="Times New Roman" w:hAnsi="Times New Roman" w:cs="Times New Roman"/>
                <w:bCs/>
                <w:color w:val="000000"/>
                <w:lang w:val="en-US"/>
              </w:rPr>
              <w:t>IPO</w:t>
            </w:r>
            <w:r w:rsidRPr="00F90F3E">
              <w:rPr>
                <w:rFonts w:ascii="Times New Roman" w:hAnsi="Times New Roman" w:cs="Times New Roman"/>
                <w:bCs/>
                <w:color w:val="000000"/>
              </w:rPr>
              <w:t xml:space="preserve"> Аукцион за Българска фондова борса</w:t>
            </w:r>
          </w:p>
        </w:tc>
      </w:tr>
      <w:tr w:rsidR="00D569F8" w:rsidRPr="00D569F8" w:rsidTr="00F90F3E">
        <w:trPr>
          <w:trHeight w:val="30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FE5EEA" w:rsidRDefault="00FE5EEA" w:rsidP="00F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Фази на аукциона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FE5EEA" w:rsidRDefault="00FE5EEA" w:rsidP="00F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D569F8" w:rsidRPr="004A6B74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E943FF" w:rsidRDefault="00D569F8" w:rsidP="00D569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Предварителна (Pre-trade) фаза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E943FF">
              <w:rPr>
                <w:rFonts w:ascii="Times New Roman" w:eastAsia="Times New Roman" w:hAnsi="Times New Roman" w:cs="Times New Roman"/>
              </w:rPr>
              <w:t>време на предварителната фаза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943FF">
              <w:rPr>
                <w:rFonts w:ascii="Times New Roman" w:eastAsia="Times New Roman" w:hAnsi="Times New Roman" w:cs="Times New Roman"/>
              </w:rPr>
              <w:t xml:space="preserve"> чрез търговската платформа се допуска въвеждане на поръчки „купува” от всички пазарни участници, както и модифициране или изтриване на съществуващи поръчки</w:t>
            </w:r>
          </w:p>
        </w:tc>
      </w:tr>
      <w:tr w:rsidR="00D569F8" w:rsidRPr="004A6B74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E943FF" w:rsidRDefault="00D569F8" w:rsidP="00D569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Call фаза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Борсата въвежда ценови диапазон (Matching Range) за изпълнение от името на водещия мениджър.</w:t>
            </w:r>
          </w:p>
          <w:p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По време на кол-фазата чрез търговската платформа се допуска въвеждане на поръчки „купува” от всички пазарни участници, както и модифициране или изтриване на съществуващи поръчки.</w:t>
            </w:r>
          </w:p>
        </w:tc>
      </w:tr>
      <w:tr w:rsidR="00D569F8" w:rsidRPr="004A6B74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E943FF" w:rsidRDefault="00D569F8" w:rsidP="00D569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IPO Freeze фаза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Въвеждането, модификацията или изтриването на поръчки се деактивира, за да може водещият мениджър да оцени пазарната ситуация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569F8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 xml:space="preserve">Решението за цена и обем на изпълнение е на водещия </w:t>
            </w:r>
            <w:r w:rsidRPr="00D569F8">
              <w:rPr>
                <w:rFonts w:ascii="Times New Roman" w:eastAsia="Times New Roman" w:hAnsi="Times New Roman" w:cs="Times New Roman"/>
              </w:rPr>
              <w:lastRenderedPageBreak/>
              <w:t>мениджър по предл</w:t>
            </w:r>
            <w:r>
              <w:rPr>
                <w:rFonts w:ascii="Times New Roman" w:eastAsia="Times New Roman" w:hAnsi="Times New Roman" w:cs="Times New Roman"/>
              </w:rPr>
              <w:t>агането.</w:t>
            </w:r>
          </w:p>
          <w:p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Отразяването на неговото решение става чрез въвеждане на цена „продава” по време на Freeze фазата, като цената „продава” следва да е в рамките на предварително зададения Matching Range. Поръчката „продава” на водещия мениджър се въвежда служебно от Борсата.</w:t>
            </w:r>
          </w:p>
        </w:tc>
      </w:tr>
      <w:tr w:rsidR="00D569F8" w:rsidRPr="004A6B74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E943FF" w:rsidRDefault="00D569F8" w:rsidP="00D569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lastRenderedPageBreak/>
              <w:t>Фаза на определяне на цената (Price determination)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След въвеждането на поръчката на водещия мениджър Борсата инициира ръчно фазата на определяне на цената, изпълнявайки поръчките на цената на аукциона в рамките на ценовия диапазон. Удовлетворяването на поръчките „купува” се извършва от най-високата цена „купува” до определената цена „продава” (най-ниската цена, на която ще бъдат удовлетворени поръчки) от водещия мениджър, и е в пълния изпълним обем за този ценови диапазон. В случай че по време на аукциона са въведени само пазарни поръчки “продава” и “купува”, цената на аукциона е равна на референтната цена, определена от емитента със заявлението за допускане, независимо дали количествата “продава” и “купува” са еднакви или съществува излишък от една от страните.</w:t>
            </w:r>
          </w:p>
        </w:tc>
      </w:tr>
      <w:tr w:rsidR="00D569F8" w:rsidRPr="00D569F8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D569F8" w:rsidRDefault="00D569F8" w:rsidP="00F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9F8">
              <w:rPr>
                <w:rFonts w:ascii="Times New Roman" w:eastAsia="Times New Roman" w:hAnsi="Times New Roman" w:cs="Times New Roman"/>
                <w:b/>
              </w:rPr>
              <w:t>Допустими видове поръчки: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D569F8" w:rsidRDefault="00FE5EEA" w:rsidP="00F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D569F8" w:rsidRPr="004A6B74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E943FF" w:rsidRDefault="00D569F8" w:rsidP="00D569F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Лимитирани поръчки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Поръчки за покупка на определено количество акции при посочена лимитирана цена. С подаването на лимитирана поръчка всеки инвеститор се съгласява да получи акции на определената при IPO аукциона цена на предлагането, в случай че тази цена е по-ниска или равна от подадената от него цена. Лимитираните поръчки могат да бъдат изпълнени цялостно или частично.</w:t>
            </w:r>
          </w:p>
        </w:tc>
      </w:tr>
      <w:tr w:rsidR="00D569F8" w:rsidRPr="004A6B74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E943FF" w:rsidRDefault="00D569F8" w:rsidP="00D569F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Пазарни поръчки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Поръчки за покупка на определено количество акции, които не съдържат цена. С подаването на пазарна поръчка, всеки инвеститор се съгласява да получи акции на определената при IPO аукциона цена на предлагането. Пазарната поръчка може да бъде изпълнена цялостно или частично.</w:t>
            </w:r>
          </w:p>
        </w:tc>
      </w:tr>
    </w:tbl>
    <w:p w:rsidR="006A3CD7" w:rsidRDefault="006A3CD7" w:rsidP="006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15" w:rsidRPr="004A6B74" w:rsidRDefault="00A67C15" w:rsidP="00054F17">
      <w:pPr>
        <w:pStyle w:val="Default"/>
        <w:jc w:val="center"/>
        <w:rPr>
          <w:b/>
          <w:color w:val="auto"/>
          <w:sz w:val="20"/>
          <w:szCs w:val="20"/>
        </w:rPr>
      </w:pPr>
    </w:p>
    <w:p w:rsidR="00364021" w:rsidRPr="00186C73" w:rsidRDefault="00364021" w:rsidP="00054F17">
      <w:pPr>
        <w:pStyle w:val="Default"/>
        <w:jc w:val="center"/>
        <w:rPr>
          <w:b/>
          <w:sz w:val="20"/>
          <w:szCs w:val="20"/>
        </w:rPr>
      </w:pPr>
      <w:r w:rsidRPr="00186C73">
        <w:rPr>
          <w:b/>
          <w:sz w:val="20"/>
          <w:szCs w:val="20"/>
        </w:rPr>
        <w:t xml:space="preserve">По чл. </w:t>
      </w:r>
      <w:r>
        <w:rPr>
          <w:b/>
          <w:sz w:val="20"/>
          <w:szCs w:val="20"/>
        </w:rPr>
        <w:t>14, ал. 1, т. 5</w:t>
      </w:r>
      <w:r w:rsidRPr="00186C73">
        <w:rPr>
          <w:b/>
          <w:sz w:val="20"/>
          <w:szCs w:val="20"/>
        </w:rPr>
        <w:t xml:space="preserve"> от Правилата за допускане до търговия на пазар BEAM</w:t>
      </w:r>
    </w:p>
    <w:p w:rsidR="00364021" w:rsidRPr="004A6B74" w:rsidRDefault="00364021" w:rsidP="00054F17">
      <w:pPr>
        <w:pStyle w:val="Default"/>
        <w:jc w:val="center"/>
        <w:rPr>
          <w:b/>
          <w:color w:val="auto"/>
        </w:rPr>
      </w:pPr>
    </w:p>
    <w:p w:rsidR="00364021" w:rsidRDefault="00364021" w:rsidP="00054F17">
      <w:pPr>
        <w:pStyle w:val="Default"/>
      </w:pPr>
    </w:p>
    <w:p w:rsidR="00364021" w:rsidRPr="00B06F21" w:rsidRDefault="00364021" w:rsidP="00054F1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21">
        <w:rPr>
          <w:rFonts w:ascii="Times New Roman" w:hAnsi="Times New Roman" w:cs="Times New Roman"/>
          <w:b/>
          <w:sz w:val="24"/>
          <w:szCs w:val="24"/>
        </w:rPr>
        <w:t>Друга информация по преценка на емитента</w:t>
      </w:r>
    </w:p>
    <w:p w:rsidR="00364021" w:rsidRPr="004A6B74" w:rsidRDefault="00364021" w:rsidP="00054F17">
      <w:pPr>
        <w:pStyle w:val="Default"/>
        <w:ind w:firstLine="708"/>
        <w:jc w:val="both"/>
        <w:rPr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364021" w:rsidRPr="004A6B74" w:rsidTr="00364021">
        <w:trPr>
          <w:trHeight w:val="883"/>
        </w:trPr>
        <w:tc>
          <w:tcPr>
            <w:tcW w:w="9738" w:type="dxa"/>
          </w:tcPr>
          <w:p w:rsidR="00364021" w:rsidRPr="004A6B74" w:rsidRDefault="0095298D" w:rsidP="00054F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A0D6D">
              <w:rPr>
                <w:rFonts w:asciiTheme="majorHAnsi" w:hAnsiTheme="majorHAns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  <w:color w:val="auto"/>
                <w:sz w:val="22"/>
                <w:szCs w:val="22"/>
              </w:rPr>
              <w:instrText xml:space="preserve"> FORMTEXT </w:instrText>
            </w:r>
            <w:r w:rsidRPr="005A0D6D">
              <w:rPr>
                <w:rFonts w:asciiTheme="majorHAnsi" w:hAnsiTheme="majorHAnsi"/>
                <w:color w:val="auto"/>
                <w:sz w:val="22"/>
                <w:szCs w:val="22"/>
              </w:rPr>
            </w:r>
            <w:r w:rsidRPr="005A0D6D">
              <w:rPr>
                <w:rFonts w:asciiTheme="majorHAnsi" w:hAnsiTheme="majorHAnsi"/>
                <w:color w:val="auto"/>
                <w:sz w:val="22"/>
                <w:szCs w:val="22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Pr="005A0D6D">
              <w:rPr>
                <w:rFonts w:asciiTheme="majorHAnsi" w:hAnsiTheme="maj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64021" w:rsidRDefault="00364021" w:rsidP="00054F17">
      <w:pPr>
        <w:pStyle w:val="Default"/>
        <w:jc w:val="both"/>
        <w:rPr>
          <w:color w:val="auto"/>
        </w:rPr>
      </w:pPr>
    </w:p>
    <w:p w:rsidR="00115A47" w:rsidRPr="009E1BF9" w:rsidRDefault="0095298D" w:rsidP="00054F17">
      <w:pPr>
        <w:pStyle w:val="Default"/>
        <w:jc w:val="both"/>
        <w:rPr>
          <w:color w:val="auto"/>
          <w:highlight w:val="yellow"/>
        </w:rPr>
      </w:pPr>
      <w:r w:rsidRPr="005A0D6D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2515" w:rsidRPr="005A0D6D">
        <w:rPr>
          <w:rFonts w:asciiTheme="majorHAnsi" w:hAnsiTheme="majorHAnsi"/>
        </w:rPr>
        <w:instrText xml:space="preserve"> FORMTEXT </w:instrText>
      </w:r>
      <w:r w:rsidRPr="005A0D6D">
        <w:rPr>
          <w:rFonts w:asciiTheme="majorHAnsi" w:hAnsiTheme="majorHAnsi"/>
        </w:rPr>
      </w:r>
      <w:r w:rsidRPr="005A0D6D">
        <w:rPr>
          <w:rFonts w:asciiTheme="majorHAnsi" w:hAnsiTheme="majorHAnsi"/>
        </w:rPr>
        <w:fldChar w:fldCharType="separate"/>
      </w:r>
      <w:r w:rsidR="00E17628" w:rsidRPr="00E17628">
        <w:rPr>
          <w:rFonts w:asciiTheme="majorHAnsi" w:hAnsiTheme="majorHAnsi"/>
          <w:noProof/>
        </w:rPr>
        <w:t>Примери за допълнителна информация</w:t>
      </w:r>
      <w:r w:rsidR="00E17628">
        <w:rPr>
          <w:rFonts w:asciiTheme="majorHAnsi" w:hAnsiTheme="majorHAnsi"/>
          <w:noProof/>
        </w:rPr>
        <w:t xml:space="preserve"> - по преценка на емитента, съветника или обслужващия инвестиционен посредник</w:t>
      </w:r>
      <w:r w:rsidR="00E17628" w:rsidRPr="00E17628">
        <w:rPr>
          <w:rFonts w:asciiTheme="majorHAnsi" w:hAnsiTheme="majorHAnsi"/>
          <w:noProof/>
        </w:rPr>
        <w:t>:</w:t>
      </w:r>
      <w:r w:rsidRPr="005A0D6D">
        <w:rPr>
          <w:rFonts w:asciiTheme="majorHAnsi" w:hAnsiTheme="majorHAnsi"/>
        </w:rPr>
        <w:fldChar w:fldCharType="end"/>
      </w:r>
    </w:p>
    <w:p w:rsidR="00115A47" w:rsidRPr="009E1BF9" w:rsidRDefault="00115A47" w:rsidP="00054F17">
      <w:pPr>
        <w:pStyle w:val="Default"/>
        <w:jc w:val="both"/>
        <w:rPr>
          <w:color w:val="auto"/>
          <w:highlight w:val="yellow"/>
        </w:rPr>
      </w:pPr>
    </w:p>
    <w:tbl>
      <w:tblPr>
        <w:tblW w:w="9732" w:type="dxa"/>
        <w:tblInd w:w="96" w:type="dxa"/>
        <w:tblLook w:val="04A0"/>
      </w:tblPr>
      <w:tblGrid>
        <w:gridCol w:w="4872"/>
        <w:gridCol w:w="4860"/>
      </w:tblGrid>
      <w:tr w:rsidR="00115A47" w:rsidRPr="009E1BF9" w:rsidTr="009E1BF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9E1BF9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Начин на образуване на цената, на която се предлагат акциите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9E1BF9" w:rsidRDefault="0095298D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9E1BF9" w:rsidRPr="009E1BF9" w:rsidTr="009E1BF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F9" w:rsidRPr="009E1BF9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Намерение от страна на лица, които са пряко свързани с управлението на емитента в предлагането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F9" w:rsidRPr="009E1BF9" w:rsidRDefault="0095298D" w:rsidP="009E324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115A47" w:rsidRPr="009E1BF9" w:rsidTr="009E1BF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9E1BF9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Разходи, които ще бъдат направени във връзка с предлагането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9E1BF9" w:rsidRDefault="0095298D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115A47" w:rsidRPr="00115A47" w:rsidTr="009E1BF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115A47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Медии и места, на които ще бъде оповестено предлагането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7" w:rsidRPr="00115A47" w:rsidRDefault="0095298D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EA1D19" w:rsidRPr="00115A47" w:rsidTr="00EA1D1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19" w:rsidRPr="00EA1D19" w:rsidRDefault="0095298D" w:rsidP="00EA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19" w:rsidRPr="00115A47" w:rsidRDefault="0095298D" w:rsidP="00EA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E5EEA" w:rsidRPr="00115A47" w:rsidTr="00FE5EEA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E5EEA" w:rsidRPr="00115A47" w:rsidTr="00FE5EEA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E5EEA" w:rsidRPr="00115A47" w:rsidTr="00FE5EEA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</w:tbl>
    <w:p w:rsidR="007A47E7" w:rsidRPr="004B7B3B" w:rsidRDefault="007A47E7" w:rsidP="00FE5E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A47E7" w:rsidRPr="004B7B3B" w:rsidSect="005F42EA">
      <w:headerReference w:type="default" r:id="rId10"/>
      <w:footerReference w:type="default" r:id="rId11"/>
      <w:pgSz w:w="11906" w:h="16838"/>
      <w:pgMar w:top="1716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88" w:rsidRDefault="00827988" w:rsidP="00B666ED">
      <w:pPr>
        <w:spacing w:after="0" w:line="240" w:lineRule="auto"/>
      </w:pPr>
      <w:r>
        <w:separator/>
      </w:r>
    </w:p>
  </w:endnote>
  <w:endnote w:type="continuationSeparator" w:id="0">
    <w:p w:rsidR="00827988" w:rsidRDefault="00827988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827988" w:rsidRPr="00D204A5" w:rsidRDefault="00827988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28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88" w:rsidRDefault="00827988" w:rsidP="00B666ED">
      <w:pPr>
        <w:spacing w:after="0" w:line="240" w:lineRule="auto"/>
      </w:pPr>
      <w:r>
        <w:separator/>
      </w:r>
    </w:p>
  </w:footnote>
  <w:footnote w:type="continuationSeparator" w:id="0">
    <w:p w:rsidR="00827988" w:rsidRDefault="00827988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88" w:rsidRDefault="00827988" w:rsidP="00D204A5">
    <w:pPr>
      <w:pStyle w:val="Footer"/>
      <w:rPr>
        <w:i/>
      </w:rPr>
    </w:pPr>
    <w:r w:rsidRPr="00B666ED">
      <w:rPr>
        <w:i/>
      </w:rPr>
      <w:t>Образец на документ за допускане до търговия</w:t>
    </w:r>
  </w:p>
  <w:p w:rsidR="00827988" w:rsidRPr="00557840" w:rsidRDefault="00827988" w:rsidP="00D204A5">
    <w:pPr>
      <w:pStyle w:val="Footer"/>
      <w:rPr>
        <w:i/>
      </w:rPr>
    </w:pPr>
    <w:r>
      <w:rPr>
        <w:i/>
      </w:rPr>
      <w:t>Емисия</w:t>
    </w:r>
    <w:r w:rsidRPr="00B666ED">
      <w:rPr>
        <w:i/>
      </w:rPr>
      <w:t xml:space="preserve"> </w:t>
    </w:r>
    <w:r>
      <w:rPr>
        <w:i/>
      </w:rPr>
      <w:t>акции</w:t>
    </w:r>
  </w:p>
  <w:p w:rsidR="00827988" w:rsidRPr="005F42EA" w:rsidRDefault="00827988" w:rsidP="00D204A5">
    <w:pPr>
      <w:pStyle w:val="Footer"/>
    </w:pPr>
    <w:r>
      <w:rPr>
        <w:i/>
      </w:rPr>
      <w:t xml:space="preserve">Одобрен от СД на БФБ АД на </w:t>
    </w:r>
    <w:r w:rsidRPr="00557840">
      <w:rPr>
        <w:i/>
      </w:rPr>
      <w:t>24</w:t>
    </w:r>
    <w:r>
      <w:rPr>
        <w:i/>
      </w:rPr>
      <w:t>.</w:t>
    </w:r>
    <w:r w:rsidRPr="00557840">
      <w:rPr>
        <w:i/>
      </w:rPr>
      <w:t>02</w:t>
    </w:r>
    <w:r>
      <w:rPr>
        <w:i/>
      </w:rPr>
      <w:t>.2020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E36E2"/>
    <w:multiLevelType w:val="hybridMultilevel"/>
    <w:tmpl w:val="63703620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9"/>
  </w:num>
  <w:num w:numId="7">
    <w:abstractNumId w:val="17"/>
  </w:num>
  <w:num w:numId="8">
    <w:abstractNumId w:val="3"/>
  </w:num>
  <w:num w:numId="9">
    <w:abstractNumId w:val="14"/>
  </w:num>
  <w:num w:numId="10">
    <w:abstractNumId w:val="0"/>
  </w:num>
  <w:num w:numId="11">
    <w:abstractNumId w:val="18"/>
  </w:num>
  <w:num w:numId="12">
    <w:abstractNumId w:val="22"/>
  </w:num>
  <w:num w:numId="13">
    <w:abstractNumId w:val="29"/>
  </w:num>
  <w:num w:numId="14">
    <w:abstractNumId w:val="13"/>
  </w:num>
  <w:num w:numId="15">
    <w:abstractNumId w:val="4"/>
  </w:num>
  <w:num w:numId="16">
    <w:abstractNumId w:val="21"/>
  </w:num>
  <w:num w:numId="17">
    <w:abstractNumId w:val="1"/>
  </w:num>
  <w:num w:numId="18">
    <w:abstractNumId w:val="28"/>
  </w:num>
  <w:num w:numId="19">
    <w:abstractNumId w:val="24"/>
  </w:num>
  <w:num w:numId="20">
    <w:abstractNumId w:val="7"/>
  </w:num>
  <w:num w:numId="21">
    <w:abstractNumId w:val="25"/>
  </w:num>
  <w:num w:numId="22">
    <w:abstractNumId w:val="10"/>
  </w:num>
  <w:num w:numId="23">
    <w:abstractNumId w:val="26"/>
  </w:num>
  <w:num w:numId="24">
    <w:abstractNumId w:val="16"/>
  </w:num>
  <w:num w:numId="25">
    <w:abstractNumId w:val="8"/>
  </w:num>
  <w:num w:numId="26">
    <w:abstractNumId w:val="15"/>
  </w:num>
  <w:num w:numId="27">
    <w:abstractNumId w:val="5"/>
  </w:num>
  <w:num w:numId="28">
    <w:abstractNumId w:val="20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uwtSsbONEJk0UfII4sWnlB6neLs=" w:salt="vW/T+gEZGNEmw7MM+65ek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F7472"/>
    <w:rsid w:val="000106D4"/>
    <w:rsid w:val="00012671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9108F"/>
    <w:rsid w:val="000A1837"/>
    <w:rsid w:val="000B727E"/>
    <w:rsid w:val="000C299A"/>
    <w:rsid w:val="000D1007"/>
    <w:rsid w:val="000D3C99"/>
    <w:rsid w:val="000D4CFC"/>
    <w:rsid w:val="000F3664"/>
    <w:rsid w:val="0011053D"/>
    <w:rsid w:val="0011325F"/>
    <w:rsid w:val="00115A47"/>
    <w:rsid w:val="00116ED9"/>
    <w:rsid w:val="00127FBA"/>
    <w:rsid w:val="00132EE1"/>
    <w:rsid w:val="00152D8E"/>
    <w:rsid w:val="00160605"/>
    <w:rsid w:val="00181511"/>
    <w:rsid w:val="00186C73"/>
    <w:rsid w:val="00193A46"/>
    <w:rsid w:val="001C7DC2"/>
    <w:rsid w:val="001D4062"/>
    <w:rsid w:val="001D4572"/>
    <w:rsid w:val="001D62AF"/>
    <w:rsid w:val="001F0FE6"/>
    <w:rsid w:val="001F5A31"/>
    <w:rsid w:val="00202A9E"/>
    <w:rsid w:val="002036AF"/>
    <w:rsid w:val="00206A37"/>
    <w:rsid w:val="002075F9"/>
    <w:rsid w:val="0021394B"/>
    <w:rsid w:val="00224A30"/>
    <w:rsid w:val="00226F7E"/>
    <w:rsid w:val="002276FD"/>
    <w:rsid w:val="0022779E"/>
    <w:rsid w:val="00232FFB"/>
    <w:rsid w:val="00242F5D"/>
    <w:rsid w:val="00245696"/>
    <w:rsid w:val="0025070D"/>
    <w:rsid w:val="00252FCB"/>
    <w:rsid w:val="002578BE"/>
    <w:rsid w:val="002A097E"/>
    <w:rsid w:val="002B337E"/>
    <w:rsid w:val="002B778F"/>
    <w:rsid w:val="002C6C8B"/>
    <w:rsid w:val="002D0A58"/>
    <w:rsid w:val="002D7A5A"/>
    <w:rsid w:val="00307C2D"/>
    <w:rsid w:val="00351018"/>
    <w:rsid w:val="003624EC"/>
    <w:rsid w:val="00364021"/>
    <w:rsid w:val="00375F72"/>
    <w:rsid w:val="00390BA3"/>
    <w:rsid w:val="00391A91"/>
    <w:rsid w:val="003A2C6E"/>
    <w:rsid w:val="003B5C4A"/>
    <w:rsid w:val="003C0B8E"/>
    <w:rsid w:val="003C485C"/>
    <w:rsid w:val="003D7B56"/>
    <w:rsid w:val="003E01EB"/>
    <w:rsid w:val="003E1ADF"/>
    <w:rsid w:val="00401CB8"/>
    <w:rsid w:val="004022A4"/>
    <w:rsid w:val="00467EC7"/>
    <w:rsid w:val="004708DF"/>
    <w:rsid w:val="00475A94"/>
    <w:rsid w:val="004808A4"/>
    <w:rsid w:val="004A25E3"/>
    <w:rsid w:val="004A6B74"/>
    <w:rsid w:val="004B498D"/>
    <w:rsid w:val="004B7B3B"/>
    <w:rsid w:val="004D765B"/>
    <w:rsid w:val="004E0476"/>
    <w:rsid w:val="004E0E2A"/>
    <w:rsid w:val="004E2B54"/>
    <w:rsid w:val="004E31A5"/>
    <w:rsid w:val="004E3F8A"/>
    <w:rsid w:val="004E4140"/>
    <w:rsid w:val="004E643A"/>
    <w:rsid w:val="00502D04"/>
    <w:rsid w:val="005074FE"/>
    <w:rsid w:val="005218CA"/>
    <w:rsid w:val="00526447"/>
    <w:rsid w:val="00533F66"/>
    <w:rsid w:val="00537D09"/>
    <w:rsid w:val="00540347"/>
    <w:rsid w:val="00544FDC"/>
    <w:rsid w:val="00557840"/>
    <w:rsid w:val="00561AD0"/>
    <w:rsid w:val="00562D8B"/>
    <w:rsid w:val="005803B2"/>
    <w:rsid w:val="00581D7A"/>
    <w:rsid w:val="005964EF"/>
    <w:rsid w:val="00596790"/>
    <w:rsid w:val="005A0D6D"/>
    <w:rsid w:val="005A3F67"/>
    <w:rsid w:val="005B7A42"/>
    <w:rsid w:val="005C0FCA"/>
    <w:rsid w:val="005C1CAB"/>
    <w:rsid w:val="005C4DBA"/>
    <w:rsid w:val="005C628F"/>
    <w:rsid w:val="005D331D"/>
    <w:rsid w:val="005E16E3"/>
    <w:rsid w:val="005F2931"/>
    <w:rsid w:val="005F42EA"/>
    <w:rsid w:val="005F4B96"/>
    <w:rsid w:val="0060472A"/>
    <w:rsid w:val="00606BF7"/>
    <w:rsid w:val="00611D21"/>
    <w:rsid w:val="006526FF"/>
    <w:rsid w:val="006614A5"/>
    <w:rsid w:val="006A0433"/>
    <w:rsid w:val="006A0A93"/>
    <w:rsid w:val="006A325E"/>
    <w:rsid w:val="006A3CD7"/>
    <w:rsid w:val="006A5E45"/>
    <w:rsid w:val="006F7E16"/>
    <w:rsid w:val="007077A5"/>
    <w:rsid w:val="00715663"/>
    <w:rsid w:val="0073635C"/>
    <w:rsid w:val="00737208"/>
    <w:rsid w:val="007377A4"/>
    <w:rsid w:val="00741F84"/>
    <w:rsid w:val="00747127"/>
    <w:rsid w:val="00761AD8"/>
    <w:rsid w:val="00770F12"/>
    <w:rsid w:val="007855A5"/>
    <w:rsid w:val="00785FC1"/>
    <w:rsid w:val="007A21F5"/>
    <w:rsid w:val="007A47E7"/>
    <w:rsid w:val="007C6611"/>
    <w:rsid w:val="007D1922"/>
    <w:rsid w:val="007D310B"/>
    <w:rsid w:val="007F1DEA"/>
    <w:rsid w:val="007F4D92"/>
    <w:rsid w:val="0080586D"/>
    <w:rsid w:val="008119DD"/>
    <w:rsid w:val="00811D32"/>
    <w:rsid w:val="0081239C"/>
    <w:rsid w:val="00827988"/>
    <w:rsid w:val="00831789"/>
    <w:rsid w:val="008379F6"/>
    <w:rsid w:val="00856F58"/>
    <w:rsid w:val="0086656D"/>
    <w:rsid w:val="00876AF5"/>
    <w:rsid w:val="00882D37"/>
    <w:rsid w:val="00890116"/>
    <w:rsid w:val="008D34F7"/>
    <w:rsid w:val="008E40E1"/>
    <w:rsid w:val="008F25E4"/>
    <w:rsid w:val="008F5FEE"/>
    <w:rsid w:val="00913359"/>
    <w:rsid w:val="0091491A"/>
    <w:rsid w:val="009211B6"/>
    <w:rsid w:val="00921CA2"/>
    <w:rsid w:val="00951873"/>
    <w:rsid w:val="0095298D"/>
    <w:rsid w:val="00954C9E"/>
    <w:rsid w:val="00967D85"/>
    <w:rsid w:val="00996583"/>
    <w:rsid w:val="009B1873"/>
    <w:rsid w:val="009C6CE6"/>
    <w:rsid w:val="009E0308"/>
    <w:rsid w:val="009E1BF9"/>
    <w:rsid w:val="009E3247"/>
    <w:rsid w:val="00A0451C"/>
    <w:rsid w:val="00A23B02"/>
    <w:rsid w:val="00A23D59"/>
    <w:rsid w:val="00A247F3"/>
    <w:rsid w:val="00A30679"/>
    <w:rsid w:val="00A6104E"/>
    <w:rsid w:val="00A63AE6"/>
    <w:rsid w:val="00A67C15"/>
    <w:rsid w:val="00A7149F"/>
    <w:rsid w:val="00A832AA"/>
    <w:rsid w:val="00A8785B"/>
    <w:rsid w:val="00AB19A8"/>
    <w:rsid w:val="00AB565C"/>
    <w:rsid w:val="00AC3FD3"/>
    <w:rsid w:val="00AD1E6F"/>
    <w:rsid w:val="00AD60BE"/>
    <w:rsid w:val="00AD67DD"/>
    <w:rsid w:val="00AD73F2"/>
    <w:rsid w:val="00AF377E"/>
    <w:rsid w:val="00B006D4"/>
    <w:rsid w:val="00B015BB"/>
    <w:rsid w:val="00B07586"/>
    <w:rsid w:val="00B30D6F"/>
    <w:rsid w:val="00B35589"/>
    <w:rsid w:val="00B467B1"/>
    <w:rsid w:val="00B54A3C"/>
    <w:rsid w:val="00B550A2"/>
    <w:rsid w:val="00B5601A"/>
    <w:rsid w:val="00B56ADD"/>
    <w:rsid w:val="00B61D37"/>
    <w:rsid w:val="00B63023"/>
    <w:rsid w:val="00B65A0D"/>
    <w:rsid w:val="00B666ED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9C"/>
    <w:rsid w:val="00BF062D"/>
    <w:rsid w:val="00BF5D62"/>
    <w:rsid w:val="00C044DC"/>
    <w:rsid w:val="00C049B0"/>
    <w:rsid w:val="00C05E3E"/>
    <w:rsid w:val="00C168BD"/>
    <w:rsid w:val="00C209F8"/>
    <w:rsid w:val="00C21528"/>
    <w:rsid w:val="00C411D6"/>
    <w:rsid w:val="00C4329D"/>
    <w:rsid w:val="00C80DD2"/>
    <w:rsid w:val="00CA4139"/>
    <w:rsid w:val="00CD5E5E"/>
    <w:rsid w:val="00CE1CEF"/>
    <w:rsid w:val="00CE5525"/>
    <w:rsid w:val="00CE5BED"/>
    <w:rsid w:val="00D168E6"/>
    <w:rsid w:val="00D16CAB"/>
    <w:rsid w:val="00D204A5"/>
    <w:rsid w:val="00D22D0F"/>
    <w:rsid w:val="00D437E5"/>
    <w:rsid w:val="00D47BA9"/>
    <w:rsid w:val="00D517DB"/>
    <w:rsid w:val="00D569F8"/>
    <w:rsid w:val="00D6413E"/>
    <w:rsid w:val="00D76882"/>
    <w:rsid w:val="00DB0142"/>
    <w:rsid w:val="00DB2C58"/>
    <w:rsid w:val="00DC4677"/>
    <w:rsid w:val="00DF05D3"/>
    <w:rsid w:val="00DF0E5F"/>
    <w:rsid w:val="00DF35E4"/>
    <w:rsid w:val="00DF6B78"/>
    <w:rsid w:val="00E01111"/>
    <w:rsid w:val="00E02CCF"/>
    <w:rsid w:val="00E14A40"/>
    <w:rsid w:val="00E17628"/>
    <w:rsid w:val="00E22515"/>
    <w:rsid w:val="00E279A0"/>
    <w:rsid w:val="00E56200"/>
    <w:rsid w:val="00E60B8A"/>
    <w:rsid w:val="00E70ECA"/>
    <w:rsid w:val="00E83193"/>
    <w:rsid w:val="00E943FF"/>
    <w:rsid w:val="00EA1D19"/>
    <w:rsid w:val="00EA258E"/>
    <w:rsid w:val="00EA551F"/>
    <w:rsid w:val="00EB03D6"/>
    <w:rsid w:val="00EC08DA"/>
    <w:rsid w:val="00EC0E2C"/>
    <w:rsid w:val="00ED563C"/>
    <w:rsid w:val="00EE3D78"/>
    <w:rsid w:val="00F02B1E"/>
    <w:rsid w:val="00F05123"/>
    <w:rsid w:val="00F07811"/>
    <w:rsid w:val="00F1074C"/>
    <w:rsid w:val="00F12696"/>
    <w:rsid w:val="00F228AE"/>
    <w:rsid w:val="00F25145"/>
    <w:rsid w:val="00F3078E"/>
    <w:rsid w:val="00F31C58"/>
    <w:rsid w:val="00F35FCD"/>
    <w:rsid w:val="00F4123C"/>
    <w:rsid w:val="00F454B1"/>
    <w:rsid w:val="00F53D57"/>
    <w:rsid w:val="00F63861"/>
    <w:rsid w:val="00F7708E"/>
    <w:rsid w:val="00F82E31"/>
    <w:rsid w:val="00F90F3E"/>
    <w:rsid w:val="00F91C4F"/>
    <w:rsid w:val="00FA117A"/>
    <w:rsid w:val="00FB034D"/>
    <w:rsid w:val="00FB4C4D"/>
    <w:rsid w:val="00FD2FD0"/>
    <w:rsid w:val="00FD7A49"/>
    <w:rsid w:val="00FE5EEA"/>
    <w:rsid w:val="00FF58A9"/>
    <w:rsid w:val="00FF7472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7B3B"/>
    <w:pPr>
      <w:tabs>
        <w:tab w:val="left" w:pos="450"/>
        <w:tab w:val="right" w:leader="dot" w:pos="9463"/>
      </w:tabs>
      <w:spacing w:after="240"/>
      <w:ind w:left="450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hAnsi="Times New Roman"/>
      <w:b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2D03-FA91-475A-9116-485470A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28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Rado</cp:lastModifiedBy>
  <cp:revision>6</cp:revision>
  <dcterms:created xsi:type="dcterms:W3CDTF">2020-02-28T08:07:00Z</dcterms:created>
  <dcterms:modified xsi:type="dcterms:W3CDTF">2020-02-28T08:49:00Z</dcterms:modified>
</cp:coreProperties>
</file>